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0"/>
        <w:jc w:val="both"/>
        <w:rPr>
          <w:rFonts w:ascii="Times New Roman" w:hAnsi="Times New Roman"/>
          <w:b/>
          <w:bCs/>
          <w:sz w:val="24"/>
          <w:szCs w:val="24"/>
        </w:rPr>
      </w:pPr>
      <w:r>
        <w:rPr>
          <w:rFonts w:ascii="Times New Roman" w:hAnsi="Times New Roman"/>
        </w:rPr>
        <w:drawing>
          <wp:inline distT="0" distB="0" distL="0" distR="0">
            <wp:extent cx="1807210" cy="725805"/>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1807210" cy="725805"/>
                    </a:xfrm>
                    <a:prstGeom prst="rect">
                      <a:avLst/>
                    </a:prstGeom>
                    <a:noFill/>
                    <a:ln>
                      <a:noFill/>
                    </a:ln>
                  </pic:spPr>
                </pic:pic>
              </a:graphicData>
            </a:graphic>
          </wp:inline>
        </w:drawing>
      </w:r>
    </w:p>
    <w:p>
      <w:pPr>
        <w:jc w:val="center"/>
        <w:rPr>
          <w:rFonts w:ascii="Times New Roman" w:hAnsi="Times New Roman"/>
          <w:b/>
          <w:bCs/>
          <w:sz w:val="24"/>
          <w:szCs w:val="24"/>
        </w:rPr>
      </w:pPr>
    </w:p>
    <w:p>
      <w:pPr>
        <w:jc w:val="center"/>
        <w:rPr>
          <w:rFonts w:ascii="Times New Roman" w:hAnsi="Times New Roman"/>
          <w:b/>
          <w:bCs/>
          <w:sz w:val="24"/>
          <w:szCs w:val="24"/>
        </w:rPr>
      </w:pPr>
    </w:p>
    <w:p>
      <w:pPr>
        <w:ind w:firstLine="0"/>
        <w:jc w:val="center"/>
        <w:rPr>
          <w:rFonts w:ascii="Times New Roman" w:hAnsi="Times New Roman"/>
          <w:b/>
          <w:bCs/>
          <w:sz w:val="30"/>
          <w:szCs w:val="30"/>
        </w:rPr>
      </w:pPr>
      <w:r>
        <w:rPr>
          <w:rFonts w:ascii="Times New Roman" w:hAnsi="Times New Roman"/>
          <w:b/>
          <w:bCs/>
          <w:sz w:val="30"/>
          <w:szCs w:val="30"/>
        </w:rPr>
        <w:t>Londis Supermarket Limited</w:t>
      </w:r>
    </w:p>
    <w:p>
      <w:pPr>
        <w:ind w:firstLine="0"/>
        <w:jc w:val="center"/>
        <w:rPr>
          <w:rFonts w:ascii="Times New Roman" w:hAnsi="Times New Roman"/>
          <w:sz w:val="24"/>
          <w:szCs w:val="24"/>
        </w:rPr>
      </w:pPr>
    </w:p>
    <w:p>
      <w:pPr>
        <w:ind w:firstLine="0"/>
        <w:jc w:val="center"/>
        <w:rPr>
          <w:rFonts w:ascii="Times New Roman" w:hAnsi="Times New Roman"/>
          <w:sz w:val="24"/>
          <w:szCs w:val="24"/>
        </w:rPr>
      </w:pPr>
      <w:r>
        <w:rPr>
          <w:rFonts w:ascii="Times New Roman" w:hAnsi="Times New Roman"/>
          <w:sz w:val="24"/>
          <w:szCs w:val="24"/>
        </w:rPr>
        <w:t xml:space="preserve"> </w:t>
      </w:r>
    </w:p>
    <w:p>
      <w:pPr>
        <w:ind w:firstLine="0"/>
        <w:jc w:val="center"/>
        <w:rPr>
          <w:rFonts w:ascii="Times New Roman" w:hAnsi="Times New Roman"/>
          <w:b/>
          <w:bCs/>
          <w:sz w:val="24"/>
          <w:szCs w:val="24"/>
        </w:rPr>
      </w:pPr>
    </w:p>
    <w:p>
      <w:pPr>
        <w:ind w:firstLine="0"/>
        <w:jc w:val="center"/>
        <w:rPr>
          <w:rFonts w:ascii="Times New Roman" w:hAnsi="Times New Roman"/>
          <w:sz w:val="24"/>
          <w:szCs w:val="24"/>
        </w:rPr>
      </w:pPr>
      <w:r>
        <w:rPr>
          <w:rFonts w:ascii="Times New Roman" w:hAnsi="Times New Roman"/>
          <w:sz w:val="24"/>
          <w:szCs w:val="24"/>
        </w:rPr>
        <w:t>Unit name: Strategic Marketing</w:t>
      </w:r>
    </w:p>
    <w:p>
      <w:pPr>
        <w:ind w:firstLine="0"/>
        <w:jc w:val="center"/>
        <w:rPr>
          <w:rFonts w:ascii="Times New Roman" w:hAnsi="Times New Roman"/>
          <w:sz w:val="24"/>
          <w:szCs w:val="24"/>
        </w:rPr>
      </w:pPr>
      <w:r>
        <w:rPr>
          <w:rFonts w:ascii="Times New Roman" w:hAnsi="Times New Roman"/>
          <w:sz w:val="24"/>
          <w:szCs w:val="24"/>
        </w:rPr>
        <w:t>Module Code</w:t>
      </w:r>
      <w:r>
        <w:rPr>
          <w:rFonts w:hint="eastAsia" w:ascii="MS Gothic" w:hAnsi="MS Gothic" w:eastAsia="MS Gothic" w:cs="MS Gothic"/>
          <w:sz w:val="24"/>
          <w:szCs w:val="24"/>
          <w:lang w:eastAsia="zh-CN"/>
        </w:rPr>
        <w:t>：</w:t>
      </w:r>
      <w:r>
        <w:rPr>
          <w:rFonts w:ascii="Times New Roman" w:hAnsi="Times New Roman"/>
          <w:sz w:val="24"/>
          <w:szCs w:val="24"/>
          <w:lang w:eastAsia="zh-CN"/>
        </w:rPr>
        <w:t xml:space="preserve"> </w:t>
      </w:r>
      <w:r>
        <w:rPr>
          <w:rFonts w:ascii="Times New Roman" w:hAnsi="Times New Roman"/>
          <w:sz w:val="24"/>
          <w:szCs w:val="24"/>
        </w:rPr>
        <w:t>BMBM6016</w:t>
      </w:r>
    </w:p>
    <w:p>
      <w:pPr>
        <w:ind w:firstLine="0"/>
        <w:jc w:val="center"/>
        <w:rPr>
          <w:rFonts w:ascii="Times New Roman" w:hAnsi="Times New Roman"/>
          <w:sz w:val="24"/>
          <w:szCs w:val="24"/>
        </w:rPr>
      </w:pPr>
      <w:r>
        <w:rPr>
          <w:rFonts w:ascii="Times New Roman" w:hAnsi="Times New Roman"/>
          <w:sz w:val="24"/>
          <w:szCs w:val="24"/>
        </w:rPr>
        <w:t>Prepared: Gwyneth Jones</w:t>
      </w:r>
    </w:p>
    <w:p>
      <w:pPr>
        <w:ind w:firstLine="0"/>
        <w:jc w:val="center"/>
        <w:rPr>
          <w:rFonts w:ascii="Times New Roman" w:hAnsi="Times New Roman"/>
          <w:sz w:val="24"/>
          <w:szCs w:val="24"/>
        </w:rPr>
      </w:pPr>
      <w:r>
        <w:rPr>
          <w:rFonts w:ascii="Times New Roman" w:hAnsi="Times New Roman"/>
          <w:sz w:val="24"/>
          <w:szCs w:val="24"/>
        </w:rPr>
        <w:t>Written by: Yiding Xu</w:t>
      </w:r>
    </w:p>
    <w:p>
      <w:pPr>
        <w:ind w:firstLine="0"/>
        <w:jc w:val="center"/>
        <w:rPr>
          <w:rFonts w:ascii="Times New Roman" w:hAnsi="Times New Roman"/>
          <w:sz w:val="24"/>
          <w:szCs w:val="24"/>
        </w:rPr>
      </w:pPr>
      <w:r>
        <w:rPr>
          <w:rFonts w:ascii="Times New Roman" w:hAnsi="Times New Roman"/>
          <w:sz w:val="24"/>
          <w:szCs w:val="24"/>
        </w:rPr>
        <w:t>Student ID: 2308016</w:t>
      </w:r>
    </w:p>
    <w:p>
      <w:pPr>
        <w:ind w:firstLine="0"/>
        <w:jc w:val="center"/>
        <w:rPr>
          <w:rFonts w:ascii="Times New Roman" w:hAnsi="Times New Roman"/>
          <w:sz w:val="24"/>
          <w:szCs w:val="24"/>
        </w:rPr>
      </w:pPr>
      <w:r>
        <w:rPr>
          <w:rFonts w:ascii="Times New Roman" w:hAnsi="Times New Roman"/>
          <w:sz w:val="24"/>
          <w:szCs w:val="24"/>
        </w:rPr>
        <w:t xml:space="preserve">Date submitted: March </w:t>
      </w:r>
      <w:r>
        <w:rPr>
          <w:rFonts w:hint="eastAsia" w:ascii="Times New Roman" w:hAnsi="Times New Roman" w:eastAsia="宋体"/>
          <w:sz w:val="24"/>
          <w:szCs w:val="24"/>
          <w:lang w:val="en-US" w:eastAsia="zh-CN"/>
        </w:rPr>
        <w:t>22</w:t>
      </w:r>
      <w:r>
        <w:rPr>
          <w:rFonts w:ascii="Times New Roman" w:hAnsi="Times New Roman"/>
          <w:sz w:val="24"/>
          <w:szCs w:val="24"/>
        </w:rPr>
        <w:t>th, 202</w:t>
      </w:r>
      <w:r>
        <w:rPr>
          <w:rFonts w:ascii="Times New Roman" w:hAnsi="Times New Roman"/>
          <w:sz w:val="24"/>
          <w:szCs w:val="24"/>
          <w:lang w:eastAsia="zh-CN"/>
        </w:rPr>
        <w:t>4</w:t>
      </w:r>
    </w:p>
    <w:p>
      <w:pPr>
        <w:ind w:firstLine="0"/>
        <w:jc w:val="center"/>
        <w:rPr>
          <w:rFonts w:ascii="Times New Roman" w:hAnsi="Times New Roman"/>
          <w:sz w:val="24"/>
          <w:szCs w:val="24"/>
        </w:rPr>
      </w:pPr>
    </w:p>
    <w:p>
      <w:pPr>
        <w:jc w:val="center"/>
        <w:rPr>
          <w:rFonts w:ascii="Times New Roman" w:hAnsi="Times New Roman"/>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jc w:val="center"/>
        <w:rPr>
          <w:rFonts w:ascii="Times New Roman" w:hAnsi="Times New Roman"/>
          <w:b/>
          <w:bCs/>
          <w:sz w:val="24"/>
          <w:szCs w:val="24"/>
        </w:rPr>
      </w:pPr>
    </w:p>
    <w:p>
      <w:pPr>
        <w:ind w:firstLine="0"/>
        <w:jc w:val="center"/>
        <w:rPr>
          <w:rFonts w:ascii="Times New Roman" w:hAnsi="Times New Roman"/>
          <w:sz w:val="20"/>
          <w:szCs w:val="20"/>
        </w:rPr>
      </w:pPr>
      <w:r>
        <w:rPr>
          <w:rFonts w:ascii="Times New Roman" w:hAnsi="Times New Roman"/>
          <w:sz w:val="20"/>
          <w:szCs w:val="20"/>
        </w:rPr>
        <w:t xml:space="preserve">A 2500-word report submitted in </w:t>
      </w:r>
      <w:r>
        <w:rPr>
          <w:rFonts w:ascii="Times New Roman" w:hAnsi="Times New Roman"/>
          <w:sz w:val="20"/>
          <w:szCs w:val="20"/>
          <w:lang w:eastAsia="zh-CN"/>
        </w:rPr>
        <w:t>fulfillment</w:t>
      </w:r>
      <w:r>
        <w:rPr>
          <w:rFonts w:ascii="Times New Roman" w:hAnsi="Times New Roman"/>
          <w:sz w:val="20"/>
          <w:szCs w:val="20"/>
        </w:rPr>
        <w:t xml:space="preserve"> of the requirements for Course Strategic Marketing (BMBM6016)</w:t>
      </w:r>
    </w:p>
    <w:p>
      <w:pPr>
        <w:ind w:firstLine="0"/>
        <w:jc w:val="center"/>
        <w:rPr>
          <w:rFonts w:ascii="Times New Roman" w:hAnsi="Times New Roman"/>
          <w:sz w:val="20"/>
          <w:szCs w:val="20"/>
        </w:rPr>
      </w:pPr>
      <w:r>
        <w:rPr>
          <w:rFonts w:ascii="Times New Roman" w:hAnsi="Times New Roman"/>
          <w:sz w:val="20"/>
          <w:szCs w:val="20"/>
        </w:rPr>
        <w:t>, the University of Wales Trinity Saint David.</w:t>
      </w:r>
    </w:p>
    <w:p>
      <w:pPr>
        <w:ind w:firstLine="0"/>
        <w:jc w:val="center"/>
        <w:rPr>
          <w:rFonts w:ascii="Times New Roman" w:hAnsi="Times New Roman"/>
          <w:b/>
          <w:bCs/>
          <w:sz w:val="24"/>
          <w:szCs w:val="24"/>
        </w:rPr>
        <w:sectPr>
          <w:pgSz w:w="12240" w:h="15840"/>
          <w:pgMar w:top="1440" w:right="1440" w:bottom="1440" w:left="1440" w:header="720" w:footer="720" w:gutter="0"/>
          <w:cols w:space="720" w:num="1"/>
          <w:docGrid w:linePitch="360" w:charSpace="0"/>
        </w:sectPr>
      </w:pPr>
    </w:p>
    <w:p>
      <w:pPr>
        <w:ind w:firstLine="0"/>
        <w:jc w:val="center"/>
        <w:rPr>
          <w:rFonts w:ascii="Times New Roman" w:hAnsi="Times New Roman"/>
          <w:b/>
          <w:bCs/>
          <w:sz w:val="24"/>
          <w:szCs w:val="24"/>
        </w:rPr>
      </w:pPr>
      <w:r>
        <w:rPr>
          <w:rFonts w:ascii="Times New Roman" w:hAnsi="Times New Roman"/>
          <w:b/>
          <w:bCs/>
          <w:sz w:val="24"/>
          <w:szCs w:val="24"/>
        </w:rPr>
        <w:t>Executive Summary</w:t>
      </w:r>
    </w:p>
    <w:p>
      <w:pPr>
        <w:rPr>
          <w:rFonts w:ascii="Times New Roman" w:hAnsi="Times New Roman"/>
          <w:sz w:val="24"/>
          <w:szCs w:val="24"/>
        </w:rPr>
      </w:pPr>
      <w:r>
        <w:rPr>
          <w:rFonts w:ascii="Times New Roman" w:hAnsi="Times New Roman"/>
          <w:sz w:val="24"/>
          <w:szCs w:val="24"/>
        </w:rPr>
        <w:t>This report aims to offer a top-level view of the findings and conclusions derived from the evaluation carried out on Londis Supermarket Limited. The critical points uncovered throughout the research are summarized below. Firstly, they look at Londis Supermarket Limited's submission history and find critical facts about the business enterprise's sports and performance. It was determined that the organization had a solid tune file and had continuously complied with its obligations. This suggests a stage of transparency and responsibility for their operations. Secondly, the monetary data tested as part of the analysis indicated that Londis Supermarket Limited has been appearing correctly in revenue and profitability eras. The company has proven consistent growth over the years, a high-quality sign of its economic stability. The report also recognized regions where Londis Supermarket Limited should enhance its operations further. One piece of advice is for the organization to enlarge its product range to cater to changing patron choices and needs. By diversifying its services, Londis can attract a broader purchaser base and increase its marketplace proportion. Furthermore, the report shows that Londis Supermarket Limited should spend money on generation and digital structures to enhance its operational performance and patron experience. Implementing online ordering and transport structures can help the employer tap into the developing e-trade marketplace, offering added comfort to its clients. Overall, this document gives precious insights into the development performance and capacity regions for Londis Supermarket Limited. The findings and guidelines presented here help the organization make knowledgeable decisions and accomplish continued growth within the aggressive retail industry.</w:t>
      </w:r>
    </w:p>
    <w:p>
      <w:pPr>
        <w:rPr>
          <w:rFonts w:ascii="Times New Roman" w:hAnsi="Times New Roman"/>
          <w:sz w:val="24"/>
          <w:szCs w:val="24"/>
        </w:rPr>
      </w:pPr>
    </w:p>
    <w:p>
      <w:pPr>
        <w:rPr>
          <w:rFonts w:ascii="Times New Roman" w:hAnsi="Times New Roman"/>
          <w:sz w:val="24"/>
          <w:szCs w:val="24"/>
        </w:rPr>
      </w:pPr>
    </w:p>
    <w:p>
      <w:pPr>
        <w:pStyle w:val="22"/>
        <w:jc w:val="center"/>
        <w:rPr>
          <w:rFonts w:ascii="Times New Roman" w:hAnsi="Times New Roman" w:eastAsia="Calibri" w:cs="Times New Roman"/>
          <w:color w:val="auto"/>
          <w:kern w:val="2"/>
          <w:sz w:val="24"/>
          <w:szCs w:val="24"/>
        </w:rPr>
        <w:sectPr>
          <w:footerReference r:id="rId5" w:type="default"/>
          <w:pgSz w:w="12240" w:h="15840"/>
          <w:pgMar w:top="1440" w:right="1440" w:bottom="1440" w:left="1440" w:header="720" w:footer="720" w:gutter="0"/>
          <w:pgNumType w:start="1"/>
          <w:cols w:space="720" w:num="1"/>
          <w:docGrid w:linePitch="360" w:charSpace="0"/>
        </w:sectPr>
      </w:pPr>
    </w:p>
    <w:sdt>
      <w:sdtPr>
        <w:rPr>
          <w:rFonts w:ascii="Times New Roman" w:hAnsi="Times New Roman" w:eastAsia="Calibri" w:cs="Times New Roman"/>
          <w:color w:val="auto"/>
          <w:kern w:val="2"/>
          <w:sz w:val="24"/>
          <w:szCs w:val="24"/>
        </w:rPr>
        <w:id w:val="1081176555"/>
        <w:docPartObj>
          <w:docPartGallery w:val="Table of Contents"/>
          <w:docPartUnique/>
        </w:docPartObj>
      </w:sdtPr>
      <w:sdtEndPr>
        <w:rPr>
          <w:rFonts w:ascii="Times New Roman" w:hAnsi="Times New Roman" w:eastAsia="Calibri" w:cs="Times New Roman"/>
          <w:b/>
          <w:bCs/>
          <w:color w:val="auto"/>
          <w:kern w:val="2"/>
          <w:sz w:val="24"/>
          <w:szCs w:val="24"/>
        </w:rPr>
      </w:sdtEndPr>
      <w:sdtContent>
        <w:p>
          <w:pPr>
            <w:pStyle w:val="22"/>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Tables Contents</w:t>
          </w:r>
        </w:p>
        <w:p/>
        <w:p>
          <w:pPr>
            <w:pStyle w:val="8"/>
            <w:tabs>
              <w:tab w:val="right" w:leader="dot" w:pos="9360"/>
            </w:tabs>
          </w:pPr>
          <w:r>
            <w:rPr>
              <w:rFonts w:ascii="Times New Roman" w:hAnsi="Times New Roman"/>
              <w:sz w:val="24"/>
              <w:szCs w:val="24"/>
            </w:rPr>
            <w:fldChar w:fldCharType="begin"/>
          </w:r>
          <w:r>
            <w:rPr>
              <w:rFonts w:ascii="Times New Roman" w:hAnsi="Times New Roman"/>
              <w:sz w:val="24"/>
              <w:szCs w:val="24"/>
            </w:rPr>
            <w:instrText xml:space="preserve"> TOC \o "1-3" \h \z \u </w:instrText>
          </w:r>
          <w:r>
            <w:rPr>
              <w:rFonts w:ascii="Times New Roman" w:hAnsi="Times New Roman"/>
              <w:sz w:val="24"/>
              <w:szCs w:val="24"/>
            </w:rPr>
            <w:fldChar w:fldCharType="separate"/>
          </w:r>
          <w:r>
            <w:rPr>
              <w:rFonts w:ascii="Times New Roman" w:hAnsi="Times New Roman"/>
              <w:szCs w:val="24"/>
            </w:rPr>
            <w:fldChar w:fldCharType="begin"/>
          </w:r>
          <w:r>
            <w:rPr>
              <w:rFonts w:ascii="Times New Roman" w:hAnsi="Times New Roman"/>
              <w:szCs w:val="24"/>
            </w:rPr>
            <w:instrText xml:space="preserve"> HYPERLINK \l _Toc12813 </w:instrText>
          </w:r>
          <w:r>
            <w:rPr>
              <w:rFonts w:ascii="Times New Roman" w:hAnsi="Times New Roman"/>
              <w:szCs w:val="24"/>
            </w:rPr>
            <w:fldChar w:fldCharType="separate"/>
          </w:r>
          <w:r>
            <w:rPr>
              <w:rFonts w:hint="default"/>
            </w:rPr>
            <w:t>1.0 Introduction</w:t>
          </w:r>
          <w:r>
            <w:tab/>
          </w:r>
          <w:r>
            <w:fldChar w:fldCharType="begin"/>
          </w:r>
          <w:r>
            <w:instrText xml:space="preserve"> PAGEREF _Toc12813 \h </w:instrText>
          </w:r>
          <w:r>
            <w:fldChar w:fldCharType="separate"/>
          </w:r>
          <w:r>
            <w:t>1</w:t>
          </w:r>
          <w:r>
            <w:fldChar w:fldCharType="end"/>
          </w:r>
          <w:r>
            <w:rPr>
              <w:rFonts w:ascii="Times New Roman" w:hAnsi="Times New Roman"/>
              <w:szCs w:val="24"/>
            </w:rPr>
            <w:fldChar w:fldCharType="end"/>
          </w:r>
        </w:p>
        <w:p>
          <w:pPr>
            <w:pStyle w:val="8"/>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_Toc1220 </w:instrText>
          </w:r>
          <w:r>
            <w:rPr>
              <w:rFonts w:ascii="Times New Roman" w:hAnsi="Times New Roman"/>
              <w:bCs/>
              <w:szCs w:val="24"/>
            </w:rPr>
            <w:fldChar w:fldCharType="separate"/>
          </w:r>
          <w:r>
            <w:rPr>
              <w:rFonts w:hint="default"/>
            </w:rPr>
            <w:t>2.0 Main Findings</w:t>
          </w:r>
          <w:r>
            <w:tab/>
          </w:r>
          <w:r>
            <w:fldChar w:fldCharType="begin"/>
          </w:r>
          <w:r>
            <w:instrText xml:space="preserve"> PAGEREF _Toc1220 \h </w:instrText>
          </w:r>
          <w:r>
            <w:fldChar w:fldCharType="separate"/>
          </w:r>
          <w:r>
            <w:t>2</w:t>
          </w:r>
          <w:r>
            <w:fldChar w:fldCharType="end"/>
          </w:r>
          <w:r>
            <w:rPr>
              <w:rFonts w:ascii="Times New Roman" w:hAnsi="Times New Roman"/>
              <w:bCs/>
              <w:szCs w:val="24"/>
            </w:rPr>
            <w:fldChar w:fldCharType="end"/>
          </w:r>
        </w:p>
        <w:p>
          <w:pPr>
            <w:pStyle w:val="8"/>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_Toc11176 </w:instrText>
          </w:r>
          <w:r>
            <w:rPr>
              <w:rFonts w:ascii="Times New Roman" w:hAnsi="Times New Roman"/>
              <w:bCs/>
              <w:szCs w:val="24"/>
            </w:rPr>
            <w:fldChar w:fldCharType="separate"/>
          </w:r>
          <w:r>
            <w:rPr>
              <w:rFonts w:hint="default"/>
            </w:rPr>
            <w:t>2.1 PESTEL Analysis</w:t>
          </w:r>
          <w:r>
            <w:tab/>
          </w:r>
          <w:r>
            <w:fldChar w:fldCharType="begin"/>
          </w:r>
          <w:r>
            <w:instrText xml:space="preserve"> PAGEREF _Toc11176 \h </w:instrText>
          </w:r>
          <w:r>
            <w:fldChar w:fldCharType="separate"/>
          </w:r>
          <w:r>
            <w:t>2</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_Toc21843 </w:instrText>
          </w:r>
          <w:r>
            <w:rPr>
              <w:rFonts w:ascii="Times New Roman" w:hAnsi="Times New Roman"/>
              <w:bCs/>
              <w:szCs w:val="24"/>
            </w:rPr>
            <w:fldChar w:fldCharType="separate"/>
          </w:r>
          <w:r>
            <w:rPr>
              <w:rFonts w:cs="Times New Roman"/>
              <w:bCs/>
              <w:iCs/>
            </w:rPr>
            <w:t>2.1.1 Political Factors</w:t>
          </w:r>
          <w:r>
            <w:tab/>
          </w:r>
          <w:r>
            <w:fldChar w:fldCharType="begin"/>
          </w:r>
          <w:r>
            <w:instrText xml:space="preserve"> PAGEREF _Toc21843 \h </w:instrText>
          </w:r>
          <w:r>
            <w:fldChar w:fldCharType="separate"/>
          </w:r>
          <w:r>
            <w:t>2</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_Toc19197 </w:instrText>
          </w:r>
          <w:r>
            <w:rPr>
              <w:rFonts w:ascii="Times New Roman" w:hAnsi="Times New Roman"/>
              <w:bCs/>
              <w:szCs w:val="24"/>
            </w:rPr>
            <w:fldChar w:fldCharType="separate"/>
          </w:r>
          <w:r>
            <w:rPr>
              <w:rFonts w:cs="Times New Roman"/>
            </w:rPr>
            <w:t>2.1.2 Economics Factors</w:t>
          </w:r>
          <w:r>
            <w:tab/>
          </w:r>
          <w:r>
            <w:fldChar w:fldCharType="begin"/>
          </w:r>
          <w:r>
            <w:instrText xml:space="preserve"> PAGEREF _Toc19197 \h </w:instrText>
          </w:r>
          <w:r>
            <w:fldChar w:fldCharType="separate"/>
          </w:r>
          <w:r>
            <w:t>2</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_Toc26867 </w:instrText>
          </w:r>
          <w:r>
            <w:rPr>
              <w:rFonts w:ascii="Times New Roman" w:hAnsi="Times New Roman"/>
              <w:bCs/>
              <w:szCs w:val="24"/>
            </w:rPr>
            <w:fldChar w:fldCharType="separate"/>
          </w:r>
          <w:r>
            <w:rPr>
              <w:rFonts w:cs="Times New Roman"/>
            </w:rPr>
            <w:t>2.1.3 Technological Factors</w:t>
          </w:r>
          <w:r>
            <w:tab/>
          </w:r>
          <w:r>
            <w:fldChar w:fldCharType="begin"/>
          </w:r>
          <w:r>
            <w:instrText xml:space="preserve"> PAGEREF _Toc26867 \h </w:instrText>
          </w:r>
          <w:r>
            <w:fldChar w:fldCharType="separate"/>
          </w:r>
          <w:r>
            <w:t>3</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_Toc19809 </w:instrText>
          </w:r>
          <w:r>
            <w:rPr>
              <w:rFonts w:ascii="Times New Roman" w:hAnsi="Times New Roman"/>
              <w:bCs/>
              <w:szCs w:val="24"/>
            </w:rPr>
            <w:fldChar w:fldCharType="separate"/>
          </w:r>
          <w:r>
            <w:rPr>
              <w:rFonts w:cs="Times New Roman"/>
            </w:rPr>
            <w:t>2.1.4 Environmental Factors</w:t>
          </w:r>
          <w:r>
            <w:tab/>
          </w:r>
          <w:r>
            <w:fldChar w:fldCharType="begin"/>
          </w:r>
          <w:r>
            <w:instrText xml:space="preserve"> PAGEREF _Toc19809 \h </w:instrText>
          </w:r>
          <w:r>
            <w:fldChar w:fldCharType="separate"/>
          </w:r>
          <w:r>
            <w:t>3</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_Toc29588 </w:instrText>
          </w:r>
          <w:r>
            <w:rPr>
              <w:rFonts w:ascii="Times New Roman" w:hAnsi="Times New Roman"/>
              <w:bCs/>
              <w:szCs w:val="24"/>
            </w:rPr>
            <w:fldChar w:fldCharType="separate"/>
          </w:r>
          <w:r>
            <w:rPr>
              <w:rFonts w:cs="Times New Roman"/>
            </w:rPr>
            <w:t>2.1.5 Legal factors</w:t>
          </w:r>
          <w:r>
            <w:tab/>
          </w:r>
          <w:r>
            <w:fldChar w:fldCharType="begin"/>
          </w:r>
          <w:r>
            <w:instrText xml:space="preserve"> PAGEREF _Toc29588 \h </w:instrText>
          </w:r>
          <w:r>
            <w:fldChar w:fldCharType="separate"/>
          </w:r>
          <w:r>
            <w:t>3</w:t>
          </w:r>
          <w:r>
            <w:fldChar w:fldCharType="end"/>
          </w:r>
          <w:r>
            <w:rPr>
              <w:rFonts w:ascii="Times New Roman" w:hAnsi="Times New Roman"/>
              <w:bCs/>
              <w:szCs w:val="24"/>
            </w:rPr>
            <w:fldChar w:fldCharType="end"/>
          </w:r>
        </w:p>
        <w:p>
          <w:pPr>
            <w:pStyle w:val="8"/>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_Toc6962 </w:instrText>
          </w:r>
          <w:r>
            <w:rPr>
              <w:rFonts w:ascii="Times New Roman" w:hAnsi="Times New Roman"/>
              <w:bCs/>
              <w:szCs w:val="24"/>
            </w:rPr>
            <w:fldChar w:fldCharType="separate"/>
          </w:r>
          <w:r>
            <w:rPr>
              <w:rFonts w:hint="default"/>
            </w:rPr>
            <w:t>2.2 A SWOT analysis</w:t>
          </w:r>
          <w:r>
            <w:tab/>
          </w:r>
          <w:r>
            <w:fldChar w:fldCharType="begin"/>
          </w:r>
          <w:r>
            <w:instrText xml:space="preserve"> PAGEREF _Toc6962 \h </w:instrText>
          </w:r>
          <w:r>
            <w:fldChar w:fldCharType="separate"/>
          </w:r>
          <w:r>
            <w:t>4</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_Toc22434 </w:instrText>
          </w:r>
          <w:r>
            <w:rPr>
              <w:rFonts w:ascii="Times New Roman" w:hAnsi="Times New Roman"/>
              <w:bCs/>
              <w:szCs w:val="24"/>
            </w:rPr>
            <w:fldChar w:fldCharType="separate"/>
          </w:r>
          <w:r>
            <w:rPr>
              <w:rFonts w:cs="Times New Roman"/>
            </w:rPr>
            <w:t>2.2.1 Strengths</w:t>
          </w:r>
          <w:r>
            <w:tab/>
          </w:r>
          <w:r>
            <w:fldChar w:fldCharType="begin"/>
          </w:r>
          <w:r>
            <w:instrText xml:space="preserve"> PAGEREF _Toc22434 \h </w:instrText>
          </w:r>
          <w:r>
            <w:fldChar w:fldCharType="separate"/>
          </w:r>
          <w:r>
            <w:t>4</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_Toc17065 </w:instrText>
          </w:r>
          <w:r>
            <w:rPr>
              <w:rFonts w:ascii="Times New Roman" w:hAnsi="Times New Roman"/>
              <w:bCs/>
              <w:szCs w:val="24"/>
            </w:rPr>
            <w:fldChar w:fldCharType="separate"/>
          </w:r>
          <w:r>
            <w:rPr>
              <w:rFonts w:cs="Times New Roman"/>
            </w:rPr>
            <w:t>2.2.2 Weaknesses</w:t>
          </w:r>
          <w:r>
            <w:tab/>
          </w:r>
          <w:r>
            <w:fldChar w:fldCharType="begin"/>
          </w:r>
          <w:r>
            <w:instrText xml:space="preserve"> PAGEREF _Toc17065 \h </w:instrText>
          </w:r>
          <w:r>
            <w:fldChar w:fldCharType="separate"/>
          </w:r>
          <w:r>
            <w:t>4</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_Toc12803 </w:instrText>
          </w:r>
          <w:r>
            <w:rPr>
              <w:rFonts w:ascii="Times New Roman" w:hAnsi="Times New Roman"/>
              <w:bCs/>
              <w:szCs w:val="24"/>
            </w:rPr>
            <w:fldChar w:fldCharType="separate"/>
          </w:r>
          <w:r>
            <w:rPr>
              <w:rFonts w:cs="Times New Roman"/>
            </w:rPr>
            <w:t>2.2.3 Opportunities</w:t>
          </w:r>
          <w:r>
            <w:tab/>
          </w:r>
          <w:r>
            <w:fldChar w:fldCharType="begin"/>
          </w:r>
          <w:r>
            <w:instrText xml:space="preserve"> PAGEREF _Toc12803 \h </w:instrText>
          </w:r>
          <w:r>
            <w:fldChar w:fldCharType="separate"/>
          </w:r>
          <w:r>
            <w:t>4</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_Toc24152 </w:instrText>
          </w:r>
          <w:r>
            <w:rPr>
              <w:rFonts w:ascii="Times New Roman" w:hAnsi="Times New Roman"/>
              <w:bCs/>
              <w:szCs w:val="24"/>
            </w:rPr>
            <w:fldChar w:fldCharType="separate"/>
          </w:r>
          <w:r>
            <w:rPr>
              <w:rFonts w:cs="Times New Roman"/>
            </w:rPr>
            <w:t>2.2.4 Threats</w:t>
          </w:r>
          <w:r>
            <w:tab/>
          </w:r>
          <w:r>
            <w:fldChar w:fldCharType="begin"/>
          </w:r>
          <w:r>
            <w:instrText xml:space="preserve"> PAGEREF _Toc24152 \h </w:instrText>
          </w:r>
          <w:r>
            <w:fldChar w:fldCharType="separate"/>
          </w:r>
          <w:r>
            <w:t>5</w:t>
          </w:r>
          <w:r>
            <w:fldChar w:fldCharType="end"/>
          </w:r>
          <w:r>
            <w:rPr>
              <w:rFonts w:ascii="Times New Roman" w:hAnsi="Times New Roman"/>
              <w:bCs/>
              <w:szCs w:val="24"/>
            </w:rPr>
            <w:fldChar w:fldCharType="end"/>
          </w:r>
        </w:p>
        <w:p>
          <w:pPr>
            <w:pStyle w:val="8"/>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_Toc1825 </w:instrText>
          </w:r>
          <w:r>
            <w:rPr>
              <w:rFonts w:ascii="Times New Roman" w:hAnsi="Times New Roman"/>
              <w:bCs/>
              <w:szCs w:val="24"/>
            </w:rPr>
            <w:fldChar w:fldCharType="separate"/>
          </w:r>
          <w:r>
            <w:rPr>
              <w:rFonts w:hint="default"/>
            </w:rPr>
            <w:t>2.3 Porter's Generic Value Chain Analysis</w:t>
          </w:r>
          <w:r>
            <w:tab/>
          </w:r>
          <w:r>
            <w:fldChar w:fldCharType="begin"/>
          </w:r>
          <w:r>
            <w:instrText xml:space="preserve"> PAGEREF _Toc1825 \h </w:instrText>
          </w:r>
          <w:r>
            <w:fldChar w:fldCharType="separate"/>
          </w:r>
          <w:r>
            <w:t>5</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_Toc27802 </w:instrText>
          </w:r>
          <w:r>
            <w:rPr>
              <w:rFonts w:ascii="Times New Roman" w:hAnsi="Times New Roman"/>
              <w:bCs/>
              <w:szCs w:val="24"/>
            </w:rPr>
            <w:fldChar w:fldCharType="separate"/>
          </w:r>
          <w:r>
            <w:rPr>
              <w:rFonts w:cs="Times New Roman"/>
            </w:rPr>
            <w:t>2.3.1 Inbound Logistics</w:t>
          </w:r>
          <w:r>
            <w:tab/>
          </w:r>
          <w:r>
            <w:fldChar w:fldCharType="begin"/>
          </w:r>
          <w:r>
            <w:instrText xml:space="preserve"> PAGEREF _Toc27802 \h </w:instrText>
          </w:r>
          <w:r>
            <w:fldChar w:fldCharType="separate"/>
          </w:r>
          <w:r>
            <w:t>5</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_Toc8477 </w:instrText>
          </w:r>
          <w:r>
            <w:rPr>
              <w:rFonts w:ascii="Times New Roman" w:hAnsi="Times New Roman"/>
              <w:bCs/>
              <w:szCs w:val="24"/>
            </w:rPr>
            <w:fldChar w:fldCharType="separate"/>
          </w:r>
          <w:r>
            <w:rPr>
              <w:rFonts w:cs="Times New Roman"/>
            </w:rPr>
            <w:t>2.3.2 Operations</w:t>
          </w:r>
          <w:r>
            <w:tab/>
          </w:r>
          <w:r>
            <w:fldChar w:fldCharType="begin"/>
          </w:r>
          <w:r>
            <w:instrText xml:space="preserve"> PAGEREF _Toc8477 \h </w:instrText>
          </w:r>
          <w:r>
            <w:fldChar w:fldCharType="separate"/>
          </w:r>
          <w:r>
            <w:t>6</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_Toc1917 </w:instrText>
          </w:r>
          <w:r>
            <w:rPr>
              <w:rFonts w:ascii="Times New Roman" w:hAnsi="Times New Roman"/>
              <w:bCs/>
              <w:szCs w:val="24"/>
            </w:rPr>
            <w:fldChar w:fldCharType="separate"/>
          </w:r>
          <w:r>
            <w:rPr>
              <w:rFonts w:cs="Times New Roman"/>
            </w:rPr>
            <w:t>2.3.3 Outbound Logistics</w:t>
          </w:r>
          <w:r>
            <w:tab/>
          </w:r>
          <w:r>
            <w:fldChar w:fldCharType="begin"/>
          </w:r>
          <w:r>
            <w:instrText xml:space="preserve"> PAGEREF _Toc1917 \h </w:instrText>
          </w:r>
          <w:r>
            <w:fldChar w:fldCharType="separate"/>
          </w:r>
          <w:r>
            <w:t>6</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_Toc28817 </w:instrText>
          </w:r>
          <w:r>
            <w:rPr>
              <w:rFonts w:ascii="Times New Roman" w:hAnsi="Times New Roman"/>
              <w:bCs/>
              <w:szCs w:val="24"/>
            </w:rPr>
            <w:fldChar w:fldCharType="separate"/>
          </w:r>
          <w:r>
            <w:rPr>
              <w:rFonts w:cs="Times New Roman"/>
            </w:rPr>
            <w:t>2.3.4 Marketing and Sales</w:t>
          </w:r>
          <w:r>
            <w:tab/>
          </w:r>
          <w:r>
            <w:fldChar w:fldCharType="begin"/>
          </w:r>
          <w:r>
            <w:instrText xml:space="preserve"> PAGEREF _Toc28817 \h </w:instrText>
          </w:r>
          <w:r>
            <w:fldChar w:fldCharType="separate"/>
          </w:r>
          <w:r>
            <w:t>6</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_Toc10472 </w:instrText>
          </w:r>
          <w:r>
            <w:rPr>
              <w:rFonts w:ascii="Times New Roman" w:hAnsi="Times New Roman"/>
              <w:bCs/>
              <w:szCs w:val="24"/>
            </w:rPr>
            <w:fldChar w:fldCharType="separate"/>
          </w:r>
          <w:r>
            <w:rPr>
              <w:rFonts w:cs="Times New Roman"/>
            </w:rPr>
            <w:t>2.3.5 Service</w:t>
          </w:r>
          <w:r>
            <w:tab/>
          </w:r>
          <w:r>
            <w:fldChar w:fldCharType="begin"/>
          </w:r>
          <w:r>
            <w:instrText xml:space="preserve"> PAGEREF _Toc10472 \h </w:instrText>
          </w:r>
          <w:r>
            <w:fldChar w:fldCharType="separate"/>
          </w:r>
          <w:r>
            <w:t>7</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_Toc3227 </w:instrText>
          </w:r>
          <w:r>
            <w:rPr>
              <w:rFonts w:ascii="Times New Roman" w:hAnsi="Times New Roman"/>
              <w:bCs/>
              <w:szCs w:val="24"/>
            </w:rPr>
            <w:fldChar w:fldCharType="separate"/>
          </w:r>
          <w:r>
            <w:rPr>
              <w:rFonts w:cs="Times New Roman"/>
            </w:rPr>
            <w:t>2.3.6 Support Activities</w:t>
          </w:r>
          <w:r>
            <w:tab/>
          </w:r>
          <w:r>
            <w:fldChar w:fldCharType="begin"/>
          </w:r>
          <w:r>
            <w:instrText xml:space="preserve"> PAGEREF _Toc3227 \h </w:instrText>
          </w:r>
          <w:r>
            <w:fldChar w:fldCharType="separate"/>
          </w:r>
          <w:r>
            <w:t>7</w:t>
          </w:r>
          <w:r>
            <w:fldChar w:fldCharType="end"/>
          </w:r>
          <w:r>
            <w:rPr>
              <w:rFonts w:ascii="Times New Roman" w:hAnsi="Times New Roman"/>
              <w:bCs/>
              <w:szCs w:val="24"/>
            </w:rPr>
            <w:fldChar w:fldCharType="end"/>
          </w:r>
        </w:p>
        <w:p>
          <w:pPr>
            <w:pStyle w:val="8"/>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_Toc17678 </w:instrText>
          </w:r>
          <w:r>
            <w:rPr>
              <w:rFonts w:ascii="Times New Roman" w:hAnsi="Times New Roman"/>
              <w:bCs/>
              <w:szCs w:val="24"/>
            </w:rPr>
            <w:fldChar w:fldCharType="separate"/>
          </w:r>
          <w:r>
            <w:rPr>
              <w:rFonts w:hint="default"/>
            </w:rPr>
            <w:t>2.4 McKinsey's 7S Framework Analysis</w:t>
          </w:r>
          <w:r>
            <w:tab/>
          </w:r>
          <w:r>
            <w:fldChar w:fldCharType="begin"/>
          </w:r>
          <w:r>
            <w:instrText xml:space="preserve"> PAGEREF _Toc17678 \h </w:instrText>
          </w:r>
          <w:r>
            <w:fldChar w:fldCharType="separate"/>
          </w:r>
          <w:r>
            <w:t>8</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_Toc5122 </w:instrText>
          </w:r>
          <w:r>
            <w:rPr>
              <w:rFonts w:ascii="Times New Roman" w:hAnsi="Times New Roman"/>
              <w:bCs/>
              <w:szCs w:val="24"/>
            </w:rPr>
            <w:fldChar w:fldCharType="separate"/>
          </w:r>
          <w:r>
            <w:rPr>
              <w:rFonts w:cs="Times New Roman"/>
            </w:rPr>
            <w:t>2.4.1 Strategy</w:t>
          </w:r>
          <w:r>
            <w:tab/>
          </w:r>
          <w:r>
            <w:fldChar w:fldCharType="begin"/>
          </w:r>
          <w:r>
            <w:instrText xml:space="preserve"> PAGEREF _Toc5122 \h </w:instrText>
          </w:r>
          <w:r>
            <w:fldChar w:fldCharType="separate"/>
          </w:r>
          <w:r>
            <w:t>8</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_Toc5489 </w:instrText>
          </w:r>
          <w:r>
            <w:rPr>
              <w:rFonts w:ascii="Times New Roman" w:hAnsi="Times New Roman"/>
              <w:bCs/>
              <w:szCs w:val="24"/>
            </w:rPr>
            <w:fldChar w:fldCharType="separate"/>
          </w:r>
          <w:r>
            <w:rPr>
              <w:rFonts w:cs="Times New Roman"/>
            </w:rPr>
            <w:t>2.4.2 Structure</w:t>
          </w:r>
          <w:r>
            <w:tab/>
          </w:r>
          <w:r>
            <w:fldChar w:fldCharType="begin"/>
          </w:r>
          <w:r>
            <w:instrText xml:space="preserve"> PAGEREF _Toc5489 \h </w:instrText>
          </w:r>
          <w:r>
            <w:fldChar w:fldCharType="separate"/>
          </w:r>
          <w:r>
            <w:t>8</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_Toc175 </w:instrText>
          </w:r>
          <w:r>
            <w:rPr>
              <w:rFonts w:ascii="Times New Roman" w:hAnsi="Times New Roman"/>
              <w:bCs/>
              <w:szCs w:val="24"/>
            </w:rPr>
            <w:fldChar w:fldCharType="separate"/>
          </w:r>
          <w:r>
            <w:rPr>
              <w:rFonts w:cs="Times New Roman"/>
            </w:rPr>
            <w:t>2.4.3 Systems</w:t>
          </w:r>
          <w:r>
            <w:tab/>
          </w:r>
          <w:r>
            <w:fldChar w:fldCharType="begin"/>
          </w:r>
          <w:r>
            <w:instrText xml:space="preserve"> PAGEREF _Toc175 \h </w:instrText>
          </w:r>
          <w:r>
            <w:fldChar w:fldCharType="separate"/>
          </w:r>
          <w:r>
            <w:t>8</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_Toc258 </w:instrText>
          </w:r>
          <w:r>
            <w:rPr>
              <w:rFonts w:ascii="Times New Roman" w:hAnsi="Times New Roman"/>
              <w:bCs/>
              <w:szCs w:val="24"/>
            </w:rPr>
            <w:fldChar w:fldCharType="separate"/>
          </w:r>
          <w:r>
            <w:rPr>
              <w:rFonts w:cs="Times New Roman"/>
            </w:rPr>
            <w:t>2.4.4 Shared Values</w:t>
          </w:r>
          <w:r>
            <w:tab/>
          </w:r>
          <w:r>
            <w:fldChar w:fldCharType="begin"/>
          </w:r>
          <w:r>
            <w:instrText xml:space="preserve"> PAGEREF _Toc258 \h </w:instrText>
          </w:r>
          <w:r>
            <w:fldChar w:fldCharType="separate"/>
          </w:r>
          <w:r>
            <w:t>9</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_Toc18392 </w:instrText>
          </w:r>
          <w:r>
            <w:rPr>
              <w:rFonts w:ascii="Times New Roman" w:hAnsi="Times New Roman"/>
              <w:bCs/>
              <w:szCs w:val="24"/>
            </w:rPr>
            <w:fldChar w:fldCharType="separate"/>
          </w:r>
          <w:r>
            <w:rPr>
              <w:rFonts w:cs="Times New Roman"/>
            </w:rPr>
            <w:t>2.4.5 Skills</w:t>
          </w:r>
          <w:r>
            <w:tab/>
          </w:r>
          <w:r>
            <w:fldChar w:fldCharType="begin"/>
          </w:r>
          <w:r>
            <w:instrText xml:space="preserve"> PAGEREF _Toc18392 \h </w:instrText>
          </w:r>
          <w:r>
            <w:fldChar w:fldCharType="separate"/>
          </w:r>
          <w:r>
            <w:t>9</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_Toc12822 </w:instrText>
          </w:r>
          <w:r>
            <w:rPr>
              <w:rFonts w:ascii="Times New Roman" w:hAnsi="Times New Roman"/>
              <w:bCs/>
              <w:szCs w:val="24"/>
            </w:rPr>
            <w:fldChar w:fldCharType="separate"/>
          </w:r>
          <w:r>
            <w:rPr>
              <w:rFonts w:cs="Times New Roman"/>
            </w:rPr>
            <w:t>2.4.6 Style</w:t>
          </w:r>
          <w:r>
            <w:tab/>
          </w:r>
          <w:r>
            <w:fldChar w:fldCharType="begin"/>
          </w:r>
          <w:r>
            <w:instrText xml:space="preserve"> PAGEREF _Toc12822 \h </w:instrText>
          </w:r>
          <w:r>
            <w:fldChar w:fldCharType="separate"/>
          </w:r>
          <w:r>
            <w:t>9</w:t>
          </w:r>
          <w:r>
            <w:fldChar w:fldCharType="end"/>
          </w:r>
          <w:r>
            <w:rPr>
              <w:rFonts w:ascii="Times New Roman" w:hAnsi="Times New Roman"/>
              <w:bCs/>
              <w:szCs w:val="24"/>
            </w:rPr>
            <w:fldChar w:fldCharType="end"/>
          </w:r>
        </w:p>
        <w:p>
          <w:pPr>
            <w:pStyle w:val="9"/>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_Toc13450 </w:instrText>
          </w:r>
          <w:r>
            <w:rPr>
              <w:rFonts w:ascii="Times New Roman" w:hAnsi="Times New Roman"/>
              <w:bCs/>
              <w:szCs w:val="24"/>
            </w:rPr>
            <w:fldChar w:fldCharType="separate"/>
          </w:r>
          <w:r>
            <w:rPr>
              <w:rFonts w:cs="Times New Roman"/>
            </w:rPr>
            <w:t>2.4.7 Staff</w:t>
          </w:r>
          <w:r>
            <w:tab/>
          </w:r>
          <w:r>
            <w:fldChar w:fldCharType="begin"/>
          </w:r>
          <w:r>
            <w:instrText xml:space="preserve"> PAGEREF _Toc13450 \h </w:instrText>
          </w:r>
          <w:r>
            <w:fldChar w:fldCharType="separate"/>
          </w:r>
          <w:r>
            <w:t>10</w:t>
          </w:r>
          <w:r>
            <w:fldChar w:fldCharType="end"/>
          </w:r>
          <w:r>
            <w:rPr>
              <w:rFonts w:ascii="Times New Roman" w:hAnsi="Times New Roman"/>
              <w:bCs/>
              <w:szCs w:val="24"/>
            </w:rPr>
            <w:fldChar w:fldCharType="end"/>
          </w:r>
        </w:p>
        <w:p>
          <w:pPr>
            <w:pStyle w:val="8"/>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_Toc6003 </w:instrText>
          </w:r>
          <w:r>
            <w:rPr>
              <w:rFonts w:ascii="Times New Roman" w:hAnsi="Times New Roman"/>
              <w:bCs/>
              <w:szCs w:val="24"/>
            </w:rPr>
            <w:fldChar w:fldCharType="separate"/>
          </w:r>
          <w:r>
            <w:rPr>
              <w:rFonts w:hint="default"/>
            </w:rPr>
            <w:t>3.0 Recommendations</w:t>
          </w:r>
          <w:r>
            <w:tab/>
          </w:r>
          <w:r>
            <w:fldChar w:fldCharType="begin"/>
          </w:r>
          <w:r>
            <w:instrText xml:space="preserve"> PAGEREF _Toc6003 \h </w:instrText>
          </w:r>
          <w:r>
            <w:fldChar w:fldCharType="separate"/>
          </w:r>
          <w:r>
            <w:t>11</w:t>
          </w:r>
          <w:r>
            <w:fldChar w:fldCharType="end"/>
          </w:r>
          <w:r>
            <w:rPr>
              <w:rFonts w:ascii="Times New Roman" w:hAnsi="Times New Roman"/>
              <w:bCs/>
              <w:szCs w:val="24"/>
            </w:rPr>
            <w:fldChar w:fldCharType="end"/>
          </w:r>
        </w:p>
        <w:p>
          <w:pPr>
            <w:pStyle w:val="8"/>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_Toc21706 </w:instrText>
          </w:r>
          <w:r>
            <w:rPr>
              <w:rFonts w:ascii="Times New Roman" w:hAnsi="Times New Roman"/>
              <w:bCs/>
              <w:szCs w:val="24"/>
            </w:rPr>
            <w:fldChar w:fldCharType="separate"/>
          </w:r>
          <w:r>
            <w:rPr>
              <w:rFonts w:hint="default"/>
            </w:rPr>
            <w:t>4.0 Conclusion</w:t>
          </w:r>
          <w:r>
            <w:tab/>
          </w:r>
          <w:r>
            <w:fldChar w:fldCharType="begin"/>
          </w:r>
          <w:r>
            <w:instrText xml:space="preserve"> PAGEREF _Toc21706 \h </w:instrText>
          </w:r>
          <w:r>
            <w:fldChar w:fldCharType="separate"/>
          </w:r>
          <w:r>
            <w:t>12</w:t>
          </w:r>
          <w:r>
            <w:fldChar w:fldCharType="end"/>
          </w:r>
          <w:r>
            <w:rPr>
              <w:rFonts w:ascii="Times New Roman" w:hAnsi="Times New Roman"/>
              <w:bCs/>
              <w:szCs w:val="24"/>
            </w:rPr>
            <w:fldChar w:fldCharType="end"/>
          </w:r>
        </w:p>
        <w:p>
          <w:pPr>
            <w:pStyle w:val="8"/>
            <w:tabs>
              <w:tab w:val="right" w:leader="dot" w:pos="9360"/>
            </w:tabs>
          </w:pPr>
          <w:r>
            <w:rPr>
              <w:rFonts w:ascii="Times New Roman" w:hAnsi="Times New Roman"/>
              <w:bCs/>
              <w:szCs w:val="24"/>
            </w:rPr>
            <w:fldChar w:fldCharType="begin"/>
          </w:r>
          <w:r>
            <w:rPr>
              <w:rFonts w:ascii="Times New Roman" w:hAnsi="Times New Roman"/>
              <w:bCs/>
              <w:szCs w:val="24"/>
            </w:rPr>
            <w:instrText xml:space="preserve"> HYPERLINK \l _Toc3256 </w:instrText>
          </w:r>
          <w:r>
            <w:rPr>
              <w:rFonts w:ascii="Times New Roman" w:hAnsi="Times New Roman"/>
              <w:bCs/>
              <w:szCs w:val="24"/>
            </w:rPr>
            <w:fldChar w:fldCharType="separate"/>
          </w:r>
          <w:r>
            <w:rPr>
              <w:rFonts w:hint="default"/>
            </w:rPr>
            <w:t>Reference List</w:t>
          </w:r>
          <w:r>
            <w:tab/>
          </w:r>
          <w:r>
            <w:fldChar w:fldCharType="begin"/>
          </w:r>
          <w:r>
            <w:instrText xml:space="preserve"> PAGEREF _Toc3256 \h </w:instrText>
          </w:r>
          <w:r>
            <w:fldChar w:fldCharType="separate"/>
          </w:r>
          <w:r>
            <w:t>13</w:t>
          </w:r>
          <w:r>
            <w:fldChar w:fldCharType="end"/>
          </w:r>
          <w:r>
            <w:rPr>
              <w:rFonts w:ascii="Times New Roman" w:hAnsi="Times New Roman"/>
              <w:bCs/>
              <w:szCs w:val="24"/>
            </w:rPr>
            <w:fldChar w:fldCharType="end"/>
          </w:r>
        </w:p>
        <w:p>
          <w:pPr>
            <w:rPr>
              <w:rFonts w:ascii="Times New Roman" w:hAnsi="Times New Roman"/>
              <w:sz w:val="24"/>
              <w:szCs w:val="24"/>
            </w:rPr>
          </w:pPr>
          <w:r>
            <w:rPr>
              <w:rFonts w:ascii="Times New Roman" w:hAnsi="Times New Roman"/>
              <w:bCs/>
              <w:szCs w:val="24"/>
            </w:rPr>
            <w:fldChar w:fldCharType="end"/>
          </w:r>
        </w:p>
      </w:sdtContent>
    </w:sdt>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ind w:firstLine="0"/>
        <w:jc w:val="both"/>
        <w:rPr>
          <w:rFonts w:ascii="Times New Roman" w:hAnsi="Times New Roman"/>
          <w:b/>
          <w:bCs/>
          <w:sz w:val="24"/>
          <w:szCs w:val="24"/>
        </w:rPr>
        <w:sectPr>
          <w:footerReference r:id="rId6" w:type="default"/>
          <w:pgSz w:w="12240" w:h="15840"/>
          <w:pgMar w:top="1440" w:right="1440" w:bottom="1440" w:left="1440" w:header="720" w:footer="720" w:gutter="0"/>
          <w:pgNumType w:start="1"/>
          <w:cols w:space="720" w:num="1"/>
          <w:docGrid w:linePitch="360" w:charSpace="0"/>
        </w:sectPr>
      </w:pPr>
    </w:p>
    <w:p>
      <w:pPr>
        <w:ind w:firstLine="0"/>
        <w:jc w:val="center"/>
        <w:rPr>
          <w:rFonts w:ascii="Times New Roman" w:hAnsi="Times New Roman"/>
          <w:b/>
          <w:bCs/>
          <w:sz w:val="24"/>
          <w:szCs w:val="24"/>
        </w:rPr>
      </w:pPr>
      <w:r>
        <w:rPr>
          <w:rFonts w:ascii="Times New Roman" w:hAnsi="Times New Roman"/>
          <w:b/>
          <w:bCs/>
          <w:sz w:val="24"/>
          <w:szCs w:val="24"/>
        </w:rPr>
        <w:t>Londis Supermarket Limited</w:t>
      </w:r>
    </w:p>
    <w:p>
      <w:pPr>
        <w:pStyle w:val="2"/>
        <w:spacing w:before="0" w:beforeAutospacing="0" w:after="0" w:afterAutospacing="0" w:line="480" w:lineRule="auto"/>
        <w:ind w:firstLine="0"/>
        <w:rPr>
          <w:rFonts w:hint="default"/>
        </w:rPr>
      </w:pPr>
      <w:bookmarkStart w:id="0" w:name="_Toc12813"/>
      <w:r>
        <w:rPr>
          <w:rFonts w:hint="default"/>
        </w:rPr>
        <w:t>1.0 Introduction</w:t>
      </w:r>
      <w:bookmarkEnd w:id="0"/>
    </w:p>
    <w:p>
      <w:pPr>
        <w:rPr>
          <w:rFonts w:ascii="Times New Roman" w:hAnsi="Times New Roman"/>
          <w:sz w:val="24"/>
          <w:szCs w:val="24"/>
        </w:rPr>
      </w:pPr>
      <w:r>
        <w:rPr>
          <w:rFonts w:ascii="Times New Roman" w:hAnsi="Times New Roman"/>
          <w:sz w:val="24"/>
          <w:szCs w:val="24"/>
        </w:rPr>
        <w:t>This audit report has been prepared in reaction to a request made by a Londis Supermarket chain supervisor, aiming to evaluate the organization's modern kingdom in light of the global economic challenges. This report seeks to research the supermarket chain's external and inner environments and provide critical findings, hints, and conclusions primarily based on the analysis. The global monetary scenario has notably impacted the grocery retailing industry. Economic downturns, inflation, and changing purchaser behavior have posed demanding situations and opportunities for supermarket chains internationally. The COVID-19 pandemic has similarly extended shifts in purchaser alternatives and buying styles, emphasizing the want for complete evaluation and strategic decision-making.</w:t>
      </w:r>
    </w:p>
    <w:p>
      <w:pPr>
        <w:rPr>
          <w:rFonts w:ascii="Times New Roman" w:hAnsi="Times New Roman" w:eastAsiaTheme="minorEastAsia"/>
          <w:sz w:val="24"/>
          <w:szCs w:val="24"/>
          <w:lang w:eastAsia="zh-CN"/>
        </w:rPr>
      </w:pPr>
      <w:r>
        <w:rPr>
          <w:rFonts w:ascii="Times New Roman" w:hAnsi="Times New Roman"/>
          <w:sz w:val="24"/>
          <w:szCs w:val="24"/>
        </w:rPr>
        <w:t>The selected grocery store chain allows consultation with it as Londis Supermarket operates as a local convenience, catering to the wishes of its surrounding community (Bent, 2022). Londis pursues the provision of an extensive range of services and products to satisfy the demands of its various patron base. With a focus on convenience and customer delight, Londis has become an outstanding player in grocery retail. This audit record will utilize diverse analytical frameworks to benefit a holistic know-how of Londis' function in the marketplace (Inge, 2020). These frameworks encompass PESTEL (Political et al.), SWOT (Strengths, Weaknesses, Opportunities, and Threats), Porter's Generic Value Chain, and McKinsey's 7S Framework. Using those frameworks, we intend to perceive key troubles and provide insights into the grocery store chain's competitive benefit, sources, abilities, monetary overall performance, and ability destiny threats.</w:t>
      </w:r>
    </w:p>
    <w:p>
      <w:pPr>
        <w:rPr>
          <w:rFonts w:ascii="Times New Roman" w:hAnsi="Times New Roman" w:eastAsiaTheme="minorEastAsia"/>
          <w:sz w:val="24"/>
          <w:szCs w:val="24"/>
          <w:lang w:eastAsia="zh-CN"/>
        </w:rPr>
      </w:pPr>
    </w:p>
    <w:p>
      <w:pPr>
        <w:pStyle w:val="2"/>
        <w:spacing w:before="0" w:beforeAutospacing="0" w:after="0" w:afterAutospacing="0" w:line="480" w:lineRule="auto"/>
        <w:ind w:firstLine="0"/>
        <w:rPr>
          <w:rFonts w:hint="default"/>
        </w:rPr>
      </w:pPr>
      <w:bookmarkStart w:id="1" w:name="_Toc1220"/>
      <w:r>
        <w:rPr>
          <w:rFonts w:hint="default"/>
        </w:rPr>
        <w:t>2.0 Main Findings</w:t>
      </w:r>
      <w:bookmarkEnd w:id="1"/>
    </w:p>
    <w:p>
      <w:pPr>
        <w:rPr>
          <w:rFonts w:ascii="Times New Roman" w:hAnsi="Times New Roman"/>
          <w:sz w:val="24"/>
          <w:szCs w:val="24"/>
        </w:rPr>
      </w:pPr>
      <w:r>
        <w:rPr>
          <w:rFonts w:ascii="Times New Roman" w:hAnsi="Times New Roman"/>
          <w:sz w:val="24"/>
          <w:szCs w:val="24"/>
        </w:rPr>
        <w:t>This segment will evaluate using the PESTEL, SWOT, Porter's Generic Value Chain, and McKinsey's 7S Framework to perceive critical problems and findings for the chosen supermarket chain, Londis. The analysis will raise awareness of the organization's contemporary and destiny outside and inner environments. We will discuss five key troubles/findings in element, thinking about clients, competitors, abilities, resources (tangible and intangible), income, profitability ratios, capability future threats, new marketplace entrants, replacement merchandise, and modifications in purchaser behavior.</w:t>
      </w:r>
    </w:p>
    <w:p>
      <w:pPr>
        <w:pStyle w:val="2"/>
        <w:spacing w:before="0" w:beforeAutospacing="0" w:after="0" w:afterAutospacing="0" w:line="480" w:lineRule="auto"/>
        <w:ind w:firstLine="0"/>
        <w:rPr>
          <w:rFonts w:hint="default"/>
        </w:rPr>
      </w:pPr>
      <w:bookmarkStart w:id="2" w:name="_Toc11176"/>
      <w:r>
        <w:rPr>
          <w:rFonts w:hint="default"/>
        </w:rPr>
        <w:t>2.1 PESTEL Analysis</w:t>
      </w:r>
      <w:bookmarkEnd w:id="2"/>
    </w:p>
    <w:p>
      <w:pPr>
        <w:rPr>
          <w:rFonts w:ascii="Times New Roman" w:hAnsi="Times New Roman"/>
          <w:sz w:val="24"/>
          <w:szCs w:val="24"/>
        </w:rPr>
      </w:pPr>
      <w:r>
        <w:rPr>
          <w:rFonts w:ascii="Times New Roman" w:hAnsi="Times New Roman"/>
          <w:sz w:val="24"/>
          <w:szCs w:val="24"/>
        </w:rPr>
        <w:t xml:space="preserve">The PESTEL analysis is an essential framework for information on the outside factors that impact an employer's operations and strategic choice-making. In the case of Londis, a local comfort shop, accomplishing a PESTEL analysis will enable us to assess the political, financial, social, technological, environmental, and legal factors that form the grocery store retail industry and impact the business enterprise's cutting-edge and future performance. </w:t>
      </w:r>
    </w:p>
    <w:p>
      <w:pPr>
        <w:pStyle w:val="3"/>
        <w:spacing w:before="0" w:line="480" w:lineRule="auto"/>
        <w:ind w:firstLine="0"/>
        <w:rPr>
          <w:rFonts w:cs="Times New Roman"/>
          <w:bCs/>
          <w:iCs/>
        </w:rPr>
      </w:pPr>
      <w:bookmarkStart w:id="3" w:name="_Toc21843"/>
      <w:r>
        <w:rPr>
          <w:rFonts w:cs="Times New Roman"/>
          <w:bCs/>
          <w:iCs/>
        </w:rPr>
        <w:t>2.1.1 Political Factors</w:t>
      </w:r>
      <w:bookmarkEnd w:id="3"/>
    </w:p>
    <w:p>
      <w:pPr>
        <w:rPr>
          <w:rFonts w:ascii="Times New Roman" w:hAnsi="Times New Roman"/>
          <w:sz w:val="24"/>
          <w:szCs w:val="24"/>
        </w:rPr>
      </w:pPr>
      <w:r>
        <w:rPr>
          <w:rFonts w:ascii="Times New Roman" w:hAnsi="Times New Roman"/>
          <w:sz w:val="24"/>
          <w:szCs w:val="24"/>
        </w:rPr>
        <w:t>Political factors play an extensive role in shaping supermarkets like Londis's business environment. Legislation and authorities' regulations concerning food safety, labeling requirements, and employee wages impact the operations and expenses of the enterprise at once. Authority actions like tax reforms or alternative agreements might affect product availability and cost in the supply chain and worldwide product sourcing.</w:t>
      </w:r>
    </w:p>
    <w:p>
      <w:pPr>
        <w:pStyle w:val="3"/>
        <w:spacing w:before="0" w:line="480" w:lineRule="auto"/>
        <w:ind w:firstLine="0"/>
        <w:rPr>
          <w:rFonts w:cs="Times New Roman"/>
        </w:rPr>
      </w:pPr>
      <w:bookmarkStart w:id="4" w:name="_Toc19197"/>
      <w:r>
        <w:rPr>
          <w:rFonts w:cs="Times New Roman"/>
        </w:rPr>
        <w:t xml:space="preserve">2.1.2 Economics </w:t>
      </w:r>
      <w:bookmarkStart w:id="5" w:name="_Hlk160574924"/>
      <w:r>
        <w:rPr>
          <w:rFonts w:cs="Times New Roman"/>
        </w:rPr>
        <w:t>Factors</w:t>
      </w:r>
      <w:bookmarkEnd w:id="4"/>
      <w:bookmarkEnd w:id="5"/>
    </w:p>
    <w:p>
      <w:pPr>
        <w:rPr>
          <w:rFonts w:ascii="Times New Roman" w:hAnsi="Times New Roman"/>
          <w:sz w:val="24"/>
          <w:szCs w:val="24"/>
        </w:rPr>
      </w:pPr>
      <w:r>
        <w:rPr>
          <w:rFonts w:ascii="Times New Roman" w:hAnsi="Times New Roman"/>
          <w:sz w:val="24"/>
          <w:szCs w:val="24"/>
        </w:rPr>
        <w:t xml:space="preserve">Economics significantly affects food stores. Inflation, currency rates, and consumer spending may affect Londis sales and profitability (Londis, 2024). When the economy tanks, people may have to curtail food consumption or find cheaper alternatives. Londis may sell more during economic booms since people have more money to spend on luxuries. Culture, demography, and consumer behavior are societal factors (Wrigley et al., 2015). </w:t>
      </w:r>
    </w:p>
    <w:p>
      <w:pPr>
        <w:pStyle w:val="3"/>
        <w:spacing w:before="0" w:line="480" w:lineRule="auto"/>
        <w:ind w:firstLine="0"/>
        <w:rPr>
          <w:rFonts w:cs="Times New Roman"/>
        </w:rPr>
      </w:pPr>
      <w:bookmarkStart w:id="6" w:name="_Toc26867"/>
      <w:r>
        <w:rPr>
          <w:rFonts w:cs="Times New Roman"/>
        </w:rPr>
        <w:t>2.1.3 Technological Factors</w:t>
      </w:r>
      <w:bookmarkEnd w:id="6"/>
    </w:p>
    <w:p>
      <w:pPr>
        <w:rPr>
          <w:rFonts w:ascii="Times New Roman" w:hAnsi="Times New Roman"/>
          <w:sz w:val="24"/>
          <w:szCs w:val="24"/>
        </w:rPr>
      </w:pPr>
      <w:r>
        <w:rPr>
          <w:rFonts w:ascii="Times New Roman" w:hAnsi="Times New Roman"/>
          <w:sz w:val="24"/>
          <w:szCs w:val="24"/>
        </w:rPr>
        <w:t>Consumer health, sustainability, and convenience choices affect Londis' product offerings and marketing. An aging or more diversified population may change consumer tastes and compel Londis to reconsider its merchandise and customer service. The swift transition of the grocery store retail business by digital generation, e-commerce, and supply chain automation presents opportunities and difficulties for Londis. Technology may increase online purchasing, shipping, operational efficiency, and stock management. Competitors and customers may suffer if firms fail to react swiftly to new technologies (Jones, 2021).</w:t>
      </w:r>
    </w:p>
    <w:p>
      <w:pPr>
        <w:pStyle w:val="3"/>
        <w:spacing w:before="0" w:line="480" w:lineRule="auto"/>
        <w:ind w:firstLine="0"/>
        <w:rPr>
          <w:rFonts w:cs="Times New Roman"/>
        </w:rPr>
      </w:pPr>
      <w:bookmarkStart w:id="7" w:name="_Toc19809"/>
      <w:r>
        <w:rPr>
          <w:rFonts w:cs="Times New Roman"/>
        </w:rPr>
        <w:t>2.1.4 Environmental Factors</w:t>
      </w:r>
      <w:bookmarkEnd w:id="7"/>
    </w:p>
    <w:p>
      <w:pPr>
        <w:rPr>
          <w:rFonts w:ascii="Times New Roman" w:hAnsi="Times New Roman"/>
          <w:sz w:val="24"/>
          <w:szCs w:val="24"/>
        </w:rPr>
      </w:pPr>
      <w:r>
        <w:rPr>
          <w:rFonts w:ascii="Times New Roman" w:hAnsi="Times New Roman"/>
          <w:sz w:val="24"/>
          <w:szCs w:val="24"/>
        </w:rPr>
        <w:t xml:space="preserve"> Sustainable practices and </w:t>
      </w:r>
      <w:bookmarkStart w:id="8" w:name="_Hlk160574851"/>
      <w:r>
        <w:rPr>
          <w:rFonts w:ascii="Times New Roman" w:hAnsi="Times New Roman"/>
          <w:sz w:val="24"/>
          <w:szCs w:val="24"/>
        </w:rPr>
        <w:t>environmental</w:t>
      </w:r>
      <w:bookmarkEnd w:id="8"/>
      <w:r>
        <w:rPr>
          <w:rFonts w:ascii="Times New Roman" w:hAnsi="Times New Roman"/>
          <w:sz w:val="24"/>
          <w:szCs w:val="24"/>
        </w:rPr>
        <w:t xml:space="preserve"> considerations are increasing in grocery shop advertising. Consumer knowledge of environmental concerns has increased demand for green goods, packaging, and sourcing (Londis, 2024). Londis wants to address environmental issues and incorporate sustainability into its operations and supply chain to meet customer expectations and compete. </w:t>
      </w:r>
    </w:p>
    <w:p>
      <w:pPr>
        <w:pStyle w:val="3"/>
        <w:spacing w:before="0" w:line="480" w:lineRule="auto"/>
        <w:ind w:firstLine="0"/>
        <w:rPr>
          <w:rFonts w:cs="Times New Roman"/>
        </w:rPr>
      </w:pPr>
      <w:bookmarkStart w:id="9" w:name="_Toc29588"/>
      <w:r>
        <w:rPr>
          <w:rFonts w:cs="Times New Roman"/>
        </w:rPr>
        <w:t>2.1.5 Legal factors</w:t>
      </w:r>
      <w:bookmarkEnd w:id="9"/>
    </w:p>
    <w:p>
      <w:pPr>
        <w:rPr>
          <w:rFonts w:ascii="Times New Roman" w:hAnsi="Times New Roman" w:eastAsiaTheme="minorEastAsia"/>
          <w:sz w:val="24"/>
          <w:szCs w:val="24"/>
          <w:lang w:eastAsia="zh-CN"/>
        </w:rPr>
      </w:pPr>
      <w:r>
        <w:rPr>
          <w:rFonts w:ascii="Times New Roman" w:hAnsi="Times New Roman"/>
          <w:sz w:val="24"/>
          <w:szCs w:val="24"/>
        </w:rPr>
        <w:t>Regulations, labor, health and safety, and resistance laws should be examined. Londis follows these guidelines to prevent legal issues, safeguard its reputation, and maintain customer trust. Acquisitions, mergers, and market access laws may affect grocery store retail competitiveness.</w:t>
      </w:r>
    </w:p>
    <w:p>
      <w:pPr>
        <w:rPr>
          <w:rFonts w:ascii="Times New Roman" w:hAnsi="Times New Roman" w:eastAsiaTheme="minorEastAsia"/>
          <w:sz w:val="24"/>
          <w:szCs w:val="24"/>
          <w:lang w:eastAsia="zh-CN"/>
        </w:rPr>
      </w:pPr>
    </w:p>
    <w:p>
      <w:pPr>
        <w:pStyle w:val="2"/>
        <w:spacing w:before="0" w:beforeAutospacing="0" w:after="0" w:afterAutospacing="0" w:line="480" w:lineRule="auto"/>
        <w:ind w:firstLine="0"/>
        <w:rPr>
          <w:rFonts w:hint="default"/>
        </w:rPr>
      </w:pPr>
      <w:bookmarkStart w:id="10" w:name="_Toc6962"/>
      <w:r>
        <w:rPr>
          <w:rFonts w:hint="default"/>
        </w:rPr>
        <w:t>2.2 A SWOT analysis</w:t>
      </w:r>
      <w:bookmarkEnd w:id="10"/>
    </w:p>
    <w:p>
      <w:pPr>
        <w:rPr>
          <w:rFonts w:ascii="Times New Roman" w:hAnsi="Times New Roman"/>
          <w:sz w:val="24"/>
          <w:szCs w:val="24"/>
        </w:rPr>
      </w:pPr>
      <w:r>
        <w:rPr>
          <w:rFonts w:ascii="Times New Roman" w:hAnsi="Times New Roman"/>
          <w:sz w:val="24"/>
          <w:szCs w:val="24"/>
        </w:rPr>
        <w:t>SWOT analysis helps companies assess their internal and external strengths, weaknesses, opportunities, and threats. A SWOT analysis of Londis, a local convenience shop, will reveal the supermarket chain's existing position and assist it in making strategic decisions.</w:t>
      </w:r>
    </w:p>
    <w:p>
      <w:pPr>
        <w:pStyle w:val="3"/>
        <w:spacing w:before="0" w:line="480" w:lineRule="auto"/>
        <w:ind w:firstLine="0"/>
        <w:rPr>
          <w:rFonts w:cs="Times New Roman"/>
        </w:rPr>
      </w:pPr>
      <w:bookmarkStart w:id="11" w:name="_Toc22434"/>
      <w:r>
        <w:rPr>
          <w:rFonts w:cs="Times New Roman"/>
        </w:rPr>
        <w:t>2.2.1 Strengths</w:t>
      </w:r>
      <w:bookmarkEnd w:id="11"/>
    </w:p>
    <w:p>
      <w:pPr>
        <w:rPr>
          <w:rFonts w:ascii="Times New Roman" w:hAnsi="Times New Roman"/>
          <w:sz w:val="24"/>
          <w:szCs w:val="24"/>
        </w:rPr>
      </w:pPr>
      <w:r>
        <w:rPr>
          <w:rFonts w:ascii="Times New Roman" w:hAnsi="Times New Roman"/>
          <w:sz w:val="24"/>
          <w:szCs w:val="24"/>
        </w:rPr>
        <w:t>Londis has various advantages that give it an edge. First, its strong local presence and active involvement in the community allow it to satisfy local needs (Issuu, 2022). Local attention allows a deep understanding of local market dynamics and personalized customer interactions (Londis, 2024). Second, Londis offers a broad range of name-brand and private-label products to satisfy a diverse consumer base. Product and service diversity boosts customer satisfaction and loyalty (Visick, 2021). Finally, Londis has strong supplier relationships, allowing it to have supplies at competitive costs and keep operations operating smoothly.</w:t>
      </w:r>
    </w:p>
    <w:p>
      <w:pPr>
        <w:pStyle w:val="3"/>
        <w:spacing w:before="0" w:line="480" w:lineRule="auto"/>
        <w:ind w:firstLine="0"/>
        <w:rPr>
          <w:rFonts w:cs="Times New Roman"/>
        </w:rPr>
      </w:pPr>
      <w:bookmarkStart w:id="12" w:name="_Toc17065"/>
      <w:r>
        <w:rPr>
          <w:rFonts w:cs="Times New Roman"/>
        </w:rPr>
        <w:t>2.2.2 Weaknesses</w:t>
      </w:r>
      <w:bookmarkEnd w:id="12"/>
    </w:p>
    <w:p>
      <w:pPr>
        <w:rPr>
          <w:rFonts w:ascii="Times New Roman" w:hAnsi="Times New Roman"/>
          <w:sz w:val="24"/>
          <w:szCs w:val="24"/>
        </w:rPr>
      </w:pPr>
      <w:r>
        <w:rPr>
          <w:rFonts w:ascii="Times New Roman" w:hAnsi="Times New Roman"/>
          <w:sz w:val="24"/>
          <w:szCs w:val="24"/>
        </w:rPr>
        <w:t>Although strong, Londis has vulnerabilities that should be addressed. Operational inefficiencies constitute a significant drawback. For consumer satisfaction, convenience stores should run smoothly, especially during busy hours. Supply chain bottlenecks and improper inventory management may hurt customer experience. Londis has store space and layout issues that limit its product selection and shopping experience compared to bigger supermarkets (Almond et al., 2008).</w:t>
      </w:r>
    </w:p>
    <w:p>
      <w:pPr>
        <w:pStyle w:val="3"/>
        <w:spacing w:before="0" w:line="480" w:lineRule="auto"/>
        <w:ind w:firstLine="0"/>
        <w:rPr>
          <w:rFonts w:cs="Times New Roman"/>
        </w:rPr>
      </w:pPr>
      <w:bookmarkStart w:id="13" w:name="_Toc12803"/>
      <w:r>
        <w:rPr>
          <w:rFonts w:cs="Times New Roman"/>
        </w:rPr>
        <w:t>2.2.3 Opportunities</w:t>
      </w:r>
      <w:bookmarkEnd w:id="13"/>
    </w:p>
    <w:p>
      <w:pPr>
        <w:rPr>
          <w:rFonts w:ascii="Times New Roman" w:hAnsi="Times New Roman"/>
          <w:sz w:val="24"/>
          <w:szCs w:val="24"/>
        </w:rPr>
      </w:pPr>
      <w:r>
        <w:rPr>
          <w:rFonts w:ascii="Times New Roman" w:hAnsi="Times New Roman"/>
          <w:sz w:val="24"/>
          <w:szCs w:val="24"/>
        </w:rPr>
        <w:t>Londis has the potential to improve its market position and profitability. The rise of health-conscious customers presents an opportunity. Londis reaches new consumers by offering more organic, gluten-free, and vegan items (Leader, 2020). Londis may invest in technology and create an effective e-commerce platform due to rising demand for convenience-oriented services like online ordering and home delivery. By adopting digital innovation, Londis can compete with more extensive online businesses and reach more customers.</w:t>
      </w:r>
    </w:p>
    <w:p>
      <w:pPr>
        <w:pStyle w:val="3"/>
        <w:spacing w:before="0" w:line="480" w:lineRule="auto"/>
        <w:ind w:firstLine="0"/>
        <w:rPr>
          <w:rFonts w:cs="Times New Roman"/>
        </w:rPr>
      </w:pPr>
      <w:bookmarkStart w:id="14" w:name="_Toc24152"/>
      <w:r>
        <w:rPr>
          <w:rFonts w:cs="Times New Roman"/>
        </w:rPr>
        <w:t>2.2.4 Threats</w:t>
      </w:r>
      <w:bookmarkEnd w:id="14"/>
    </w:p>
    <w:p>
      <w:pPr>
        <w:rPr>
          <w:rFonts w:ascii="Times New Roman" w:hAnsi="Times New Roman"/>
          <w:sz w:val="24"/>
          <w:szCs w:val="24"/>
        </w:rPr>
      </w:pPr>
      <w:r>
        <w:rPr>
          <w:rFonts w:ascii="Times New Roman" w:hAnsi="Times New Roman"/>
          <w:sz w:val="24"/>
          <w:szCs w:val="24"/>
        </w:rPr>
        <w:t>Londis faces several threats that require careful interest and strategic making plans. Intense competition from each local and country-wide supermarket chain poses a chance to Londis' marketplace percentage. Larger competition may also have more assets, economies of scale, and bargaining energy with suppliers, which can strain Londis to distinguish itself and provide unique price propositions. Additionally, adjustments in client conduct, which includes increased price sensitivity or a shift toward online purchasing, can impact Londis' sales and customer loyalty. Londis ought to display those trends and adapt its techniques as a consequence.</w:t>
      </w:r>
    </w:p>
    <w:p>
      <w:pPr>
        <w:pStyle w:val="2"/>
        <w:spacing w:before="0" w:beforeAutospacing="0" w:after="0" w:afterAutospacing="0" w:line="480" w:lineRule="auto"/>
        <w:ind w:firstLine="0"/>
        <w:rPr>
          <w:rFonts w:hint="default"/>
        </w:rPr>
      </w:pPr>
      <w:bookmarkStart w:id="15" w:name="_Toc1825"/>
      <w:r>
        <w:rPr>
          <w:rFonts w:hint="default"/>
        </w:rPr>
        <w:t>2.3 Porter's Generic Value Chain Analysis</w:t>
      </w:r>
      <w:bookmarkEnd w:id="15"/>
    </w:p>
    <w:p>
      <w:pPr>
        <w:rPr>
          <w:rFonts w:ascii="Times New Roman" w:hAnsi="Times New Roman"/>
          <w:sz w:val="24"/>
          <w:szCs w:val="24"/>
        </w:rPr>
      </w:pPr>
      <w:r>
        <w:rPr>
          <w:rFonts w:ascii="Times New Roman" w:hAnsi="Times New Roman"/>
          <w:sz w:val="24"/>
          <w:szCs w:val="24"/>
        </w:rPr>
        <w:t>Porter's Generic Value Chain analysis is a robust framework that allows one to become aware of the primary and help sports within a business enterprise's fee chain. By examining those activities, corporations can assess their aggressive advantage and become mindful of regions for operational improvement. In the case of Londis, a nearby convenience shop, accomplishing a Porter's Generic Value Chain analysis will offer insights into the key activities contributing to its aggressive role inside the grocery store retail enterprise.</w:t>
      </w:r>
    </w:p>
    <w:p>
      <w:pPr>
        <w:pStyle w:val="3"/>
        <w:spacing w:before="0" w:line="480" w:lineRule="auto"/>
        <w:ind w:firstLine="0"/>
        <w:rPr>
          <w:rFonts w:cs="Times New Roman"/>
        </w:rPr>
      </w:pPr>
      <w:bookmarkStart w:id="16" w:name="_Toc27802"/>
      <w:r>
        <w:rPr>
          <w:rFonts w:cs="Times New Roman"/>
        </w:rPr>
        <w:t>2.3.1 Inbound Logistics</w:t>
      </w:r>
      <w:bookmarkEnd w:id="16"/>
    </w:p>
    <w:p>
      <w:pPr>
        <w:rPr>
          <w:rFonts w:ascii="Times New Roman" w:hAnsi="Times New Roman"/>
          <w:sz w:val="24"/>
          <w:szCs w:val="24"/>
        </w:rPr>
      </w:pPr>
      <w:r>
        <w:rPr>
          <w:rFonts w:ascii="Times New Roman" w:hAnsi="Times New Roman"/>
          <w:sz w:val="24"/>
          <w:szCs w:val="24"/>
        </w:rPr>
        <w:t>Inbound logistics contain receiving, storing, and dispensing inputs such as merchandise, stock, and substances. For Londis, efficient inbound logistics are essential to ensure a constant supply of products to fulfill patron calls (Piecyk et al., 2021). This involves establishing strong supplier relationships and optimizing inventory management and replenishment techniques (Londis, 2024). Londis can reduce expenses and stockouts and increase product availability by streamlining the inbound logistics system.</w:t>
      </w:r>
    </w:p>
    <w:p>
      <w:pPr>
        <w:pStyle w:val="3"/>
        <w:spacing w:before="0" w:line="480" w:lineRule="auto"/>
        <w:ind w:firstLine="0"/>
        <w:rPr>
          <w:rFonts w:cs="Times New Roman"/>
        </w:rPr>
      </w:pPr>
      <w:bookmarkStart w:id="17" w:name="_Toc8477"/>
      <w:r>
        <w:rPr>
          <w:rFonts w:cs="Times New Roman"/>
        </w:rPr>
        <w:t>2.3.2 Operations</w:t>
      </w:r>
      <w:bookmarkEnd w:id="17"/>
    </w:p>
    <w:p>
      <w:pPr>
        <w:rPr>
          <w:rFonts w:ascii="Times New Roman" w:hAnsi="Times New Roman"/>
          <w:sz w:val="24"/>
          <w:szCs w:val="24"/>
        </w:rPr>
      </w:pPr>
      <w:r>
        <w:rPr>
          <w:rFonts w:ascii="Times New Roman" w:hAnsi="Times New Roman"/>
          <w:sz w:val="24"/>
          <w:szCs w:val="24"/>
        </w:rPr>
        <w:t>The operations sports embody the stairs in changing inputs into completed services or products. For Londis, this consists of product merchandising, save format, and customer support. Ensuring efficient keep operations is crucial to purchasing enjoyment for clients (Jellybean, 2023). Londis has to optimize its store layout to beautify product visibility, enforce effective merchandising techniques to drive income and educate the workforce to supply excellent customer service.</w:t>
      </w:r>
    </w:p>
    <w:p>
      <w:pPr>
        <w:pStyle w:val="3"/>
        <w:spacing w:before="0" w:line="480" w:lineRule="auto"/>
        <w:ind w:firstLine="0"/>
        <w:rPr>
          <w:rFonts w:cs="Times New Roman"/>
        </w:rPr>
      </w:pPr>
      <w:bookmarkStart w:id="18" w:name="_Toc1917"/>
      <w:r>
        <w:rPr>
          <w:rFonts w:cs="Times New Roman"/>
        </w:rPr>
        <w:t>2.3.3 Outbound Logistics</w:t>
      </w:r>
      <w:bookmarkEnd w:id="18"/>
    </w:p>
    <w:p>
      <w:pPr>
        <w:rPr>
          <w:rFonts w:ascii="Times New Roman" w:hAnsi="Times New Roman"/>
          <w:sz w:val="24"/>
          <w:szCs w:val="24"/>
        </w:rPr>
      </w:pPr>
      <w:r>
        <w:rPr>
          <w:rFonts w:ascii="Times New Roman" w:hAnsi="Times New Roman"/>
          <w:sz w:val="24"/>
          <w:szCs w:val="24"/>
        </w:rPr>
        <w:t>Outbound logistics involve storing, coping with, and dispensing finished products to clients. For Londis, this includes order success, packaging, and shipping. In a more competitive market, efficient outbound logistics can be a source of differentiation (Ho, 2021). Londis can spend money on technology that allows faster and more accurate order processing, put in force robust packaging solutions to ensure the product is excellent in transportation and explore partnerships with 1/3-birthday celebration transport offerings to provide convenient alternatives to clients.</w:t>
      </w:r>
    </w:p>
    <w:p>
      <w:pPr>
        <w:pStyle w:val="3"/>
        <w:spacing w:before="0" w:line="480" w:lineRule="auto"/>
        <w:ind w:firstLine="0"/>
        <w:rPr>
          <w:rFonts w:cs="Times New Roman"/>
        </w:rPr>
      </w:pPr>
      <w:bookmarkStart w:id="19" w:name="_Toc28817"/>
      <w:r>
        <w:rPr>
          <w:rFonts w:cs="Times New Roman"/>
        </w:rPr>
        <w:t>2.3.4 Marketing and Sales</w:t>
      </w:r>
      <w:bookmarkEnd w:id="19"/>
    </w:p>
    <w:p>
      <w:pPr>
        <w:rPr>
          <w:rFonts w:ascii="Times New Roman" w:hAnsi="Times New Roman"/>
          <w:sz w:val="24"/>
          <w:szCs w:val="24"/>
        </w:rPr>
      </w:pPr>
      <w:r>
        <w:rPr>
          <w:rFonts w:ascii="Times New Roman" w:hAnsi="Times New Roman"/>
          <w:sz w:val="24"/>
          <w:szCs w:val="24"/>
        </w:rPr>
        <w:t>Marketing and income sports involve promoting products, attracting customers, and making final sales. Londis can leverage advertising techniques to create consciousness, construct emblem loyalty, and drive foot site visitors to its shops (McCarthy, 2018). This can include implementing centered marketing campaigns, using digital advertising channels, and providing loyalty programs to incentivize repeat purchases. Londis can grow its consumer base and improve sales by investing in effective advertising marketing and sales sports.</w:t>
      </w:r>
    </w:p>
    <w:p>
      <w:pPr>
        <w:pStyle w:val="3"/>
        <w:spacing w:before="0" w:line="480" w:lineRule="auto"/>
        <w:ind w:firstLine="0"/>
        <w:rPr>
          <w:rFonts w:cs="Times New Roman"/>
        </w:rPr>
      </w:pPr>
      <w:bookmarkStart w:id="20" w:name="_Toc10472"/>
      <w:r>
        <w:rPr>
          <w:rFonts w:cs="Times New Roman"/>
        </w:rPr>
        <w:t>2.3.5 Service</w:t>
      </w:r>
      <w:bookmarkEnd w:id="20"/>
    </w:p>
    <w:p>
      <w:pPr>
        <w:rPr>
          <w:rFonts w:ascii="Times New Roman" w:hAnsi="Times New Roman"/>
          <w:sz w:val="24"/>
          <w:szCs w:val="24"/>
        </w:rPr>
      </w:pPr>
      <w:r>
        <w:rPr>
          <w:rFonts w:ascii="Times New Roman" w:hAnsi="Times New Roman"/>
          <w:sz w:val="24"/>
          <w:szCs w:val="24"/>
        </w:rPr>
        <w:t>Service sports attention to offering after-sales assistance and customer help. For Londis, presenting exceptional customer support is essential for purchaser retention and satisfaction. This can include imparting client assistance, addressing court cases or inquiries, and retaining a customer-centric way of life across the organization (Reilly, 2020). Londis can foster client loyalty, effective phrase-of-mouth, and a competitive benefit in the market by prioritizing carrier sports.</w:t>
      </w:r>
    </w:p>
    <w:p>
      <w:pPr>
        <w:pStyle w:val="3"/>
        <w:spacing w:before="0" w:line="480" w:lineRule="auto"/>
        <w:ind w:firstLine="0"/>
        <w:rPr>
          <w:rFonts w:cs="Times New Roman"/>
        </w:rPr>
      </w:pPr>
      <w:bookmarkStart w:id="21" w:name="_Toc3227"/>
      <w:r>
        <w:rPr>
          <w:rFonts w:cs="Times New Roman"/>
        </w:rPr>
        <w:t>2.3.6 Support Activities</w:t>
      </w:r>
      <w:bookmarkEnd w:id="21"/>
    </w:p>
    <w:p>
      <w:pPr>
        <w:rPr>
          <w:rFonts w:ascii="Times New Roman" w:hAnsi="Times New Roman"/>
          <w:sz w:val="24"/>
          <w:szCs w:val="24"/>
        </w:rPr>
      </w:pPr>
      <w:r>
        <w:rPr>
          <w:rFonts w:ascii="Times New Roman" w:hAnsi="Times New Roman"/>
          <w:sz w:val="24"/>
          <w:szCs w:val="24"/>
        </w:rPr>
        <w:t>In addition to the number one activity, support sports are critical in improving the overall fee chain. These activities consist of Procurement sports related to sourcing and buying inputs required for the agency. Londis can optimize procurement techniques by negotiating favorable contracts with providers, ensuring timely merchandise shipping, and constantly evaluating dealers' performance to maintain first-rate requirements (Mcleod et al., n.d.).  Technology improvement sports encompass leveraging generation to enhance operational performance, enhance customer experience, and force innovation. Londis has invested in worker schooling packages, fostered high-quality painting surroundings, and provided career improvement opportunities to make sure a motivated and skilled body of workers turns in excellent customer service (Convenience Store, 2014). Firm infrastructure activities include standard control, finance, and criminal components. Londis has focused on green economic management, ensuring compliance with prison and regulatory necessities, and maintaining effective verbal exchange channels within the agency.</w:t>
      </w:r>
    </w:p>
    <w:p>
      <w:pPr>
        <w:pStyle w:val="2"/>
        <w:spacing w:before="0" w:beforeAutospacing="0" w:after="0" w:afterAutospacing="0" w:line="480" w:lineRule="auto"/>
        <w:ind w:firstLine="0"/>
        <w:rPr>
          <w:rFonts w:hint="default"/>
        </w:rPr>
      </w:pPr>
      <w:bookmarkStart w:id="22" w:name="_Toc17678"/>
      <w:r>
        <w:rPr>
          <w:rFonts w:hint="default"/>
        </w:rPr>
        <w:t>2.4 McKinsey's 7S Framework Analysis</w:t>
      </w:r>
      <w:bookmarkEnd w:id="22"/>
    </w:p>
    <w:p>
      <w:pPr>
        <w:rPr>
          <w:rFonts w:ascii="Times New Roman" w:hAnsi="Times New Roman"/>
          <w:sz w:val="24"/>
          <w:szCs w:val="24"/>
        </w:rPr>
      </w:pPr>
      <w:r>
        <w:rPr>
          <w:rFonts w:ascii="Times New Roman" w:hAnsi="Times New Roman"/>
          <w:sz w:val="24"/>
          <w:szCs w:val="24"/>
        </w:rPr>
        <w:t>As a local convenience save, Londis Supermarket Limited may be analyzed using McKinsey's 7S Framework to evaluate the achievements and alignment of diverse internal elements within the corporation.</w:t>
      </w:r>
    </w:p>
    <w:p>
      <w:pPr>
        <w:pStyle w:val="3"/>
        <w:spacing w:before="0" w:line="480" w:lineRule="auto"/>
        <w:ind w:firstLine="0"/>
        <w:rPr>
          <w:rFonts w:cs="Times New Roman"/>
        </w:rPr>
      </w:pPr>
      <w:bookmarkStart w:id="23" w:name="_Toc5122"/>
      <w:r>
        <w:rPr>
          <w:rFonts w:cs="Times New Roman"/>
        </w:rPr>
        <w:t>2.4.1 Strategy</w:t>
      </w:r>
      <w:bookmarkEnd w:id="23"/>
    </w:p>
    <w:p>
      <w:pPr>
        <w:rPr>
          <w:rFonts w:ascii="Times New Roman" w:hAnsi="Times New Roman"/>
          <w:sz w:val="24"/>
          <w:szCs w:val="24"/>
        </w:rPr>
      </w:pPr>
      <w:r>
        <w:rPr>
          <w:rFonts w:ascii="Times New Roman" w:hAnsi="Times New Roman"/>
          <w:sz w:val="24"/>
          <w:szCs w:val="24"/>
        </w:rPr>
        <w:t>Londis has correctly developed a strategy to provide locals with convenient and available grocery shopping options. The company has identified its target marketplace and placed itself as a dependable and convenient option for clients' ordinary needs (Walker, 2021). Londis has achieved a competitive advantage by presenting an extensive range of products, aggressive pricing, and localized promotions. Additionally, the organization has capitalized on the growing trend of online buying by offering delivery options to beautify client comfort.</w:t>
      </w:r>
    </w:p>
    <w:p>
      <w:pPr>
        <w:pStyle w:val="3"/>
        <w:spacing w:before="0" w:line="480" w:lineRule="auto"/>
        <w:ind w:firstLine="0"/>
        <w:rPr>
          <w:rFonts w:cs="Times New Roman"/>
        </w:rPr>
      </w:pPr>
      <w:r>
        <w:rPr>
          <w:rFonts w:cs="Times New Roman"/>
        </w:rPr>
        <w:t xml:space="preserve"> </w:t>
      </w:r>
      <w:bookmarkStart w:id="24" w:name="_Toc5489"/>
      <w:r>
        <w:rPr>
          <w:rFonts w:cs="Times New Roman"/>
        </w:rPr>
        <w:t>2.4.2 Structure</w:t>
      </w:r>
      <w:bookmarkEnd w:id="24"/>
    </w:p>
    <w:p>
      <w:pPr>
        <w:rPr>
          <w:rFonts w:ascii="Times New Roman" w:hAnsi="Times New Roman"/>
          <w:sz w:val="24"/>
          <w:szCs w:val="24"/>
        </w:rPr>
      </w:pPr>
      <w:r>
        <w:rPr>
          <w:rFonts w:ascii="Times New Roman" w:hAnsi="Times New Roman"/>
          <w:sz w:val="24"/>
          <w:szCs w:val="24"/>
        </w:rPr>
        <w:t>Londis's organizational form, with clean reporting relationships and choice-making processes, appears nicely described. The organization has installed a hierarchical shape for inexperienced coordination and communication across unique departments (Londis, 2024). The shape additionally permits quick desire-making, allowing the business enterprise to respond immediately to market modifications and purchaser needs. However, periodic review and adjustment of the form may be essential to ensure it aligns with the evolving goals of the economic company.</w:t>
      </w:r>
    </w:p>
    <w:p>
      <w:pPr>
        <w:pStyle w:val="3"/>
        <w:spacing w:before="0" w:line="480" w:lineRule="auto"/>
        <w:ind w:firstLine="0"/>
        <w:rPr>
          <w:rFonts w:cs="Times New Roman"/>
        </w:rPr>
      </w:pPr>
      <w:bookmarkStart w:id="25" w:name="_Toc175"/>
      <w:r>
        <w:rPr>
          <w:rFonts w:cs="Times New Roman"/>
        </w:rPr>
        <w:t>2.4.3 Systems</w:t>
      </w:r>
      <w:bookmarkEnd w:id="25"/>
    </w:p>
    <w:p>
      <w:pPr>
        <w:rPr>
          <w:rFonts w:ascii="Times New Roman" w:hAnsi="Times New Roman"/>
          <w:sz w:val="24"/>
          <w:szCs w:val="24"/>
        </w:rPr>
      </w:pPr>
      <w:r>
        <w:rPr>
          <w:rFonts w:ascii="Times New Roman" w:hAnsi="Times New Roman"/>
          <w:sz w:val="24"/>
          <w:szCs w:val="24"/>
        </w:rPr>
        <w:t>Londis has implemented sturdy systems to guide its operations effectively. The organization has green inventory management systems to make certain inventory degrees and limit stockouts. Moreover, adopting generation solutions has superior delivery chain approaches, streamlined order fulfillment, and reinforced purchaser dating management (UK Supermarket Spotlight, 2020). Londis has moreover applied typical performance length systems to tune critical metrics and compare the effectiveness of its operations. Continual assessment and optimization of those structures can be essential to keep competitiveness and meet consumer expectancies.</w:t>
      </w:r>
    </w:p>
    <w:p>
      <w:pPr>
        <w:pStyle w:val="3"/>
        <w:spacing w:before="0" w:line="480" w:lineRule="auto"/>
        <w:ind w:firstLine="0"/>
        <w:rPr>
          <w:rFonts w:cs="Times New Roman"/>
        </w:rPr>
      </w:pPr>
      <w:bookmarkStart w:id="26" w:name="_Toc258"/>
      <w:r>
        <w:rPr>
          <w:rFonts w:cs="Times New Roman"/>
        </w:rPr>
        <w:t>2.4.4 Shared Values</w:t>
      </w:r>
      <w:bookmarkEnd w:id="26"/>
    </w:p>
    <w:p>
      <w:pPr>
        <w:rPr>
          <w:rFonts w:ascii="Times New Roman" w:hAnsi="Times New Roman"/>
          <w:sz w:val="24"/>
          <w:szCs w:val="24"/>
        </w:rPr>
      </w:pPr>
      <w:r>
        <w:rPr>
          <w:rFonts w:ascii="Times New Roman" w:hAnsi="Times New Roman"/>
          <w:sz w:val="24"/>
          <w:szCs w:val="24"/>
        </w:rPr>
        <w:t>Londis has established shared values that reflect its commitment to consumer pleasure and network engagement. The company emphasizes personalized customer service, ensuring clients' experience is valued and cared for through shopping through Facebook, Instagram, and Twitter @LondisIreland (Londis, 2019). Londis also demonstrates its dedication to the community by sourcing nearby merchandise and helping local projects. These shared values contribute to Londis's fine recognition and potential to build strong patron loyalty.</w:t>
      </w:r>
    </w:p>
    <w:p>
      <w:pPr>
        <w:pStyle w:val="3"/>
        <w:spacing w:before="0" w:line="480" w:lineRule="auto"/>
        <w:ind w:firstLine="0"/>
        <w:rPr>
          <w:rFonts w:cs="Times New Roman"/>
        </w:rPr>
      </w:pPr>
      <w:bookmarkStart w:id="27" w:name="_Toc18392"/>
      <w:r>
        <w:rPr>
          <w:rFonts w:cs="Times New Roman"/>
        </w:rPr>
        <w:t>2.4.5 Skills</w:t>
      </w:r>
      <w:bookmarkEnd w:id="27"/>
    </w:p>
    <w:p>
      <w:pPr>
        <w:rPr>
          <w:rFonts w:ascii="Times New Roman" w:hAnsi="Times New Roman"/>
          <w:sz w:val="24"/>
          <w:szCs w:val="24"/>
        </w:rPr>
      </w:pPr>
      <w:r>
        <w:rPr>
          <w:rFonts w:ascii="Times New Roman" w:hAnsi="Times New Roman"/>
          <w:sz w:val="24"/>
          <w:szCs w:val="24"/>
        </w:rPr>
        <w:t>Londis recognizes the significance of having skilled and knowledgeable personnel to deliver fantastic customer support. The employer invests in worker training and improvement packages to enhance product information, purchaser interplay abilities, and operational performance (Jenson, 2019). Londis additionally fosters a getting-to-know subculture that encourages continuous development and adaptation to convert market situations. The attention to growing employee abilities aligns with the organization's offering superior purchasing revel to clients.</w:t>
      </w:r>
    </w:p>
    <w:p>
      <w:pPr>
        <w:pStyle w:val="3"/>
        <w:spacing w:before="0" w:line="480" w:lineRule="auto"/>
        <w:ind w:firstLine="0"/>
        <w:rPr>
          <w:rFonts w:cs="Times New Roman"/>
        </w:rPr>
      </w:pPr>
      <w:bookmarkStart w:id="28" w:name="_Toc12822"/>
      <w:r>
        <w:rPr>
          <w:rFonts w:cs="Times New Roman"/>
        </w:rPr>
        <w:t>2.4.6 Style</w:t>
      </w:r>
      <w:bookmarkEnd w:id="28"/>
    </w:p>
    <w:p>
      <w:pPr>
        <w:rPr>
          <w:rFonts w:ascii="Times New Roman" w:hAnsi="Times New Roman"/>
          <w:sz w:val="24"/>
          <w:szCs w:val="24"/>
        </w:rPr>
      </w:pPr>
      <w:r>
        <w:rPr>
          <w:rFonts w:ascii="Times New Roman" w:hAnsi="Times New Roman"/>
          <w:sz w:val="24"/>
          <w:szCs w:val="24"/>
        </w:rPr>
        <w:t xml:space="preserve">Londis reveals an effective leadership style that promotes a customer-centric attitude and fosters pleasant work surroundings </w:t>
      </w:r>
      <w:bookmarkStart w:id="29" w:name="_Hlk160562510"/>
      <w:r>
        <w:rPr>
          <w:rFonts w:ascii="Times New Roman" w:hAnsi="Times New Roman"/>
          <w:sz w:val="24"/>
          <w:szCs w:val="24"/>
        </w:rPr>
        <w:t>(Binny, 2021)</w:t>
      </w:r>
      <w:bookmarkEnd w:id="29"/>
      <w:r>
        <w:rPr>
          <w:rFonts w:ascii="Times New Roman" w:hAnsi="Times New Roman"/>
          <w:sz w:val="24"/>
          <w:szCs w:val="24"/>
        </w:rPr>
        <w:t>. The agency's leaders set a clear vision and course for the organization, emphasizing meeting patron needs. They encourage open communique, collaboration, and innovation amongst personnel, creating a supportive and motivating work lifestyle (Patrick, 2012). The leadership style at Londis conjures up personnel to carry out at their excellent and contributes to the agency's ordinary fulfillment.</w:t>
      </w:r>
    </w:p>
    <w:p>
      <w:pPr>
        <w:pStyle w:val="3"/>
        <w:spacing w:before="0" w:line="480" w:lineRule="auto"/>
        <w:ind w:firstLine="0"/>
        <w:rPr>
          <w:rFonts w:cs="Times New Roman"/>
        </w:rPr>
      </w:pPr>
      <w:bookmarkStart w:id="30" w:name="_Toc13450"/>
      <w:r>
        <w:rPr>
          <w:rFonts w:cs="Times New Roman"/>
        </w:rPr>
        <w:t>2.4.7 Staff</w:t>
      </w:r>
      <w:bookmarkEnd w:id="30"/>
    </w:p>
    <w:p>
      <w:pPr>
        <w:rPr>
          <w:rFonts w:ascii="Times New Roman" w:hAnsi="Times New Roman"/>
          <w:sz w:val="24"/>
          <w:szCs w:val="24"/>
        </w:rPr>
      </w:pPr>
      <w:r>
        <w:rPr>
          <w:rFonts w:ascii="Times New Roman" w:hAnsi="Times New Roman"/>
          <w:sz w:val="24"/>
          <w:szCs w:val="24"/>
        </w:rPr>
        <w:t>Londis recognizes the cost of its human resources and strives to engage and encourage its personnel. The business enterprise implements diverse worker engagement initiatives, which include recognition packages, professional improvement possibilities, and work-life stability rules. These efforts contribute to an encouraged and effective team of workers (Binny, 2021). However, non-stop monitoring of employee pride and addressing their evolving needs could be crucial to ensure employee retention and sustained performance.</w:t>
      </w: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bookmarkStart w:id="31" w:name="_Toc12629"/>
      <w:r>
        <w:rPr>
          <w:rFonts w:hint="default"/>
        </w:rPr>
        <w:br w:type="textWrapping"/>
      </w:r>
      <w:r>
        <w:rPr>
          <w:rFonts w:hint="default"/>
        </w:rPr>
        <w:br w:type="textWrapping"/>
      </w:r>
      <w:r>
        <w:rPr>
          <w:rFonts w:hint="default"/>
        </w:rPr>
        <w:br w:type="textWrapping"/>
      </w:r>
      <w:r>
        <w:rPr>
          <w:rFonts w:hint="default"/>
        </w:rPr>
        <w:br w:type="textWrapping"/>
      </w:r>
      <w:bookmarkEnd w:id="31"/>
    </w:p>
    <w:p>
      <w:pPr>
        <w:pStyle w:val="2"/>
        <w:spacing w:before="0" w:beforeAutospacing="0" w:after="0" w:afterAutospacing="0" w:line="480" w:lineRule="auto"/>
        <w:ind w:firstLine="0"/>
        <w:rPr>
          <w:rFonts w:hint="default"/>
        </w:rPr>
      </w:pPr>
      <w:bookmarkStart w:id="32" w:name="_Toc6003"/>
      <w:r>
        <w:rPr>
          <w:rFonts w:hint="default"/>
        </w:rPr>
        <w:t>3.0 Recommendations</w:t>
      </w:r>
      <w:bookmarkEnd w:id="32"/>
    </w:p>
    <w:p>
      <w:pPr>
        <w:rPr>
          <w:rFonts w:ascii="Times New Roman" w:hAnsi="Times New Roman"/>
          <w:sz w:val="24"/>
          <w:szCs w:val="24"/>
        </w:rPr>
      </w:pPr>
      <w:r>
        <w:rPr>
          <w:rFonts w:ascii="Times New Roman" w:hAnsi="Times New Roman"/>
          <w:sz w:val="24"/>
          <w:szCs w:val="24"/>
        </w:rPr>
        <w:t>Londis Supermarket Limited's equipment review, SWOT analysis, Porter's Generic Value Chain analysis, McKinsey's 7S Framework analysis, and VRIN/VRIO analysis yielded several suggestions. First, Londis should improve operating efficiency. They may send goods quickly and efficiently by streamlining incoming logistics. Customers' shopping experience will improve with store efficiency. Investing in generating solutions like inventory management and order fulfillment can boost efficiency. Buyer dating management (CRM) solutions may help Londis understand and service customers.</w:t>
      </w:r>
    </w:p>
    <w:p>
      <w:pPr>
        <w:rPr>
          <w:rFonts w:ascii="Times New Roman" w:hAnsi="Times New Roman"/>
          <w:sz w:val="24"/>
          <w:szCs w:val="24"/>
        </w:rPr>
      </w:pPr>
      <w:r>
        <w:rPr>
          <w:rFonts w:ascii="Times New Roman" w:hAnsi="Times New Roman"/>
          <w:sz w:val="24"/>
          <w:szCs w:val="24"/>
        </w:rPr>
        <w:t>Londis needs outstanding customer stories to stand out. Customized and attentive customer care might leave a lasting impression on customers. Displaying products attractively makes them stand out. An organized, clean shop will boost customer satisfaction. Loyalty programs and targeted advertising may boost customer engagement. Third, Londis should use online shopping and entertainment to influence customers. Customers will be thrilled if your e-commerce site provides domestic delivery or click-and-collect. Londis can reach more people using social media and digital advertising. Online advertising, specials, and tailored suggestions boost enjoyment and income.</w:t>
      </w:r>
    </w:p>
    <w:p>
      <w:pPr>
        <w:rPr>
          <w:rFonts w:ascii="Times New Roman" w:hAnsi="Times New Roman"/>
          <w:sz w:val="24"/>
          <w:szCs w:val="24"/>
        </w:rPr>
      </w:pPr>
      <w:r>
        <w:rPr>
          <w:rFonts w:ascii="Times New Roman" w:hAnsi="Times New Roman"/>
          <w:sz w:val="24"/>
          <w:szCs w:val="24"/>
        </w:rPr>
        <w:t>Londis should aggressively seek consumer feedback to modify strategy and operations. Londis should avoid affiliations and collaborations. They may provide specialized goods and services, assist the community, and boost their chances of success by partnering with neighboring farmers, suppliers, or related companies. Londis may grow via digital and shipping partnerships.</w:t>
      </w: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jc w:val="both"/>
        <w:rPr>
          <w:rFonts w:hint="default"/>
        </w:rPr>
      </w:pPr>
      <w:bookmarkStart w:id="36" w:name="_GoBack"/>
      <w:bookmarkEnd w:id="36"/>
    </w:p>
    <w:p>
      <w:pPr>
        <w:pStyle w:val="2"/>
        <w:spacing w:before="0" w:beforeAutospacing="0" w:after="0" w:afterAutospacing="0" w:line="480" w:lineRule="auto"/>
        <w:ind w:firstLine="0"/>
        <w:rPr>
          <w:rFonts w:hint="default"/>
        </w:rPr>
      </w:pPr>
      <w:bookmarkStart w:id="33" w:name="_Toc21706"/>
      <w:r>
        <w:rPr>
          <w:rFonts w:hint="default"/>
        </w:rPr>
        <w:t>4.0 Conclusion</w:t>
      </w:r>
      <w:bookmarkEnd w:id="33"/>
    </w:p>
    <w:p>
      <w:pPr>
        <w:rPr>
          <w:rFonts w:ascii="Times New Roman" w:hAnsi="Times New Roman"/>
          <w:sz w:val="24"/>
          <w:szCs w:val="24"/>
        </w:rPr>
      </w:pPr>
      <w:r>
        <w:rPr>
          <w:rFonts w:ascii="Times New Roman" w:hAnsi="Times New Roman"/>
          <w:sz w:val="24"/>
          <w:szCs w:val="24"/>
        </w:rPr>
        <w:t xml:space="preserve">Londis Supermarket Limited should follow this advice. A simplified business may increase value, customer service, and strategy. In-depth surveys may boost brand loyalty by expanding your customer base. E-commerce and virtual work will help Londis adapt to shifting customer behavior and grow. Sustainable company practices will reflect consumers' values and financial and environmental savings. Londis will stay competitive in a changing market by fostering innovation and development. Londis stays ahead of industry trends and provides excellent service by collecting customer feedback and educating workers. Strategic connections with area merchants, farmers, and IT firms may open new doors for locals and consumers. These guidelines may help Londis Supermarket Limited become sustainable, tech-savvy, and customer-focused. This will boost long-term profitability and customer retention. </w:t>
      </w:r>
    </w:p>
    <w:p>
      <w:pPr>
        <w:rPr>
          <w:rFonts w:ascii="Times New Roman" w:hAnsi="Times New Roman"/>
          <w:sz w:val="24"/>
          <w:szCs w:val="24"/>
        </w:rPr>
      </w:pPr>
    </w:p>
    <w:p>
      <w:pPr>
        <w:rPr>
          <w:rFonts w:ascii="Times New Roman" w:hAnsi="Times New Roman"/>
          <w:sz w:val="24"/>
          <w:szCs w:val="24"/>
        </w:rPr>
      </w:pPr>
    </w:p>
    <w:p>
      <w:pPr>
        <w:rPr>
          <w:rFonts w:ascii="Times New Roman" w:hAnsi="Times New Roman"/>
          <w:sz w:val="24"/>
          <w:szCs w:val="24"/>
        </w:rPr>
      </w:pP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p>
    <w:p>
      <w:pPr>
        <w:pStyle w:val="2"/>
        <w:spacing w:before="0" w:beforeAutospacing="0" w:after="0" w:afterAutospacing="0" w:line="480" w:lineRule="auto"/>
        <w:ind w:firstLine="0"/>
        <w:rPr>
          <w:rFonts w:hint="default"/>
        </w:rPr>
      </w:pPr>
      <w:bookmarkStart w:id="34" w:name="_Toc32289"/>
      <w:r>
        <w:rPr>
          <w:rFonts w:hint="default"/>
        </w:rPr>
        <w:br w:type="textWrapping"/>
      </w:r>
      <w:bookmarkEnd w:id="34"/>
    </w:p>
    <w:p>
      <w:pPr>
        <w:pStyle w:val="2"/>
        <w:spacing w:before="0" w:beforeAutospacing="0" w:after="0" w:afterAutospacing="0" w:line="480" w:lineRule="auto"/>
        <w:ind w:firstLine="0"/>
        <w:rPr>
          <w:rFonts w:hint="default"/>
        </w:rPr>
      </w:pPr>
      <w:bookmarkStart w:id="35" w:name="_Toc3256"/>
      <w:r>
        <w:rPr>
          <w:rFonts w:hint="default"/>
        </w:rPr>
        <w:t>Reference List</w:t>
      </w:r>
      <w:bookmarkEnd w:id="35"/>
    </w:p>
    <w:p>
      <w:pPr>
        <w:ind w:left="720" w:hanging="720"/>
        <w:rPr>
          <w:rFonts w:ascii="Times New Roman" w:hAnsi="Times New Roman"/>
          <w:sz w:val="24"/>
          <w:szCs w:val="24"/>
        </w:rPr>
      </w:pPr>
      <w:r>
        <w:rPr>
          <w:rFonts w:ascii="Times New Roman" w:hAnsi="Times New Roman"/>
          <w:sz w:val="24"/>
          <w:szCs w:val="24"/>
        </w:rPr>
        <w:t>Almond, J., Donoghue, B., Gregory, A., &amp; Lyons, B. 2008. The supply of groceries in the UK market investigation. https://www.ias.org.uk/uploads/pdf/Price%20docs/538.pdf</w:t>
      </w:r>
    </w:p>
    <w:p>
      <w:pPr>
        <w:ind w:left="720" w:hanging="720"/>
        <w:rPr>
          <w:rFonts w:ascii="Times New Roman" w:hAnsi="Times New Roman"/>
          <w:sz w:val="24"/>
          <w:szCs w:val="24"/>
        </w:rPr>
      </w:pPr>
      <w:r>
        <w:rPr>
          <w:rFonts w:ascii="Times New Roman" w:hAnsi="Times New Roman"/>
          <w:sz w:val="24"/>
          <w:szCs w:val="24"/>
        </w:rPr>
        <w:t xml:space="preserve">Bent, E. 2022. Market Segmentation of Wine in Ireland: Are We Fostering a Desirable Consumption Culture? ARROW@TU Dublin. </w:t>
      </w:r>
      <w:r>
        <w:fldChar w:fldCharType="begin"/>
      </w:r>
      <w:r>
        <w:instrText xml:space="preserve"> HYPERLINK "https://arrow.tudublin.ie/tfschcafdis/15/" </w:instrText>
      </w:r>
      <w:r>
        <w:fldChar w:fldCharType="separate"/>
      </w:r>
      <w:r>
        <w:rPr>
          <w:rStyle w:val="13"/>
          <w:rFonts w:ascii="Times New Roman" w:hAnsi="Times New Roman"/>
          <w:sz w:val="24"/>
          <w:szCs w:val="24"/>
        </w:rPr>
        <w:t>https://arrow.tudublin.ie/tfschcafdis/15/</w:t>
      </w:r>
      <w:r>
        <w:rPr>
          <w:rStyle w:val="13"/>
          <w:rFonts w:ascii="Times New Roman" w:hAnsi="Times New Roman"/>
          <w:sz w:val="24"/>
          <w:szCs w:val="24"/>
        </w:rPr>
        <w:fldChar w:fldCharType="end"/>
      </w:r>
    </w:p>
    <w:p>
      <w:pPr>
        <w:ind w:left="720" w:hanging="720"/>
        <w:rPr>
          <w:rFonts w:ascii="Times New Roman" w:hAnsi="Times New Roman"/>
          <w:sz w:val="24"/>
          <w:szCs w:val="24"/>
        </w:rPr>
      </w:pPr>
      <w:r>
        <w:rPr>
          <w:rFonts w:ascii="Times New Roman" w:hAnsi="Times New Roman"/>
          <w:sz w:val="24"/>
          <w:szCs w:val="24"/>
        </w:rPr>
        <w:t>Binny, A. 2021. Budgens Whitstable &amp; Londis Blean, Kent. Convenience Store. https://www.conveniencestore.co.uk/retailer-profiles/budgens-whitstable-and-londis-blean-kent/234376.article</w:t>
      </w:r>
    </w:p>
    <w:p>
      <w:pPr>
        <w:ind w:left="720" w:hanging="720"/>
        <w:rPr>
          <w:rFonts w:ascii="Times New Roman" w:hAnsi="Times New Roman"/>
          <w:sz w:val="24"/>
          <w:szCs w:val="24"/>
        </w:rPr>
      </w:pPr>
      <w:r>
        <w:rPr>
          <w:rFonts w:ascii="Times New Roman" w:hAnsi="Times New Roman"/>
          <w:sz w:val="24"/>
          <w:szCs w:val="24"/>
        </w:rPr>
        <w:t>Convenience Store. 2014. Londis Finsbury Park, London. Convenience Store. https://www.conveniencestore.co.uk/store-development/londis-finsbury-park-london/355959.article</w:t>
      </w:r>
    </w:p>
    <w:p>
      <w:pPr>
        <w:ind w:left="720" w:hanging="720"/>
        <w:rPr>
          <w:rFonts w:ascii="Times New Roman" w:hAnsi="Times New Roman"/>
          <w:sz w:val="24"/>
          <w:szCs w:val="24"/>
        </w:rPr>
      </w:pPr>
      <w:r>
        <w:rPr>
          <w:rFonts w:ascii="Times New Roman" w:hAnsi="Times New Roman"/>
          <w:sz w:val="24"/>
          <w:szCs w:val="24"/>
        </w:rPr>
        <w:t>Ho, L. 2021. Packaging Techniques for Outbound Logistics - SIPMM Publications. SIPMM Publications. https://publication.sipmm.edu.sg/packaging-techniques-outbound-logistics/</w:t>
      </w:r>
    </w:p>
    <w:p>
      <w:pPr>
        <w:ind w:left="720" w:hanging="720"/>
        <w:rPr>
          <w:rFonts w:ascii="Times New Roman" w:hAnsi="Times New Roman"/>
          <w:sz w:val="24"/>
          <w:szCs w:val="24"/>
        </w:rPr>
      </w:pPr>
      <w:r>
        <w:rPr>
          <w:rFonts w:ascii="Times New Roman" w:hAnsi="Times New Roman"/>
          <w:sz w:val="24"/>
          <w:szCs w:val="24"/>
        </w:rPr>
        <w:t>Inge, K. 2020. UK Supermarket Spotlight: Review the ten largest UK food retailers’ disclosure on nutrition, diets, and health. https://accesstonutrition.org/app/uploads/2020/03/ATNI-UK-Supermarket-Spotlight-report-FINAL.pdf</w:t>
      </w:r>
    </w:p>
    <w:p>
      <w:pPr>
        <w:ind w:left="720" w:hanging="720"/>
        <w:rPr>
          <w:rFonts w:ascii="Times New Roman" w:hAnsi="Times New Roman"/>
          <w:sz w:val="24"/>
          <w:szCs w:val="24"/>
        </w:rPr>
      </w:pPr>
      <w:r>
        <w:rPr>
          <w:rFonts w:ascii="Times New Roman" w:hAnsi="Times New Roman"/>
          <w:sz w:val="24"/>
          <w:szCs w:val="24"/>
        </w:rPr>
        <w:t>Issuu. 2022. Londis News, Vol 35, Issue 5, October/November 2022. Issuu. https://issuu.com/londisnews/docs/londis_news_oct_22</w:t>
      </w:r>
    </w:p>
    <w:p>
      <w:pPr>
        <w:ind w:left="720" w:hanging="720"/>
        <w:rPr>
          <w:rFonts w:ascii="Times New Roman" w:hAnsi="Times New Roman"/>
          <w:sz w:val="24"/>
          <w:szCs w:val="24"/>
        </w:rPr>
      </w:pPr>
      <w:r>
        <w:rPr>
          <w:rFonts w:ascii="Times New Roman" w:hAnsi="Times New Roman"/>
          <w:sz w:val="24"/>
          <w:szCs w:val="24"/>
        </w:rPr>
        <w:t>Jellybean. 2023. The Essential Guide to Convenience Retail Marketing - Jellybean Creative. Jellybean Creative Solutions. https://www.jellybeancreative.co.uk/guide-convenience-retail-marketing/</w:t>
      </w:r>
    </w:p>
    <w:p>
      <w:pPr>
        <w:ind w:left="720" w:hanging="720"/>
        <w:rPr>
          <w:rFonts w:ascii="Times New Roman" w:hAnsi="Times New Roman"/>
          <w:sz w:val="24"/>
          <w:szCs w:val="24"/>
        </w:rPr>
      </w:pPr>
      <w:r>
        <w:rPr>
          <w:rFonts w:ascii="Times New Roman" w:hAnsi="Times New Roman"/>
          <w:sz w:val="24"/>
          <w:szCs w:val="24"/>
        </w:rPr>
        <w:t>Jenson. 2019. The Role of Human Resources in Londis. StudyBay. https://studybayhelp.co.uk/blog/the-role-of-human-resources-in-londis/</w:t>
      </w:r>
    </w:p>
    <w:p>
      <w:pPr>
        <w:ind w:left="720" w:hanging="720"/>
        <w:rPr>
          <w:rFonts w:ascii="Times New Roman" w:hAnsi="Times New Roman"/>
          <w:sz w:val="24"/>
          <w:szCs w:val="24"/>
        </w:rPr>
      </w:pPr>
      <w:r>
        <w:rPr>
          <w:rFonts w:ascii="Times New Roman" w:hAnsi="Times New Roman"/>
          <w:sz w:val="24"/>
          <w:szCs w:val="24"/>
        </w:rPr>
        <w:t>Jones, S. 2021. The Impact of Technology in UK Supermarkets. The Impact of Technology in UK Supermarkets. https://www.academia.edu/50238919/The_Impact_of_Technology_in_UK_Supermarkets</w:t>
      </w:r>
    </w:p>
    <w:p>
      <w:pPr>
        <w:ind w:left="720" w:hanging="720"/>
        <w:rPr>
          <w:rFonts w:ascii="Times New Roman" w:hAnsi="Times New Roman"/>
          <w:sz w:val="24"/>
          <w:szCs w:val="24"/>
        </w:rPr>
      </w:pPr>
      <w:r>
        <w:rPr>
          <w:rFonts w:ascii="Times New Roman" w:hAnsi="Times New Roman"/>
          <w:sz w:val="24"/>
          <w:szCs w:val="24"/>
        </w:rPr>
        <w:t>Leader, A. 2020. How offering gluten-free and vegetarian products can increase spending in your store. Convenience Store. https://www.conveniencestore.co.uk/your-business/how-offering-gluten-free-and-vegetarian-products-can-increase-spending-in-your-store/651132.article</w:t>
      </w:r>
    </w:p>
    <w:p>
      <w:pPr>
        <w:ind w:left="720" w:hanging="720"/>
        <w:rPr>
          <w:rFonts w:ascii="Times New Roman" w:hAnsi="Times New Roman"/>
          <w:sz w:val="24"/>
          <w:szCs w:val="24"/>
        </w:rPr>
      </w:pPr>
      <w:r>
        <w:rPr>
          <w:rFonts w:ascii="Times New Roman" w:hAnsi="Times New Roman"/>
          <w:sz w:val="24"/>
          <w:szCs w:val="24"/>
        </w:rPr>
        <w:t>Londis. 2019. Londis Online. Londis Online. https://www.londisonline.ie/</w:t>
      </w:r>
    </w:p>
    <w:p>
      <w:pPr>
        <w:ind w:left="720" w:hanging="720"/>
        <w:rPr>
          <w:rFonts w:ascii="Times New Roman" w:hAnsi="Times New Roman"/>
          <w:sz w:val="24"/>
          <w:szCs w:val="24"/>
        </w:rPr>
      </w:pPr>
      <w:r>
        <w:rPr>
          <w:rFonts w:ascii="Times New Roman" w:hAnsi="Times New Roman"/>
          <w:sz w:val="24"/>
          <w:szCs w:val="24"/>
        </w:rPr>
        <w:t>Londis. 2024. About us. Londis. https://www.londis.co.uk/about-us</w:t>
      </w:r>
    </w:p>
    <w:p>
      <w:pPr>
        <w:ind w:left="720" w:hanging="720"/>
        <w:rPr>
          <w:rFonts w:ascii="Times New Roman" w:hAnsi="Times New Roman"/>
          <w:sz w:val="24"/>
          <w:szCs w:val="24"/>
        </w:rPr>
      </w:pPr>
      <w:r>
        <w:rPr>
          <w:rFonts w:ascii="Times New Roman" w:hAnsi="Times New Roman"/>
          <w:sz w:val="24"/>
          <w:szCs w:val="24"/>
        </w:rPr>
        <w:t>Londis. 2024. Great deals on beers, wines, groceries, and more. Special offers at Londis. Londis. https://www.londis.co.uk/special-offers</w:t>
      </w:r>
    </w:p>
    <w:p>
      <w:pPr>
        <w:ind w:left="720" w:hanging="720"/>
        <w:rPr>
          <w:rFonts w:ascii="Times New Roman" w:hAnsi="Times New Roman"/>
          <w:sz w:val="24"/>
          <w:szCs w:val="24"/>
        </w:rPr>
      </w:pPr>
      <w:r>
        <w:rPr>
          <w:rFonts w:ascii="Times New Roman" w:hAnsi="Times New Roman"/>
          <w:sz w:val="24"/>
          <w:szCs w:val="24"/>
        </w:rPr>
        <w:t>Londis. 2024. Great deals on beers, wines, groceries, and more. Special offers at Londis. Londis. https://www.londis.co.uk/special-offers</w:t>
      </w:r>
    </w:p>
    <w:p>
      <w:pPr>
        <w:ind w:left="720" w:hanging="720"/>
        <w:rPr>
          <w:rFonts w:ascii="Times New Roman" w:hAnsi="Times New Roman"/>
          <w:sz w:val="24"/>
          <w:szCs w:val="24"/>
        </w:rPr>
      </w:pPr>
      <w:r>
        <w:rPr>
          <w:rFonts w:ascii="Times New Roman" w:hAnsi="Times New Roman"/>
          <w:sz w:val="24"/>
          <w:szCs w:val="24"/>
        </w:rPr>
        <w:t>Londis. 2024. Londis BURNHAM MARKET STORES. Londis. https://www.londis.co.uk/our-stores/burnham-market-stores</w:t>
      </w:r>
    </w:p>
    <w:p>
      <w:pPr>
        <w:ind w:left="720" w:hanging="720"/>
        <w:rPr>
          <w:rFonts w:ascii="Times New Roman" w:hAnsi="Times New Roman"/>
          <w:sz w:val="24"/>
          <w:szCs w:val="24"/>
        </w:rPr>
      </w:pPr>
      <w:r>
        <w:rPr>
          <w:rFonts w:ascii="Times New Roman" w:hAnsi="Times New Roman"/>
          <w:sz w:val="24"/>
          <w:szCs w:val="24"/>
        </w:rPr>
        <w:t>McCarthy, D. 2018. THE HOTTEST STORES in the World and Ireland right now. https://www.retailexcellence.ie/wp-content/uploads/2018/03/Retail-Times-Q2-2018.pdf</w:t>
      </w:r>
    </w:p>
    <w:p>
      <w:pPr>
        <w:ind w:left="720" w:hanging="720"/>
        <w:rPr>
          <w:rFonts w:ascii="Times New Roman" w:hAnsi="Times New Roman"/>
          <w:sz w:val="24"/>
          <w:szCs w:val="24"/>
        </w:rPr>
      </w:pPr>
      <w:r>
        <w:rPr>
          <w:rFonts w:ascii="Times New Roman" w:hAnsi="Times New Roman"/>
          <w:sz w:val="24"/>
          <w:szCs w:val="24"/>
        </w:rPr>
        <w:t>Mcleod, F., Hickford, A., Maynard, S., Cherrett, T., &amp; Allen, J.n.d.. Developing innovative and more sustainable approaches to reverse logistics for collecting, recycling, and disposing of waste products from urban centers. Literature review and identification of opportunities. Retrieved March 5, 2024, from. https://citeseerx.ist.psu.edu/document?repid=rep1&amp;type=pdf&amp;doi=78e2fb7cc0360dccdf0772389c188893a86d8aac</w:t>
      </w:r>
    </w:p>
    <w:p>
      <w:pPr>
        <w:ind w:left="720" w:hanging="720"/>
        <w:rPr>
          <w:rFonts w:ascii="Times New Roman" w:hAnsi="Times New Roman"/>
          <w:sz w:val="24"/>
          <w:szCs w:val="24"/>
        </w:rPr>
      </w:pPr>
      <w:r>
        <w:rPr>
          <w:rFonts w:ascii="Times New Roman" w:hAnsi="Times New Roman"/>
          <w:sz w:val="24"/>
          <w:szCs w:val="24"/>
        </w:rPr>
        <w:t>Patrick, E. 2012. Parades to be Proud of: Strategies to support local shops. https://assets.publishing.service.gov.uk/media/5a78ad42e5274a277e68e97e/21568651.pdf</w:t>
      </w:r>
    </w:p>
    <w:p>
      <w:pPr>
        <w:ind w:left="720" w:hanging="720"/>
        <w:rPr>
          <w:rFonts w:ascii="Times New Roman" w:hAnsi="Times New Roman"/>
          <w:sz w:val="24"/>
          <w:szCs w:val="24"/>
        </w:rPr>
      </w:pPr>
      <w:r>
        <w:rPr>
          <w:rFonts w:ascii="Times New Roman" w:hAnsi="Times New Roman"/>
          <w:sz w:val="24"/>
          <w:szCs w:val="24"/>
        </w:rPr>
        <w:t>Piecyk, M., Allen, J., Woodburn, A., &amp; Cao, M. 2021. Template Technical Report front page: Title Online Shopping and Last Mile Deliveries. https://api.repository.cam.ac.uk/server/api/core/bitstreams/29ff7472-7289-4104-a033-6802aa98be02/content</w:t>
      </w:r>
    </w:p>
    <w:p>
      <w:pPr>
        <w:ind w:left="720" w:hanging="720"/>
        <w:rPr>
          <w:rFonts w:ascii="Times New Roman" w:hAnsi="Times New Roman"/>
          <w:sz w:val="24"/>
          <w:szCs w:val="24"/>
        </w:rPr>
      </w:pPr>
      <w:r>
        <w:rPr>
          <w:rFonts w:ascii="Times New Roman" w:hAnsi="Times New Roman"/>
          <w:sz w:val="24"/>
          <w:szCs w:val="24"/>
        </w:rPr>
        <w:t>Reilly, A. 2020. THREE APPROACHES TO ORGANIZATIONAL LEARNING. The Pfeiffer Library, 16(16). https://home.snu.edu/~jsmith/library/body/v16.pdf</w:t>
      </w:r>
    </w:p>
    <w:p>
      <w:pPr>
        <w:ind w:left="720" w:hanging="720"/>
        <w:rPr>
          <w:rFonts w:ascii="Times New Roman" w:hAnsi="Times New Roman"/>
          <w:sz w:val="24"/>
          <w:szCs w:val="24"/>
        </w:rPr>
      </w:pPr>
      <w:r>
        <w:rPr>
          <w:rFonts w:ascii="Times New Roman" w:hAnsi="Times New Roman"/>
          <w:sz w:val="24"/>
          <w:szCs w:val="24"/>
        </w:rPr>
        <w:t>UK Supermarket Spotlight. 2020. UK Supermarket Spotlight: Review the ten largest UK food retailers’ disclosure on nutrition, diets, and health. https://accesstonutrition.org/app/uploads/2020/03/ATNI-UK-Supermarket-Spotlight-report-FINAL.pdf</w:t>
      </w:r>
    </w:p>
    <w:p>
      <w:pPr>
        <w:ind w:left="720" w:hanging="720"/>
        <w:rPr>
          <w:rFonts w:ascii="Times New Roman" w:hAnsi="Times New Roman"/>
          <w:sz w:val="24"/>
          <w:szCs w:val="24"/>
        </w:rPr>
      </w:pPr>
      <w:r>
        <w:rPr>
          <w:rFonts w:ascii="Times New Roman" w:hAnsi="Times New Roman"/>
          <w:sz w:val="24"/>
          <w:szCs w:val="24"/>
        </w:rPr>
        <w:t>Visick, D. 2021. Londis pitches its label against brands. Convenience Store. https://www.conveniencestore.co.uk/londis-pitches-own-label-against-brands/208304.article</w:t>
      </w:r>
    </w:p>
    <w:p>
      <w:pPr>
        <w:ind w:left="720" w:hanging="720"/>
        <w:rPr>
          <w:rFonts w:ascii="Times New Roman" w:hAnsi="Times New Roman"/>
          <w:sz w:val="24"/>
          <w:szCs w:val="24"/>
        </w:rPr>
      </w:pPr>
      <w:r>
        <w:rPr>
          <w:rFonts w:ascii="Times New Roman" w:hAnsi="Times New Roman"/>
          <w:sz w:val="24"/>
          <w:szCs w:val="24"/>
        </w:rPr>
        <w:t>Walker, G. 2021. Londis launches new retailer support scheme. Convenience Store. https://www.conveniencestore.co.uk/londis-launches-new-retailer-support-scheme/344532.article</w:t>
      </w:r>
    </w:p>
    <w:p>
      <w:pPr>
        <w:ind w:left="720" w:hanging="720"/>
        <w:rPr>
          <w:rFonts w:ascii="Times New Roman" w:hAnsi="Times New Roman"/>
          <w:sz w:val="24"/>
          <w:szCs w:val="24"/>
        </w:rPr>
      </w:pPr>
      <w:r>
        <w:rPr>
          <w:rFonts w:ascii="Times New Roman" w:hAnsi="Times New Roman"/>
          <w:sz w:val="24"/>
          <w:szCs w:val="24"/>
        </w:rPr>
        <w:t>Wrigley, N., Lambert, D., Astbury, G., Dolega, L., Hart, C., Reeves, C.&amp; Wood, S. 2015. British high streets: From crisis to recovery? A comprehensive review of the evidence.</w:t>
      </w:r>
    </w:p>
    <w:sectPr>
      <w:footerReference r:id="rId7" w:type="default"/>
      <w:pgSz w:w="12240" w:h="15840"/>
      <w:pgMar w:top="1440" w:right="1440" w:bottom="1440" w:left="1440" w:header="720" w:footer="720" w:gutter="0"/>
      <w:pgNumType w:fmt="decimal"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 w:name="Aptos Display">
    <w:altName w:val="Segoe Print"/>
    <w:panose1 w:val="00000000000000000000"/>
    <w:charset w:val="00"/>
    <w:family w:val="swiss"/>
    <w:pitch w:val="default"/>
    <w:sig w:usb0="00000000" w:usb1="00000000" w:usb2="00000000" w:usb3="00000000" w:csb0="0000019F" w:csb1="00000000"/>
  </w:font>
  <w:font w:name="MS Gothic">
    <w:panose1 w:val="020B0609070205080204"/>
    <w:charset w:val="80"/>
    <w:family w:val="modern"/>
    <w:pitch w:val="default"/>
    <w:sig w:usb0="E00002FF" w:usb1="6AC7FDFB" w:usb2="08000012" w:usb3="00000000" w:csb0="4002009F" w:csb1="DFD7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 w:name="Bodoni MT Condensed">
    <w:panose1 w:val="02070606080606020203"/>
    <w:charset w:val="00"/>
    <w:family w:val="auto"/>
    <w:pitch w:val="default"/>
    <w:sig w:usb0="00000003" w:usb1="00000000" w:usb2="00000000" w:usb3="00000000" w:csb0="20000001" w:csb1="00000000"/>
  </w:font>
  <w:font w:name="Bodoni MT Black">
    <w:panose1 w:val="02070A03080606020203"/>
    <w:charset w:val="00"/>
    <w:family w:val="auto"/>
    <w:pitch w:val="default"/>
    <w:sig w:usb0="00000003" w:usb1="00000000" w:usb2="00000000" w:usb3="00000000" w:csb0="20000001" w:csb1="00000000"/>
  </w:font>
  <w:font w:name="Blackadder ITC">
    <w:panose1 w:val="04020505051007020D02"/>
    <w:charset w:val="00"/>
    <w:family w:val="auto"/>
    <w:pitch w:val="default"/>
    <w:sig w:usb0="00000003" w:usb1="00000000" w:usb2="00000000" w:usb3="00000000" w:csb0="20000001" w:csb1="00000000"/>
  </w:font>
  <w:font w:name="Bell MT">
    <w:panose1 w:val="02020503060305020303"/>
    <w:charset w:val="00"/>
    <w:family w:val="auto"/>
    <w:pitch w:val="default"/>
    <w:sig w:usb0="00000003" w:usb1="00000000" w:usb2="00000000" w:usb3="00000000" w:csb0="20000001" w:csb1="00000000"/>
  </w:font>
  <w:font w:name="Bahnschrift SemiLight Condensed">
    <w:panose1 w:val="020B0502040204020203"/>
    <w:charset w:val="00"/>
    <w:family w:val="auto"/>
    <w:pitch w:val="default"/>
    <w:sig w:usb0="A00002C7" w:usb1="00000002" w:usb2="00000000" w:usb3="00000000" w:csb0="2000019F" w:csb1="00000000"/>
  </w:font>
  <w:font w:name="Tempus Sans ITC">
    <w:panose1 w:val="04020404030D07020202"/>
    <w:charset w:val="00"/>
    <w:family w:val="auto"/>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pPr>
                            <w:pStyle w:val="6"/>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0O3bcsAgAAV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PQa5aFrd5ZHqGj&#10;eN6ujgECtrpGUToleq3QbW1l+smI7fznvo16+hssH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vQ7dtywCAABVBAAADgAAAAAAAAABACAAAAAfAQAAZHJzL2Uyb0RvYy54bWxQSwUGAAAAAAYA&#10;BgBZAQAAvQU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noPunctuationKerning w:val="1"/>
  <w:characterSpacingControl w:val="doNotCompress"/>
  <w:footnotePr>
    <w:footnote w:id="0"/>
    <w:footnote w:id="1"/>
  </w:footnotePr>
  <w:endnotePr>
    <w:endnote w:id="0"/>
    <w:endnote w:id="1"/>
  </w:endnotePr>
  <w:compat>
    <w:doNotLeaveBackslashAlone/>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E0NLC0NDawtDAyMjdQ0lEKTi0uzszPAykwrgUAz62BGSwAAAA="/>
    <w:docVar w:name="commondata" w:val="eyJoZGlkIjoiZWZjMjdhNTNkNzk0ZmQ2MWRjNTMxN2MxNjEwYzFmODYifQ=="/>
  </w:docVars>
  <w:rsids>
    <w:rsidRoot w:val="00890FDD"/>
    <w:rsid w:val="00064BB5"/>
    <w:rsid w:val="000A644E"/>
    <w:rsid w:val="00100260"/>
    <w:rsid w:val="0017537F"/>
    <w:rsid w:val="001F65B2"/>
    <w:rsid w:val="002745A0"/>
    <w:rsid w:val="00286444"/>
    <w:rsid w:val="002D181D"/>
    <w:rsid w:val="002F492F"/>
    <w:rsid w:val="0032153E"/>
    <w:rsid w:val="00381C46"/>
    <w:rsid w:val="004068FB"/>
    <w:rsid w:val="0053135F"/>
    <w:rsid w:val="00576B22"/>
    <w:rsid w:val="005B1758"/>
    <w:rsid w:val="0063228F"/>
    <w:rsid w:val="006763DF"/>
    <w:rsid w:val="006A275F"/>
    <w:rsid w:val="006B779D"/>
    <w:rsid w:val="006B7B78"/>
    <w:rsid w:val="00746CD1"/>
    <w:rsid w:val="00795942"/>
    <w:rsid w:val="007C5F26"/>
    <w:rsid w:val="0083267C"/>
    <w:rsid w:val="00890FDD"/>
    <w:rsid w:val="008B0891"/>
    <w:rsid w:val="008E015E"/>
    <w:rsid w:val="008F1355"/>
    <w:rsid w:val="00A5427D"/>
    <w:rsid w:val="00A718DC"/>
    <w:rsid w:val="00A85BA3"/>
    <w:rsid w:val="00AF7AC1"/>
    <w:rsid w:val="00C51F6A"/>
    <w:rsid w:val="00CD7858"/>
    <w:rsid w:val="00CF4A20"/>
    <w:rsid w:val="00D103C8"/>
    <w:rsid w:val="00D47C30"/>
    <w:rsid w:val="00D67DC5"/>
    <w:rsid w:val="00E145E9"/>
    <w:rsid w:val="00E41AD4"/>
    <w:rsid w:val="00F05B9C"/>
    <w:rsid w:val="00F07890"/>
    <w:rsid w:val="00F842A6"/>
    <w:rsid w:val="016A6360"/>
    <w:rsid w:val="04117061"/>
    <w:rsid w:val="10F46D6E"/>
    <w:rsid w:val="400503F7"/>
    <w:rsid w:val="6FBF62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line="480" w:lineRule="auto"/>
      <w:ind w:firstLine="720"/>
    </w:pPr>
    <w:rPr>
      <w:rFonts w:ascii="Calibri" w:hAnsi="Calibri" w:eastAsia="Calibri" w:cs="Times New Roman"/>
      <w:kern w:val="2"/>
      <w:sz w:val="22"/>
      <w:szCs w:val="22"/>
      <w:lang w:val="en-US" w:eastAsia="en-US" w:bidi="ar-SA"/>
    </w:rPr>
  </w:style>
  <w:style w:type="paragraph" w:styleId="2">
    <w:name w:val="heading 1"/>
    <w:basedOn w:val="1"/>
    <w:next w:val="1"/>
    <w:autoRedefine/>
    <w:qFormat/>
    <w:uiPriority w:val="9"/>
    <w:pPr>
      <w:spacing w:before="240" w:beforeAutospacing="1" w:after="240" w:afterAutospacing="1" w:line="360" w:lineRule="auto"/>
      <w:jc w:val="center"/>
      <w:outlineLvl w:val="0"/>
    </w:pPr>
    <w:rPr>
      <w:rFonts w:hint="eastAsia" w:ascii="Times New Roman" w:hAnsi="Times New Roman" w:eastAsia="宋体"/>
      <w:b/>
      <w:bCs/>
      <w:kern w:val="44"/>
      <w:sz w:val="28"/>
      <w:szCs w:val="48"/>
      <w:lang w:eastAsia="zh-CN"/>
    </w:rPr>
  </w:style>
  <w:style w:type="paragraph" w:styleId="3">
    <w:name w:val="heading 2"/>
    <w:basedOn w:val="1"/>
    <w:next w:val="1"/>
    <w:link w:val="21"/>
    <w:autoRedefine/>
    <w:unhideWhenUsed/>
    <w:qFormat/>
    <w:uiPriority w:val="9"/>
    <w:pPr>
      <w:keepNext/>
      <w:keepLines/>
      <w:spacing w:before="40" w:line="360" w:lineRule="auto"/>
      <w:outlineLvl w:val="1"/>
    </w:pPr>
    <w:rPr>
      <w:rFonts w:ascii="Times New Roman" w:hAnsi="Times New Roman" w:eastAsiaTheme="majorEastAsia" w:cstheme="majorBidi"/>
      <w:b/>
      <w:i/>
      <w:sz w:val="24"/>
      <w:szCs w:val="26"/>
    </w:rPr>
  </w:style>
  <w:style w:type="character" w:default="1" w:styleId="12">
    <w:name w:val="Default Paragraph Font"/>
    <w:autoRedefine/>
    <w:semiHidden/>
    <w:unhideWhenUsed/>
    <w:qFormat/>
    <w:uiPriority w:val="1"/>
  </w:style>
  <w:style w:type="table" w:default="1" w:styleId="11">
    <w:name w:val="Normal Table"/>
    <w:autoRedefine/>
    <w:semiHidden/>
    <w:unhideWhenUsed/>
    <w:qFormat/>
    <w:uiPriority w:val="99"/>
    <w:tblPr>
      <w:tblCellMar>
        <w:top w:w="0" w:type="dxa"/>
        <w:left w:w="108" w:type="dxa"/>
        <w:bottom w:w="0" w:type="dxa"/>
        <w:right w:w="108" w:type="dxa"/>
      </w:tblCellMar>
    </w:tblPr>
  </w:style>
  <w:style w:type="paragraph" w:styleId="4">
    <w:name w:val="annotation text"/>
    <w:basedOn w:val="1"/>
    <w:link w:val="15"/>
    <w:autoRedefine/>
    <w:unhideWhenUsed/>
    <w:qFormat/>
    <w:uiPriority w:val="99"/>
    <w:pPr>
      <w:spacing w:line="240" w:lineRule="auto"/>
    </w:pPr>
    <w:rPr>
      <w:sz w:val="20"/>
      <w:szCs w:val="20"/>
    </w:rPr>
  </w:style>
  <w:style w:type="paragraph" w:styleId="5">
    <w:name w:val="Balloon Text"/>
    <w:basedOn w:val="1"/>
    <w:link w:val="16"/>
    <w:autoRedefine/>
    <w:unhideWhenUsed/>
    <w:qFormat/>
    <w:uiPriority w:val="99"/>
    <w:pPr>
      <w:spacing w:line="240" w:lineRule="auto"/>
    </w:pPr>
    <w:rPr>
      <w:rFonts w:ascii="Segoe UI" w:hAnsi="Segoe UI" w:cs="Segoe UI"/>
      <w:sz w:val="18"/>
      <w:szCs w:val="18"/>
    </w:rPr>
  </w:style>
  <w:style w:type="paragraph" w:styleId="6">
    <w:name w:val="footer"/>
    <w:basedOn w:val="1"/>
    <w:link w:val="17"/>
    <w:autoRedefine/>
    <w:unhideWhenUsed/>
    <w:qFormat/>
    <w:uiPriority w:val="99"/>
    <w:pPr>
      <w:tabs>
        <w:tab w:val="center" w:pos="4680"/>
        <w:tab w:val="right" w:pos="9360"/>
      </w:tabs>
      <w:spacing w:line="240" w:lineRule="auto"/>
    </w:pPr>
  </w:style>
  <w:style w:type="paragraph" w:styleId="7">
    <w:name w:val="header"/>
    <w:basedOn w:val="1"/>
    <w:link w:val="18"/>
    <w:autoRedefine/>
    <w:unhideWhenUsed/>
    <w:qFormat/>
    <w:uiPriority w:val="99"/>
    <w:pPr>
      <w:tabs>
        <w:tab w:val="center" w:pos="4680"/>
        <w:tab w:val="right" w:pos="9360"/>
      </w:tabs>
      <w:spacing w:line="240" w:lineRule="auto"/>
    </w:pPr>
  </w:style>
  <w:style w:type="paragraph" w:styleId="8">
    <w:name w:val="toc 1"/>
    <w:basedOn w:val="1"/>
    <w:next w:val="1"/>
    <w:autoRedefine/>
    <w:unhideWhenUsed/>
    <w:qFormat/>
    <w:uiPriority w:val="39"/>
    <w:pPr>
      <w:spacing w:after="100"/>
    </w:pPr>
  </w:style>
  <w:style w:type="paragraph" w:styleId="9">
    <w:name w:val="toc 2"/>
    <w:basedOn w:val="1"/>
    <w:next w:val="1"/>
    <w:autoRedefine/>
    <w:unhideWhenUsed/>
    <w:qFormat/>
    <w:uiPriority w:val="39"/>
    <w:pPr>
      <w:spacing w:after="100"/>
      <w:ind w:left="220"/>
    </w:pPr>
  </w:style>
  <w:style w:type="paragraph" w:styleId="10">
    <w:name w:val="annotation subject"/>
    <w:basedOn w:val="4"/>
    <w:next w:val="4"/>
    <w:link w:val="19"/>
    <w:autoRedefine/>
    <w:unhideWhenUsed/>
    <w:qFormat/>
    <w:uiPriority w:val="99"/>
    <w:rPr>
      <w:b/>
      <w:bCs/>
    </w:rPr>
  </w:style>
  <w:style w:type="character" w:styleId="13">
    <w:name w:val="Hyperlink"/>
    <w:basedOn w:val="12"/>
    <w:autoRedefine/>
    <w:unhideWhenUsed/>
    <w:qFormat/>
    <w:uiPriority w:val="99"/>
    <w:rPr>
      <w:color w:val="0563C1"/>
      <w:u w:val="single"/>
    </w:rPr>
  </w:style>
  <w:style w:type="character" w:styleId="14">
    <w:name w:val="annotation reference"/>
    <w:basedOn w:val="12"/>
    <w:autoRedefine/>
    <w:unhideWhenUsed/>
    <w:qFormat/>
    <w:uiPriority w:val="99"/>
    <w:rPr>
      <w:sz w:val="16"/>
      <w:szCs w:val="16"/>
    </w:rPr>
  </w:style>
  <w:style w:type="character" w:customStyle="1" w:styleId="15">
    <w:name w:val="批注文字 字符"/>
    <w:basedOn w:val="12"/>
    <w:link w:val="4"/>
    <w:autoRedefine/>
    <w:semiHidden/>
    <w:qFormat/>
    <w:uiPriority w:val="99"/>
    <w:rPr>
      <w:sz w:val="20"/>
      <w:szCs w:val="20"/>
    </w:rPr>
  </w:style>
  <w:style w:type="character" w:customStyle="1" w:styleId="16">
    <w:name w:val="批注框文本 字符"/>
    <w:basedOn w:val="12"/>
    <w:link w:val="5"/>
    <w:autoRedefine/>
    <w:semiHidden/>
    <w:qFormat/>
    <w:uiPriority w:val="99"/>
    <w:rPr>
      <w:rFonts w:ascii="Segoe UI" w:hAnsi="Segoe UI" w:cs="Segoe UI"/>
      <w:sz w:val="18"/>
      <w:szCs w:val="18"/>
    </w:rPr>
  </w:style>
  <w:style w:type="character" w:customStyle="1" w:styleId="17">
    <w:name w:val="页脚 字符"/>
    <w:basedOn w:val="12"/>
    <w:link w:val="6"/>
    <w:autoRedefine/>
    <w:qFormat/>
    <w:uiPriority w:val="99"/>
  </w:style>
  <w:style w:type="character" w:customStyle="1" w:styleId="18">
    <w:name w:val="页眉 字符"/>
    <w:basedOn w:val="12"/>
    <w:link w:val="7"/>
    <w:autoRedefine/>
    <w:qFormat/>
    <w:uiPriority w:val="99"/>
  </w:style>
  <w:style w:type="character" w:customStyle="1" w:styleId="19">
    <w:name w:val="批注主题 字符"/>
    <w:basedOn w:val="15"/>
    <w:link w:val="10"/>
    <w:autoRedefine/>
    <w:semiHidden/>
    <w:qFormat/>
    <w:uiPriority w:val="99"/>
    <w:rPr>
      <w:b/>
      <w:bCs/>
      <w:sz w:val="20"/>
      <w:szCs w:val="20"/>
    </w:rPr>
  </w:style>
  <w:style w:type="character" w:customStyle="1" w:styleId="20">
    <w:name w:val="Unresolved Mention"/>
    <w:basedOn w:val="12"/>
    <w:autoRedefine/>
    <w:unhideWhenUsed/>
    <w:qFormat/>
    <w:uiPriority w:val="99"/>
    <w:rPr>
      <w:color w:val="605E5C"/>
      <w:shd w:val="clear" w:color="auto" w:fill="E1DFDD"/>
    </w:rPr>
  </w:style>
  <w:style w:type="character" w:customStyle="1" w:styleId="21">
    <w:name w:val="标题 2 字符"/>
    <w:basedOn w:val="12"/>
    <w:link w:val="3"/>
    <w:autoRedefine/>
    <w:qFormat/>
    <w:uiPriority w:val="9"/>
    <w:rPr>
      <w:rFonts w:eastAsiaTheme="majorEastAsia" w:cstheme="majorBidi"/>
      <w:b/>
      <w:i/>
      <w:kern w:val="2"/>
      <w:sz w:val="24"/>
      <w:szCs w:val="26"/>
      <w:lang w:val="en-US" w:eastAsia="en-US"/>
    </w:rPr>
  </w:style>
  <w:style w:type="paragraph" w:customStyle="1" w:styleId="22">
    <w:name w:val="TOC Heading"/>
    <w:basedOn w:val="2"/>
    <w:next w:val="1"/>
    <w:autoRedefine/>
    <w:unhideWhenUsed/>
    <w:qFormat/>
    <w:uiPriority w:val="39"/>
    <w:pPr>
      <w:keepNext/>
      <w:keepLines/>
      <w:spacing w:beforeAutospacing="0" w:after="0" w:afterAutospacing="0" w:line="259" w:lineRule="auto"/>
      <w:ind w:firstLine="0"/>
      <w:jc w:val="left"/>
      <w:outlineLvl w:val="9"/>
    </w:pPr>
    <w:rPr>
      <w:rFonts w:hint="default" w:asciiTheme="majorHAnsi" w:hAnsiTheme="majorHAnsi" w:eastAsiaTheme="majorEastAsia" w:cstheme="majorBidi"/>
      <w:b w:val="0"/>
      <w:bCs w:val="0"/>
      <w:color w:val="104862" w:themeColor="accent1" w:themeShade="BF"/>
      <w:kern w:val="0"/>
      <w:sz w:val="32"/>
      <w:szCs w:val="32"/>
      <w:lang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customXml" Target="../customXml/item1.xml"/><Relationship Id="rId10" Type="http://schemas.openxmlformats.org/officeDocument/2006/relationships/image" Target="cid:image001.png@01D0EA4A.2BD679A0" TargetMode="Externa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14FC18D-13B1-4590-9D4D-AE474D2C3D58}">
  <ds:schemaRefs/>
</ds:datastoreItem>
</file>

<file path=docProps/app.xml><?xml version="1.0" encoding="utf-8"?>
<Properties xmlns="http://schemas.openxmlformats.org/officeDocument/2006/extended-properties" xmlns:vt="http://schemas.openxmlformats.org/officeDocument/2006/docPropsVTypes">
  <Template>Normal</Template>
  <Company>Deftones</Company>
  <Pages>1</Pages>
  <Words>4222</Words>
  <Characters>24067</Characters>
  <Lines>200</Lines>
  <Paragraphs>56</Paragraphs>
  <TotalTime>7</TotalTime>
  <ScaleCrop>false</ScaleCrop>
  <LinksUpToDate>false</LinksUpToDate>
  <CharactersWithSpaces>28233</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2024-03-22T14:11:00Z</dcterms:created>
  <dc:creator>dennis</dc:creator>
  <cp:lastModifiedBy>ㅤㅤㅤㅤ</cp:lastModifiedBy>
  <dcterms:modified xsi:type="dcterms:W3CDTF">2024-03-22T18:02:54Z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51314ac6-c3ed-42d5-af8a-a1aba078e144</vt:lpwstr>
  </property>
  <property fmtid="{D5CDD505-2E9C-101B-9397-08002B2CF9AE}" pid="3" name="KSOProductBuildVer">
    <vt:lpwstr>2052-12.1.0.16388</vt:lpwstr>
  </property>
  <property fmtid="{D5CDD505-2E9C-101B-9397-08002B2CF9AE}" pid="4" name="ICV">
    <vt:lpwstr>C689F2F5CED645BDACD90FB0D1CA6912_13</vt:lpwstr>
  </property>
</Properties>
</file>