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35B27" w14:textId="77777777" w:rsidR="00DC073C" w:rsidRDefault="00000000">
      <w:pPr>
        <w:spacing w:after="400"/>
        <w:jc w:val="center"/>
      </w:pPr>
      <w:r>
        <w:rPr>
          <w:noProof/>
        </w:rPr>
        <w:drawing>
          <wp:inline distT="0" distB="0" distL="0" distR="0" wp14:anchorId="2C18615C" wp14:editId="3E5BDC97">
            <wp:extent cx="2468880" cy="1356014"/>
            <wp:effectExtent l="0" t="0" r="0" b="0"/>
            <wp:docPr id="1" name="Picture 1" descr="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jpg"/>
                    <pic:cNvPicPr/>
                  </pic:nvPicPr>
                  <pic:blipFill>
                    <a:blip r:embed="rId8"/>
                    <a:stretch>
                      <a:fillRect/>
                    </a:stretch>
                  </pic:blipFill>
                  <pic:spPr>
                    <a:xfrm>
                      <a:off x="0" y="0"/>
                      <a:ext cx="2468880" cy="1356014"/>
                    </a:xfrm>
                    <a:prstGeom prst="rect">
                      <a:avLst/>
                    </a:prstGeom>
                  </pic:spPr>
                </pic:pic>
              </a:graphicData>
            </a:graphic>
          </wp:inline>
        </w:drawing>
      </w:r>
    </w:p>
    <w:p w14:paraId="350CCECB" w14:textId="77777777" w:rsidR="00DC073C" w:rsidRDefault="00000000">
      <w:pPr>
        <w:pStyle w:val="Title"/>
        <w:keepNext/>
        <w:spacing w:after="320"/>
        <w:jc w:val="center"/>
      </w:pPr>
      <w:r>
        <w:rPr>
          <w:rFonts w:ascii="Calibri" w:hAnsi="Calibri"/>
          <w:sz w:val="52"/>
        </w:rPr>
        <w:t>Design and Evaluation of Blockchain-Backed Distributed Authentication for Resource-Constrained IoT Devices</w:t>
      </w:r>
    </w:p>
    <w:p w14:paraId="4766239A" w14:textId="77777777" w:rsidR="00DC073C" w:rsidRDefault="00000000">
      <w:pPr>
        <w:pStyle w:val="Heading1"/>
        <w:keepNext/>
        <w:spacing w:after="160"/>
        <w:jc w:val="center"/>
      </w:pPr>
      <w:r>
        <w:rPr>
          <w:rFonts w:ascii="Calibri" w:hAnsi="Calibri"/>
          <w:b/>
          <w:color w:val="000000"/>
          <w:sz w:val="30"/>
        </w:rPr>
        <w:t>MSc Postgraduate Research Proposal</w:t>
      </w:r>
    </w:p>
    <w:p w14:paraId="3470AD54" w14:textId="77777777" w:rsidR="00DC073C" w:rsidRDefault="00000000">
      <w:pPr>
        <w:pStyle w:val="Heading1"/>
        <w:keepNext/>
        <w:spacing w:after="840"/>
        <w:jc w:val="center"/>
      </w:pPr>
      <w:r>
        <w:rPr>
          <w:rFonts w:ascii="Calibri" w:hAnsi="Calibri"/>
          <w:b/>
          <w:color w:val="000000"/>
          <w:sz w:val="30"/>
        </w:rPr>
        <w:t>Assessment - Research Proposal</w:t>
      </w:r>
    </w:p>
    <w:p w14:paraId="61B635F2" w14:textId="1D736F9E" w:rsidR="00DC073C" w:rsidRDefault="00000000">
      <w:pPr>
        <w:pStyle w:val="Title"/>
        <w:keepNext/>
        <w:spacing w:after="80"/>
        <w:jc w:val="center"/>
      </w:pPr>
      <w:r>
        <w:rPr>
          <w:rFonts w:ascii="Calibri" w:hAnsi="Calibri"/>
          <w:sz w:val="36"/>
        </w:rPr>
        <w:t xml:space="preserve">Name: </w:t>
      </w:r>
      <w:r w:rsidR="00F529E3">
        <w:rPr>
          <w:rFonts w:ascii="Calibri" w:hAnsi="Calibri"/>
          <w:sz w:val="36"/>
        </w:rPr>
        <w:t>Hari Barot</w:t>
      </w:r>
    </w:p>
    <w:p w14:paraId="26407B3A" w14:textId="0CC18935" w:rsidR="00DC073C" w:rsidRDefault="00000000">
      <w:pPr>
        <w:pStyle w:val="Title"/>
        <w:keepNext/>
        <w:jc w:val="center"/>
      </w:pPr>
      <w:r>
        <w:rPr>
          <w:rFonts w:ascii="Calibri" w:hAnsi="Calibri"/>
          <w:sz w:val="36"/>
        </w:rPr>
        <w:t>Enrollment: 25</w:t>
      </w:r>
      <w:r w:rsidR="00F529E3">
        <w:rPr>
          <w:rFonts w:ascii="Calibri" w:hAnsi="Calibri"/>
          <w:sz w:val="36"/>
        </w:rPr>
        <w:t>20160</w:t>
      </w:r>
    </w:p>
    <w:p w14:paraId="12C432A5" w14:textId="77777777" w:rsidR="00DC073C" w:rsidRDefault="00000000">
      <w:r>
        <w:br w:type="page"/>
      </w:r>
    </w:p>
    <w:p w14:paraId="0BD79DDD" w14:textId="77777777" w:rsidR="00DC073C" w:rsidRDefault="00000000">
      <w:pPr>
        <w:pStyle w:val="Heading1"/>
        <w:keepNext/>
        <w:keepLines/>
        <w:spacing w:before="300" w:after="140"/>
      </w:pPr>
      <w:r>
        <w:rPr>
          <w:rFonts w:ascii="Calibri" w:hAnsi="Calibri"/>
          <w:b/>
          <w:color w:val="000000"/>
          <w:sz w:val="27"/>
        </w:rPr>
        <w:lastRenderedPageBreak/>
        <w:t>Table of Contents</w:t>
      </w:r>
    </w:p>
    <w:tbl>
      <w:tblPr>
        <w:tblW w:w="9024" w:type="dxa"/>
        <w:tblInd w:w="120"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900"/>
        <w:gridCol w:w="7224"/>
        <w:gridCol w:w="900"/>
      </w:tblGrid>
      <w:tr w:rsidR="00DC073C" w14:paraId="6E2B53C9" w14:textId="77777777">
        <w:trPr>
          <w:tblHeader/>
        </w:trPr>
        <w:tc>
          <w:tcPr>
            <w:tcW w:w="900" w:type="dxa"/>
            <w:shd w:val="clear" w:color="auto" w:fill="1F4E79"/>
            <w:tcMar>
              <w:top w:w="100" w:type="dxa"/>
              <w:left w:w="120" w:type="dxa"/>
              <w:bottom w:w="100" w:type="dxa"/>
              <w:right w:w="120" w:type="dxa"/>
            </w:tcMar>
            <w:vAlign w:val="center"/>
          </w:tcPr>
          <w:p w14:paraId="69CFEA6B" w14:textId="77777777" w:rsidR="00DC073C" w:rsidRDefault="00000000">
            <w:pPr>
              <w:spacing w:line="252" w:lineRule="auto"/>
              <w:jc w:val="center"/>
            </w:pPr>
            <w:r>
              <w:rPr>
                <w:rFonts w:ascii="Calibri" w:hAnsi="Calibri"/>
                <w:b/>
                <w:color w:val="FFFFFF"/>
                <w:sz w:val="18"/>
              </w:rPr>
              <w:t>Section</w:t>
            </w:r>
          </w:p>
        </w:tc>
        <w:tc>
          <w:tcPr>
            <w:tcW w:w="7224" w:type="dxa"/>
            <w:shd w:val="clear" w:color="auto" w:fill="1F4E79"/>
            <w:tcMar>
              <w:top w:w="100" w:type="dxa"/>
              <w:left w:w="120" w:type="dxa"/>
              <w:bottom w:w="100" w:type="dxa"/>
              <w:right w:w="120" w:type="dxa"/>
            </w:tcMar>
            <w:vAlign w:val="center"/>
          </w:tcPr>
          <w:p w14:paraId="6861017B" w14:textId="77777777" w:rsidR="00DC073C" w:rsidRDefault="00000000">
            <w:pPr>
              <w:spacing w:line="252" w:lineRule="auto"/>
              <w:jc w:val="center"/>
            </w:pPr>
            <w:r>
              <w:rPr>
                <w:rFonts w:ascii="Calibri" w:hAnsi="Calibri"/>
                <w:b/>
                <w:color w:val="FFFFFF"/>
                <w:sz w:val="18"/>
              </w:rPr>
              <w:t>Title</w:t>
            </w:r>
          </w:p>
        </w:tc>
        <w:tc>
          <w:tcPr>
            <w:tcW w:w="900" w:type="dxa"/>
            <w:shd w:val="clear" w:color="auto" w:fill="1F4E79"/>
            <w:tcMar>
              <w:top w:w="100" w:type="dxa"/>
              <w:left w:w="120" w:type="dxa"/>
              <w:bottom w:w="100" w:type="dxa"/>
              <w:right w:w="120" w:type="dxa"/>
            </w:tcMar>
            <w:vAlign w:val="center"/>
          </w:tcPr>
          <w:p w14:paraId="6C82BA20" w14:textId="77777777" w:rsidR="00DC073C" w:rsidRDefault="00000000">
            <w:pPr>
              <w:spacing w:line="252" w:lineRule="auto"/>
              <w:jc w:val="center"/>
            </w:pPr>
            <w:r>
              <w:rPr>
                <w:rFonts w:ascii="Calibri" w:hAnsi="Calibri"/>
                <w:b/>
                <w:color w:val="FFFFFF"/>
                <w:sz w:val="18"/>
              </w:rPr>
              <w:t>Page No</w:t>
            </w:r>
          </w:p>
        </w:tc>
      </w:tr>
      <w:tr w:rsidR="00DC073C" w14:paraId="025E336E" w14:textId="77777777">
        <w:tc>
          <w:tcPr>
            <w:tcW w:w="900" w:type="dxa"/>
            <w:tcMar>
              <w:top w:w="100" w:type="dxa"/>
              <w:left w:w="120" w:type="dxa"/>
              <w:bottom w:w="100" w:type="dxa"/>
              <w:right w:w="120" w:type="dxa"/>
            </w:tcMar>
            <w:vAlign w:val="center"/>
          </w:tcPr>
          <w:p w14:paraId="0F3A3118" w14:textId="77777777" w:rsidR="00DC073C" w:rsidRDefault="00000000">
            <w:pPr>
              <w:spacing w:line="252" w:lineRule="auto"/>
              <w:jc w:val="center"/>
            </w:pPr>
            <w:r>
              <w:rPr>
                <w:rFonts w:ascii="Calibri" w:hAnsi="Calibri"/>
                <w:color w:val="000000"/>
                <w:sz w:val="18"/>
              </w:rPr>
              <w:t>1</w:t>
            </w:r>
          </w:p>
        </w:tc>
        <w:tc>
          <w:tcPr>
            <w:tcW w:w="7224" w:type="dxa"/>
            <w:tcMar>
              <w:top w:w="100" w:type="dxa"/>
              <w:left w:w="120" w:type="dxa"/>
              <w:bottom w:w="100" w:type="dxa"/>
              <w:right w:w="120" w:type="dxa"/>
            </w:tcMar>
            <w:vAlign w:val="center"/>
          </w:tcPr>
          <w:p w14:paraId="467A2EEC" w14:textId="77777777" w:rsidR="00DC073C" w:rsidRDefault="00000000">
            <w:pPr>
              <w:spacing w:line="252" w:lineRule="auto"/>
            </w:pPr>
            <w:r>
              <w:rPr>
                <w:rFonts w:ascii="Calibri" w:hAnsi="Calibri"/>
                <w:color w:val="000000"/>
                <w:sz w:val="18"/>
              </w:rPr>
              <w:t>Introduction</w:t>
            </w:r>
          </w:p>
        </w:tc>
        <w:tc>
          <w:tcPr>
            <w:tcW w:w="900" w:type="dxa"/>
            <w:tcMar>
              <w:top w:w="100" w:type="dxa"/>
              <w:left w:w="120" w:type="dxa"/>
              <w:bottom w:w="100" w:type="dxa"/>
              <w:right w:w="120" w:type="dxa"/>
            </w:tcMar>
            <w:vAlign w:val="center"/>
          </w:tcPr>
          <w:p w14:paraId="5866FF55" w14:textId="77777777" w:rsidR="00DC073C" w:rsidRDefault="00000000">
            <w:pPr>
              <w:spacing w:line="252" w:lineRule="auto"/>
              <w:jc w:val="center"/>
            </w:pPr>
            <w:r>
              <w:rPr>
                <w:rFonts w:ascii="Calibri" w:hAnsi="Calibri"/>
                <w:color w:val="000000"/>
                <w:sz w:val="18"/>
              </w:rPr>
              <w:t>3</w:t>
            </w:r>
          </w:p>
        </w:tc>
      </w:tr>
      <w:tr w:rsidR="00DC073C" w14:paraId="22264338" w14:textId="77777777">
        <w:tc>
          <w:tcPr>
            <w:tcW w:w="900" w:type="dxa"/>
            <w:shd w:val="clear" w:color="auto" w:fill="F7F9FC"/>
            <w:tcMar>
              <w:top w:w="100" w:type="dxa"/>
              <w:left w:w="120" w:type="dxa"/>
              <w:bottom w:w="100" w:type="dxa"/>
              <w:right w:w="120" w:type="dxa"/>
            </w:tcMar>
            <w:vAlign w:val="center"/>
          </w:tcPr>
          <w:p w14:paraId="72E7A460" w14:textId="77777777" w:rsidR="00DC073C" w:rsidRDefault="00000000">
            <w:pPr>
              <w:spacing w:line="252" w:lineRule="auto"/>
              <w:jc w:val="center"/>
            </w:pPr>
            <w:r>
              <w:rPr>
                <w:rFonts w:ascii="Calibri" w:hAnsi="Calibri"/>
                <w:color w:val="000000"/>
                <w:sz w:val="18"/>
              </w:rPr>
              <w:t>1.1</w:t>
            </w:r>
          </w:p>
        </w:tc>
        <w:tc>
          <w:tcPr>
            <w:tcW w:w="7224" w:type="dxa"/>
            <w:shd w:val="clear" w:color="auto" w:fill="F7F9FC"/>
            <w:tcMar>
              <w:top w:w="100" w:type="dxa"/>
              <w:left w:w="120" w:type="dxa"/>
              <w:bottom w:w="100" w:type="dxa"/>
              <w:right w:w="120" w:type="dxa"/>
            </w:tcMar>
            <w:vAlign w:val="center"/>
          </w:tcPr>
          <w:p w14:paraId="3B99F788" w14:textId="77777777" w:rsidR="00DC073C" w:rsidRDefault="00000000">
            <w:pPr>
              <w:spacing w:line="252" w:lineRule="auto"/>
            </w:pPr>
            <w:r>
              <w:rPr>
                <w:rFonts w:ascii="Calibri" w:hAnsi="Calibri"/>
                <w:color w:val="000000"/>
                <w:sz w:val="18"/>
              </w:rPr>
              <w:t>Context and Background</w:t>
            </w:r>
          </w:p>
        </w:tc>
        <w:tc>
          <w:tcPr>
            <w:tcW w:w="900" w:type="dxa"/>
            <w:shd w:val="clear" w:color="auto" w:fill="F7F9FC"/>
            <w:tcMar>
              <w:top w:w="100" w:type="dxa"/>
              <w:left w:w="120" w:type="dxa"/>
              <w:bottom w:w="100" w:type="dxa"/>
              <w:right w:w="120" w:type="dxa"/>
            </w:tcMar>
            <w:vAlign w:val="center"/>
          </w:tcPr>
          <w:p w14:paraId="1CB9E22B" w14:textId="77777777" w:rsidR="00DC073C" w:rsidRDefault="00000000">
            <w:pPr>
              <w:spacing w:line="252" w:lineRule="auto"/>
              <w:jc w:val="center"/>
            </w:pPr>
            <w:r>
              <w:rPr>
                <w:rFonts w:ascii="Calibri" w:hAnsi="Calibri"/>
                <w:color w:val="000000"/>
                <w:sz w:val="18"/>
              </w:rPr>
              <w:t>3</w:t>
            </w:r>
          </w:p>
        </w:tc>
      </w:tr>
      <w:tr w:rsidR="00DC073C" w14:paraId="191F2668" w14:textId="77777777">
        <w:tc>
          <w:tcPr>
            <w:tcW w:w="900" w:type="dxa"/>
            <w:tcMar>
              <w:top w:w="100" w:type="dxa"/>
              <w:left w:w="120" w:type="dxa"/>
              <w:bottom w:w="100" w:type="dxa"/>
              <w:right w:w="120" w:type="dxa"/>
            </w:tcMar>
            <w:vAlign w:val="center"/>
          </w:tcPr>
          <w:p w14:paraId="30ED8CA4" w14:textId="77777777" w:rsidR="00DC073C" w:rsidRDefault="00000000">
            <w:pPr>
              <w:spacing w:line="252" w:lineRule="auto"/>
              <w:jc w:val="center"/>
            </w:pPr>
            <w:r>
              <w:rPr>
                <w:rFonts w:ascii="Calibri" w:hAnsi="Calibri"/>
                <w:color w:val="000000"/>
                <w:sz w:val="18"/>
              </w:rPr>
              <w:t>1.2</w:t>
            </w:r>
          </w:p>
        </w:tc>
        <w:tc>
          <w:tcPr>
            <w:tcW w:w="7224" w:type="dxa"/>
            <w:tcMar>
              <w:top w:w="100" w:type="dxa"/>
              <w:left w:w="120" w:type="dxa"/>
              <w:bottom w:w="100" w:type="dxa"/>
              <w:right w:w="120" w:type="dxa"/>
            </w:tcMar>
            <w:vAlign w:val="center"/>
          </w:tcPr>
          <w:p w14:paraId="24394C7E" w14:textId="77777777" w:rsidR="00DC073C" w:rsidRDefault="00000000">
            <w:pPr>
              <w:spacing w:line="252" w:lineRule="auto"/>
            </w:pPr>
            <w:r>
              <w:rPr>
                <w:rFonts w:ascii="Calibri" w:hAnsi="Calibri"/>
                <w:color w:val="000000"/>
                <w:sz w:val="18"/>
              </w:rPr>
              <w:t>Research Problem</w:t>
            </w:r>
          </w:p>
        </w:tc>
        <w:tc>
          <w:tcPr>
            <w:tcW w:w="900" w:type="dxa"/>
            <w:tcMar>
              <w:top w:w="100" w:type="dxa"/>
              <w:left w:w="120" w:type="dxa"/>
              <w:bottom w:w="100" w:type="dxa"/>
              <w:right w:w="120" w:type="dxa"/>
            </w:tcMar>
            <w:vAlign w:val="center"/>
          </w:tcPr>
          <w:p w14:paraId="45383A3E" w14:textId="77777777" w:rsidR="00DC073C" w:rsidRDefault="00000000">
            <w:pPr>
              <w:spacing w:line="252" w:lineRule="auto"/>
              <w:jc w:val="center"/>
            </w:pPr>
            <w:r>
              <w:rPr>
                <w:rFonts w:ascii="Calibri" w:hAnsi="Calibri"/>
                <w:color w:val="000000"/>
                <w:sz w:val="18"/>
              </w:rPr>
              <w:t>3</w:t>
            </w:r>
          </w:p>
        </w:tc>
      </w:tr>
      <w:tr w:rsidR="00DC073C" w14:paraId="5FFBEA07" w14:textId="77777777">
        <w:tc>
          <w:tcPr>
            <w:tcW w:w="900" w:type="dxa"/>
            <w:shd w:val="clear" w:color="auto" w:fill="F7F9FC"/>
            <w:tcMar>
              <w:top w:w="100" w:type="dxa"/>
              <w:left w:w="120" w:type="dxa"/>
              <w:bottom w:w="100" w:type="dxa"/>
              <w:right w:w="120" w:type="dxa"/>
            </w:tcMar>
            <w:vAlign w:val="center"/>
          </w:tcPr>
          <w:p w14:paraId="5B111B01" w14:textId="77777777" w:rsidR="00DC073C" w:rsidRDefault="00000000">
            <w:pPr>
              <w:spacing w:line="252" w:lineRule="auto"/>
              <w:jc w:val="center"/>
            </w:pPr>
            <w:r>
              <w:rPr>
                <w:rFonts w:ascii="Calibri" w:hAnsi="Calibri"/>
                <w:color w:val="000000"/>
                <w:sz w:val="18"/>
              </w:rPr>
              <w:t>1.3</w:t>
            </w:r>
          </w:p>
        </w:tc>
        <w:tc>
          <w:tcPr>
            <w:tcW w:w="7224" w:type="dxa"/>
            <w:shd w:val="clear" w:color="auto" w:fill="F7F9FC"/>
            <w:tcMar>
              <w:top w:w="100" w:type="dxa"/>
              <w:left w:w="120" w:type="dxa"/>
              <w:bottom w:w="100" w:type="dxa"/>
              <w:right w:w="120" w:type="dxa"/>
            </w:tcMar>
            <w:vAlign w:val="center"/>
          </w:tcPr>
          <w:p w14:paraId="3A45CA2F" w14:textId="77777777" w:rsidR="00DC073C" w:rsidRDefault="00000000">
            <w:pPr>
              <w:spacing w:line="252" w:lineRule="auto"/>
            </w:pPr>
            <w:r>
              <w:rPr>
                <w:rFonts w:ascii="Calibri" w:hAnsi="Calibri"/>
                <w:color w:val="000000"/>
                <w:sz w:val="18"/>
              </w:rPr>
              <w:t>Research Aim and Objectives</w:t>
            </w:r>
          </w:p>
        </w:tc>
        <w:tc>
          <w:tcPr>
            <w:tcW w:w="900" w:type="dxa"/>
            <w:shd w:val="clear" w:color="auto" w:fill="F7F9FC"/>
            <w:tcMar>
              <w:top w:w="100" w:type="dxa"/>
              <w:left w:w="120" w:type="dxa"/>
              <w:bottom w:w="100" w:type="dxa"/>
              <w:right w:w="120" w:type="dxa"/>
            </w:tcMar>
            <w:vAlign w:val="center"/>
          </w:tcPr>
          <w:p w14:paraId="226A383B" w14:textId="77777777" w:rsidR="00DC073C" w:rsidRDefault="00000000">
            <w:pPr>
              <w:spacing w:line="252" w:lineRule="auto"/>
              <w:jc w:val="center"/>
            </w:pPr>
            <w:r>
              <w:rPr>
                <w:rFonts w:ascii="Calibri" w:hAnsi="Calibri"/>
                <w:color w:val="000000"/>
                <w:sz w:val="18"/>
              </w:rPr>
              <w:t>4</w:t>
            </w:r>
          </w:p>
        </w:tc>
      </w:tr>
      <w:tr w:rsidR="00DC073C" w14:paraId="74943A0C" w14:textId="77777777">
        <w:tc>
          <w:tcPr>
            <w:tcW w:w="900" w:type="dxa"/>
            <w:tcMar>
              <w:top w:w="100" w:type="dxa"/>
              <w:left w:w="120" w:type="dxa"/>
              <w:bottom w:w="100" w:type="dxa"/>
              <w:right w:w="120" w:type="dxa"/>
            </w:tcMar>
            <w:vAlign w:val="center"/>
          </w:tcPr>
          <w:p w14:paraId="5E4DEA07" w14:textId="77777777" w:rsidR="00DC073C" w:rsidRDefault="00000000">
            <w:pPr>
              <w:spacing w:line="252" w:lineRule="auto"/>
              <w:jc w:val="center"/>
            </w:pPr>
            <w:r>
              <w:rPr>
                <w:rFonts w:ascii="Calibri" w:hAnsi="Calibri"/>
                <w:color w:val="000000"/>
                <w:sz w:val="18"/>
              </w:rPr>
              <w:t>1.4</w:t>
            </w:r>
          </w:p>
        </w:tc>
        <w:tc>
          <w:tcPr>
            <w:tcW w:w="7224" w:type="dxa"/>
            <w:tcMar>
              <w:top w:w="100" w:type="dxa"/>
              <w:left w:w="120" w:type="dxa"/>
              <w:bottom w:w="100" w:type="dxa"/>
              <w:right w:w="120" w:type="dxa"/>
            </w:tcMar>
            <w:vAlign w:val="center"/>
          </w:tcPr>
          <w:p w14:paraId="6E18066D" w14:textId="77777777" w:rsidR="00DC073C" w:rsidRDefault="00000000">
            <w:pPr>
              <w:spacing w:line="252" w:lineRule="auto"/>
            </w:pPr>
            <w:r>
              <w:rPr>
                <w:rFonts w:ascii="Calibri" w:hAnsi="Calibri"/>
                <w:color w:val="000000"/>
                <w:sz w:val="18"/>
              </w:rPr>
              <w:t>Significance of the Research</w:t>
            </w:r>
          </w:p>
        </w:tc>
        <w:tc>
          <w:tcPr>
            <w:tcW w:w="900" w:type="dxa"/>
            <w:tcMar>
              <w:top w:w="100" w:type="dxa"/>
              <w:left w:w="120" w:type="dxa"/>
              <w:bottom w:w="100" w:type="dxa"/>
              <w:right w:w="120" w:type="dxa"/>
            </w:tcMar>
            <w:vAlign w:val="center"/>
          </w:tcPr>
          <w:p w14:paraId="2ABB756A" w14:textId="77777777" w:rsidR="00DC073C" w:rsidRDefault="00000000">
            <w:pPr>
              <w:spacing w:line="252" w:lineRule="auto"/>
              <w:jc w:val="center"/>
            </w:pPr>
            <w:r>
              <w:rPr>
                <w:rFonts w:ascii="Calibri" w:hAnsi="Calibri"/>
                <w:color w:val="000000"/>
                <w:sz w:val="18"/>
              </w:rPr>
              <w:t>4</w:t>
            </w:r>
          </w:p>
        </w:tc>
      </w:tr>
      <w:tr w:rsidR="00DC073C" w14:paraId="5A93E2C6" w14:textId="77777777">
        <w:tc>
          <w:tcPr>
            <w:tcW w:w="900" w:type="dxa"/>
            <w:shd w:val="clear" w:color="auto" w:fill="F7F9FC"/>
            <w:tcMar>
              <w:top w:w="100" w:type="dxa"/>
              <w:left w:w="120" w:type="dxa"/>
              <w:bottom w:w="100" w:type="dxa"/>
              <w:right w:w="120" w:type="dxa"/>
            </w:tcMar>
            <w:vAlign w:val="center"/>
          </w:tcPr>
          <w:p w14:paraId="7583D6B1" w14:textId="77777777" w:rsidR="00DC073C" w:rsidRDefault="00000000">
            <w:pPr>
              <w:spacing w:line="252" w:lineRule="auto"/>
              <w:jc w:val="center"/>
            </w:pPr>
            <w:r>
              <w:rPr>
                <w:rFonts w:ascii="Calibri" w:hAnsi="Calibri"/>
                <w:color w:val="000000"/>
                <w:sz w:val="18"/>
              </w:rPr>
              <w:t>2</w:t>
            </w:r>
          </w:p>
        </w:tc>
        <w:tc>
          <w:tcPr>
            <w:tcW w:w="7224" w:type="dxa"/>
            <w:shd w:val="clear" w:color="auto" w:fill="F7F9FC"/>
            <w:tcMar>
              <w:top w:w="100" w:type="dxa"/>
              <w:left w:w="120" w:type="dxa"/>
              <w:bottom w:w="100" w:type="dxa"/>
              <w:right w:w="120" w:type="dxa"/>
            </w:tcMar>
            <w:vAlign w:val="center"/>
          </w:tcPr>
          <w:p w14:paraId="5DD039B6" w14:textId="77777777" w:rsidR="00DC073C" w:rsidRDefault="00000000">
            <w:pPr>
              <w:spacing w:line="252" w:lineRule="auto"/>
            </w:pPr>
            <w:r>
              <w:rPr>
                <w:rFonts w:ascii="Calibri" w:hAnsi="Calibri"/>
                <w:color w:val="000000"/>
                <w:sz w:val="18"/>
              </w:rPr>
              <w:t>Literature Review</w:t>
            </w:r>
          </w:p>
        </w:tc>
        <w:tc>
          <w:tcPr>
            <w:tcW w:w="900" w:type="dxa"/>
            <w:shd w:val="clear" w:color="auto" w:fill="F7F9FC"/>
            <w:tcMar>
              <w:top w:w="100" w:type="dxa"/>
              <w:left w:w="120" w:type="dxa"/>
              <w:bottom w:w="100" w:type="dxa"/>
              <w:right w:w="120" w:type="dxa"/>
            </w:tcMar>
            <w:vAlign w:val="center"/>
          </w:tcPr>
          <w:p w14:paraId="1842ED3C" w14:textId="77777777" w:rsidR="00DC073C" w:rsidRDefault="00000000">
            <w:pPr>
              <w:spacing w:line="252" w:lineRule="auto"/>
              <w:jc w:val="center"/>
            </w:pPr>
            <w:r>
              <w:rPr>
                <w:rFonts w:ascii="Calibri" w:hAnsi="Calibri"/>
                <w:color w:val="000000"/>
                <w:sz w:val="18"/>
              </w:rPr>
              <w:t>5</w:t>
            </w:r>
          </w:p>
        </w:tc>
      </w:tr>
      <w:tr w:rsidR="00DC073C" w14:paraId="7C91B581" w14:textId="77777777">
        <w:tc>
          <w:tcPr>
            <w:tcW w:w="900" w:type="dxa"/>
            <w:tcMar>
              <w:top w:w="100" w:type="dxa"/>
              <w:left w:w="120" w:type="dxa"/>
              <w:bottom w:w="100" w:type="dxa"/>
              <w:right w:w="120" w:type="dxa"/>
            </w:tcMar>
            <w:vAlign w:val="center"/>
          </w:tcPr>
          <w:p w14:paraId="766FA6CF" w14:textId="77777777" w:rsidR="00DC073C" w:rsidRDefault="00000000">
            <w:pPr>
              <w:spacing w:line="252" w:lineRule="auto"/>
              <w:jc w:val="center"/>
            </w:pPr>
            <w:r>
              <w:rPr>
                <w:rFonts w:ascii="Calibri" w:hAnsi="Calibri"/>
                <w:color w:val="000000"/>
                <w:sz w:val="18"/>
              </w:rPr>
              <w:t>2.1</w:t>
            </w:r>
          </w:p>
        </w:tc>
        <w:tc>
          <w:tcPr>
            <w:tcW w:w="7224" w:type="dxa"/>
            <w:tcMar>
              <w:top w:w="100" w:type="dxa"/>
              <w:left w:w="120" w:type="dxa"/>
              <w:bottom w:w="100" w:type="dxa"/>
              <w:right w:w="120" w:type="dxa"/>
            </w:tcMar>
            <w:vAlign w:val="center"/>
          </w:tcPr>
          <w:p w14:paraId="345F4E15" w14:textId="77777777" w:rsidR="00DC073C" w:rsidRDefault="00000000">
            <w:pPr>
              <w:spacing w:line="252" w:lineRule="auto"/>
            </w:pPr>
            <w:r>
              <w:rPr>
                <w:rFonts w:ascii="Calibri" w:hAnsi="Calibri"/>
                <w:color w:val="000000"/>
                <w:sz w:val="18"/>
              </w:rPr>
              <w:t>Centralised and Distributed Authentication in IoT</w:t>
            </w:r>
          </w:p>
        </w:tc>
        <w:tc>
          <w:tcPr>
            <w:tcW w:w="900" w:type="dxa"/>
            <w:tcMar>
              <w:top w:w="100" w:type="dxa"/>
              <w:left w:w="120" w:type="dxa"/>
              <w:bottom w:w="100" w:type="dxa"/>
              <w:right w:w="120" w:type="dxa"/>
            </w:tcMar>
            <w:vAlign w:val="center"/>
          </w:tcPr>
          <w:p w14:paraId="47435146" w14:textId="77777777" w:rsidR="00DC073C" w:rsidRDefault="00000000">
            <w:pPr>
              <w:spacing w:line="252" w:lineRule="auto"/>
              <w:jc w:val="center"/>
            </w:pPr>
            <w:r>
              <w:rPr>
                <w:rFonts w:ascii="Calibri" w:hAnsi="Calibri"/>
                <w:color w:val="000000"/>
                <w:sz w:val="18"/>
              </w:rPr>
              <w:t>5</w:t>
            </w:r>
          </w:p>
        </w:tc>
      </w:tr>
      <w:tr w:rsidR="00DC073C" w14:paraId="70F0DC19" w14:textId="77777777">
        <w:tc>
          <w:tcPr>
            <w:tcW w:w="900" w:type="dxa"/>
            <w:shd w:val="clear" w:color="auto" w:fill="F7F9FC"/>
            <w:tcMar>
              <w:top w:w="100" w:type="dxa"/>
              <w:left w:w="120" w:type="dxa"/>
              <w:bottom w:w="100" w:type="dxa"/>
              <w:right w:w="120" w:type="dxa"/>
            </w:tcMar>
            <w:vAlign w:val="center"/>
          </w:tcPr>
          <w:p w14:paraId="7CED1636" w14:textId="77777777" w:rsidR="00DC073C" w:rsidRDefault="00000000">
            <w:pPr>
              <w:spacing w:line="252" w:lineRule="auto"/>
              <w:jc w:val="center"/>
            </w:pPr>
            <w:r>
              <w:rPr>
                <w:rFonts w:ascii="Calibri" w:hAnsi="Calibri"/>
                <w:color w:val="000000"/>
                <w:sz w:val="18"/>
              </w:rPr>
              <w:t>2.2</w:t>
            </w:r>
          </w:p>
        </w:tc>
        <w:tc>
          <w:tcPr>
            <w:tcW w:w="7224" w:type="dxa"/>
            <w:shd w:val="clear" w:color="auto" w:fill="F7F9FC"/>
            <w:tcMar>
              <w:top w:w="100" w:type="dxa"/>
              <w:left w:w="120" w:type="dxa"/>
              <w:bottom w:w="100" w:type="dxa"/>
              <w:right w:w="120" w:type="dxa"/>
            </w:tcMar>
            <w:vAlign w:val="center"/>
          </w:tcPr>
          <w:p w14:paraId="2E7A1BAA" w14:textId="77777777" w:rsidR="00DC073C" w:rsidRDefault="00000000">
            <w:pPr>
              <w:spacing w:line="252" w:lineRule="auto"/>
            </w:pPr>
            <w:r>
              <w:rPr>
                <w:rFonts w:ascii="Calibri" w:hAnsi="Calibri"/>
                <w:color w:val="000000"/>
                <w:sz w:val="18"/>
              </w:rPr>
              <w:t>Permissioned Blockchains as Trust Registries</w:t>
            </w:r>
          </w:p>
        </w:tc>
        <w:tc>
          <w:tcPr>
            <w:tcW w:w="900" w:type="dxa"/>
            <w:shd w:val="clear" w:color="auto" w:fill="F7F9FC"/>
            <w:tcMar>
              <w:top w:w="100" w:type="dxa"/>
              <w:left w:w="120" w:type="dxa"/>
              <w:bottom w:w="100" w:type="dxa"/>
              <w:right w:w="120" w:type="dxa"/>
            </w:tcMar>
            <w:vAlign w:val="center"/>
          </w:tcPr>
          <w:p w14:paraId="1D8420F3" w14:textId="77777777" w:rsidR="00DC073C" w:rsidRDefault="00000000">
            <w:pPr>
              <w:spacing w:line="252" w:lineRule="auto"/>
              <w:jc w:val="center"/>
            </w:pPr>
            <w:r>
              <w:rPr>
                <w:rFonts w:ascii="Calibri" w:hAnsi="Calibri"/>
                <w:color w:val="000000"/>
                <w:sz w:val="18"/>
              </w:rPr>
              <w:t>5</w:t>
            </w:r>
          </w:p>
        </w:tc>
      </w:tr>
      <w:tr w:rsidR="00DC073C" w14:paraId="4C930299" w14:textId="77777777">
        <w:tc>
          <w:tcPr>
            <w:tcW w:w="900" w:type="dxa"/>
            <w:tcMar>
              <w:top w:w="100" w:type="dxa"/>
              <w:left w:w="120" w:type="dxa"/>
              <w:bottom w:w="100" w:type="dxa"/>
              <w:right w:w="120" w:type="dxa"/>
            </w:tcMar>
            <w:vAlign w:val="center"/>
          </w:tcPr>
          <w:p w14:paraId="63389268" w14:textId="77777777" w:rsidR="00DC073C" w:rsidRDefault="00000000">
            <w:pPr>
              <w:spacing w:line="252" w:lineRule="auto"/>
              <w:jc w:val="center"/>
            </w:pPr>
            <w:r>
              <w:rPr>
                <w:rFonts w:ascii="Calibri" w:hAnsi="Calibri"/>
                <w:color w:val="000000"/>
                <w:sz w:val="18"/>
              </w:rPr>
              <w:t>2.3</w:t>
            </w:r>
          </w:p>
        </w:tc>
        <w:tc>
          <w:tcPr>
            <w:tcW w:w="7224" w:type="dxa"/>
            <w:tcMar>
              <w:top w:w="100" w:type="dxa"/>
              <w:left w:w="120" w:type="dxa"/>
              <w:bottom w:w="100" w:type="dxa"/>
              <w:right w:w="120" w:type="dxa"/>
            </w:tcMar>
            <w:vAlign w:val="center"/>
          </w:tcPr>
          <w:p w14:paraId="0C558C35" w14:textId="77777777" w:rsidR="00DC073C" w:rsidRDefault="00000000">
            <w:pPr>
              <w:spacing w:line="252" w:lineRule="auto"/>
            </w:pPr>
            <w:r>
              <w:rPr>
                <w:rFonts w:ascii="Calibri" w:hAnsi="Calibri"/>
                <w:color w:val="000000"/>
                <w:sz w:val="18"/>
              </w:rPr>
              <w:t>Decentralised Identifiers and Verifiable Credentials</w:t>
            </w:r>
          </w:p>
        </w:tc>
        <w:tc>
          <w:tcPr>
            <w:tcW w:w="900" w:type="dxa"/>
            <w:tcMar>
              <w:top w:w="100" w:type="dxa"/>
              <w:left w:w="120" w:type="dxa"/>
              <w:bottom w:w="100" w:type="dxa"/>
              <w:right w:w="120" w:type="dxa"/>
            </w:tcMar>
            <w:vAlign w:val="center"/>
          </w:tcPr>
          <w:p w14:paraId="48F07A5C" w14:textId="77777777" w:rsidR="00DC073C" w:rsidRDefault="00000000">
            <w:pPr>
              <w:spacing w:line="252" w:lineRule="auto"/>
              <w:jc w:val="center"/>
            </w:pPr>
            <w:r>
              <w:rPr>
                <w:rFonts w:ascii="Calibri" w:hAnsi="Calibri"/>
                <w:color w:val="000000"/>
                <w:sz w:val="18"/>
              </w:rPr>
              <w:t>6</w:t>
            </w:r>
          </w:p>
        </w:tc>
      </w:tr>
      <w:tr w:rsidR="00DC073C" w14:paraId="72B23F3A" w14:textId="77777777">
        <w:tc>
          <w:tcPr>
            <w:tcW w:w="900" w:type="dxa"/>
            <w:shd w:val="clear" w:color="auto" w:fill="F7F9FC"/>
            <w:tcMar>
              <w:top w:w="100" w:type="dxa"/>
              <w:left w:w="120" w:type="dxa"/>
              <w:bottom w:w="100" w:type="dxa"/>
              <w:right w:w="120" w:type="dxa"/>
            </w:tcMar>
            <w:vAlign w:val="center"/>
          </w:tcPr>
          <w:p w14:paraId="3ED785FE" w14:textId="77777777" w:rsidR="00DC073C" w:rsidRDefault="00000000">
            <w:pPr>
              <w:spacing w:line="252" w:lineRule="auto"/>
              <w:jc w:val="center"/>
            </w:pPr>
            <w:r>
              <w:rPr>
                <w:rFonts w:ascii="Calibri" w:hAnsi="Calibri"/>
                <w:color w:val="000000"/>
                <w:sz w:val="18"/>
              </w:rPr>
              <w:t>2.4</w:t>
            </w:r>
          </w:p>
        </w:tc>
        <w:tc>
          <w:tcPr>
            <w:tcW w:w="7224" w:type="dxa"/>
            <w:shd w:val="clear" w:color="auto" w:fill="F7F9FC"/>
            <w:tcMar>
              <w:top w:w="100" w:type="dxa"/>
              <w:left w:w="120" w:type="dxa"/>
              <w:bottom w:w="100" w:type="dxa"/>
              <w:right w:w="120" w:type="dxa"/>
            </w:tcMar>
            <w:vAlign w:val="center"/>
          </w:tcPr>
          <w:p w14:paraId="6D3C3604" w14:textId="77777777" w:rsidR="00DC073C" w:rsidRDefault="00000000">
            <w:pPr>
              <w:spacing w:line="252" w:lineRule="auto"/>
            </w:pPr>
            <w:r>
              <w:rPr>
                <w:rFonts w:ascii="Calibri" w:hAnsi="Calibri"/>
                <w:color w:val="000000"/>
                <w:sz w:val="18"/>
              </w:rPr>
              <w:t>Lightweight Authentication for Constrained Devices</w:t>
            </w:r>
          </w:p>
        </w:tc>
        <w:tc>
          <w:tcPr>
            <w:tcW w:w="900" w:type="dxa"/>
            <w:shd w:val="clear" w:color="auto" w:fill="F7F9FC"/>
            <w:tcMar>
              <w:top w:w="100" w:type="dxa"/>
              <w:left w:w="120" w:type="dxa"/>
              <w:bottom w:w="100" w:type="dxa"/>
              <w:right w:w="120" w:type="dxa"/>
            </w:tcMar>
            <w:vAlign w:val="center"/>
          </w:tcPr>
          <w:p w14:paraId="39F12200" w14:textId="77777777" w:rsidR="00DC073C" w:rsidRDefault="00000000">
            <w:pPr>
              <w:spacing w:line="252" w:lineRule="auto"/>
              <w:jc w:val="center"/>
            </w:pPr>
            <w:r>
              <w:rPr>
                <w:rFonts w:ascii="Calibri" w:hAnsi="Calibri"/>
                <w:color w:val="000000"/>
                <w:sz w:val="18"/>
              </w:rPr>
              <w:t>6</w:t>
            </w:r>
          </w:p>
        </w:tc>
      </w:tr>
      <w:tr w:rsidR="00DC073C" w14:paraId="5118D618" w14:textId="77777777">
        <w:tc>
          <w:tcPr>
            <w:tcW w:w="900" w:type="dxa"/>
            <w:tcMar>
              <w:top w:w="100" w:type="dxa"/>
              <w:left w:w="120" w:type="dxa"/>
              <w:bottom w:w="100" w:type="dxa"/>
              <w:right w:w="120" w:type="dxa"/>
            </w:tcMar>
            <w:vAlign w:val="center"/>
          </w:tcPr>
          <w:p w14:paraId="3B307D1F" w14:textId="77777777" w:rsidR="00DC073C" w:rsidRDefault="00000000">
            <w:pPr>
              <w:spacing w:line="252" w:lineRule="auto"/>
              <w:jc w:val="center"/>
            </w:pPr>
            <w:r>
              <w:rPr>
                <w:rFonts w:ascii="Calibri" w:hAnsi="Calibri"/>
                <w:color w:val="000000"/>
                <w:sz w:val="18"/>
              </w:rPr>
              <w:t>2.5</w:t>
            </w:r>
          </w:p>
        </w:tc>
        <w:tc>
          <w:tcPr>
            <w:tcW w:w="7224" w:type="dxa"/>
            <w:tcMar>
              <w:top w:w="100" w:type="dxa"/>
              <w:left w:w="120" w:type="dxa"/>
              <w:bottom w:w="100" w:type="dxa"/>
              <w:right w:w="120" w:type="dxa"/>
            </w:tcMar>
            <w:vAlign w:val="center"/>
          </w:tcPr>
          <w:p w14:paraId="4E3CDB36" w14:textId="77777777" w:rsidR="00DC073C" w:rsidRDefault="00000000">
            <w:pPr>
              <w:spacing w:line="252" w:lineRule="auto"/>
            </w:pPr>
            <w:r>
              <w:rPr>
                <w:rFonts w:ascii="Calibri" w:hAnsi="Calibri"/>
                <w:color w:val="000000"/>
                <w:sz w:val="18"/>
              </w:rPr>
              <w:t>Performance, Privacy and Security Trade-offs</w:t>
            </w:r>
          </w:p>
        </w:tc>
        <w:tc>
          <w:tcPr>
            <w:tcW w:w="900" w:type="dxa"/>
            <w:tcMar>
              <w:top w:w="100" w:type="dxa"/>
              <w:left w:w="120" w:type="dxa"/>
              <w:bottom w:w="100" w:type="dxa"/>
              <w:right w:w="120" w:type="dxa"/>
            </w:tcMar>
            <w:vAlign w:val="center"/>
          </w:tcPr>
          <w:p w14:paraId="0FB2955D" w14:textId="77777777" w:rsidR="00DC073C" w:rsidRDefault="00000000">
            <w:pPr>
              <w:spacing w:line="252" w:lineRule="auto"/>
              <w:jc w:val="center"/>
            </w:pPr>
            <w:r>
              <w:rPr>
                <w:rFonts w:ascii="Calibri" w:hAnsi="Calibri"/>
                <w:color w:val="000000"/>
                <w:sz w:val="18"/>
              </w:rPr>
              <w:t>6</w:t>
            </w:r>
          </w:p>
        </w:tc>
      </w:tr>
      <w:tr w:rsidR="00DC073C" w14:paraId="67EBB837" w14:textId="77777777">
        <w:tc>
          <w:tcPr>
            <w:tcW w:w="900" w:type="dxa"/>
            <w:shd w:val="clear" w:color="auto" w:fill="F7F9FC"/>
            <w:tcMar>
              <w:top w:w="100" w:type="dxa"/>
              <w:left w:w="120" w:type="dxa"/>
              <w:bottom w:w="100" w:type="dxa"/>
              <w:right w:w="120" w:type="dxa"/>
            </w:tcMar>
            <w:vAlign w:val="center"/>
          </w:tcPr>
          <w:p w14:paraId="40DA313B" w14:textId="77777777" w:rsidR="00DC073C" w:rsidRDefault="00000000">
            <w:pPr>
              <w:spacing w:line="252" w:lineRule="auto"/>
              <w:jc w:val="center"/>
            </w:pPr>
            <w:r>
              <w:rPr>
                <w:rFonts w:ascii="Calibri" w:hAnsi="Calibri"/>
                <w:color w:val="000000"/>
                <w:sz w:val="18"/>
              </w:rPr>
              <w:t>2.6</w:t>
            </w:r>
          </w:p>
        </w:tc>
        <w:tc>
          <w:tcPr>
            <w:tcW w:w="7224" w:type="dxa"/>
            <w:shd w:val="clear" w:color="auto" w:fill="F7F9FC"/>
            <w:tcMar>
              <w:top w:w="100" w:type="dxa"/>
              <w:left w:w="120" w:type="dxa"/>
              <w:bottom w:w="100" w:type="dxa"/>
              <w:right w:w="120" w:type="dxa"/>
            </w:tcMar>
            <w:vAlign w:val="center"/>
          </w:tcPr>
          <w:p w14:paraId="0D9F8E76" w14:textId="77777777" w:rsidR="00DC073C" w:rsidRDefault="00000000">
            <w:pPr>
              <w:spacing w:line="252" w:lineRule="auto"/>
            </w:pPr>
            <w:r>
              <w:rPr>
                <w:rFonts w:ascii="Calibri" w:hAnsi="Calibri"/>
                <w:color w:val="000000"/>
                <w:sz w:val="18"/>
              </w:rPr>
              <w:t>Summary of Reviewed Studies</w:t>
            </w:r>
          </w:p>
        </w:tc>
        <w:tc>
          <w:tcPr>
            <w:tcW w:w="900" w:type="dxa"/>
            <w:shd w:val="clear" w:color="auto" w:fill="F7F9FC"/>
            <w:tcMar>
              <w:top w:w="100" w:type="dxa"/>
              <w:left w:w="120" w:type="dxa"/>
              <w:bottom w:w="100" w:type="dxa"/>
              <w:right w:w="120" w:type="dxa"/>
            </w:tcMar>
            <w:vAlign w:val="center"/>
          </w:tcPr>
          <w:p w14:paraId="3D28F92B" w14:textId="77777777" w:rsidR="00DC073C" w:rsidRDefault="00000000">
            <w:pPr>
              <w:spacing w:line="252" w:lineRule="auto"/>
              <w:jc w:val="center"/>
            </w:pPr>
            <w:r>
              <w:rPr>
                <w:rFonts w:ascii="Calibri" w:hAnsi="Calibri"/>
                <w:color w:val="000000"/>
                <w:sz w:val="18"/>
              </w:rPr>
              <w:t>7</w:t>
            </w:r>
          </w:p>
        </w:tc>
      </w:tr>
      <w:tr w:rsidR="00DC073C" w14:paraId="52DF5E98" w14:textId="77777777">
        <w:tc>
          <w:tcPr>
            <w:tcW w:w="900" w:type="dxa"/>
            <w:tcMar>
              <w:top w:w="100" w:type="dxa"/>
              <w:left w:w="120" w:type="dxa"/>
              <w:bottom w:w="100" w:type="dxa"/>
              <w:right w:w="120" w:type="dxa"/>
            </w:tcMar>
            <w:vAlign w:val="center"/>
          </w:tcPr>
          <w:p w14:paraId="59070EC3" w14:textId="77777777" w:rsidR="00DC073C" w:rsidRDefault="00000000">
            <w:pPr>
              <w:spacing w:line="252" w:lineRule="auto"/>
              <w:jc w:val="center"/>
            </w:pPr>
            <w:r>
              <w:rPr>
                <w:rFonts w:ascii="Calibri" w:hAnsi="Calibri"/>
                <w:color w:val="000000"/>
                <w:sz w:val="18"/>
              </w:rPr>
              <w:t>2.7</w:t>
            </w:r>
          </w:p>
        </w:tc>
        <w:tc>
          <w:tcPr>
            <w:tcW w:w="7224" w:type="dxa"/>
            <w:tcMar>
              <w:top w:w="100" w:type="dxa"/>
              <w:left w:w="120" w:type="dxa"/>
              <w:bottom w:w="100" w:type="dxa"/>
              <w:right w:w="120" w:type="dxa"/>
            </w:tcMar>
            <w:vAlign w:val="center"/>
          </w:tcPr>
          <w:p w14:paraId="7ECE478C" w14:textId="77777777" w:rsidR="00DC073C" w:rsidRDefault="00000000">
            <w:pPr>
              <w:spacing w:line="252" w:lineRule="auto"/>
            </w:pPr>
            <w:r>
              <w:rPr>
                <w:rFonts w:ascii="Calibri" w:hAnsi="Calibri"/>
                <w:color w:val="000000"/>
                <w:sz w:val="18"/>
              </w:rPr>
              <w:t>Position of the Present Study</w:t>
            </w:r>
          </w:p>
        </w:tc>
        <w:tc>
          <w:tcPr>
            <w:tcW w:w="900" w:type="dxa"/>
            <w:tcMar>
              <w:top w:w="100" w:type="dxa"/>
              <w:left w:w="120" w:type="dxa"/>
              <w:bottom w:w="100" w:type="dxa"/>
              <w:right w:w="120" w:type="dxa"/>
            </w:tcMar>
            <w:vAlign w:val="center"/>
          </w:tcPr>
          <w:p w14:paraId="4A9BB79A" w14:textId="77777777" w:rsidR="00DC073C" w:rsidRDefault="00000000">
            <w:pPr>
              <w:spacing w:line="252" w:lineRule="auto"/>
              <w:jc w:val="center"/>
            </w:pPr>
            <w:r>
              <w:rPr>
                <w:rFonts w:ascii="Calibri" w:hAnsi="Calibri"/>
                <w:color w:val="000000"/>
                <w:sz w:val="18"/>
              </w:rPr>
              <w:t>8</w:t>
            </w:r>
          </w:p>
        </w:tc>
      </w:tr>
      <w:tr w:rsidR="00DC073C" w14:paraId="7C0F4F9C" w14:textId="77777777">
        <w:tc>
          <w:tcPr>
            <w:tcW w:w="900" w:type="dxa"/>
            <w:shd w:val="clear" w:color="auto" w:fill="F7F9FC"/>
            <w:tcMar>
              <w:top w:w="100" w:type="dxa"/>
              <w:left w:w="120" w:type="dxa"/>
              <w:bottom w:w="100" w:type="dxa"/>
              <w:right w:w="120" w:type="dxa"/>
            </w:tcMar>
            <w:vAlign w:val="center"/>
          </w:tcPr>
          <w:p w14:paraId="5E3CCA47" w14:textId="77777777" w:rsidR="00DC073C" w:rsidRDefault="00000000">
            <w:pPr>
              <w:spacing w:line="252" w:lineRule="auto"/>
              <w:jc w:val="center"/>
            </w:pPr>
            <w:r>
              <w:rPr>
                <w:rFonts w:ascii="Calibri" w:hAnsi="Calibri"/>
                <w:color w:val="000000"/>
                <w:sz w:val="18"/>
              </w:rPr>
              <w:t>3</w:t>
            </w:r>
          </w:p>
        </w:tc>
        <w:tc>
          <w:tcPr>
            <w:tcW w:w="7224" w:type="dxa"/>
            <w:shd w:val="clear" w:color="auto" w:fill="F7F9FC"/>
            <w:tcMar>
              <w:top w:w="100" w:type="dxa"/>
              <w:left w:w="120" w:type="dxa"/>
              <w:bottom w:w="100" w:type="dxa"/>
              <w:right w:w="120" w:type="dxa"/>
            </w:tcMar>
            <w:vAlign w:val="center"/>
          </w:tcPr>
          <w:p w14:paraId="5D28F68F" w14:textId="77777777" w:rsidR="00DC073C" w:rsidRDefault="00000000">
            <w:pPr>
              <w:spacing w:line="252" w:lineRule="auto"/>
            </w:pPr>
            <w:r>
              <w:rPr>
                <w:rFonts w:ascii="Calibri" w:hAnsi="Calibri"/>
                <w:color w:val="000000"/>
                <w:sz w:val="18"/>
              </w:rPr>
              <w:t>Research Design and Methodology</w:t>
            </w:r>
          </w:p>
        </w:tc>
        <w:tc>
          <w:tcPr>
            <w:tcW w:w="900" w:type="dxa"/>
            <w:shd w:val="clear" w:color="auto" w:fill="F7F9FC"/>
            <w:tcMar>
              <w:top w:w="100" w:type="dxa"/>
              <w:left w:w="120" w:type="dxa"/>
              <w:bottom w:w="100" w:type="dxa"/>
              <w:right w:w="120" w:type="dxa"/>
            </w:tcMar>
            <w:vAlign w:val="center"/>
          </w:tcPr>
          <w:p w14:paraId="0787B3F4" w14:textId="77777777" w:rsidR="00DC073C" w:rsidRDefault="00000000">
            <w:pPr>
              <w:spacing w:line="252" w:lineRule="auto"/>
              <w:jc w:val="center"/>
            </w:pPr>
            <w:r>
              <w:rPr>
                <w:rFonts w:ascii="Calibri" w:hAnsi="Calibri"/>
                <w:color w:val="000000"/>
                <w:sz w:val="18"/>
              </w:rPr>
              <w:t>8</w:t>
            </w:r>
          </w:p>
        </w:tc>
      </w:tr>
      <w:tr w:rsidR="00DC073C" w14:paraId="3D0BE1FC" w14:textId="77777777">
        <w:tc>
          <w:tcPr>
            <w:tcW w:w="900" w:type="dxa"/>
            <w:tcMar>
              <w:top w:w="100" w:type="dxa"/>
              <w:left w:w="120" w:type="dxa"/>
              <w:bottom w:w="100" w:type="dxa"/>
              <w:right w:w="120" w:type="dxa"/>
            </w:tcMar>
            <w:vAlign w:val="center"/>
          </w:tcPr>
          <w:p w14:paraId="726E07CF" w14:textId="77777777" w:rsidR="00DC073C" w:rsidRDefault="00000000">
            <w:pPr>
              <w:spacing w:line="252" w:lineRule="auto"/>
              <w:jc w:val="center"/>
            </w:pPr>
            <w:r>
              <w:rPr>
                <w:rFonts w:ascii="Calibri" w:hAnsi="Calibri"/>
                <w:color w:val="000000"/>
                <w:sz w:val="18"/>
              </w:rPr>
              <w:t>3.1</w:t>
            </w:r>
          </w:p>
        </w:tc>
        <w:tc>
          <w:tcPr>
            <w:tcW w:w="7224" w:type="dxa"/>
            <w:tcMar>
              <w:top w:w="100" w:type="dxa"/>
              <w:left w:w="120" w:type="dxa"/>
              <w:bottom w:w="100" w:type="dxa"/>
              <w:right w:w="120" w:type="dxa"/>
            </w:tcMar>
            <w:vAlign w:val="center"/>
          </w:tcPr>
          <w:p w14:paraId="022E7F06" w14:textId="77777777" w:rsidR="00DC073C" w:rsidRDefault="00000000">
            <w:pPr>
              <w:spacing w:line="252" w:lineRule="auto"/>
            </w:pPr>
            <w:r>
              <w:rPr>
                <w:rFonts w:ascii="Calibri" w:hAnsi="Calibri"/>
                <w:color w:val="000000"/>
                <w:sz w:val="18"/>
              </w:rPr>
              <w:t>Research Design</w:t>
            </w:r>
          </w:p>
        </w:tc>
        <w:tc>
          <w:tcPr>
            <w:tcW w:w="900" w:type="dxa"/>
            <w:tcMar>
              <w:top w:w="100" w:type="dxa"/>
              <w:left w:w="120" w:type="dxa"/>
              <w:bottom w:w="100" w:type="dxa"/>
              <w:right w:w="120" w:type="dxa"/>
            </w:tcMar>
            <w:vAlign w:val="center"/>
          </w:tcPr>
          <w:p w14:paraId="4CCBAF2B" w14:textId="77777777" w:rsidR="00DC073C" w:rsidRDefault="00000000">
            <w:pPr>
              <w:spacing w:line="252" w:lineRule="auto"/>
              <w:jc w:val="center"/>
            </w:pPr>
            <w:r>
              <w:rPr>
                <w:rFonts w:ascii="Calibri" w:hAnsi="Calibri"/>
                <w:color w:val="000000"/>
                <w:sz w:val="18"/>
              </w:rPr>
              <w:t>8</w:t>
            </w:r>
          </w:p>
        </w:tc>
      </w:tr>
      <w:tr w:rsidR="00DC073C" w14:paraId="03521FA1" w14:textId="77777777">
        <w:tc>
          <w:tcPr>
            <w:tcW w:w="900" w:type="dxa"/>
            <w:shd w:val="clear" w:color="auto" w:fill="F7F9FC"/>
            <w:tcMar>
              <w:top w:w="100" w:type="dxa"/>
              <w:left w:w="120" w:type="dxa"/>
              <w:bottom w:w="100" w:type="dxa"/>
              <w:right w:w="120" w:type="dxa"/>
            </w:tcMar>
            <w:vAlign w:val="center"/>
          </w:tcPr>
          <w:p w14:paraId="0BE95778" w14:textId="77777777" w:rsidR="00DC073C" w:rsidRDefault="00000000">
            <w:pPr>
              <w:spacing w:line="252" w:lineRule="auto"/>
              <w:jc w:val="center"/>
            </w:pPr>
            <w:r>
              <w:rPr>
                <w:rFonts w:ascii="Calibri" w:hAnsi="Calibri"/>
                <w:color w:val="000000"/>
                <w:sz w:val="18"/>
              </w:rPr>
              <w:t>3.2</w:t>
            </w:r>
          </w:p>
        </w:tc>
        <w:tc>
          <w:tcPr>
            <w:tcW w:w="7224" w:type="dxa"/>
            <w:shd w:val="clear" w:color="auto" w:fill="F7F9FC"/>
            <w:tcMar>
              <w:top w:w="100" w:type="dxa"/>
              <w:left w:w="120" w:type="dxa"/>
              <w:bottom w:w="100" w:type="dxa"/>
              <w:right w:w="120" w:type="dxa"/>
            </w:tcMar>
            <w:vAlign w:val="center"/>
          </w:tcPr>
          <w:p w14:paraId="11CD3EAF" w14:textId="77777777" w:rsidR="00DC073C" w:rsidRDefault="00000000">
            <w:pPr>
              <w:spacing w:line="252" w:lineRule="auto"/>
            </w:pPr>
            <w:r>
              <w:rPr>
                <w:rFonts w:ascii="Calibri" w:hAnsi="Calibri"/>
                <w:color w:val="000000"/>
                <w:sz w:val="18"/>
              </w:rPr>
              <w:t>Research Methods and Materials</w:t>
            </w:r>
          </w:p>
        </w:tc>
        <w:tc>
          <w:tcPr>
            <w:tcW w:w="900" w:type="dxa"/>
            <w:shd w:val="clear" w:color="auto" w:fill="F7F9FC"/>
            <w:tcMar>
              <w:top w:w="100" w:type="dxa"/>
              <w:left w:w="120" w:type="dxa"/>
              <w:bottom w:w="100" w:type="dxa"/>
              <w:right w:w="120" w:type="dxa"/>
            </w:tcMar>
            <w:vAlign w:val="center"/>
          </w:tcPr>
          <w:p w14:paraId="09EA79DF" w14:textId="77777777" w:rsidR="00DC073C" w:rsidRDefault="00000000">
            <w:pPr>
              <w:spacing w:line="252" w:lineRule="auto"/>
              <w:jc w:val="center"/>
            </w:pPr>
            <w:r>
              <w:rPr>
                <w:rFonts w:ascii="Calibri" w:hAnsi="Calibri"/>
                <w:color w:val="000000"/>
                <w:sz w:val="18"/>
              </w:rPr>
              <w:t>9</w:t>
            </w:r>
          </w:p>
        </w:tc>
      </w:tr>
      <w:tr w:rsidR="00DC073C" w14:paraId="77880B5A" w14:textId="77777777">
        <w:tc>
          <w:tcPr>
            <w:tcW w:w="900" w:type="dxa"/>
            <w:tcMar>
              <w:top w:w="100" w:type="dxa"/>
              <w:left w:w="120" w:type="dxa"/>
              <w:bottom w:w="100" w:type="dxa"/>
              <w:right w:w="120" w:type="dxa"/>
            </w:tcMar>
            <w:vAlign w:val="center"/>
          </w:tcPr>
          <w:p w14:paraId="00941F23" w14:textId="77777777" w:rsidR="00DC073C" w:rsidRDefault="00000000">
            <w:pPr>
              <w:spacing w:line="252" w:lineRule="auto"/>
              <w:jc w:val="center"/>
            </w:pPr>
            <w:r>
              <w:rPr>
                <w:rFonts w:ascii="Calibri" w:hAnsi="Calibri"/>
                <w:color w:val="000000"/>
                <w:sz w:val="18"/>
              </w:rPr>
              <w:t>3.2.1</w:t>
            </w:r>
          </w:p>
        </w:tc>
        <w:tc>
          <w:tcPr>
            <w:tcW w:w="7224" w:type="dxa"/>
            <w:tcMar>
              <w:top w:w="100" w:type="dxa"/>
              <w:left w:w="120" w:type="dxa"/>
              <w:bottom w:w="100" w:type="dxa"/>
              <w:right w:w="120" w:type="dxa"/>
            </w:tcMar>
            <w:vAlign w:val="center"/>
          </w:tcPr>
          <w:p w14:paraId="4D7B254F" w14:textId="77777777" w:rsidR="00DC073C" w:rsidRDefault="00000000">
            <w:pPr>
              <w:spacing w:line="252" w:lineRule="auto"/>
            </w:pPr>
            <w:r>
              <w:rPr>
                <w:rFonts w:ascii="Calibri" w:hAnsi="Calibri"/>
                <w:color w:val="000000"/>
                <w:sz w:val="18"/>
              </w:rPr>
              <w:t>Methods</w:t>
            </w:r>
          </w:p>
        </w:tc>
        <w:tc>
          <w:tcPr>
            <w:tcW w:w="900" w:type="dxa"/>
            <w:tcMar>
              <w:top w:w="100" w:type="dxa"/>
              <w:left w:w="120" w:type="dxa"/>
              <w:bottom w:w="100" w:type="dxa"/>
              <w:right w:w="120" w:type="dxa"/>
            </w:tcMar>
            <w:vAlign w:val="center"/>
          </w:tcPr>
          <w:p w14:paraId="08531CE4" w14:textId="77777777" w:rsidR="00DC073C" w:rsidRDefault="00000000">
            <w:pPr>
              <w:spacing w:line="252" w:lineRule="auto"/>
              <w:jc w:val="center"/>
            </w:pPr>
            <w:r>
              <w:rPr>
                <w:rFonts w:ascii="Calibri" w:hAnsi="Calibri"/>
                <w:color w:val="000000"/>
                <w:sz w:val="18"/>
              </w:rPr>
              <w:t>9</w:t>
            </w:r>
          </w:p>
        </w:tc>
      </w:tr>
      <w:tr w:rsidR="00DC073C" w14:paraId="1015E18C" w14:textId="77777777">
        <w:tc>
          <w:tcPr>
            <w:tcW w:w="900" w:type="dxa"/>
            <w:shd w:val="clear" w:color="auto" w:fill="F7F9FC"/>
            <w:tcMar>
              <w:top w:w="100" w:type="dxa"/>
              <w:left w:w="120" w:type="dxa"/>
              <w:bottom w:w="100" w:type="dxa"/>
              <w:right w:w="120" w:type="dxa"/>
            </w:tcMar>
            <w:vAlign w:val="center"/>
          </w:tcPr>
          <w:p w14:paraId="39286233" w14:textId="77777777" w:rsidR="00DC073C" w:rsidRDefault="00000000">
            <w:pPr>
              <w:spacing w:line="252" w:lineRule="auto"/>
              <w:jc w:val="center"/>
            </w:pPr>
            <w:r>
              <w:rPr>
                <w:rFonts w:ascii="Calibri" w:hAnsi="Calibri"/>
                <w:color w:val="000000"/>
                <w:sz w:val="18"/>
              </w:rPr>
              <w:t>3.2.2</w:t>
            </w:r>
          </w:p>
        </w:tc>
        <w:tc>
          <w:tcPr>
            <w:tcW w:w="7224" w:type="dxa"/>
            <w:shd w:val="clear" w:color="auto" w:fill="F7F9FC"/>
            <w:tcMar>
              <w:top w:w="100" w:type="dxa"/>
              <w:left w:w="120" w:type="dxa"/>
              <w:bottom w:w="100" w:type="dxa"/>
              <w:right w:w="120" w:type="dxa"/>
            </w:tcMar>
            <w:vAlign w:val="center"/>
          </w:tcPr>
          <w:p w14:paraId="5D4C0495" w14:textId="77777777" w:rsidR="00DC073C" w:rsidRDefault="00000000">
            <w:pPr>
              <w:spacing w:line="252" w:lineRule="auto"/>
            </w:pPr>
            <w:r>
              <w:rPr>
                <w:rFonts w:ascii="Calibri" w:hAnsi="Calibri"/>
                <w:color w:val="000000"/>
                <w:sz w:val="18"/>
              </w:rPr>
              <w:t>Materials</w:t>
            </w:r>
          </w:p>
        </w:tc>
        <w:tc>
          <w:tcPr>
            <w:tcW w:w="900" w:type="dxa"/>
            <w:shd w:val="clear" w:color="auto" w:fill="F7F9FC"/>
            <w:tcMar>
              <w:top w:w="100" w:type="dxa"/>
              <w:left w:w="120" w:type="dxa"/>
              <w:bottom w:w="100" w:type="dxa"/>
              <w:right w:w="120" w:type="dxa"/>
            </w:tcMar>
            <w:vAlign w:val="center"/>
          </w:tcPr>
          <w:p w14:paraId="4858C1F6" w14:textId="77777777" w:rsidR="00DC073C" w:rsidRDefault="00000000">
            <w:pPr>
              <w:spacing w:line="252" w:lineRule="auto"/>
              <w:jc w:val="center"/>
            </w:pPr>
            <w:r>
              <w:rPr>
                <w:rFonts w:ascii="Calibri" w:hAnsi="Calibri"/>
                <w:color w:val="000000"/>
                <w:sz w:val="18"/>
              </w:rPr>
              <w:t>10</w:t>
            </w:r>
          </w:p>
        </w:tc>
      </w:tr>
      <w:tr w:rsidR="00DC073C" w14:paraId="3F7DA0A6" w14:textId="77777777">
        <w:tc>
          <w:tcPr>
            <w:tcW w:w="900" w:type="dxa"/>
            <w:tcMar>
              <w:top w:w="100" w:type="dxa"/>
              <w:left w:w="120" w:type="dxa"/>
              <w:bottom w:w="100" w:type="dxa"/>
              <w:right w:w="120" w:type="dxa"/>
            </w:tcMar>
            <w:vAlign w:val="center"/>
          </w:tcPr>
          <w:p w14:paraId="327A6FE8" w14:textId="77777777" w:rsidR="00DC073C" w:rsidRDefault="00000000">
            <w:pPr>
              <w:spacing w:line="252" w:lineRule="auto"/>
              <w:jc w:val="center"/>
            </w:pPr>
            <w:r>
              <w:rPr>
                <w:rFonts w:ascii="Calibri" w:hAnsi="Calibri"/>
                <w:color w:val="000000"/>
                <w:sz w:val="18"/>
              </w:rPr>
              <w:t>4</w:t>
            </w:r>
          </w:p>
        </w:tc>
        <w:tc>
          <w:tcPr>
            <w:tcW w:w="7224" w:type="dxa"/>
            <w:tcMar>
              <w:top w:w="100" w:type="dxa"/>
              <w:left w:w="120" w:type="dxa"/>
              <w:bottom w:w="100" w:type="dxa"/>
              <w:right w:w="120" w:type="dxa"/>
            </w:tcMar>
            <w:vAlign w:val="center"/>
          </w:tcPr>
          <w:p w14:paraId="1E23EC07" w14:textId="77777777" w:rsidR="00DC073C" w:rsidRDefault="00000000">
            <w:pPr>
              <w:spacing w:line="252" w:lineRule="auto"/>
            </w:pPr>
            <w:r>
              <w:rPr>
                <w:rFonts w:ascii="Calibri" w:hAnsi="Calibri"/>
                <w:color w:val="000000"/>
                <w:sz w:val="18"/>
              </w:rPr>
              <w:t>Expected Outcomes</w:t>
            </w:r>
          </w:p>
        </w:tc>
        <w:tc>
          <w:tcPr>
            <w:tcW w:w="900" w:type="dxa"/>
            <w:tcMar>
              <w:top w:w="100" w:type="dxa"/>
              <w:left w:w="120" w:type="dxa"/>
              <w:bottom w:w="100" w:type="dxa"/>
              <w:right w:w="120" w:type="dxa"/>
            </w:tcMar>
            <w:vAlign w:val="center"/>
          </w:tcPr>
          <w:p w14:paraId="63228CBA" w14:textId="77777777" w:rsidR="00DC073C" w:rsidRDefault="00000000">
            <w:pPr>
              <w:spacing w:line="252" w:lineRule="auto"/>
              <w:jc w:val="center"/>
            </w:pPr>
            <w:r>
              <w:rPr>
                <w:rFonts w:ascii="Calibri" w:hAnsi="Calibri"/>
                <w:color w:val="000000"/>
                <w:sz w:val="18"/>
              </w:rPr>
              <w:t>10</w:t>
            </w:r>
          </w:p>
        </w:tc>
      </w:tr>
      <w:tr w:rsidR="00DC073C" w14:paraId="18D6B9C6" w14:textId="77777777">
        <w:tc>
          <w:tcPr>
            <w:tcW w:w="900" w:type="dxa"/>
            <w:shd w:val="clear" w:color="auto" w:fill="F7F9FC"/>
            <w:tcMar>
              <w:top w:w="100" w:type="dxa"/>
              <w:left w:w="120" w:type="dxa"/>
              <w:bottom w:w="100" w:type="dxa"/>
              <w:right w:w="120" w:type="dxa"/>
            </w:tcMar>
            <w:vAlign w:val="center"/>
          </w:tcPr>
          <w:p w14:paraId="5188DB6B" w14:textId="77777777" w:rsidR="00DC073C" w:rsidRDefault="00000000">
            <w:pPr>
              <w:spacing w:line="252" w:lineRule="auto"/>
              <w:jc w:val="center"/>
            </w:pPr>
            <w:r>
              <w:rPr>
                <w:rFonts w:ascii="Calibri" w:hAnsi="Calibri"/>
                <w:color w:val="000000"/>
                <w:sz w:val="18"/>
              </w:rPr>
              <w:t>5</w:t>
            </w:r>
          </w:p>
        </w:tc>
        <w:tc>
          <w:tcPr>
            <w:tcW w:w="7224" w:type="dxa"/>
            <w:shd w:val="clear" w:color="auto" w:fill="F7F9FC"/>
            <w:tcMar>
              <w:top w:w="100" w:type="dxa"/>
              <w:left w:w="120" w:type="dxa"/>
              <w:bottom w:w="100" w:type="dxa"/>
              <w:right w:w="120" w:type="dxa"/>
            </w:tcMar>
            <w:vAlign w:val="center"/>
          </w:tcPr>
          <w:p w14:paraId="0A566CEB" w14:textId="77777777" w:rsidR="00DC073C" w:rsidRDefault="00000000">
            <w:pPr>
              <w:spacing w:line="252" w:lineRule="auto"/>
            </w:pPr>
            <w:r>
              <w:rPr>
                <w:rFonts w:ascii="Calibri" w:hAnsi="Calibri"/>
                <w:color w:val="000000"/>
                <w:sz w:val="18"/>
              </w:rPr>
              <w:t>Timeline</w:t>
            </w:r>
          </w:p>
        </w:tc>
        <w:tc>
          <w:tcPr>
            <w:tcW w:w="900" w:type="dxa"/>
            <w:shd w:val="clear" w:color="auto" w:fill="F7F9FC"/>
            <w:tcMar>
              <w:top w:w="100" w:type="dxa"/>
              <w:left w:w="120" w:type="dxa"/>
              <w:bottom w:w="100" w:type="dxa"/>
              <w:right w:w="120" w:type="dxa"/>
            </w:tcMar>
            <w:vAlign w:val="center"/>
          </w:tcPr>
          <w:p w14:paraId="309D2D11" w14:textId="77777777" w:rsidR="00DC073C" w:rsidRDefault="00000000">
            <w:pPr>
              <w:spacing w:line="252" w:lineRule="auto"/>
              <w:jc w:val="center"/>
            </w:pPr>
            <w:r>
              <w:rPr>
                <w:rFonts w:ascii="Calibri" w:hAnsi="Calibri"/>
                <w:color w:val="000000"/>
                <w:sz w:val="18"/>
              </w:rPr>
              <w:t>11</w:t>
            </w:r>
          </w:p>
        </w:tc>
      </w:tr>
      <w:tr w:rsidR="00DC073C" w14:paraId="41060499" w14:textId="77777777">
        <w:tc>
          <w:tcPr>
            <w:tcW w:w="900" w:type="dxa"/>
            <w:tcMar>
              <w:top w:w="100" w:type="dxa"/>
              <w:left w:w="120" w:type="dxa"/>
              <w:bottom w:w="100" w:type="dxa"/>
              <w:right w:w="120" w:type="dxa"/>
            </w:tcMar>
            <w:vAlign w:val="center"/>
          </w:tcPr>
          <w:p w14:paraId="00A1972F" w14:textId="77777777" w:rsidR="00DC073C" w:rsidRDefault="00000000">
            <w:pPr>
              <w:spacing w:line="252" w:lineRule="auto"/>
              <w:jc w:val="center"/>
            </w:pPr>
            <w:r>
              <w:rPr>
                <w:rFonts w:ascii="Calibri" w:hAnsi="Calibri"/>
                <w:color w:val="000000"/>
                <w:sz w:val="18"/>
              </w:rPr>
              <w:t>6</w:t>
            </w:r>
          </w:p>
        </w:tc>
        <w:tc>
          <w:tcPr>
            <w:tcW w:w="7224" w:type="dxa"/>
            <w:tcMar>
              <w:top w:w="100" w:type="dxa"/>
              <w:left w:w="120" w:type="dxa"/>
              <w:bottom w:w="100" w:type="dxa"/>
              <w:right w:w="120" w:type="dxa"/>
            </w:tcMar>
            <w:vAlign w:val="center"/>
          </w:tcPr>
          <w:p w14:paraId="523186AB" w14:textId="77777777" w:rsidR="00DC073C" w:rsidRDefault="00000000">
            <w:pPr>
              <w:spacing w:line="252" w:lineRule="auto"/>
            </w:pPr>
            <w:r>
              <w:rPr>
                <w:rFonts w:ascii="Calibri" w:hAnsi="Calibri"/>
                <w:color w:val="000000"/>
                <w:sz w:val="18"/>
              </w:rPr>
              <w:t>Overall Presentation of the Proposal</w:t>
            </w:r>
          </w:p>
        </w:tc>
        <w:tc>
          <w:tcPr>
            <w:tcW w:w="900" w:type="dxa"/>
            <w:tcMar>
              <w:top w:w="100" w:type="dxa"/>
              <w:left w:w="120" w:type="dxa"/>
              <w:bottom w:w="100" w:type="dxa"/>
              <w:right w:w="120" w:type="dxa"/>
            </w:tcMar>
            <w:vAlign w:val="center"/>
          </w:tcPr>
          <w:p w14:paraId="5108287C" w14:textId="77777777" w:rsidR="00DC073C" w:rsidRDefault="00000000">
            <w:pPr>
              <w:spacing w:line="252" w:lineRule="auto"/>
              <w:jc w:val="center"/>
            </w:pPr>
            <w:r>
              <w:rPr>
                <w:rFonts w:ascii="Calibri" w:hAnsi="Calibri"/>
                <w:color w:val="000000"/>
                <w:sz w:val="18"/>
              </w:rPr>
              <w:t>11</w:t>
            </w:r>
          </w:p>
        </w:tc>
      </w:tr>
      <w:tr w:rsidR="00DC073C" w14:paraId="6F62278C" w14:textId="77777777">
        <w:tc>
          <w:tcPr>
            <w:tcW w:w="900" w:type="dxa"/>
            <w:shd w:val="clear" w:color="auto" w:fill="F7F9FC"/>
            <w:tcMar>
              <w:top w:w="100" w:type="dxa"/>
              <w:left w:w="120" w:type="dxa"/>
              <w:bottom w:w="100" w:type="dxa"/>
              <w:right w:w="120" w:type="dxa"/>
            </w:tcMar>
            <w:vAlign w:val="center"/>
          </w:tcPr>
          <w:p w14:paraId="1EEB3C79" w14:textId="77777777" w:rsidR="00DC073C" w:rsidRDefault="00000000">
            <w:pPr>
              <w:spacing w:line="252" w:lineRule="auto"/>
              <w:jc w:val="center"/>
            </w:pPr>
            <w:r>
              <w:rPr>
                <w:rFonts w:ascii="Calibri" w:hAnsi="Calibri"/>
                <w:color w:val="000000"/>
                <w:sz w:val="18"/>
              </w:rPr>
              <w:t>7</w:t>
            </w:r>
          </w:p>
        </w:tc>
        <w:tc>
          <w:tcPr>
            <w:tcW w:w="7224" w:type="dxa"/>
            <w:shd w:val="clear" w:color="auto" w:fill="F7F9FC"/>
            <w:tcMar>
              <w:top w:w="100" w:type="dxa"/>
              <w:left w:w="120" w:type="dxa"/>
              <w:bottom w:w="100" w:type="dxa"/>
              <w:right w:w="120" w:type="dxa"/>
            </w:tcMar>
            <w:vAlign w:val="center"/>
          </w:tcPr>
          <w:p w14:paraId="417BAE19" w14:textId="77777777" w:rsidR="00DC073C" w:rsidRDefault="00000000">
            <w:pPr>
              <w:spacing w:line="252" w:lineRule="auto"/>
            </w:pPr>
            <w:r>
              <w:rPr>
                <w:rFonts w:ascii="Calibri" w:hAnsi="Calibri"/>
                <w:color w:val="000000"/>
                <w:sz w:val="18"/>
              </w:rPr>
              <w:t>References</w:t>
            </w:r>
          </w:p>
        </w:tc>
        <w:tc>
          <w:tcPr>
            <w:tcW w:w="900" w:type="dxa"/>
            <w:shd w:val="clear" w:color="auto" w:fill="F7F9FC"/>
            <w:tcMar>
              <w:top w:w="100" w:type="dxa"/>
              <w:left w:w="120" w:type="dxa"/>
              <w:bottom w:w="100" w:type="dxa"/>
              <w:right w:w="120" w:type="dxa"/>
            </w:tcMar>
            <w:vAlign w:val="center"/>
          </w:tcPr>
          <w:p w14:paraId="40D2BB24" w14:textId="77777777" w:rsidR="00DC073C" w:rsidRDefault="00000000">
            <w:pPr>
              <w:spacing w:line="252" w:lineRule="auto"/>
              <w:jc w:val="center"/>
            </w:pPr>
            <w:r>
              <w:rPr>
                <w:rFonts w:ascii="Calibri" w:hAnsi="Calibri"/>
                <w:color w:val="000000"/>
                <w:sz w:val="18"/>
              </w:rPr>
              <w:t>12</w:t>
            </w:r>
          </w:p>
        </w:tc>
      </w:tr>
    </w:tbl>
    <w:p w14:paraId="23940D0A" w14:textId="77777777" w:rsidR="00DC073C" w:rsidRDefault="00000000">
      <w:r>
        <w:br w:type="page"/>
      </w:r>
    </w:p>
    <w:p w14:paraId="01C4F0C2" w14:textId="77777777" w:rsidR="00DC073C" w:rsidRDefault="00000000">
      <w:pPr>
        <w:pStyle w:val="Heading1"/>
        <w:keepNext/>
        <w:keepLines/>
        <w:spacing w:before="300" w:after="140"/>
      </w:pPr>
      <w:r>
        <w:rPr>
          <w:rFonts w:ascii="Calibri" w:hAnsi="Calibri"/>
          <w:b/>
          <w:color w:val="000000"/>
          <w:sz w:val="27"/>
        </w:rPr>
        <w:lastRenderedPageBreak/>
        <w:t>1. Introduction</w:t>
      </w:r>
    </w:p>
    <w:p w14:paraId="7B54F7D2" w14:textId="77777777" w:rsidR="00DC073C" w:rsidRDefault="00000000">
      <w:pPr>
        <w:pStyle w:val="Heading2"/>
        <w:keepNext/>
        <w:keepLines/>
        <w:spacing w:before="200" w:after="110"/>
      </w:pPr>
      <w:r>
        <w:rPr>
          <w:rFonts w:ascii="Calibri" w:hAnsi="Calibri"/>
          <w:b/>
          <w:color w:val="000000"/>
          <w:sz w:val="23"/>
        </w:rPr>
        <w:t>1.1 Context and Background</w:t>
      </w:r>
    </w:p>
    <w:p w14:paraId="05B44016" w14:textId="77777777" w:rsidR="00DC073C" w:rsidRDefault="00000000">
      <w:pPr>
        <w:spacing w:after="140" w:line="288" w:lineRule="auto"/>
        <w:jc w:val="both"/>
      </w:pPr>
      <w:r>
        <w:rPr>
          <w:rFonts w:ascii="Calibri" w:hAnsi="Calibri"/>
          <w:color w:val="000000"/>
          <w:sz w:val="22"/>
        </w:rPr>
        <w:t>Authentication is the point at which an IoT system decides whether a device is genuinely the device it claims to be. That sounds simple, but the decision becomes harder once devices are deployed across homes, factories, campuses and supply chains managed by different organisations. NIST's IoT device baseline treats unique logical and physical identification, access restriction and cybersecurity-state awareness as core device capabilities rather than optional additions [1]. In practice, those capabilities depend on a trustworthy way to bind an identifier to a cryptographic key and to keep that binding current throughout enrolment, key rotation, ownership change and revocation.</w:t>
      </w:r>
    </w:p>
    <w:p w14:paraId="6F0B3BB8" w14:textId="77777777" w:rsidR="00DC073C" w:rsidRDefault="00000000">
      <w:pPr>
        <w:spacing w:after="140" w:line="288" w:lineRule="auto"/>
        <w:jc w:val="both"/>
      </w:pPr>
      <w:r>
        <w:rPr>
          <w:rFonts w:ascii="Calibri" w:hAnsi="Calibri"/>
          <w:color w:val="000000"/>
          <w:sz w:val="22"/>
        </w:rPr>
        <w:t>Conventional deployments normally place those bindings in a central directory or identity provider. This is well understood and can be efficient, but it concentrates operational trust: if the directory is unavailable, compromised or administered incorrectly, authentication decisions across the deployment may be affected. NIST's current Digital Identity Guidelines emphasise the whole authenticator lifecycle, including enrolment, binding, renewal, loss and revocation, rather than treating a successful login as the end of the problem [2]. The same lifecycle matters for non-human identities. A sensor with a copied serial number, an expired key or a revoked credential should not be accepted merely because it is connected to the expected network.</w:t>
      </w:r>
    </w:p>
    <w:p w14:paraId="1CFEF6BC" w14:textId="77777777" w:rsidR="00DC073C" w:rsidRDefault="00000000">
      <w:pPr>
        <w:spacing w:after="140" w:line="288" w:lineRule="auto"/>
        <w:jc w:val="both"/>
      </w:pPr>
      <w:r>
        <w:rPr>
          <w:rFonts w:ascii="Calibri" w:hAnsi="Calibri"/>
          <w:color w:val="000000"/>
          <w:sz w:val="22"/>
        </w:rPr>
        <w:t>The study is also shaped by zero-trust thinking. NIST SP 800-207 argues that network location or asset ownership should not create implicit trust; authentication and authorisation should be evaluated before access to a protected resource is established [3]. For IoT, that suggests a device should prove possession of its key for each new session, while the verifier checks the current status of the identity rather than relying on a one-off provisioning event.</w:t>
      </w:r>
    </w:p>
    <w:p w14:paraId="7C4C4B8E" w14:textId="77777777" w:rsidR="00DC073C" w:rsidRDefault="00000000">
      <w:pPr>
        <w:spacing w:after="140" w:line="288" w:lineRule="auto"/>
        <w:jc w:val="both"/>
      </w:pPr>
      <w:r>
        <w:rPr>
          <w:rFonts w:ascii="Calibri" w:hAnsi="Calibri"/>
          <w:color w:val="000000"/>
          <w:sz w:val="22"/>
        </w:rPr>
        <w:t>A distributed ledger is relevant because several organisations may need to rely on the same identity state without giving one of them exclusive control of the database. NIST describes a blockchain as a distributed, tamper-evident and tamper-resistant ledger in which a community records transactions in a shared history [4]. A permissioned network is particularly suitable for an institutional IoT setting: the organisations operating the peers are known, governance can define who may register or revoke devices, and there is no need for cryptocurrency or proof-of-work.</w:t>
      </w:r>
    </w:p>
    <w:p w14:paraId="15FB8ECF" w14:textId="77777777" w:rsidR="00DC073C" w:rsidRDefault="00000000">
      <w:pPr>
        <w:spacing w:after="140" w:line="288" w:lineRule="auto"/>
        <w:jc w:val="both"/>
      </w:pPr>
      <w:r>
        <w:rPr>
          <w:rFonts w:ascii="Calibri" w:hAnsi="Calibri"/>
          <w:color w:val="000000"/>
          <w:sz w:val="22"/>
        </w:rPr>
        <w:t>Two standards make that ledger useful as an identity registry rather than simply an audit log. A Decentralised Identifier (DID) resolves to a DID document containing verification methods and service information; the controller proves control through cryptographic keys [5]. A Verifiable Credential (VC) allows an issuer to make signed claims that a verifier can check, while keeping the issuer, holder and verifier as distinct roles [6]. The proposed design uses these ideas conservatively. The constrained device holds only its private key and a compact identifier. An edge gateway performs DID resolution, credential-status checking and ledger communication, so consensus processing and full credential parsing are not pushed onto the device.</w:t>
      </w:r>
    </w:p>
    <w:p w14:paraId="6EA2575D" w14:textId="77777777" w:rsidR="00DC073C" w:rsidRDefault="00000000">
      <w:pPr>
        <w:pStyle w:val="Heading2"/>
        <w:keepNext/>
        <w:keepLines/>
        <w:spacing w:before="200" w:after="110"/>
      </w:pPr>
      <w:r>
        <w:rPr>
          <w:rFonts w:ascii="Calibri" w:hAnsi="Calibri"/>
          <w:b/>
          <w:color w:val="000000"/>
          <w:sz w:val="23"/>
        </w:rPr>
        <w:t>1.2 Research Problem</w:t>
      </w:r>
    </w:p>
    <w:p w14:paraId="64FE8584" w14:textId="77777777" w:rsidR="00DC073C" w:rsidRDefault="00000000">
      <w:pPr>
        <w:spacing w:after="140" w:line="288" w:lineRule="auto"/>
        <w:jc w:val="both"/>
      </w:pPr>
      <w:r>
        <w:rPr>
          <w:rFonts w:ascii="Calibri" w:hAnsi="Calibri"/>
          <w:color w:val="000000"/>
          <w:sz w:val="22"/>
        </w:rPr>
        <w:t xml:space="preserve">The problem is not a lack of proposed blockchain authentication schemes. It is the lack of clear comparative evidence about where the blockchain belongs in the authentication path. A recent comparison of centralised and decentralised identity systems notes that centralised approaches </w:t>
      </w:r>
      <w:r>
        <w:rPr>
          <w:rFonts w:ascii="Calibri" w:hAnsi="Calibri"/>
          <w:color w:val="000000"/>
          <w:sz w:val="22"/>
        </w:rPr>
        <w:lastRenderedPageBreak/>
        <w:t>remain mature and scalable, while decentralised approaches can improve distribution of control but introduce cost, governance and implementation complexity [7]. If every authentication request waits for ledger consensus or a remote peer lookup, the design may be more distributed yet less usable. If the ledger is consulted only occasionally, stale identity or revocation data may be accepted. The useful design space lies between those extremes.</w:t>
      </w:r>
    </w:p>
    <w:p w14:paraId="1355072D" w14:textId="77777777" w:rsidR="00DC073C" w:rsidRDefault="00000000">
      <w:pPr>
        <w:spacing w:after="140" w:line="288" w:lineRule="auto"/>
        <w:jc w:val="both"/>
      </w:pPr>
      <w:r>
        <w:rPr>
          <w:rFonts w:ascii="Calibri" w:hAnsi="Calibri"/>
          <w:color w:val="000000"/>
          <w:sz w:val="22"/>
        </w:rPr>
        <w:t>Earlier IoT work demonstrates both the promise and the difficulty. Novo's blockchain access-management architecture removed a central authorisation server and showed that distributed management can work in selected IoT scenarios [8]. A later performance evaluation found that scalability depends on workload and architecture rather than following automatically from decentralisation [9]. Many studies also compare a new ledger design with a conceptually different baseline, making it hard to tell whether any measured difference comes from the ledger, the cryptography, the network, or the application itself.</w:t>
      </w:r>
    </w:p>
    <w:p w14:paraId="4001043E" w14:textId="77777777" w:rsidR="00DC073C" w:rsidRDefault="00000000">
      <w:pPr>
        <w:spacing w:after="140" w:line="288" w:lineRule="auto"/>
        <w:jc w:val="both"/>
      </w:pPr>
      <w:r>
        <w:rPr>
          <w:rFonts w:ascii="Calibri" w:hAnsi="Calibri"/>
          <w:color w:val="000000"/>
          <w:sz w:val="22"/>
        </w:rPr>
        <w:t>This proposal therefore isolates one question: can a permissioned ledger act as the shared source of identity and revocation truth while an event-aware gateway cache keeps the online authentication path lightweight? The same signed challenge, key type, API and workload will be used in all experimental conditions. Only the backing identity-state mechanism will change. This creates a fairer test of the security, resilience and performance trade-off than a demonstration of a prototype on its own.</w:t>
      </w:r>
    </w:p>
    <w:p w14:paraId="020C8F86" w14:textId="77777777" w:rsidR="00DC073C" w:rsidRDefault="00000000">
      <w:pPr>
        <w:pStyle w:val="Heading2"/>
        <w:keepNext/>
        <w:keepLines/>
        <w:spacing w:before="200" w:after="110"/>
      </w:pPr>
      <w:r>
        <w:rPr>
          <w:rFonts w:ascii="Calibri" w:hAnsi="Calibri"/>
          <w:b/>
          <w:color w:val="000000"/>
          <w:sz w:val="23"/>
        </w:rPr>
        <w:t>1.3 Research Aim and Objectives</w:t>
      </w:r>
    </w:p>
    <w:p w14:paraId="36EAC8B8" w14:textId="77777777" w:rsidR="00DC073C" w:rsidRDefault="00000000">
      <w:pPr>
        <w:spacing w:after="140" w:line="288" w:lineRule="auto"/>
        <w:jc w:val="both"/>
      </w:pPr>
      <w:r>
        <w:rPr>
          <w:rFonts w:ascii="Calibri" w:hAnsi="Calibri"/>
          <w:b/>
          <w:color w:val="000000"/>
          <w:sz w:val="22"/>
        </w:rPr>
        <w:t xml:space="preserve">Aim: </w:t>
      </w:r>
      <w:r>
        <w:rPr>
          <w:rFonts w:ascii="Calibri" w:hAnsi="Calibri"/>
          <w:color w:val="000000"/>
          <w:sz w:val="22"/>
        </w:rPr>
        <w:t>to design, implement and evaluate a lightweight blockchain-backed distributed authentication framework for resource-constrained IoT devices, and to determine whether a permissioned DID/credential registry with event-aware edge caching improves resilience and auditability without imposing unacceptable latency or resource overhead compared with an equivalent centralised registry.</w:t>
      </w:r>
    </w:p>
    <w:p w14:paraId="682307CC" w14:textId="77777777" w:rsidR="00DC073C" w:rsidRDefault="00000000">
      <w:pPr>
        <w:spacing w:after="80" w:line="288" w:lineRule="auto"/>
        <w:jc w:val="both"/>
      </w:pPr>
      <w:r>
        <w:rPr>
          <w:rFonts w:ascii="Calibri" w:hAnsi="Calibri"/>
          <w:color w:val="000000"/>
          <w:sz w:val="22"/>
        </w:rPr>
        <w:t>Objectives:</w:t>
      </w:r>
    </w:p>
    <w:p w14:paraId="22EEFC7F" w14:textId="77777777" w:rsidR="00DC073C" w:rsidRDefault="00000000">
      <w:pPr>
        <w:pStyle w:val="ListParagraph"/>
        <w:numPr>
          <w:ilvl w:val="0"/>
          <w:numId w:val="1"/>
        </w:numPr>
        <w:spacing w:after="90" w:line="288" w:lineRule="auto"/>
        <w:ind w:hanging="331"/>
        <w:jc w:val="both"/>
      </w:pPr>
      <w:r>
        <w:rPr>
          <w:rFonts w:ascii="Calibri" w:hAnsi="Calibri"/>
          <w:color w:val="000000"/>
          <w:sz w:val="22"/>
        </w:rPr>
        <w:t>Critically review centralised, federated and blockchain-backed IoT authentication, with particular attention to DID/VC standards, revocation and constrained-device protocols.</w:t>
      </w:r>
    </w:p>
    <w:p w14:paraId="45595061" w14:textId="77777777" w:rsidR="00DC073C" w:rsidRDefault="00000000">
      <w:pPr>
        <w:pStyle w:val="ListParagraph"/>
        <w:numPr>
          <w:ilvl w:val="0"/>
          <w:numId w:val="1"/>
        </w:numPr>
        <w:spacing w:after="90" w:line="288" w:lineRule="auto"/>
        <w:ind w:hanging="331"/>
        <w:jc w:val="both"/>
      </w:pPr>
      <w:r>
        <w:rPr>
          <w:rFonts w:ascii="Calibri" w:hAnsi="Calibri"/>
          <w:color w:val="000000"/>
          <w:sz w:val="22"/>
        </w:rPr>
        <w:t>Define the system requirements, trust assumptions and threat model for multi-organisation device enrolment, authentication, key rotation and revocation.</w:t>
      </w:r>
    </w:p>
    <w:p w14:paraId="0E6D7494" w14:textId="77777777" w:rsidR="00DC073C" w:rsidRDefault="00000000">
      <w:pPr>
        <w:pStyle w:val="ListParagraph"/>
        <w:numPr>
          <w:ilvl w:val="0"/>
          <w:numId w:val="1"/>
        </w:numPr>
        <w:spacing w:after="90" w:line="288" w:lineRule="auto"/>
        <w:ind w:hanging="331"/>
        <w:jc w:val="both"/>
      </w:pPr>
      <w:r>
        <w:rPr>
          <w:rFonts w:ascii="Calibri" w:hAnsi="Calibri"/>
          <w:color w:val="000000"/>
          <w:sz w:val="22"/>
        </w:rPr>
        <w:t>Design a permissioned-ledger architecture in which devices prove possession of a private key while an edge gateway resolves identity and credential status through an event-aware cache.</w:t>
      </w:r>
    </w:p>
    <w:p w14:paraId="181E155B" w14:textId="77777777" w:rsidR="00DC073C" w:rsidRDefault="00000000">
      <w:pPr>
        <w:pStyle w:val="ListParagraph"/>
        <w:numPr>
          <w:ilvl w:val="0"/>
          <w:numId w:val="1"/>
        </w:numPr>
        <w:spacing w:after="90" w:line="288" w:lineRule="auto"/>
        <w:ind w:hanging="331"/>
        <w:jc w:val="both"/>
      </w:pPr>
      <w:r>
        <w:rPr>
          <w:rFonts w:ascii="Calibri" w:hAnsi="Calibri"/>
          <w:color w:val="000000"/>
          <w:sz w:val="22"/>
        </w:rPr>
        <w:t>Implement a reproducible prototype and two controlled baselines: an equivalent centralised registry and a direct-ledger design without caching.</w:t>
      </w:r>
    </w:p>
    <w:p w14:paraId="5525F164" w14:textId="77777777" w:rsidR="00DC073C" w:rsidRDefault="00000000">
      <w:pPr>
        <w:pStyle w:val="ListParagraph"/>
        <w:numPr>
          <w:ilvl w:val="0"/>
          <w:numId w:val="1"/>
        </w:numPr>
        <w:spacing w:after="90" w:line="288" w:lineRule="auto"/>
        <w:ind w:hanging="331"/>
        <w:jc w:val="both"/>
      </w:pPr>
      <w:r>
        <w:rPr>
          <w:rFonts w:ascii="Calibri" w:hAnsi="Calibri"/>
          <w:color w:val="000000"/>
          <w:sz w:val="22"/>
        </w:rPr>
        <w:t>Evaluate authentication correctness, latency, throughput, resource use, revocation propagation and service continuity under normal load, adversarial requests and component failure.</w:t>
      </w:r>
    </w:p>
    <w:p w14:paraId="2BAA5F0C" w14:textId="77777777" w:rsidR="00DC073C" w:rsidRDefault="00000000">
      <w:pPr>
        <w:pStyle w:val="ListParagraph"/>
        <w:numPr>
          <w:ilvl w:val="0"/>
          <w:numId w:val="1"/>
        </w:numPr>
        <w:spacing w:after="90" w:line="288" w:lineRule="auto"/>
        <w:ind w:hanging="331"/>
        <w:jc w:val="both"/>
      </w:pPr>
      <w:r>
        <w:rPr>
          <w:rFonts w:ascii="Calibri" w:hAnsi="Calibri"/>
          <w:color w:val="000000"/>
          <w:sz w:val="22"/>
        </w:rPr>
        <w:t>Analyse privacy, governance and residual risks, then produce defensible design guidance that states where the approach is useful and where a simpler centralised design remains preferable.</w:t>
      </w:r>
    </w:p>
    <w:p w14:paraId="420D2168" w14:textId="77777777" w:rsidR="00DC073C" w:rsidRDefault="00000000">
      <w:pPr>
        <w:spacing w:after="140" w:line="288" w:lineRule="auto"/>
        <w:jc w:val="both"/>
      </w:pPr>
      <w:r>
        <w:rPr>
          <w:rFonts w:ascii="Calibri" w:hAnsi="Calibri"/>
          <w:b/>
          <w:color w:val="000000"/>
          <w:sz w:val="22"/>
        </w:rPr>
        <w:t xml:space="preserve">Main research question: </w:t>
      </w:r>
      <w:r>
        <w:rPr>
          <w:rFonts w:ascii="Calibri" w:hAnsi="Calibri"/>
          <w:color w:val="000000"/>
          <w:sz w:val="22"/>
        </w:rPr>
        <w:t>How effectively can a permissioned blockchain-backed identity registry support resilient authentication for resource-constrained IoT devices when compared with an otherwise equivalent centralised registry?</w:t>
      </w:r>
    </w:p>
    <w:p w14:paraId="0CC768A7" w14:textId="77777777" w:rsidR="00DC073C" w:rsidRDefault="00000000">
      <w:pPr>
        <w:spacing w:after="140" w:line="288" w:lineRule="auto"/>
        <w:jc w:val="both"/>
      </w:pPr>
      <w:r>
        <w:rPr>
          <w:rFonts w:ascii="Calibri" w:hAnsi="Calibri"/>
          <w:b/>
          <w:color w:val="000000"/>
          <w:sz w:val="22"/>
        </w:rPr>
        <w:lastRenderedPageBreak/>
        <w:t xml:space="preserve">Supporting questions: </w:t>
      </w:r>
      <w:r>
        <w:rPr>
          <w:rFonts w:ascii="Calibri" w:hAnsi="Calibri"/>
          <w:color w:val="000000"/>
          <w:sz w:val="22"/>
        </w:rPr>
        <w:t>What latency and resource overhead is introduced by direct ledger resolution? How much of that overhead can an event-aware cache remove without accepting stale revocation state? How does each design behave during replay, key-cloning attempts, revocation and identity-service failure?</w:t>
      </w:r>
    </w:p>
    <w:p w14:paraId="59068849" w14:textId="77777777" w:rsidR="00DC073C" w:rsidRDefault="00000000">
      <w:pPr>
        <w:pStyle w:val="Heading2"/>
        <w:keepNext/>
        <w:keepLines/>
        <w:spacing w:before="200" w:after="110"/>
      </w:pPr>
      <w:r>
        <w:rPr>
          <w:rFonts w:ascii="Calibri" w:hAnsi="Calibri"/>
          <w:b/>
          <w:color w:val="000000"/>
          <w:sz w:val="23"/>
        </w:rPr>
        <w:t>1.4 Significance of the Research</w:t>
      </w:r>
    </w:p>
    <w:p w14:paraId="6AA74C82" w14:textId="77777777" w:rsidR="00DC073C" w:rsidRDefault="00000000">
      <w:pPr>
        <w:spacing w:after="140" w:line="288" w:lineRule="auto"/>
        <w:jc w:val="both"/>
      </w:pPr>
      <w:r>
        <w:rPr>
          <w:rFonts w:ascii="Calibri" w:hAnsi="Calibri"/>
          <w:color w:val="000000"/>
          <w:sz w:val="22"/>
        </w:rPr>
        <w:t>Academically, the study moves the discussion away from the broad claim that decentralisation is inherently safer. It separates the immutable trust registry from the real-time cryptographic exchange and measures three closely matched designs. That should produce evidence about causality: whether observed gains come from distributed state, from caching, or simply from using modern public-key authentication.</w:t>
      </w:r>
    </w:p>
    <w:p w14:paraId="2F2EF7F6" w14:textId="77777777" w:rsidR="00DC073C" w:rsidRDefault="00000000">
      <w:pPr>
        <w:spacing w:after="140" w:line="288" w:lineRule="auto"/>
        <w:jc w:val="both"/>
      </w:pPr>
      <w:r>
        <w:rPr>
          <w:rFonts w:ascii="Calibri" w:hAnsi="Calibri"/>
          <w:color w:val="000000"/>
          <w:sz w:val="22"/>
        </w:rPr>
        <w:t>Practically, the output will be a small, inspectable prototype and a set of measurements that an IoT architect can use. A positive result would show how several organisations can share registration and revocation decisions without putting a blockchain client on every device. A negative result would be equally useful, because it would identify the workloads or trust arrangements in which the additional governance and operational complexity is not justified.</w:t>
      </w:r>
    </w:p>
    <w:p w14:paraId="37EB5EF3" w14:textId="77777777" w:rsidR="00DC073C" w:rsidRDefault="00000000">
      <w:pPr>
        <w:pStyle w:val="Heading1"/>
        <w:keepNext/>
        <w:keepLines/>
        <w:spacing w:before="300" w:after="140"/>
      </w:pPr>
      <w:r>
        <w:rPr>
          <w:rFonts w:ascii="Calibri" w:hAnsi="Calibri"/>
          <w:b/>
          <w:color w:val="000000"/>
          <w:sz w:val="27"/>
        </w:rPr>
        <w:t>2. Literature Review</w:t>
      </w:r>
    </w:p>
    <w:p w14:paraId="5BA66E29" w14:textId="77777777" w:rsidR="00DC073C" w:rsidRDefault="00000000">
      <w:pPr>
        <w:spacing w:after="140" w:line="288" w:lineRule="auto"/>
        <w:jc w:val="both"/>
      </w:pPr>
      <w:r>
        <w:rPr>
          <w:rFonts w:ascii="Calibri" w:hAnsi="Calibri"/>
          <w:color w:val="000000"/>
          <w:sz w:val="22"/>
        </w:rPr>
        <w:t>The review combines peer-reviewed systems research, current standards and authoritative technical guidance. The core period is 2017-2026, because that covers the first widely cited blockchain-IoT access-control prototypes, the maturation of permissioned ledgers, and the current DID, VC and constrained-authentication standards. The emphasis is on device authentication and identity-state management rather than cryptocurrency or general blockchain applications.</w:t>
      </w:r>
    </w:p>
    <w:p w14:paraId="1ADD0B97" w14:textId="77777777" w:rsidR="00DC073C" w:rsidRDefault="00000000">
      <w:pPr>
        <w:pStyle w:val="Heading2"/>
        <w:keepNext/>
        <w:keepLines/>
        <w:spacing w:before="200" w:after="110"/>
      </w:pPr>
      <w:r>
        <w:rPr>
          <w:rFonts w:ascii="Calibri" w:hAnsi="Calibri"/>
          <w:b/>
          <w:color w:val="000000"/>
          <w:sz w:val="23"/>
        </w:rPr>
        <w:t>2.1 Centralised and Distributed Authentication in IoT</w:t>
      </w:r>
    </w:p>
    <w:p w14:paraId="2D125A87" w14:textId="77777777" w:rsidR="00DC073C" w:rsidRDefault="00000000">
      <w:pPr>
        <w:spacing w:after="140" w:line="288" w:lineRule="auto"/>
        <w:jc w:val="both"/>
      </w:pPr>
      <w:r>
        <w:rPr>
          <w:rFonts w:ascii="Calibri" w:hAnsi="Calibri"/>
          <w:color w:val="000000"/>
          <w:sz w:val="22"/>
        </w:rPr>
        <w:t>A central directory gives a verifier one place to find a device's public key, status and policy. Its strengths are operational maturity, low lookup latency and straightforward consistency. Its weakness is not that one server must literally handle every request - ordinary replication can remove that bottleneck - but that one administrative domain remains the final authority for the identity state. Goel and Rahulamathavan's comparative survey reaches a balanced conclusion: decentralised identity can distribute control and improve transparency, while centralised schemes retain advantages in cost, established tooling and predictable performance [7]. This proposal adopts that balance rather than treating centralisation as a flaw to be removed at any price.</w:t>
      </w:r>
    </w:p>
    <w:p w14:paraId="3427A923" w14:textId="77777777" w:rsidR="00DC073C" w:rsidRDefault="00000000">
      <w:pPr>
        <w:spacing w:after="140" w:line="288" w:lineRule="auto"/>
        <w:jc w:val="both"/>
      </w:pPr>
      <w:r>
        <w:rPr>
          <w:rFonts w:ascii="Calibri" w:hAnsi="Calibri"/>
          <w:color w:val="000000"/>
          <w:sz w:val="22"/>
        </w:rPr>
        <w:t>The early blockchain-IoT literature mainly focused on access control. Novo used smart contracts to arbitrate roles and permissions across IoT domains [8], then evaluated a scalable access-management implementation and showed that results depend on transaction rate and deployment configuration [9]. These studies are important because they moved beyond a conceptual architecture, but authentication, authorisation and ledger commitment were often closely coupled. That makes it difficult to reuse their findings for a system in which a device only proves its identity and a separate service makes an access decision.</w:t>
      </w:r>
    </w:p>
    <w:p w14:paraId="7090711D" w14:textId="77777777" w:rsidR="00DC073C" w:rsidRDefault="00000000">
      <w:pPr>
        <w:pStyle w:val="Heading2"/>
        <w:keepNext/>
        <w:keepLines/>
        <w:spacing w:before="200" w:after="110"/>
      </w:pPr>
      <w:r>
        <w:rPr>
          <w:rFonts w:ascii="Calibri" w:hAnsi="Calibri"/>
          <w:b/>
          <w:color w:val="000000"/>
          <w:sz w:val="23"/>
        </w:rPr>
        <w:lastRenderedPageBreak/>
        <w:t>2.2 Permissioned Blockchains as Trust Registries</w:t>
      </w:r>
    </w:p>
    <w:p w14:paraId="705057B9" w14:textId="77777777" w:rsidR="00DC073C" w:rsidRDefault="00000000">
      <w:pPr>
        <w:spacing w:after="140" w:line="288" w:lineRule="auto"/>
        <w:jc w:val="both"/>
      </w:pPr>
      <w:r>
        <w:rPr>
          <w:rFonts w:ascii="Calibri" w:hAnsi="Calibri"/>
          <w:color w:val="000000"/>
          <w:sz w:val="22"/>
        </w:rPr>
        <w:t>A blockchain is most valuable here as a verifiable data registry: a common place for public verification material, issuer authority and revocation state. NIST's overview is careful to distinguish tamper evidence from confidentiality; a replicated ledger does not make sensitive data safe to publish [4]. The proposed registry will therefore contain public keys or hashes, status values and governance transactions, not device secrets, personal data or telemetry.</w:t>
      </w:r>
    </w:p>
    <w:p w14:paraId="55424D84" w14:textId="77777777" w:rsidR="00DC073C" w:rsidRDefault="00000000">
      <w:pPr>
        <w:spacing w:after="140" w:line="288" w:lineRule="auto"/>
        <w:jc w:val="both"/>
      </w:pPr>
      <w:r>
        <w:rPr>
          <w:rFonts w:ascii="Calibri" w:hAnsi="Calibri"/>
          <w:color w:val="000000"/>
          <w:sz w:val="22"/>
        </w:rPr>
        <w:t>Hyperledger Fabric provides a suitable implementation model because it is permissioned, modular and designed around identified organisations. Its execute-order-validate architecture separates transaction endorsement from ordering and validation, while Membership Service Providers bind network roles to recognised identities [10]. Fabric also avoids a native cryptocurrency. These properties fit a consortium in which a manufacturer, an operator and a service provider share device identity state but do not give one party unilateral control.</w:t>
      </w:r>
    </w:p>
    <w:p w14:paraId="6BA49DC9" w14:textId="77777777" w:rsidR="00DC073C" w:rsidRDefault="00000000">
      <w:pPr>
        <w:spacing w:after="140" w:line="288" w:lineRule="auto"/>
        <w:jc w:val="both"/>
      </w:pPr>
      <w:r>
        <w:rPr>
          <w:rFonts w:ascii="Calibri" w:hAnsi="Calibri"/>
          <w:color w:val="000000"/>
          <w:sz w:val="22"/>
        </w:rPr>
        <w:t>The edge-gateway pattern is not new. Dorri et al. placed a higher-capability home manager between constrained smart-home devices and a blockchain overlay, explicitly recognising that low-resource devices should not carry the full ledger burden [11]. The present study retains that sensible division but makes the gateway's cache behaviour a measured variable. A cache is not a minor optimisation when revocation matters: it creates a bounded period in which a newly revoked credential might still be accepted, so update events, time-to-live and fail-closed behaviour must be designed and tested.</w:t>
      </w:r>
    </w:p>
    <w:p w14:paraId="25462A3F" w14:textId="77777777" w:rsidR="00DC073C" w:rsidRDefault="00000000">
      <w:pPr>
        <w:pStyle w:val="Heading2"/>
        <w:keepNext/>
        <w:keepLines/>
        <w:spacing w:before="200" w:after="110"/>
      </w:pPr>
      <w:r>
        <w:rPr>
          <w:rFonts w:ascii="Calibri" w:hAnsi="Calibri"/>
          <w:b/>
          <w:color w:val="000000"/>
          <w:sz w:val="23"/>
        </w:rPr>
        <w:t>2.3 Decentralised Identifiers and Verifiable Credentials</w:t>
      </w:r>
    </w:p>
    <w:p w14:paraId="0FCF810A" w14:textId="77777777" w:rsidR="00DC073C" w:rsidRDefault="00000000">
      <w:pPr>
        <w:spacing w:after="140" w:line="288" w:lineRule="auto"/>
        <w:jc w:val="both"/>
      </w:pPr>
      <w:r>
        <w:rPr>
          <w:rFonts w:ascii="Calibri" w:hAnsi="Calibri"/>
          <w:color w:val="000000"/>
          <w:sz w:val="22"/>
        </w:rPr>
        <w:t>DIDs supply the identifier-to-verification-method binding. DID Core deliberately does not require a blockchain; a DID method may use a ledger, a distributed database or another verifiable registry [5]. That distinction matters because it prevents the architecture from claiming that the standard itself proves a need for blockchain. In this proposal, a small Fabric-backed DID method is an experimental mechanism for shared governance. The device controls the private key, while authorised organisations transact changes to the corresponding DID document under explicit policy.</w:t>
      </w:r>
    </w:p>
    <w:p w14:paraId="2696216B" w14:textId="77777777" w:rsidR="00DC073C" w:rsidRDefault="00000000">
      <w:pPr>
        <w:spacing w:after="140" w:line="288" w:lineRule="auto"/>
        <w:jc w:val="both"/>
      </w:pPr>
      <w:r>
        <w:rPr>
          <w:rFonts w:ascii="Calibri" w:hAnsi="Calibri"/>
          <w:color w:val="000000"/>
          <w:sz w:val="22"/>
        </w:rPr>
        <w:t>VC Data Model 2.0 supplies a standard way for an issuer to make a signed claim and for a verifier to evaluate the issuer, proof, subject and claim against local policy [6]. A device credential in the prototype may state device class, issuer, deployment domain and validity period. The full credential is stored off-chain; only its identifier, hash and current status are placed on the ledger. This design supports audit and revocation without turning the ledger into a permanent store of operational metadata.</w:t>
      </w:r>
    </w:p>
    <w:p w14:paraId="688CD5F8" w14:textId="77777777" w:rsidR="00DC073C" w:rsidRDefault="00000000">
      <w:pPr>
        <w:spacing w:after="140" w:line="288" w:lineRule="auto"/>
        <w:jc w:val="both"/>
      </w:pPr>
      <w:r>
        <w:rPr>
          <w:rFonts w:ascii="Calibri" w:hAnsi="Calibri"/>
          <w:color w:val="000000"/>
          <w:sz w:val="22"/>
        </w:rPr>
        <w:t>The broader self-sovereign identity literature warns against reducing identity to a wallet and a chain. Schardong and Custodio's systematic review identifies interoperability, key management, recovery, revocation and governance as persistent open challenges [12]. Pohn, Grabatin and Hommel catalogue threats across blockchain-backed identity systems, including compromised wallets, malicious issuers, resolver manipulation, correlation and smart-contract defects [13]. Those risks inform the threat model in Section 3: ledger integrity cannot compensate for a stolen device key, a dishonest issuer or a verifier that applies the wrong policy.</w:t>
      </w:r>
    </w:p>
    <w:p w14:paraId="7DF96B99" w14:textId="77777777" w:rsidR="00DC073C" w:rsidRDefault="00000000">
      <w:pPr>
        <w:pStyle w:val="Heading2"/>
        <w:keepNext/>
        <w:keepLines/>
        <w:spacing w:before="200" w:after="110"/>
      </w:pPr>
      <w:r>
        <w:rPr>
          <w:rFonts w:ascii="Calibri" w:hAnsi="Calibri"/>
          <w:b/>
          <w:color w:val="000000"/>
          <w:sz w:val="23"/>
        </w:rPr>
        <w:lastRenderedPageBreak/>
        <w:t>2.4 Lightweight Authentication for Constrained Devices</w:t>
      </w:r>
    </w:p>
    <w:p w14:paraId="64A1CAFC" w14:textId="77777777" w:rsidR="00DC073C" w:rsidRDefault="00000000">
      <w:pPr>
        <w:spacing w:after="140" w:line="288" w:lineRule="auto"/>
        <w:jc w:val="both"/>
      </w:pPr>
      <w:r>
        <w:rPr>
          <w:rFonts w:ascii="Calibri" w:hAnsi="Calibri"/>
          <w:color w:val="000000"/>
          <w:sz w:val="22"/>
        </w:rPr>
        <w:t>The authentication exchange itself should follow constrained-system practice rather than inventing a new cryptographic protocol. ACE-OAuth adapts OAuth 2.0 concepts to IoT through CoAP, CBOR, COSE and proof-of-possession tokens [14]. EDHOC goes further at the key-exchange layer, providing compact mutual authentication, forward secrecy and identity protection for constrained endpoints [15]. Both standards keep the application responsible for deciding whether a credential is trusted. That is the precise point at which the proposed ledger-backed resolver can contribute: it supplies current verification material and status to a standard proof-of-possession flow.</w:t>
      </w:r>
    </w:p>
    <w:p w14:paraId="2DF50FDF" w14:textId="77777777" w:rsidR="00DC073C" w:rsidRDefault="00000000">
      <w:pPr>
        <w:spacing w:after="140" w:line="288" w:lineRule="auto"/>
        <w:jc w:val="both"/>
      </w:pPr>
      <w:r>
        <w:rPr>
          <w:rFonts w:ascii="Calibri" w:hAnsi="Calibri"/>
          <w:color w:val="000000"/>
          <w:sz w:val="22"/>
        </w:rPr>
        <w:t>For MSc feasibility, the first prototype will implement a fresh-nonce signature exchange using Ed25519 keys and a compact JSON/CBOR message. This is not presented as a replacement for EDHOC. It is a controlled experimental profile that keeps the cryptographic work identical across the three backing-store conditions. If time permits, an EDHOC library will be used in a secondary run to check whether the relative results hold with a standards-track handshake.</w:t>
      </w:r>
    </w:p>
    <w:p w14:paraId="2D6EAE30" w14:textId="77777777" w:rsidR="00DC073C" w:rsidRDefault="00000000">
      <w:pPr>
        <w:pStyle w:val="Heading2"/>
        <w:keepNext/>
        <w:keepLines/>
        <w:spacing w:before="200" w:after="110"/>
      </w:pPr>
      <w:r>
        <w:rPr>
          <w:rFonts w:ascii="Calibri" w:hAnsi="Calibri"/>
          <w:b/>
          <w:color w:val="000000"/>
          <w:sz w:val="23"/>
        </w:rPr>
        <w:t>2.5 Performance, Privacy and Security Trade-offs</w:t>
      </w:r>
    </w:p>
    <w:p w14:paraId="0A1D288E" w14:textId="77777777" w:rsidR="00DC073C" w:rsidRDefault="00000000">
      <w:pPr>
        <w:spacing w:after="140" w:line="288" w:lineRule="auto"/>
        <w:jc w:val="both"/>
      </w:pPr>
      <w:r>
        <w:rPr>
          <w:rFonts w:ascii="Calibri" w:hAnsi="Calibri"/>
          <w:color w:val="000000"/>
          <w:sz w:val="22"/>
        </w:rPr>
        <w:t>Recent authentication studies show why a performance-security comparison is necessary. Lau et al. use distributed blockchain records to support authenticated configuration and secure IoT communication, supported by formal analysis [16]. Hammi et al.'s Bubbles of Trust creates blockchain-backed zones in which devices can identify and trust each other [17]. BlendCAC uses smart contracts and capability delegation for decentralised IoT access control and demonstrates a prototype on Raspberry Pi devices [18]. Collectively, this work supports feasibility, but the systems use different cryptography, workloads and evaluation measures, so their reported latency or cost cannot be compared directly.</w:t>
      </w:r>
    </w:p>
    <w:p w14:paraId="1BA97D25" w14:textId="77777777" w:rsidR="00DC073C" w:rsidRDefault="00000000">
      <w:pPr>
        <w:spacing w:after="140" w:line="288" w:lineRule="auto"/>
        <w:jc w:val="both"/>
      </w:pPr>
      <w:r>
        <w:rPr>
          <w:rFonts w:ascii="Calibri" w:hAnsi="Calibri"/>
          <w:color w:val="000000"/>
          <w:sz w:val="22"/>
        </w:rPr>
        <w:t>Privacy is another limit on the appeal of an immutable registry. A DID that is reused across domains can become a correlation handle. Transaction metadata can reveal when a device was enrolled, rotated or revoked, even when telemetry remains off-chain. The proposed prototype therefore uses domain-specific pseudonymous DIDs, records only public verification material and status, and keeps detailed authentication logs in an ordinary research datastore with a defined retention period. The ledger is treated as shared control-plane evidence, not as an all-purpose database.</w:t>
      </w:r>
    </w:p>
    <w:p w14:paraId="5032B8B3" w14:textId="77777777" w:rsidR="00DC073C" w:rsidRDefault="00000000">
      <w:pPr>
        <w:spacing w:after="140" w:line="288" w:lineRule="auto"/>
        <w:jc w:val="both"/>
      </w:pPr>
      <w:r>
        <w:rPr>
          <w:rFonts w:ascii="Calibri" w:hAnsi="Calibri"/>
          <w:color w:val="000000"/>
          <w:sz w:val="22"/>
        </w:rPr>
        <w:t>Figure 1 brings these strands together. The device performs a compact proof-of-possession exchange with the gateway. The gateway resolves the DID and credential status through an event-aware cache backed by a Fabric consortium. A protected service receives only the authentication decision and session context. Registration, rotation and revocation are separate governance transactions. This separation is central to the research design because it allows the cost of each layer to be measured.</w:t>
      </w:r>
    </w:p>
    <w:p w14:paraId="44E49713" w14:textId="77777777" w:rsidR="00DC073C" w:rsidRDefault="00000000">
      <w:pPr>
        <w:keepNext/>
        <w:spacing w:before="80"/>
        <w:jc w:val="center"/>
      </w:pPr>
      <w:r>
        <w:rPr>
          <w:noProof/>
        </w:rPr>
        <w:lastRenderedPageBreak/>
        <w:drawing>
          <wp:inline distT="0" distB="0" distL="0" distR="0" wp14:anchorId="652A6259" wp14:editId="260BD3D7">
            <wp:extent cx="5623560" cy="2952369"/>
            <wp:effectExtent l="0" t="0" r="0" b="0"/>
            <wp:docPr id="2" name="Picture 2" descr="Architecture showing a constrained IoT device authenticating through an edge gateway that resolves DID and credential status from a permissioned Fabric trust registry before allowing access to a protected service." title="Blockchain-backed distributed authentication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chitecture.png"/>
                    <pic:cNvPicPr/>
                  </pic:nvPicPr>
                  <pic:blipFill>
                    <a:blip r:embed="rId9"/>
                    <a:stretch>
                      <a:fillRect/>
                    </a:stretch>
                  </pic:blipFill>
                  <pic:spPr>
                    <a:xfrm>
                      <a:off x="0" y="0"/>
                      <a:ext cx="5623560" cy="2952369"/>
                    </a:xfrm>
                    <a:prstGeom prst="rect">
                      <a:avLst/>
                    </a:prstGeom>
                  </pic:spPr>
                </pic:pic>
              </a:graphicData>
            </a:graphic>
          </wp:inline>
        </w:drawing>
      </w:r>
    </w:p>
    <w:p w14:paraId="10848AE6" w14:textId="77777777" w:rsidR="00DC073C" w:rsidRDefault="00000000">
      <w:pPr>
        <w:spacing w:before="80" w:after="240"/>
        <w:jc w:val="center"/>
      </w:pPr>
      <w:r>
        <w:rPr>
          <w:rFonts w:ascii="Calibri" w:hAnsi="Calibri"/>
          <w:i/>
          <w:color w:val="000000"/>
          <w:sz w:val="19"/>
        </w:rPr>
        <w:t>Fig. 1. Proposed lightweight blockchain-backed distributed authentication architecture.</w:t>
      </w:r>
    </w:p>
    <w:p w14:paraId="47D1489C" w14:textId="77777777" w:rsidR="00DC073C" w:rsidRDefault="00000000">
      <w:pPr>
        <w:pStyle w:val="Heading2"/>
        <w:keepNext/>
        <w:keepLines/>
        <w:spacing w:before="200" w:after="110"/>
      </w:pPr>
      <w:r>
        <w:rPr>
          <w:rFonts w:ascii="Calibri" w:hAnsi="Calibri"/>
          <w:b/>
          <w:color w:val="000000"/>
          <w:sz w:val="23"/>
        </w:rPr>
        <w:t>2.6 Summary of Reviewed Studies</w:t>
      </w:r>
    </w:p>
    <w:p w14:paraId="42DB6535" w14:textId="77777777" w:rsidR="00DC073C" w:rsidRDefault="00000000">
      <w:pPr>
        <w:spacing w:after="140" w:line="288" w:lineRule="auto"/>
        <w:jc w:val="both"/>
      </w:pPr>
      <w:r>
        <w:rPr>
          <w:rFonts w:ascii="Calibri" w:hAnsi="Calibri"/>
          <w:color w:val="000000"/>
          <w:sz w:val="22"/>
        </w:rPr>
        <w:t>Table 1 summarises the sources that most directly shape the artefact and evaluation. Standards define acceptable identity and constrained-authentication building blocks; experimental studies demonstrate feasibility; surveys and threat analyses show why performance, privacy and governance cannot be assumed.</w:t>
      </w:r>
    </w:p>
    <w:p w14:paraId="75C6889A" w14:textId="77777777" w:rsidR="00DC073C" w:rsidRDefault="00000000">
      <w:pPr>
        <w:spacing w:before="100" w:after="160"/>
        <w:jc w:val="center"/>
      </w:pPr>
      <w:r>
        <w:rPr>
          <w:rFonts w:ascii="Calibri" w:hAnsi="Calibri"/>
          <w:i/>
          <w:color w:val="000000"/>
          <w:sz w:val="19"/>
        </w:rPr>
        <w:t>Table 1. Summary of studies and standards most relevant to the proposed framework.</w:t>
      </w:r>
    </w:p>
    <w:tbl>
      <w:tblPr>
        <w:tblW w:w="9024" w:type="dxa"/>
        <w:tblInd w:w="120"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900"/>
        <w:gridCol w:w="1900"/>
        <w:gridCol w:w="5224"/>
      </w:tblGrid>
      <w:tr w:rsidR="00DC073C" w14:paraId="33802ECE" w14:textId="77777777">
        <w:trPr>
          <w:tblHeader/>
        </w:trPr>
        <w:tc>
          <w:tcPr>
            <w:tcW w:w="1900" w:type="dxa"/>
            <w:shd w:val="clear" w:color="auto" w:fill="1F4E79"/>
            <w:tcMar>
              <w:top w:w="100" w:type="dxa"/>
              <w:left w:w="120" w:type="dxa"/>
              <w:bottom w:w="100" w:type="dxa"/>
              <w:right w:w="120" w:type="dxa"/>
            </w:tcMar>
            <w:vAlign w:val="center"/>
          </w:tcPr>
          <w:p w14:paraId="5C7380CB" w14:textId="77777777" w:rsidR="00DC073C" w:rsidRDefault="00000000">
            <w:pPr>
              <w:spacing w:line="252" w:lineRule="auto"/>
              <w:jc w:val="center"/>
            </w:pPr>
            <w:r>
              <w:rPr>
                <w:rFonts w:ascii="Calibri" w:hAnsi="Calibri"/>
                <w:b/>
                <w:color w:val="FFFFFF"/>
                <w:sz w:val="17"/>
              </w:rPr>
              <w:t>Study / source</w:t>
            </w:r>
          </w:p>
        </w:tc>
        <w:tc>
          <w:tcPr>
            <w:tcW w:w="1900" w:type="dxa"/>
            <w:shd w:val="clear" w:color="auto" w:fill="1F4E79"/>
            <w:tcMar>
              <w:top w:w="100" w:type="dxa"/>
              <w:left w:w="120" w:type="dxa"/>
              <w:bottom w:w="100" w:type="dxa"/>
              <w:right w:w="120" w:type="dxa"/>
            </w:tcMar>
            <w:vAlign w:val="center"/>
          </w:tcPr>
          <w:p w14:paraId="5620C788" w14:textId="77777777" w:rsidR="00DC073C" w:rsidRDefault="00000000">
            <w:pPr>
              <w:spacing w:line="252" w:lineRule="auto"/>
              <w:jc w:val="center"/>
            </w:pPr>
            <w:r>
              <w:rPr>
                <w:rFonts w:ascii="Calibri" w:hAnsi="Calibri"/>
                <w:b/>
                <w:color w:val="FFFFFF"/>
                <w:sz w:val="17"/>
              </w:rPr>
              <w:t>Focus</w:t>
            </w:r>
          </w:p>
        </w:tc>
        <w:tc>
          <w:tcPr>
            <w:tcW w:w="5224" w:type="dxa"/>
            <w:shd w:val="clear" w:color="auto" w:fill="1F4E79"/>
            <w:tcMar>
              <w:top w:w="100" w:type="dxa"/>
              <w:left w:w="120" w:type="dxa"/>
              <w:bottom w:w="100" w:type="dxa"/>
              <w:right w:w="120" w:type="dxa"/>
            </w:tcMar>
            <w:vAlign w:val="center"/>
          </w:tcPr>
          <w:p w14:paraId="429399CD" w14:textId="77777777" w:rsidR="00DC073C" w:rsidRDefault="00000000">
            <w:pPr>
              <w:spacing w:line="252" w:lineRule="auto"/>
              <w:jc w:val="center"/>
            </w:pPr>
            <w:r>
              <w:rPr>
                <w:rFonts w:ascii="Calibri" w:hAnsi="Calibri"/>
                <w:b/>
                <w:color w:val="FFFFFF"/>
                <w:sz w:val="17"/>
              </w:rPr>
              <w:t>Finding used in this proposal</w:t>
            </w:r>
          </w:p>
        </w:tc>
      </w:tr>
      <w:tr w:rsidR="00DC073C" w14:paraId="6499B7E8" w14:textId="77777777">
        <w:tc>
          <w:tcPr>
            <w:tcW w:w="1900" w:type="dxa"/>
            <w:tcMar>
              <w:top w:w="100" w:type="dxa"/>
              <w:left w:w="120" w:type="dxa"/>
              <w:bottom w:w="100" w:type="dxa"/>
              <w:right w:w="120" w:type="dxa"/>
            </w:tcMar>
            <w:vAlign w:val="center"/>
          </w:tcPr>
          <w:p w14:paraId="57906CCD" w14:textId="77777777" w:rsidR="00DC073C" w:rsidRDefault="00000000">
            <w:pPr>
              <w:spacing w:line="252" w:lineRule="auto"/>
            </w:pPr>
            <w:r>
              <w:rPr>
                <w:rFonts w:ascii="Calibri" w:hAnsi="Calibri"/>
                <w:color w:val="000000"/>
                <w:sz w:val="17"/>
              </w:rPr>
              <w:t>Goel and Rahulamathavan [7], 2025</w:t>
            </w:r>
          </w:p>
        </w:tc>
        <w:tc>
          <w:tcPr>
            <w:tcW w:w="1900" w:type="dxa"/>
            <w:tcMar>
              <w:top w:w="100" w:type="dxa"/>
              <w:left w:w="120" w:type="dxa"/>
              <w:bottom w:w="100" w:type="dxa"/>
              <w:right w:w="120" w:type="dxa"/>
            </w:tcMar>
            <w:vAlign w:val="center"/>
          </w:tcPr>
          <w:p w14:paraId="5AAAD7C0" w14:textId="77777777" w:rsidR="00DC073C" w:rsidRDefault="00000000">
            <w:pPr>
              <w:spacing w:line="252" w:lineRule="auto"/>
            </w:pPr>
            <w:r>
              <w:rPr>
                <w:rFonts w:ascii="Calibri" w:hAnsi="Calibri"/>
                <w:color w:val="000000"/>
                <w:sz w:val="17"/>
              </w:rPr>
              <w:t>Centralised vs decentralised identity</w:t>
            </w:r>
          </w:p>
        </w:tc>
        <w:tc>
          <w:tcPr>
            <w:tcW w:w="5224" w:type="dxa"/>
            <w:tcMar>
              <w:top w:w="100" w:type="dxa"/>
              <w:left w:w="120" w:type="dxa"/>
              <w:bottom w:w="100" w:type="dxa"/>
              <w:right w:w="120" w:type="dxa"/>
            </w:tcMar>
            <w:vAlign w:val="center"/>
          </w:tcPr>
          <w:p w14:paraId="6723D470" w14:textId="77777777" w:rsidR="00DC073C" w:rsidRDefault="00000000">
            <w:pPr>
              <w:spacing w:line="252" w:lineRule="auto"/>
            </w:pPr>
            <w:r>
              <w:rPr>
                <w:rFonts w:ascii="Calibri" w:hAnsi="Calibri"/>
                <w:color w:val="000000"/>
                <w:sz w:val="17"/>
              </w:rPr>
              <w:t>Decentralisation distributes control, but mature centralised systems remain competitive on cost and performance.</w:t>
            </w:r>
          </w:p>
        </w:tc>
      </w:tr>
      <w:tr w:rsidR="00DC073C" w14:paraId="51EBA164" w14:textId="77777777">
        <w:tc>
          <w:tcPr>
            <w:tcW w:w="1900" w:type="dxa"/>
            <w:shd w:val="clear" w:color="auto" w:fill="F7F9FC"/>
            <w:tcMar>
              <w:top w:w="100" w:type="dxa"/>
              <w:left w:w="120" w:type="dxa"/>
              <w:bottom w:w="100" w:type="dxa"/>
              <w:right w:w="120" w:type="dxa"/>
            </w:tcMar>
            <w:vAlign w:val="center"/>
          </w:tcPr>
          <w:p w14:paraId="78313CB5" w14:textId="77777777" w:rsidR="00DC073C" w:rsidRDefault="00000000">
            <w:pPr>
              <w:spacing w:line="252" w:lineRule="auto"/>
            </w:pPr>
            <w:r>
              <w:rPr>
                <w:rFonts w:ascii="Calibri" w:hAnsi="Calibri"/>
                <w:color w:val="000000"/>
                <w:sz w:val="17"/>
              </w:rPr>
              <w:t>Novo [8], 2018</w:t>
            </w:r>
          </w:p>
        </w:tc>
        <w:tc>
          <w:tcPr>
            <w:tcW w:w="1900" w:type="dxa"/>
            <w:shd w:val="clear" w:color="auto" w:fill="F7F9FC"/>
            <w:tcMar>
              <w:top w:w="100" w:type="dxa"/>
              <w:left w:w="120" w:type="dxa"/>
              <w:bottom w:w="100" w:type="dxa"/>
              <w:right w:w="120" w:type="dxa"/>
            </w:tcMar>
            <w:vAlign w:val="center"/>
          </w:tcPr>
          <w:p w14:paraId="13F2EE82" w14:textId="77777777" w:rsidR="00DC073C" w:rsidRDefault="00000000">
            <w:pPr>
              <w:spacing w:line="252" w:lineRule="auto"/>
            </w:pPr>
            <w:r>
              <w:rPr>
                <w:rFonts w:ascii="Calibri" w:hAnsi="Calibri"/>
                <w:color w:val="000000"/>
                <w:sz w:val="17"/>
              </w:rPr>
              <w:t>Blockchain IoT access management</w:t>
            </w:r>
          </w:p>
        </w:tc>
        <w:tc>
          <w:tcPr>
            <w:tcW w:w="5224" w:type="dxa"/>
            <w:shd w:val="clear" w:color="auto" w:fill="F7F9FC"/>
            <w:tcMar>
              <w:top w:w="100" w:type="dxa"/>
              <w:left w:w="120" w:type="dxa"/>
              <w:bottom w:w="100" w:type="dxa"/>
              <w:right w:w="120" w:type="dxa"/>
            </w:tcMar>
            <w:vAlign w:val="center"/>
          </w:tcPr>
          <w:p w14:paraId="69B4A35A" w14:textId="77777777" w:rsidR="00DC073C" w:rsidRDefault="00000000">
            <w:pPr>
              <w:spacing w:line="252" w:lineRule="auto"/>
            </w:pPr>
            <w:r>
              <w:rPr>
                <w:rFonts w:ascii="Calibri" w:hAnsi="Calibri"/>
                <w:color w:val="000000"/>
                <w:sz w:val="17"/>
              </w:rPr>
              <w:t>A distributed architecture can arbitrate roles and permissions across IoT domains.</w:t>
            </w:r>
          </w:p>
        </w:tc>
      </w:tr>
      <w:tr w:rsidR="00DC073C" w14:paraId="71B3EB67" w14:textId="77777777">
        <w:tc>
          <w:tcPr>
            <w:tcW w:w="1900" w:type="dxa"/>
            <w:tcMar>
              <w:top w:w="100" w:type="dxa"/>
              <w:left w:w="120" w:type="dxa"/>
              <w:bottom w:w="100" w:type="dxa"/>
              <w:right w:w="120" w:type="dxa"/>
            </w:tcMar>
            <w:vAlign w:val="center"/>
          </w:tcPr>
          <w:p w14:paraId="579B502B" w14:textId="77777777" w:rsidR="00DC073C" w:rsidRDefault="00000000">
            <w:pPr>
              <w:spacing w:line="252" w:lineRule="auto"/>
            </w:pPr>
            <w:r>
              <w:rPr>
                <w:rFonts w:ascii="Calibri" w:hAnsi="Calibri"/>
                <w:color w:val="000000"/>
                <w:sz w:val="17"/>
              </w:rPr>
              <w:t>Novo [9], 2019</w:t>
            </w:r>
          </w:p>
        </w:tc>
        <w:tc>
          <w:tcPr>
            <w:tcW w:w="1900" w:type="dxa"/>
            <w:tcMar>
              <w:top w:w="100" w:type="dxa"/>
              <w:left w:w="120" w:type="dxa"/>
              <w:bottom w:w="100" w:type="dxa"/>
              <w:right w:w="120" w:type="dxa"/>
            </w:tcMar>
            <w:vAlign w:val="center"/>
          </w:tcPr>
          <w:p w14:paraId="7C5F6F76" w14:textId="77777777" w:rsidR="00DC073C" w:rsidRDefault="00000000">
            <w:pPr>
              <w:spacing w:line="252" w:lineRule="auto"/>
            </w:pPr>
            <w:r>
              <w:rPr>
                <w:rFonts w:ascii="Calibri" w:hAnsi="Calibri"/>
                <w:color w:val="000000"/>
                <w:sz w:val="17"/>
              </w:rPr>
              <w:t>Performance evaluation</w:t>
            </w:r>
          </w:p>
        </w:tc>
        <w:tc>
          <w:tcPr>
            <w:tcW w:w="5224" w:type="dxa"/>
            <w:tcMar>
              <w:top w:w="100" w:type="dxa"/>
              <w:left w:w="120" w:type="dxa"/>
              <w:bottom w:w="100" w:type="dxa"/>
              <w:right w:w="120" w:type="dxa"/>
            </w:tcMar>
            <w:vAlign w:val="center"/>
          </w:tcPr>
          <w:p w14:paraId="74440D02" w14:textId="77777777" w:rsidR="00DC073C" w:rsidRDefault="00000000">
            <w:pPr>
              <w:spacing w:line="252" w:lineRule="auto"/>
            </w:pPr>
            <w:r>
              <w:rPr>
                <w:rFonts w:ascii="Calibri" w:hAnsi="Calibri"/>
                <w:color w:val="000000"/>
                <w:sz w:val="17"/>
              </w:rPr>
              <w:t>Scalability is configuration- and workload-dependent; it must be measured rather than assumed.</w:t>
            </w:r>
          </w:p>
        </w:tc>
      </w:tr>
      <w:tr w:rsidR="00DC073C" w14:paraId="2E98D179" w14:textId="77777777">
        <w:tc>
          <w:tcPr>
            <w:tcW w:w="1900" w:type="dxa"/>
            <w:shd w:val="clear" w:color="auto" w:fill="F7F9FC"/>
            <w:tcMar>
              <w:top w:w="100" w:type="dxa"/>
              <w:left w:w="120" w:type="dxa"/>
              <w:bottom w:w="100" w:type="dxa"/>
              <w:right w:w="120" w:type="dxa"/>
            </w:tcMar>
            <w:vAlign w:val="center"/>
          </w:tcPr>
          <w:p w14:paraId="1E5ABAFE" w14:textId="77777777" w:rsidR="00DC073C" w:rsidRDefault="00000000">
            <w:pPr>
              <w:spacing w:line="252" w:lineRule="auto"/>
            </w:pPr>
            <w:r>
              <w:rPr>
                <w:rFonts w:ascii="Calibri" w:hAnsi="Calibri"/>
                <w:color w:val="000000"/>
                <w:sz w:val="17"/>
              </w:rPr>
              <w:t>Androulaki et al. [10], 2018</w:t>
            </w:r>
          </w:p>
        </w:tc>
        <w:tc>
          <w:tcPr>
            <w:tcW w:w="1900" w:type="dxa"/>
            <w:shd w:val="clear" w:color="auto" w:fill="F7F9FC"/>
            <w:tcMar>
              <w:top w:w="100" w:type="dxa"/>
              <w:left w:w="120" w:type="dxa"/>
              <w:bottom w:w="100" w:type="dxa"/>
              <w:right w:w="120" w:type="dxa"/>
            </w:tcMar>
            <w:vAlign w:val="center"/>
          </w:tcPr>
          <w:p w14:paraId="19C45D65" w14:textId="77777777" w:rsidR="00DC073C" w:rsidRDefault="00000000">
            <w:pPr>
              <w:spacing w:line="252" w:lineRule="auto"/>
            </w:pPr>
            <w:r>
              <w:rPr>
                <w:rFonts w:ascii="Calibri" w:hAnsi="Calibri"/>
                <w:color w:val="000000"/>
                <w:sz w:val="17"/>
              </w:rPr>
              <w:t>Hyperledger Fabric</w:t>
            </w:r>
          </w:p>
        </w:tc>
        <w:tc>
          <w:tcPr>
            <w:tcW w:w="5224" w:type="dxa"/>
            <w:shd w:val="clear" w:color="auto" w:fill="F7F9FC"/>
            <w:tcMar>
              <w:top w:w="100" w:type="dxa"/>
              <w:left w:w="120" w:type="dxa"/>
              <w:bottom w:w="100" w:type="dxa"/>
              <w:right w:w="120" w:type="dxa"/>
            </w:tcMar>
            <w:vAlign w:val="center"/>
          </w:tcPr>
          <w:p w14:paraId="1D3FAB3C" w14:textId="77777777" w:rsidR="00DC073C" w:rsidRDefault="00000000">
            <w:pPr>
              <w:spacing w:line="252" w:lineRule="auto"/>
            </w:pPr>
            <w:r>
              <w:rPr>
                <w:rFonts w:ascii="Calibri" w:hAnsi="Calibri"/>
                <w:color w:val="000000"/>
                <w:sz w:val="17"/>
              </w:rPr>
              <w:t>Permissioned membership and modular transaction processing suit multi-organisation governance.</w:t>
            </w:r>
          </w:p>
        </w:tc>
      </w:tr>
      <w:tr w:rsidR="00DC073C" w14:paraId="4CAFF7C0" w14:textId="77777777">
        <w:tc>
          <w:tcPr>
            <w:tcW w:w="1900" w:type="dxa"/>
            <w:tcMar>
              <w:top w:w="100" w:type="dxa"/>
              <w:left w:w="120" w:type="dxa"/>
              <w:bottom w:w="100" w:type="dxa"/>
              <w:right w:w="120" w:type="dxa"/>
            </w:tcMar>
            <w:vAlign w:val="center"/>
          </w:tcPr>
          <w:p w14:paraId="37A8DD08" w14:textId="77777777" w:rsidR="00DC073C" w:rsidRDefault="00000000">
            <w:pPr>
              <w:spacing w:line="252" w:lineRule="auto"/>
            </w:pPr>
            <w:r>
              <w:rPr>
                <w:rFonts w:ascii="Calibri" w:hAnsi="Calibri"/>
                <w:color w:val="000000"/>
                <w:sz w:val="17"/>
              </w:rPr>
              <w:t>Dorri et al. [11], 2017</w:t>
            </w:r>
          </w:p>
        </w:tc>
        <w:tc>
          <w:tcPr>
            <w:tcW w:w="1900" w:type="dxa"/>
            <w:tcMar>
              <w:top w:w="100" w:type="dxa"/>
              <w:left w:w="120" w:type="dxa"/>
              <w:bottom w:w="100" w:type="dxa"/>
              <w:right w:w="120" w:type="dxa"/>
            </w:tcMar>
            <w:vAlign w:val="center"/>
          </w:tcPr>
          <w:p w14:paraId="64346015" w14:textId="77777777" w:rsidR="00DC073C" w:rsidRDefault="00000000">
            <w:pPr>
              <w:spacing w:line="252" w:lineRule="auto"/>
            </w:pPr>
            <w:r>
              <w:rPr>
                <w:rFonts w:ascii="Calibri" w:hAnsi="Calibri"/>
                <w:color w:val="000000"/>
                <w:sz w:val="17"/>
              </w:rPr>
              <w:t>Smart-home blockchain security</w:t>
            </w:r>
          </w:p>
        </w:tc>
        <w:tc>
          <w:tcPr>
            <w:tcW w:w="5224" w:type="dxa"/>
            <w:tcMar>
              <w:top w:w="100" w:type="dxa"/>
              <w:left w:w="120" w:type="dxa"/>
              <w:bottom w:w="100" w:type="dxa"/>
              <w:right w:w="120" w:type="dxa"/>
            </w:tcMar>
            <w:vAlign w:val="center"/>
          </w:tcPr>
          <w:p w14:paraId="48570036" w14:textId="77777777" w:rsidR="00DC073C" w:rsidRDefault="00000000">
            <w:pPr>
              <w:spacing w:line="252" w:lineRule="auto"/>
            </w:pPr>
            <w:r>
              <w:rPr>
                <w:rFonts w:ascii="Calibri" w:hAnsi="Calibri"/>
                <w:color w:val="000000"/>
                <w:sz w:val="17"/>
              </w:rPr>
              <w:t>A capable local manager can shield constrained devices from ledger overhead.</w:t>
            </w:r>
          </w:p>
        </w:tc>
      </w:tr>
      <w:tr w:rsidR="00DC073C" w14:paraId="14052D37" w14:textId="77777777">
        <w:tc>
          <w:tcPr>
            <w:tcW w:w="1900" w:type="dxa"/>
            <w:shd w:val="clear" w:color="auto" w:fill="F7F9FC"/>
            <w:tcMar>
              <w:top w:w="100" w:type="dxa"/>
              <w:left w:w="120" w:type="dxa"/>
              <w:bottom w:w="100" w:type="dxa"/>
              <w:right w:w="120" w:type="dxa"/>
            </w:tcMar>
            <w:vAlign w:val="center"/>
          </w:tcPr>
          <w:p w14:paraId="15C05C51" w14:textId="77777777" w:rsidR="00DC073C" w:rsidRDefault="00000000">
            <w:pPr>
              <w:spacing w:line="252" w:lineRule="auto"/>
            </w:pPr>
            <w:r>
              <w:rPr>
                <w:rFonts w:ascii="Calibri" w:hAnsi="Calibri"/>
                <w:color w:val="000000"/>
                <w:sz w:val="17"/>
              </w:rPr>
              <w:t>Schardong and Custodio [12], 2022</w:t>
            </w:r>
          </w:p>
        </w:tc>
        <w:tc>
          <w:tcPr>
            <w:tcW w:w="1900" w:type="dxa"/>
            <w:shd w:val="clear" w:color="auto" w:fill="F7F9FC"/>
            <w:tcMar>
              <w:top w:w="100" w:type="dxa"/>
              <w:left w:w="120" w:type="dxa"/>
              <w:bottom w:w="100" w:type="dxa"/>
              <w:right w:w="120" w:type="dxa"/>
            </w:tcMar>
            <w:vAlign w:val="center"/>
          </w:tcPr>
          <w:p w14:paraId="0FA2418E" w14:textId="77777777" w:rsidR="00DC073C" w:rsidRDefault="00000000">
            <w:pPr>
              <w:spacing w:line="252" w:lineRule="auto"/>
            </w:pPr>
            <w:r>
              <w:rPr>
                <w:rFonts w:ascii="Calibri" w:hAnsi="Calibri"/>
                <w:color w:val="000000"/>
                <w:sz w:val="17"/>
              </w:rPr>
              <w:t>SSI systematic review</w:t>
            </w:r>
          </w:p>
        </w:tc>
        <w:tc>
          <w:tcPr>
            <w:tcW w:w="5224" w:type="dxa"/>
            <w:shd w:val="clear" w:color="auto" w:fill="F7F9FC"/>
            <w:tcMar>
              <w:top w:w="100" w:type="dxa"/>
              <w:left w:w="120" w:type="dxa"/>
              <w:bottom w:w="100" w:type="dxa"/>
              <w:right w:w="120" w:type="dxa"/>
            </w:tcMar>
            <w:vAlign w:val="center"/>
          </w:tcPr>
          <w:p w14:paraId="5EB9ABEB" w14:textId="77777777" w:rsidR="00DC073C" w:rsidRDefault="00000000">
            <w:pPr>
              <w:spacing w:line="252" w:lineRule="auto"/>
            </w:pPr>
            <w:r>
              <w:rPr>
                <w:rFonts w:ascii="Calibri" w:hAnsi="Calibri"/>
                <w:color w:val="000000"/>
                <w:sz w:val="17"/>
              </w:rPr>
              <w:t>Revocation, recovery, interoperability and governance remain open deployment problems.</w:t>
            </w:r>
          </w:p>
        </w:tc>
      </w:tr>
      <w:tr w:rsidR="00DC073C" w14:paraId="3794BE06" w14:textId="77777777">
        <w:tc>
          <w:tcPr>
            <w:tcW w:w="1900" w:type="dxa"/>
            <w:tcMar>
              <w:top w:w="100" w:type="dxa"/>
              <w:left w:w="120" w:type="dxa"/>
              <w:bottom w:w="100" w:type="dxa"/>
              <w:right w:w="120" w:type="dxa"/>
            </w:tcMar>
            <w:vAlign w:val="center"/>
          </w:tcPr>
          <w:p w14:paraId="25A45E77" w14:textId="77777777" w:rsidR="00DC073C" w:rsidRDefault="00000000">
            <w:pPr>
              <w:spacing w:line="252" w:lineRule="auto"/>
            </w:pPr>
            <w:r>
              <w:rPr>
                <w:rFonts w:ascii="Calibri" w:hAnsi="Calibri"/>
                <w:color w:val="000000"/>
                <w:sz w:val="17"/>
              </w:rPr>
              <w:t>Seitz et al. [14], 2022</w:t>
            </w:r>
          </w:p>
        </w:tc>
        <w:tc>
          <w:tcPr>
            <w:tcW w:w="1900" w:type="dxa"/>
            <w:tcMar>
              <w:top w:w="100" w:type="dxa"/>
              <w:left w:w="120" w:type="dxa"/>
              <w:bottom w:w="100" w:type="dxa"/>
              <w:right w:w="120" w:type="dxa"/>
            </w:tcMar>
            <w:vAlign w:val="center"/>
          </w:tcPr>
          <w:p w14:paraId="2DC8B9A6" w14:textId="77777777" w:rsidR="00DC073C" w:rsidRDefault="00000000">
            <w:pPr>
              <w:spacing w:line="252" w:lineRule="auto"/>
            </w:pPr>
            <w:r>
              <w:rPr>
                <w:rFonts w:ascii="Calibri" w:hAnsi="Calibri"/>
                <w:color w:val="000000"/>
                <w:sz w:val="17"/>
              </w:rPr>
              <w:t>ACE-OAuth</w:t>
            </w:r>
          </w:p>
        </w:tc>
        <w:tc>
          <w:tcPr>
            <w:tcW w:w="5224" w:type="dxa"/>
            <w:tcMar>
              <w:top w:w="100" w:type="dxa"/>
              <w:left w:w="120" w:type="dxa"/>
              <w:bottom w:w="100" w:type="dxa"/>
              <w:right w:w="120" w:type="dxa"/>
            </w:tcMar>
            <w:vAlign w:val="center"/>
          </w:tcPr>
          <w:p w14:paraId="0886D48C" w14:textId="77777777" w:rsidR="00DC073C" w:rsidRDefault="00000000">
            <w:pPr>
              <w:spacing w:line="252" w:lineRule="auto"/>
            </w:pPr>
            <w:r>
              <w:rPr>
                <w:rFonts w:ascii="Calibri" w:hAnsi="Calibri"/>
                <w:color w:val="000000"/>
                <w:sz w:val="17"/>
              </w:rPr>
              <w:t>CBOR/COSE and proof-of-possession adapt established authorisation patterns to constrained IoT.</w:t>
            </w:r>
          </w:p>
        </w:tc>
      </w:tr>
      <w:tr w:rsidR="00DC073C" w14:paraId="643DBE78" w14:textId="77777777">
        <w:tc>
          <w:tcPr>
            <w:tcW w:w="1900" w:type="dxa"/>
            <w:shd w:val="clear" w:color="auto" w:fill="F7F9FC"/>
            <w:tcMar>
              <w:top w:w="100" w:type="dxa"/>
              <w:left w:w="120" w:type="dxa"/>
              <w:bottom w:w="100" w:type="dxa"/>
              <w:right w:w="120" w:type="dxa"/>
            </w:tcMar>
            <w:vAlign w:val="center"/>
          </w:tcPr>
          <w:p w14:paraId="604ACABD" w14:textId="77777777" w:rsidR="00DC073C" w:rsidRDefault="00000000">
            <w:pPr>
              <w:spacing w:line="252" w:lineRule="auto"/>
            </w:pPr>
            <w:r>
              <w:rPr>
                <w:rFonts w:ascii="Calibri" w:hAnsi="Calibri"/>
                <w:color w:val="000000"/>
                <w:sz w:val="17"/>
              </w:rPr>
              <w:t>Selander et al. [15], 2024</w:t>
            </w:r>
          </w:p>
        </w:tc>
        <w:tc>
          <w:tcPr>
            <w:tcW w:w="1900" w:type="dxa"/>
            <w:shd w:val="clear" w:color="auto" w:fill="F7F9FC"/>
            <w:tcMar>
              <w:top w:w="100" w:type="dxa"/>
              <w:left w:w="120" w:type="dxa"/>
              <w:bottom w:w="100" w:type="dxa"/>
              <w:right w:w="120" w:type="dxa"/>
            </w:tcMar>
            <w:vAlign w:val="center"/>
          </w:tcPr>
          <w:p w14:paraId="30509758" w14:textId="77777777" w:rsidR="00DC073C" w:rsidRDefault="00000000">
            <w:pPr>
              <w:spacing w:line="252" w:lineRule="auto"/>
            </w:pPr>
            <w:r>
              <w:rPr>
                <w:rFonts w:ascii="Calibri" w:hAnsi="Calibri"/>
                <w:color w:val="000000"/>
                <w:sz w:val="17"/>
              </w:rPr>
              <w:t>EDHOC</w:t>
            </w:r>
          </w:p>
        </w:tc>
        <w:tc>
          <w:tcPr>
            <w:tcW w:w="5224" w:type="dxa"/>
            <w:shd w:val="clear" w:color="auto" w:fill="F7F9FC"/>
            <w:tcMar>
              <w:top w:w="100" w:type="dxa"/>
              <w:left w:w="120" w:type="dxa"/>
              <w:bottom w:w="100" w:type="dxa"/>
              <w:right w:w="120" w:type="dxa"/>
            </w:tcMar>
            <w:vAlign w:val="center"/>
          </w:tcPr>
          <w:p w14:paraId="1ECAC6EA" w14:textId="77777777" w:rsidR="00DC073C" w:rsidRDefault="00000000">
            <w:pPr>
              <w:spacing w:line="252" w:lineRule="auto"/>
            </w:pPr>
            <w:r>
              <w:rPr>
                <w:rFonts w:ascii="Calibri" w:hAnsi="Calibri"/>
                <w:color w:val="000000"/>
                <w:sz w:val="17"/>
              </w:rPr>
              <w:t>Compact mutual authentication can provide forward secrecy and identity protection on constrained links.</w:t>
            </w:r>
          </w:p>
        </w:tc>
      </w:tr>
      <w:tr w:rsidR="00DC073C" w14:paraId="1B8984F9" w14:textId="77777777">
        <w:tc>
          <w:tcPr>
            <w:tcW w:w="1900" w:type="dxa"/>
            <w:tcMar>
              <w:top w:w="100" w:type="dxa"/>
              <w:left w:w="120" w:type="dxa"/>
              <w:bottom w:w="100" w:type="dxa"/>
              <w:right w:w="120" w:type="dxa"/>
            </w:tcMar>
            <w:vAlign w:val="center"/>
          </w:tcPr>
          <w:p w14:paraId="2FC0FC07" w14:textId="77777777" w:rsidR="00DC073C" w:rsidRDefault="00000000">
            <w:pPr>
              <w:spacing w:line="252" w:lineRule="auto"/>
            </w:pPr>
            <w:r>
              <w:rPr>
                <w:rFonts w:ascii="Calibri" w:hAnsi="Calibri"/>
                <w:color w:val="000000"/>
                <w:sz w:val="17"/>
              </w:rPr>
              <w:t>Lau et al. [16], 2023</w:t>
            </w:r>
          </w:p>
        </w:tc>
        <w:tc>
          <w:tcPr>
            <w:tcW w:w="1900" w:type="dxa"/>
            <w:tcMar>
              <w:top w:w="100" w:type="dxa"/>
              <w:left w:w="120" w:type="dxa"/>
              <w:bottom w:w="100" w:type="dxa"/>
              <w:right w:w="120" w:type="dxa"/>
            </w:tcMar>
            <w:vAlign w:val="center"/>
          </w:tcPr>
          <w:p w14:paraId="19916ABE" w14:textId="77777777" w:rsidR="00DC073C" w:rsidRDefault="00000000">
            <w:pPr>
              <w:spacing w:line="252" w:lineRule="auto"/>
            </w:pPr>
            <w:r>
              <w:rPr>
                <w:rFonts w:ascii="Calibri" w:hAnsi="Calibri"/>
                <w:color w:val="000000"/>
                <w:sz w:val="17"/>
              </w:rPr>
              <w:t>Blockchain IoT authentication</w:t>
            </w:r>
          </w:p>
        </w:tc>
        <w:tc>
          <w:tcPr>
            <w:tcW w:w="5224" w:type="dxa"/>
            <w:tcMar>
              <w:top w:w="100" w:type="dxa"/>
              <w:left w:w="120" w:type="dxa"/>
              <w:bottom w:w="100" w:type="dxa"/>
              <w:right w:w="120" w:type="dxa"/>
            </w:tcMar>
            <w:vAlign w:val="center"/>
          </w:tcPr>
          <w:p w14:paraId="7AB8B876" w14:textId="77777777" w:rsidR="00DC073C" w:rsidRDefault="00000000">
            <w:pPr>
              <w:spacing w:line="252" w:lineRule="auto"/>
            </w:pPr>
            <w:r>
              <w:rPr>
                <w:rFonts w:ascii="Calibri" w:hAnsi="Calibri"/>
                <w:color w:val="000000"/>
                <w:sz w:val="17"/>
              </w:rPr>
              <w:t>Distributed authentication records can support secure configuration and communication, but require architecture-specific validation.</w:t>
            </w:r>
          </w:p>
        </w:tc>
      </w:tr>
      <w:tr w:rsidR="00DC073C" w14:paraId="55E89443" w14:textId="77777777">
        <w:tc>
          <w:tcPr>
            <w:tcW w:w="1900" w:type="dxa"/>
            <w:shd w:val="clear" w:color="auto" w:fill="F7F9FC"/>
            <w:tcMar>
              <w:top w:w="100" w:type="dxa"/>
              <w:left w:w="120" w:type="dxa"/>
              <w:bottom w:w="100" w:type="dxa"/>
              <w:right w:w="120" w:type="dxa"/>
            </w:tcMar>
            <w:vAlign w:val="center"/>
          </w:tcPr>
          <w:p w14:paraId="05BF12E9" w14:textId="77777777" w:rsidR="00DC073C" w:rsidRDefault="00000000">
            <w:pPr>
              <w:spacing w:line="252" w:lineRule="auto"/>
            </w:pPr>
            <w:r>
              <w:rPr>
                <w:rFonts w:ascii="Calibri" w:hAnsi="Calibri"/>
                <w:color w:val="000000"/>
                <w:sz w:val="17"/>
              </w:rPr>
              <w:lastRenderedPageBreak/>
              <w:t>Pohn et al. [13], 2024</w:t>
            </w:r>
          </w:p>
        </w:tc>
        <w:tc>
          <w:tcPr>
            <w:tcW w:w="1900" w:type="dxa"/>
            <w:shd w:val="clear" w:color="auto" w:fill="F7F9FC"/>
            <w:tcMar>
              <w:top w:w="100" w:type="dxa"/>
              <w:left w:w="120" w:type="dxa"/>
              <w:bottom w:w="100" w:type="dxa"/>
              <w:right w:w="120" w:type="dxa"/>
            </w:tcMar>
            <w:vAlign w:val="center"/>
          </w:tcPr>
          <w:p w14:paraId="0E452EF1" w14:textId="77777777" w:rsidR="00DC073C" w:rsidRDefault="00000000">
            <w:pPr>
              <w:spacing w:line="252" w:lineRule="auto"/>
            </w:pPr>
            <w:r>
              <w:rPr>
                <w:rFonts w:ascii="Calibri" w:hAnsi="Calibri"/>
                <w:color w:val="000000"/>
                <w:sz w:val="17"/>
              </w:rPr>
              <w:t>Threats to blockchain SSI</w:t>
            </w:r>
          </w:p>
        </w:tc>
        <w:tc>
          <w:tcPr>
            <w:tcW w:w="5224" w:type="dxa"/>
            <w:shd w:val="clear" w:color="auto" w:fill="F7F9FC"/>
            <w:tcMar>
              <w:top w:w="100" w:type="dxa"/>
              <w:left w:w="120" w:type="dxa"/>
              <w:bottom w:w="100" w:type="dxa"/>
              <w:right w:w="120" w:type="dxa"/>
            </w:tcMar>
            <w:vAlign w:val="center"/>
          </w:tcPr>
          <w:p w14:paraId="0F26932B" w14:textId="77777777" w:rsidR="00DC073C" w:rsidRDefault="00000000">
            <w:pPr>
              <w:spacing w:line="252" w:lineRule="auto"/>
            </w:pPr>
            <w:r>
              <w:rPr>
                <w:rFonts w:ascii="Calibri" w:hAnsi="Calibri"/>
                <w:color w:val="000000"/>
                <w:sz w:val="17"/>
              </w:rPr>
              <w:t>Ledger-backed identity still faces issuer, resolver, key, privacy and smart-contract threats.</w:t>
            </w:r>
          </w:p>
        </w:tc>
      </w:tr>
    </w:tbl>
    <w:p w14:paraId="568CBEA8" w14:textId="77777777" w:rsidR="00DC073C" w:rsidRDefault="00DC073C">
      <w:pPr>
        <w:spacing w:after="120"/>
      </w:pPr>
    </w:p>
    <w:p w14:paraId="707B1795" w14:textId="77777777" w:rsidR="00DC073C" w:rsidRDefault="00000000">
      <w:pPr>
        <w:pStyle w:val="Heading2"/>
        <w:keepNext/>
        <w:keepLines/>
        <w:spacing w:before="200" w:after="110"/>
      </w:pPr>
      <w:r>
        <w:rPr>
          <w:rFonts w:ascii="Calibri" w:hAnsi="Calibri"/>
          <w:b/>
          <w:color w:val="000000"/>
          <w:sz w:val="23"/>
        </w:rPr>
        <w:t>2.7 Position of the Present Study</w:t>
      </w:r>
    </w:p>
    <w:p w14:paraId="3D44A631" w14:textId="77777777" w:rsidR="00DC073C" w:rsidRDefault="00000000">
      <w:pPr>
        <w:spacing w:after="140" w:line="288" w:lineRule="auto"/>
        <w:jc w:val="both"/>
      </w:pPr>
      <w:r>
        <w:rPr>
          <w:rFonts w:ascii="Calibri" w:hAnsi="Calibri"/>
          <w:color w:val="000000"/>
          <w:sz w:val="22"/>
        </w:rPr>
        <w:t>The literature establishes three points. First, a distributed registry can reduce dependence on one administrative domain, but a centralised directory is not automatically slow or insecure. Second, constrained devices benefit when a gateway carries ledger and policy work. Third, DIDs, VCs and constrained-authentication protocols provide interoperable building blocks, yet they do not decide how frequently a verifier should consult a ledger or how revocation should invalidate a cache.</w:t>
      </w:r>
    </w:p>
    <w:p w14:paraId="0DA87168" w14:textId="77777777" w:rsidR="00DC073C" w:rsidRDefault="00000000">
      <w:pPr>
        <w:spacing w:after="140" w:line="288" w:lineRule="auto"/>
        <w:jc w:val="both"/>
      </w:pPr>
      <w:r>
        <w:rPr>
          <w:rFonts w:ascii="Calibri" w:hAnsi="Calibri"/>
          <w:color w:val="000000"/>
          <w:sz w:val="22"/>
        </w:rPr>
        <w:t>The present study sits at that unresolved boundary. Its contribution is not another blockchain login scheme. It is a controlled evaluation of three identity-state paths that use the same device key, challenge, verifier and workload. The direct-ledger condition reveals the raw cost of distributed resolution; the cached condition shows the achievable online performance and the risk of stale state; the centralised condition provides an honest operational baseline. Security tests and failure injection complement the latency figures so that a fast but unsafe cache cannot be reported as a success.</w:t>
      </w:r>
    </w:p>
    <w:p w14:paraId="121360D3" w14:textId="77777777" w:rsidR="00DC073C" w:rsidRDefault="00000000">
      <w:pPr>
        <w:pStyle w:val="Heading1"/>
        <w:keepNext/>
        <w:keepLines/>
        <w:spacing w:before="300" w:after="140"/>
      </w:pPr>
      <w:r>
        <w:rPr>
          <w:rFonts w:ascii="Calibri" w:hAnsi="Calibri"/>
          <w:b/>
          <w:color w:val="000000"/>
          <w:sz w:val="27"/>
        </w:rPr>
        <w:t>3. Research Design and Methodology</w:t>
      </w:r>
    </w:p>
    <w:p w14:paraId="0C76416B" w14:textId="77777777" w:rsidR="00DC073C" w:rsidRDefault="00000000">
      <w:pPr>
        <w:pStyle w:val="Heading2"/>
        <w:keepNext/>
        <w:keepLines/>
        <w:spacing w:before="200" w:after="110"/>
      </w:pPr>
      <w:r>
        <w:rPr>
          <w:rFonts w:ascii="Calibri" w:hAnsi="Calibri"/>
          <w:b/>
          <w:color w:val="000000"/>
          <w:sz w:val="23"/>
        </w:rPr>
        <w:t>3.1 Research Design</w:t>
      </w:r>
    </w:p>
    <w:p w14:paraId="2FB85347" w14:textId="77777777" w:rsidR="00DC073C" w:rsidRDefault="00000000">
      <w:pPr>
        <w:spacing w:after="140" w:line="288" w:lineRule="auto"/>
        <w:jc w:val="both"/>
      </w:pPr>
      <w:r>
        <w:rPr>
          <w:rFonts w:ascii="Calibri" w:hAnsi="Calibri"/>
          <w:color w:val="000000"/>
          <w:sz w:val="22"/>
        </w:rPr>
        <w:t>The project follows Design Science Research Methodology (DSRM) because its main research contribution is an evaluated artefact. Peffers et al. organise DSRM into problem identification, definition of objectives, design and development, demonstration, evaluation and communication [19]. The sequence suits this study, but it will be iterative rather than strictly linear: pilot measurements may expose a cache or transaction design that needs revision before the full experiment.</w:t>
      </w:r>
    </w:p>
    <w:p w14:paraId="4D5FA77B" w14:textId="77777777" w:rsidR="00DC073C" w:rsidRDefault="00000000">
      <w:pPr>
        <w:keepNext/>
        <w:spacing w:before="80"/>
        <w:jc w:val="center"/>
      </w:pPr>
      <w:r>
        <w:rPr>
          <w:noProof/>
        </w:rPr>
        <w:drawing>
          <wp:inline distT="0" distB="0" distL="0" distR="0" wp14:anchorId="2ECA9AF9" wp14:editId="2DA82151">
            <wp:extent cx="4114800" cy="3291840"/>
            <wp:effectExtent l="0" t="0" r="0" b="0"/>
            <wp:docPr id="3" name="Picture 3" descr="Six-stage iterative Design Science Research cycle covering problem identification, objectives, design and development, demonstration, evaluation and communication." title="Design Science Research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r_cycle.png"/>
                    <pic:cNvPicPr/>
                  </pic:nvPicPr>
                  <pic:blipFill>
                    <a:blip r:embed="rId10"/>
                    <a:stretch>
                      <a:fillRect/>
                    </a:stretch>
                  </pic:blipFill>
                  <pic:spPr>
                    <a:xfrm>
                      <a:off x="0" y="0"/>
                      <a:ext cx="4114800" cy="3291840"/>
                    </a:xfrm>
                    <a:prstGeom prst="rect">
                      <a:avLst/>
                    </a:prstGeom>
                  </pic:spPr>
                </pic:pic>
              </a:graphicData>
            </a:graphic>
          </wp:inline>
        </w:drawing>
      </w:r>
    </w:p>
    <w:p w14:paraId="69A8E79B" w14:textId="77777777" w:rsidR="00DC073C" w:rsidRDefault="00000000">
      <w:pPr>
        <w:spacing w:before="80" w:after="240"/>
        <w:jc w:val="center"/>
      </w:pPr>
      <w:r>
        <w:rPr>
          <w:rFonts w:ascii="Calibri" w:hAnsi="Calibri"/>
          <w:i/>
          <w:color w:val="000000"/>
          <w:sz w:val="19"/>
        </w:rPr>
        <w:t>Fig. 2. Design Science Research Methodology applied to this study.</w:t>
      </w:r>
    </w:p>
    <w:p w14:paraId="0FCA21EB" w14:textId="77777777" w:rsidR="00DC073C" w:rsidRDefault="00000000">
      <w:pPr>
        <w:spacing w:after="140" w:line="288" w:lineRule="auto"/>
        <w:jc w:val="both"/>
      </w:pPr>
      <w:r>
        <w:rPr>
          <w:rFonts w:ascii="Calibri" w:hAnsi="Calibri"/>
          <w:color w:val="000000"/>
          <w:sz w:val="22"/>
        </w:rPr>
        <w:lastRenderedPageBreak/>
        <w:t>A controlled, repeated-measures experiment is nested inside the demonstration and evaluation stages. Every generated authentication request is replayed against the three system conditions with the same device population, cryptographic algorithm, verifier API, network host and load profile. This controls obvious confounders and makes the backing identity-state mechanism the principal independent variable. Quantitative performance evidence is combined with structured security-test results and a qualitative threat analysis.</w:t>
      </w:r>
    </w:p>
    <w:p w14:paraId="5883EA78" w14:textId="77777777" w:rsidR="00DC073C" w:rsidRDefault="00000000">
      <w:pPr>
        <w:pStyle w:val="Heading2"/>
        <w:keepNext/>
        <w:keepLines/>
        <w:spacing w:before="200" w:after="110"/>
      </w:pPr>
      <w:r>
        <w:rPr>
          <w:rFonts w:ascii="Calibri" w:hAnsi="Calibri"/>
          <w:b/>
          <w:color w:val="000000"/>
          <w:sz w:val="23"/>
        </w:rPr>
        <w:t>3.2 Research Methods and Materials</w:t>
      </w:r>
    </w:p>
    <w:p w14:paraId="57C6DCFA" w14:textId="77777777" w:rsidR="00DC073C" w:rsidRDefault="00000000">
      <w:pPr>
        <w:pStyle w:val="Heading3"/>
        <w:keepNext/>
        <w:keepLines/>
        <w:spacing w:before="160" w:after="90"/>
      </w:pPr>
      <w:r>
        <w:rPr>
          <w:rFonts w:ascii="Calibri" w:hAnsi="Calibri"/>
          <w:b/>
          <w:color w:val="000000"/>
          <w:sz w:val="22"/>
        </w:rPr>
        <w:t>3.2.1 Methods</w:t>
      </w:r>
    </w:p>
    <w:p w14:paraId="0318456E" w14:textId="77777777" w:rsidR="00DC073C" w:rsidRDefault="00000000">
      <w:pPr>
        <w:spacing w:after="140" w:line="288" w:lineRule="auto"/>
        <w:jc w:val="both"/>
      </w:pPr>
      <w:r>
        <w:rPr>
          <w:rFonts w:ascii="Calibri" w:hAnsi="Calibri"/>
          <w:b/>
          <w:color w:val="000000"/>
          <w:sz w:val="22"/>
        </w:rPr>
        <w:t xml:space="preserve">Artefact design. </w:t>
      </w:r>
      <w:r>
        <w:rPr>
          <w:rFonts w:ascii="Calibri" w:hAnsi="Calibri"/>
          <w:color w:val="000000"/>
          <w:sz w:val="22"/>
        </w:rPr>
        <w:t>The prototype will contain four components: a device client holding a DID and Ed25519 private key; an authentication gateway that issues nonces and verifies signatures; a Fabric chaincode service that registers DID documents, issuer authority and credential status; and an event-aware resolver cache at the gateway. Registration, key rotation and revocation require an authorised organisation identity. Authentication does not write a full transaction for every request; only batched or hashed audit anchors are committed, avoiding unnecessary ledger growth.</w:t>
      </w:r>
    </w:p>
    <w:p w14:paraId="552C41EF" w14:textId="77777777" w:rsidR="00DC073C" w:rsidRDefault="00000000">
      <w:pPr>
        <w:spacing w:after="140" w:line="288" w:lineRule="auto"/>
        <w:jc w:val="both"/>
      </w:pPr>
      <w:r>
        <w:rPr>
          <w:rFonts w:ascii="Calibri" w:hAnsi="Calibri"/>
          <w:b/>
          <w:color w:val="000000"/>
          <w:sz w:val="22"/>
        </w:rPr>
        <w:t xml:space="preserve">Authentication sequence. </w:t>
      </w:r>
      <w:r>
        <w:rPr>
          <w:rFonts w:ascii="Calibri" w:hAnsi="Calibri"/>
          <w:color w:val="000000"/>
          <w:sz w:val="22"/>
        </w:rPr>
        <w:t>The gateway sends a fresh random nonce and session identifier. The device signs the nonce, session identifier and intended service. The gateway resolves the DID, checks the issuer and credential status, verifies the signature and applies a minimal service policy. A nonce store rejects reuse. The result is an allow/deny decision plus timing and resource measurements. Private keys, raw credentials and device telemetry never enter the ledger.</w:t>
      </w:r>
    </w:p>
    <w:p w14:paraId="1DEA57C7" w14:textId="77777777" w:rsidR="00DC073C" w:rsidRDefault="00000000">
      <w:pPr>
        <w:spacing w:after="140" w:line="288" w:lineRule="auto"/>
        <w:jc w:val="both"/>
      </w:pPr>
      <w:r>
        <w:rPr>
          <w:rFonts w:ascii="Calibri" w:hAnsi="Calibri"/>
          <w:b/>
          <w:color w:val="000000"/>
          <w:sz w:val="22"/>
        </w:rPr>
        <w:t xml:space="preserve">Experimental conditions. </w:t>
      </w:r>
      <w:r>
        <w:rPr>
          <w:rFonts w:ascii="Calibri" w:hAnsi="Calibri"/>
          <w:color w:val="000000"/>
          <w:sz w:val="22"/>
        </w:rPr>
        <w:t>Condition C uses a centralised PostgreSQL identity registry. Condition L uses the Fabric registry and performs a ledger query for each authentication. Condition LC uses the same Fabric registry through a local cache updated by ledger events and bounded by a short time-to-live. All three conditions expose the same gateway endpoint and execute the same signature checks. This design lets the experiment distinguish storage/resolution overhead from cryptographic overhead.</w:t>
      </w:r>
    </w:p>
    <w:p w14:paraId="423631A1" w14:textId="77777777" w:rsidR="00DC073C" w:rsidRDefault="00000000">
      <w:pPr>
        <w:spacing w:after="140" w:line="288" w:lineRule="auto"/>
        <w:jc w:val="both"/>
      </w:pPr>
      <w:r>
        <w:rPr>
          <w:rFonts w:ascii="Calibri" w:hAnsi="Calibri"/>
          <w:b/>
          <w:color w:val="000000"/>
          <w:sz w:val="22"/>
        </w:rPr>
        <w:t xml:space="preserve">Workload and repetitions. </w:t>
      </w:r>
      <w:r>
        <w:rPr>
          <w:rFonts w:ascii="Calibri" w:hAnsi="Calibri"/>
          <w:color w:val="000000"/>
          <w:sz w:val="22"/>
        </w:rPr>
        <w:t>A synthetic population of 100 device identities will be generated, with 20 active devices in the main test and additional clients used to create concurrency. Each condition will be exercised at 1, 5, 10, 25 and 50 concurrent clients. After a warm-up, at least 1,000 authentication attempts will be collected per load level and the full matrix will be repeated five times in randomised condition order. A small pilot in Weeks 13-15 will confirm that the workload is stable and that logging does not dominate the measurements.</w:t>
      </w:r>
    </w:p>
    <w:p w14:paraId="341ABA24" w14:textId="77777777" w:rsidR="00DC073C" w:rsidRDefault="00000000">
      <w:pPr>
        <w:spacing w:after="140" w:line="288" w:lineRule="auto"/>
        <w:jc w:val="both"/>
      </w:pPr>
      <w:r>
        <w:rPr>
          <w:rFonts w:ascii="Calibri" w:hAnsi="Calibri"/>
          <w:b/>
          <w:color w:val="000000"/>
          <w:sz w:val="22"/>
        </w:rPr>
        <w:t xml:space="preserve">Measures. </w:t>
      </w:r>
      <w:r>
        <w:rPr>
          <w:rFonts w:ascii="Calibri" w:hAnsi="Calibri"/>
          <w:color w:val="000000"/>
          <w:sz w:val="22"/>
        </w:rPr>
        <w:t>Primary performance measures are end-to-end authentication latency at the median, 95th and 99th percentiles; successful authentications per second; and error rate. Resource measures are gateway and device CPU time, peak memory, network bytes and ledger query/commit latency. Resilience measures are service continuity and recovery time during one Fabric peer failure, gateway cache restart and central registry outage. Revocation propagation is measured from the committed status change to the last acceptance of the revoked identity.</w:t>
      </w:r>
    </w:p>
    <w:p w14:paraId="0063C9F4" w14:textId="77777777" w:rsidR="00DC073C" w:rsidRDefault="00000000">
      <w:pPr>
        <w:spacing w:after="140" w:line="288" w:lineRule="auto"/>
        <w:jc w:val="both"/>
      </w:pPr>
      <w:r>
        <w:rPr>
          <w:rFonts w:ascii="Calibri" w:hAnsi="Calibri"/>
          <w:b/>
          <w:color w:val="000000"/>
          <w:sz w:val="22"/>
        </w:rPr>
        <w:t xml:space="preserve">Security evaluation. </w:t>
      </w:r>
      <w:r>
        <w:rPr>
          <w:rFonts w:ascii="Calibri" w:hAnsi="Calibri"/>
          <w:color w:val="000000"/>
          <w:sz w:val="22"/>
        </w:rPr>
        <w:t xml:space="preserve">A scripted negative-test suite will cover replayed nonce/signature pairs, a copied DID without the private key, a valid key paired with a forged credential, revoked and expired credentials, an unauthorised registrar, stale-cache behaviour, ledger-peer unavailability and tampered identity records. Expected allow/deny results are defined before execution. A STRIDE-informed threat </w:t>
      </w:r>
      <w:r>
        <w:rPr>
          <w:rFonts w:ascii="Calibri" w:hAnsi="Calibri"/>
          <w:color w:val="000000"/>
          <w:sz w:val="22"/>
        </w:rPr>
        <w:lastRenderedPageBreak/>
        <w:t>model will document assets, trust boundaries, attacker capabilities and residual risks, including stolen keys and malicious authorised issuers that the ledger cannot prevent.</w:t>
      </w:r>
    </w:p>
    <w:p w14:paraId="0F474513" w14:textId="77777777" w:rsidR="00DC073C" w:rsidRDefault="00000000">
      <w:pPr>
        <w:spacing w:after="140" w:line="288" w:lineRule="auto"/>
        <w:jc w:val="both"/>
      </w:pPr>
      <w:r>
        <w:rPr>
          <w:rFonts w:ascii="Calibri" w:hAnsi="Calibri"/>
          <w:b/>
          <w:color w:val="000000"/>
          <w:sz w:val="22"/>
        </w:rPr>
        <w:t xml:space="preserve">Analysis. </w:t>
      </w:r>
      <w:r>
        <w:rPr>
          <w:rFonts w:ascii="Calibri" w:hAnsi="Calibri"/>
          <w:color w:val="000000"/>
          <w:sz w:val="22"/>
        </w:rPr>
        <w:t>Latency and resource results will be reported as distributions with 95% bootstrap confidence intervals, not only as averages. If repeated-condition data are non-normal, a Friedman test followed by paired Wilcoxon comparisons with Holm adjustment will be used; effect sizes will accompany p-values. Security tests will be reported as a traceable matrix of expected and observed outcomes. The cached condition will be judged on both speed and its measured revocation window, preventing a performance gain from hiding a consistency loss.</w:t>
      </w:r>
    </w:p>
    <w:p w14:paraId="3C319C8E" w14:textId="77777777" w:rsidR="00DC073C" w:rsidRDefault="00000000">
      <w:pPr>
        <w:spacing w:after="140" w:line="288" w:lineRule="auto"/>
        <w:jc w:val="both"/>
      </w:pPr>
      <w:r>
        <w:rPr>
          <w:rFonts w:ascii="Calibri" w:hAnsi="Calibri"/>
          <w:b/>
          <w:color w:val="000000"/>
          <w:sz w:val="22"/>
        </w:rPr>
        <w:t xml:space="preserve">Validity and ethics. </w:t>
      </w:r>
      <w:r>
        <w:rPr>
          <w:rFonts w:ascii="Calibri" w:hAnsi="Calibri"/>
          <w:color w:val="000000"/>
          <w:sz w:val="22"/>
        </w:rPr>
        <w:t>Internal validity is supported by identical cryptography, API paths, device identities and host allocation across conditions. Randomised run order and repeated trials reduce warm-cache and background-load effects. External validity remains limited to a laboratory-scale permissioned consortium. No human participants or personal data are required. Device identities and credentials are synthetic; secrets are generated for the experiment and destroyed after marking; logs use pseudonymous identifiers; and all testing remains on an isolated local network. The ethics application will describe dual-use and data-retention controls before experimentation begins.</w:t>
      </w:r>
    </w:p>
    <w:p w14:paraId="564FD3B3" w14:textId="77777777" w:rsidR="00DC073C" w:rsidRDefault="00000000">
      <w:pPr>
        <w:pStyle w:val="Heading3"/>
        <w:keepNext/>
        <w:keepLines/>
        <w:spacing w:before="160" w:after="90"/>
      </w:pPr>
      <w:r>
        <w:rPr>
          <w:rFonts w:ascii="Calibri" w:hAnsi="Calibri"/>
          <w:b/>
          <w:color w:val="000000"/>
          <w:sz w:val="22"/>
        </w:rPr>
        <w:t>3.2.2 Materials</w:t>
      </w:r>
    </w:p>
    <w:p w14:paraId="4F795D75" w14:textId="77777777" w:rsidR="00DC073C" w:rsidRDefault="00000000">
      <w:pPr>
        <w:spacing w:after="140" w:line="288" w:lineRule="auto"/>
        <w:jc w:val="both"/>
      </w:pPr>
      <w:r>
        <w:rPr>
          <w:rFonts w:ascii="Calibri" w:hAnsi="Calibri"/>
          <w:b/>
          <w:color w:val="000000"/>
          <w:sz w:val="22"/>
        </w:rPr>
        <w:t xml:space="preserve">Software. </w:t>
      </w:r>
      <w:r>
        <w:rPr>
          <w:rFonts w:ascii="Calibri" w:hAnsi="Calibri"/>
          <w:color w:val="000000"/>
          <w:sz w:val="22"/>
        </w:rPr>
        <w:t>Hyperledger Fabric 2.5 will provide three peer organisations, a Raft ordering service, certificate authorities and chaincode for registration, rotation and revocation. Fabric's Membership Service Provider model is used to represent the manufacturer, operator and service-provider organisations [20]. The gateway and test harness will be written in Python or Node.js; PostgreSQL will provide the centralised baseline; Docker Compose will make the environment reproducible; and Prometheus-compatible metrics, psutil and packet capture will collect resource and network evidence.</w:t>
      </w:r>
    </w:p>
    <w:p w14:paraId="7E032CC3" w14:textId="77777777" w:rsidR="00DC073C" w:rsidRDefault="00000000">
      <w:pPr>
        <w:spacing w:after="140" w:line="288" w:lineRule="auto"/>
        <w:jc w:val="both"/>
      </w:pPr>
      <w:r>
        <w:rPr>
          <w:rFonts w:ascii="Calibri" w:hAnsi="Calibri"/>
          <w:b/>
          <w:color w:val="000000"/>
          <w:sz w:val="22"/>
        </w:rPr>
        <w:t xml:space="preserve">Hardware. </w:t>
      </w:r>
      <w:r>
        <w:rPr>
          <w:rFonts w:ascii="Calibri" w:hAnsi="Calibri"/>
          <w:color w:val="000000"/>
          <w:sz w:val="22"/>
        </w:rPr>
        <w:t>The ledger, database and load generator can run on one development workstation with at least four CPU cores, 16 GB RAM and an SSD, separated into containers with fixed resource limits. One Raspberry Pi 4/5 or comparable ARM single-board computer will act as the constrained endpoint where available. If physical hardware is unavailable, a resource-limited Linux container will provide a documented fallback, and conclusions will be restricted accordingly.</w:t>
      </w:r>
    </w:p>
    <w:p w14:paraId="5AD93E2F" w14:textId="77777777" w:rsidR="00DC073C" w:rsidRDefault="00000000">
      <w:pPr>
        <w:spacing w:after="140" w:line="288" w:lineRule="auto"/>
        <w:jc w:val="both"/>
      </w:pPr>
      <w:r>
        <w:rPr>
          <w:rFonts w:ascii="Calibri" w:hAnsi="Calibri"/>
          <w:b/>
          <w:color w:val="000000"/>
          <w:sz w:val="22"/>
        </w:rPr>
        <w:t xml:space="preserve">Research data and reproducibility. </w:t>
      </w:r>
      <w:r>
        <w:rPr>
          <w:rFonts w:ascii="Calibri" w:hAnsi="Calibri"/>
          <w:color w:val="000000"/>
          <w:sz w:val="22"/>
        </w:rPr>
        <w:t>The study will retain configuration files, chaincode, gateway source, synthetic identity-generation scripts, anonymised measurement CSV files, analysis notebooks and the negative-test matrix. Software versions, container resource limits, network-delay settings, random seeds and run order will be recorded. Public release will exclude private keys and any institutional credentials. The final dissertation will distinguish planned artefacts from those actually completed.</w:t>
      </w:r>
    </w:p>
    <w:p w14:paraId="5B3368F7" w14:textId="77777777" w:rsidR="00DC073C" w:rsidRDefault="00000000">
      <w:pPr>
        <w:pStyle w:val="Heading1"/>
        <w:keepNext/>
        <w:keepLines/>
        <w:spacing w:before="300" w:after="140"/>
      </w:pPr>
      <w:r>
        <w:rPr>
          <w:rFonts w:ascii="Calibri" w:hAnsi="Calibri"/>
          <w:b/>
          <w:color w:val="000000"/>
          <w:sz w:val="27"/>
        </w:rPr>
        <w:t>4. Expected Outcomes</w:t>
      </w:r>
    </w:p>
    <w:p w14:paraId="5E4EA80A" w14:textId="77777777" w:rsidR="00DC073C" w:rsidRDefault="00000000">
      <w:pPr>
        <w:spacing w:after="140" w:line="288" w:lineRule="auto"/>
        <w:jc w:val="both"/>
      </w:pPr>
      <w:r>
        <w:rPr>
          <w:rFonts w:ascii="Calibri" w:hAnsi="Calibri"/>
          <w:color w:val="000000"/>
          <w:sz w:val="22"/>
        </w:rPr>
        <w:t xml:space="preserve">The first expected output is a working authentication prototype with a clear separation between the device proof, the gateway decision and the shared ledger state. The second is an experimental dataset that compares centralised lookup, direct ledger lookup and cached ledger lookup under matched conditions. The third is a security and governance analysis that explains what the ledger can protect - </w:t>
      </w:r>
      <w:r>
        <w:rPr>
          <w:rFonts w:ascii="Calibri" w:hAnsi="Calibri"/>
          <w:color w:val="000000"/>
          <w:sz w:val="22"/>
        </w:rPr>
        <w:lastRenderedPageBreak/>
        <w:t>shared integrity, auditable change and distributed administration - and what it cannot, including compromised private keys, malicious authorised issuers and incorrect verifier policy.</w:t>
      </w:r>
    </w:p>
    <w:p w14:paraId="0A917F72" w14:textId="77777777" w:rsidR="00DC073C" w:rsidRDefault="00000000">
      <w:pPr>
        <w:spacing w:after="140" w:line="288" w:lineRule="auto"/>
        <w:jc w:val="both"/>
      </w:pPr>
      <w:r>
        <w:rPr>
          <w:rFonts w:ascii="Calibri" w:hAnsi="Calibri"/>
          <w:color w:val="000000"/>
          <w:sz w:val="22"/>
        </w:rPr>
        <w:t>The most plausible performance result is that direct ledger resolution will add visible tail latency, while an event-aware cache will move the online path closer to the centralised baseline. That is an expectation to test, not a conclusion to defend. A useful cached design must also propagate revocation within its declared bound and fail predictably when the ledger or event stream is unavailable. If the centralised condition performs better without a material resilience disadvantage in the tested setting, the study will say so.</w:t>
      </w:r>
    </w:p>
    <w:p w14:paraId="0AD2FCE7" w14:textId="77777777" w:rsidR="00DC073C" w:rsidRDefault="00000000">
      <w:pPr>
        <w:spacing w:after="140" w:line="288" w:lineRule="auto"/>
        <w:jc w:val="both"/>
      </w:pPr>
      <w:r>
        <w:rPr>
          <w:rFonts w:ascii="Calibri" w:hAnsi="Calibri"/>
          <w:color w:val="000000"/>
          <w:sz w:val="22"/>
        </w:rPr>
        <w:t>Success will be assessed against pre-defined evidence rather than the presence of a blockchain. The prototype should reject every specified replay, forged-key and revoked-credential case; record a complete audit trail for identity-state changes; continue verifying already cached valid identities during a single peer outage; and report the measured cost of that continuity. Performance results should be repeatable across five runs, with uncertainty and effect sizes reported.</w:t>
      </w:r>
    </w:p>
    <w:p w14:paraId="5B3CDE24" w14:textId="77777777" w:rsidR="00DC073C" w:rsidRDefault="00000000">
      <w:pPr>
        <w:spacing w:after="140" w:line="288" w:lineRule="auto"/>
        <w:jc w:val="both"/>
      </w:pPr>
      <w:r>
        <w:rPr>
          <w:rFonts w:ascii="Calibri" w:hAnsi="Calibri"/>
          <w:color w:val="000000"/>
          <w:sz w:val="22"/>
        </w:rPr>
        <w:t>The likely limitations are a modest device population, synthetic credentials, one permissioned-ledger platform and a local network that cannot represent every industrial or wide-area deployment. Fabric's Raft ordering service addresses crash faults, not arbitrary Byzantine behaviour, and the custom experimental DID method will not by itself prove interoperability with every external DID ecosystem. These limits are acceptable for a Level 7 study provided they are explicit and the claims remain tied to the evidence.</w:t>
      </w:r>
    </w:p>
    <w:p w14:paraId="4922FC12" w14:textId="77777777" w:rsidR="00DC073C" w:rsidRDefault="00000000">
      <w:pPr>
        <w:pStyle w:val="Heading1"/>
        <w:keepNext/>
        <w:keepLines/>
        <w:spacing w:before="300" w:after="140"/>
      </w:pPr>
      <w:r>
        <w:rPr>
          <w:rFonts w:ascii="Calibri" w:hAnsi="Calibri"/>
          <w:b/>
          <w:color w:val="000000"/>
          <w:sz w:val="27"/>
        </w:rPr>
        <w:t>5. Timeline</w:t>
      </w:r>
    </w:p>
    <w:p w14:paraId="5E2D1514" w14:textId="77777777" w:rsidR="00DC073C" w:rsidRDefault="00000000">
      <w:pPr>
        <w:spacing w:after="140" w:line="288" w:lineRule="auto"/>
        <w:jc w:val="both"/>
      </w:pPr>
      <w:r>
        <w:rPr>
          <w:rFonts w:ascii="Calibri" w:hAnsi="Calibri"/>
          <w:color w:val="000000"/>
          <w:sz w:val="22"/>
        </w:rPr>
        <w:t>The work is planned across 26 weeks in seven phases. Design decisions are frozen only after the threat model, and the full experiment begins only after a pilot has checked the measurement harness. Analysis is separated from final writing so that results can be interpreted before the dissertation narrative is fixed. Small contingency allowances are built into the implementation and full-study phases rather than placed entirely at the end.</w:t>
      </w:r>
    </w:p>
    <w:p w14:paraId="028E989B" w14:textId="77777777" w:rsidR="00DC073C" w:rsidRDefault="00000000">
      <w:pPr>
        <w:spacing w:before="100" w:after="160"/>
        <w:jc w:val="center"/>
      </w:pPr>
      <w:r>
        <w:rPr>
          <w:rFonts w:ascii="Calibri" w:hAnsi="Calibri"/>
          <w:i/>
          <w:color w:val="000000"/>
          <w:sz w:val="19"/>
        </w:rPr>
        <w:t>Table 2. Twenty-six-week project plan and milestone schedule.</w:t>
      </w:r>
    </w:p>
    <w:tbl>
      <w:tblPr>
        <w:tblW w:w="9024" w:type="dxa"/>
        <w:tblInd w:w="120"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200"/>
        <w:gridCol w:w="1400"/>
        <w:gridCol w:w="6424"/>
      </w:tblGrid>
      <w:tr w:rsidR="00DC073C" w14:paraId="6FCFBB5E" w14:textId="77777777">
        <w:trPr>
          <w:tblHeader/>
        </w:trPr>
        <w:tc>
          <w:tcPr>
            <w:tcW w:w="1200" w:type="dxa"/>
            <w:shd w:val="clear" w:color="auto" w:fill="1F4E79"/>
            <w:tcMar>
              <w:top w:w="100" w:type="dxa"/>
              <w:left w:w="120" w:type="dxa"/>
              <w:bottom w:w="100" w:type="dxa"/>
              <w:right w:w="120" w:type="dxa"/>
            </w:tcMar>
            <w:vAlign w:val="center"/>
          </w:tcPr>
          <w:p w14:paraId="33811AD9" w14:textId="77777777" w:rsidR="00DC073C" w:rsidRDefault="00000000">
            <w:pPr>
              <w:spacing w:line="252" w:lineRule="auto"/>
              <w:jc w:val="center"/>
            </w:pPr>
            <w:r>
              <w:rPr>
                <w:rFonts w:ascii="Calibri" w:hAnsi="Calibri"/>
                <w:b/>
                <w:color w:val="FFFFFF"/>
                <w:sz w:val="18"/>
              </w:rPr>
              <w:t>Phase</w:t>
            </w:r>
          </w:p>
        </w:tc>
        <w:tc>
          <w:tcPr>
            <w:tcW w:w="1400" w:type="dxa"/>
            <w:shd w:val="clear" w:color="auto" w:fill="1F4E79"/>
            <w:tcMar>
              <w:top w:w="100" w:type="dxa"/>
              <w:left w:w="120" w:type="dxa"/>
              <w:bottom w:w="100" w:type="dxa"/>
              <w:right w:w="120" w:type="dxa"/>
            </w:tcMar>
            <w:vAlign w:val="center"/>
          </w:tcPr>
          <w:p w14:paraId="7AEFB492" w14:textId="77777777" w:rsidR="00DC073C" w:rsidRDefault="00000000">
            <w:pPr>
              <w:spacing w:line="252" w:lineRule="auto"/>
              <w:jc w:val="center"/>
            </w:pPr>
            <w:r>
              <w:rPr>
                <w:rFonts w:ascii="Calibri" w:hAnsi="Calibri"/>
                <w:b/>
                <w:color w:val="FFFFFF"/>
                <w:sz w:val="18"/>
              </w:rPr>
              <w:t>Weeks</w:t>
            </w:r>
          </w:p>
        </w:tc>
        <w:tc>
          <w:tcPr>
            <w:tcW w:w="6424" w:type="dxa"/>
            <w:shd w:val="clear" w:color="auto" w:fill="1F4E79"/>
            <w:tcMar>
              <w:top w:w="100" w:type="dxa"/>
              <w:left w:w="120" w:type="dxa"/>
              <w:bottom w:w="100" w:type="dxa"/>
              <w:right w:w="120" w:type="dxa"/>
            </w:tcMar>
            <w:vAlign w:val="center"/>
          </w:tcPr>
          <w:p w14:paraId="58EF4FA8" w14:textId="77777777" w:rsidR="00DC073C" w:rsidRDefault="00000000">
            <w:pPr>
              <w:spacing w:line="252" w:lineRule="auto"/>
              <w:jc w:val="center"/>
            </w:pPr>
            <w:r>
              <w:rPr>
                <w:rFonts w:ascii="Calibri" w:hAnsi="Calibri"/>
                <w:b/>
                <w:color w:val="FFFFFF"/>
                <w:sz w:val="18"/>
              </w:rPr>
              <w:t>Milestone / Deliverable</w:t>
            </w:r>
          </w:p>
        </w:tc>
      </w:tr>
      <w:tr w:rsidR="00DC073C" w14:paraId="71316DEA" w14:textId="77777777">
        <w:tc>
          <w:tcPr>
            <w:tcW w:w="1200" w:type="dxa"/>
            <w:tcMar>
              <w:top w:w="100" w:type="dxa"/>
              <w:left w:w="120" w:type="dxa"/>
              <w:bottom w:w="100" w:type="dxa"/>
              <w:right w:w="120" w:type="dxa"/>
            </w:tcMar>
            <w:vAlign w:val="center"/>
          </w:tcPr>
          <w:p w14:paraId="0F53EF1A" w14:textId="77777777" w:rsidR="00DC073C" w:rsidRDefault="00000000">
            <w:pPr>
              <w:spacing w:line="252" w:lineRule="auto"/>
              <w:jc w:val="center"/>
            </w:pPr>
            <w:r>
              <w:rPr>
                <w:rFonts w:ascii="Calibri" w:hAnsi="Calibri"/>
                <w:color w:val="000000"/>
                <w:sz w:val="18"/>
              </w:rPr>
              <w:t>1</w:t>
            </w:r>
          </w:p>
        </w:tc>
        <w:tc>
          <w:tcPr>
            <w:tcW w:w="1400" w:type="dxa"/>
            <w:tcMar>
              <w:top w:w="100" w:type="dxa"/>
              <w:left w:w="120" w:type="dxa"/>
              <w:bottom w:w="100" w:type="dxa"/>
              <w:right w:w="120" w:type="dxa"/>
            </w:tcMar>
            <w:vAlign w:val="center"/>
          </w:tcPr>
          <w:p w14:paraId="220865EE" w14:textId="77777777" w:rsidR="00DC073C" w:rsidRDefault="00000000">
            <w:pPr>
              <w:spacing w:line="252" w:lineRule="auto"/>
              <w:jc w:val="center"/>
            </w:pPr>
            <w:r>
              <w:rPr>
                <w:rFonts w:ascii="Calibri" w:hAnsi="Calibri"/>
                <w:color w:val="000000"/>
                <w:sz w:val="18"/>
              </w:rPr>
              <w:t>1-4</w:t>
            </w:r>
          </w:p>
        </w:tc>
        <w:tc>
          <w:tcPr>
            <w:tcW w:w="6424" w:type="dxa"/>
            <w:tcMar>
              <w:top w:w="100" w:type="dxa"/>
              <w:left w:w="120" w:type="dxa"/>
              <w:bottom w:w="100" w:type="dxa"/>
              <w:right w:w="120" w:type="dxa"/>
            </w:tcMar>
            <w:vAlign w:val="center"/>
          </w:tcPr>
          <w:p w14:paraId="373B18C1" w14:textId="77777777" w:rsidR="00DC073C" w:rsidRDefault="00000000">
            <w:pPr>
              <w:spacing w:line="252" w:lineRule="auto"/>
            </w:pPr>
            <w:r>
              <w:rPr>
                <w:rFonts w:ascii="Calibri" w:hAnsi="Calibri"/>
                <w:color w:val="000000"/>
                <w:sz w:val="18"/>
              </w:rPr>
              <w:t>Consolidate literature; confirm research question and success criteria; submit ethics/data-management documents.</w:t>
            </w:r>
          </w:p>
        </w:tc>
      </w:tr>
      <w:tr w:rsidR="00DC073C" w14:paraId="017545F1" w14:textId="77777777">
        <w:tc>
          <w:tcPr>
            <w:tcW w:w="1200" w:type="dxa"/>
            <w:shd w:val="clear" w:color="auto" w:fill="F7F9FC"/>
            <w:tcMar>
              <w:top w:w="100" w:type="dxa"/>
              <w:left w:w="120" w:type="dxa"/>
              <w:bottom w:w="100" w:type="dxa"/>
              <w:right w:w="120" w:type="dxa"/>
            </w:tcMar>
            <w:vAlign w:val="center"/>
          </w:tcPr>
          <w:p w14:paraId="1052A6FE" w14:textId="77777777" w:rsidR="00DC073C" w:rsidRDefault="00000000">
            <w:pPr>
              <w:spacing w:line="252" w:lineRule="auto"/>
              <w:jc w:val="center"/>
            </w:pPr>
            <w:r>
              <w:rPr>
                <w:rFonts w:ascii="Calibri" w:hAnsi="Calibri"/>
                <w:color w:val="000000"/>
                <w:sz w:val="18"/>
              </w:rPr>
              <w:t>2</w:t>
            </w:r>
          </w:p>
        </w:tc>
        <w:tc>
          <w:tcPr>
            <w:tcW w:w="1400" w:type="dxa"/>
            <w:shd w:val="clear" w:color="auto" w:fill="F7F9FC"/>
            <w:tcMar>
              <w:top w:w="100" w:type="dxa"/>
              <w:left w:w="120" w:type="dxa"/>
              <w:bottom w:w="100" w:type="dxa"/>
              <w:right w:w="120" w:type="dxa"/>
            </w:tcMar>
            <w:vAlign w:val="center"/>
          </w:tcPr>
          <w:p w14:paraId="4DDD10D9" w14:textId="77777777" w:rsidR="00DC073C" w:rsidRDefault="00000000">
            <w:pPr>
              <w:spacing w:line="252" w:lineRule="auto"/>
              <w:jc w:val="center"/>
            </w:pPr>
            <w:r>
              <w:rPr>
                <w:rFonts w:ascii="Calibri" w:hAnsi="Calibri"/>
                <w:color w:val="000000"/>
                <w:sz w:val="18"/>
              </w:rPr>
              <w:t>5-7</w:t>
            </w:r>
          </w:p>
        </w:tc>
        <w:tc>
          <w:tcPr>
            <w:tcW w:w="6424" w:type="dxa"/>
            <w:shd w:val="clear" w:color="auto" w:fill="F7F9FC"/>
            <w:tcMar>
              <w:top w:w="100" w:type="dxa"/>
              <w:left w:w="120" w:type="dxa"/>
              <w:bottom w:w="100" w:type="dxa"/>
              <w:right w:w="120" w:type="dxa"/>
            </w:tcMar>
            <w:vAlign w:val="center"/>
          </w:tcPr>
          <w:p w14:paraId="34DC45FA" w14:textId="77777777" w:rsidR="00DC073C" w:rsidRDefault="00000000">
            <w:pPr>
              <w:spacing w:line="252" w:lineRule="auto"/>
            </w:pPr>
            <w:r>
              <w:rPr>
                <w:rFonts w:ascii="Calibri" w:hAnsi="Calibri"/>
                <w:color w:val="000000"/>
                <w:sz w:val="18"/>
              </w:rPr>
              <w:t>Complete trust assumptions, STRIDE threat model, protocol sequence and experimental design; architecture review at Week 7.</w:t>
            </w:r>
          </w:p>
        </w:tc>
      </w:tr>
      <w:tr w:rsidR="00DC073C" w14:paraId="5A55FE54" w14:textId="77777777">
        <w:tc>
          <w:tcPr>
            <w:tcW w:w="1200" w:type="dxa"/>
            <w:tcMar>
              <w:top w:w="100" w:type="dxa"/>
              <w:left w:w="120" w:type="dxa"/>
              <w:bottom w:w="100" w:type="dxa"/>
              <w:right w:w="120" w:type="dxa"/>
            </w:tcMar>
            <w:vAlign w:val="center"/>
          </w:tcPr>
          <w:p w14:paraId="0B08D1EC" w14:textId="77777777" w:rsidR="00DC073C" w:rsidRDefault="00000000">
            <w:pPr>
              <w:spacing w:line="252" w:lineRule="auto"/>
              <w:jc w:val="center"/>
            </w:pPr>
            <w:r>
              <w:rPr>
                <w:rFonts w:ascii="Calibri" w:hAnsi="Calibri"/>
                <w:color w:val="000000"/>
                <w:sz w:val="18"/>
              </w:rPr>
              <w:t>3</w:t>
            </w:r>
          </w:p>
        </w:tc>
        <w:tc>
          <w:tcPr>
            <w:tcW w:w="1400" w:type="dxa"/>
            <w:tcMar>
              <w:top w:w="100" w:type="dxa"/>
              <w:left w:w="120" w:type="dxa"/>
              <w:bottom w:w="100" w:type="dxa"/>
              <w:right w:w="120" w:type="dxa"/>
            </w:tcMar>
            <w:vAlign w:val="center"/>
          </w:tcPr>
          <w:p w14:paraId="6C69F405" w14:textId="77777777" w:rsidR="00DC073C" w:rsidRDefault="00000000">
            <w:pPr>
              <w:spacing w:line="252" w:lineRule="auto"/>
              <w:jc w:val="center"/>
            </w:pPr>
            <w:r>
              <w:rPr>
                <w:rFonts w:ascii="Calibri" w:hAnsi="Calibri"/>
                <w:color w:val="000000"/>
                <w:sz w:val="18"/>
              </w:rPr>
              <w:t>8-12</w:t>
            </w:r>
          </w:p>
        </w:tc>
        <w:tc>
          <w:tcPr>
            <w:tcW w:w="6424" w:type="dxa"/>
            <w:tcMar>
              <w:top w:w="100" w:type="dxa"/>
              <w:left w:w="120" w:type="dxa"/>
              <w:bottom w:w="100" w:type="dxa"/>
              <w:right w:w="120" w:type="dxa"/>
            </w:tcMar>
            <w:vAlign w:val="center"/>
          </w:tcPr>
          <w:p w14:paraId="37C34C61" w14:textId="77777777" w:rsidR="00DC073C" w:rsidRDefault="00000000">
            <w:pPr>
              <w:spacing w:line="252" w:lineRule="auto"/>
            </w:pPr>
            <w:r>
              <w:rPr>
                <w:rFonts w:ascii="Calibri" w:hAnsi="Calibri"/>
                <w:color w:val="000000"/>
                <w:sz w:val="18"/>
              </w:rPr>
              <w:t>Implement Fabric registry, chaincode, DID/credential model, gateway and event-aware cache; unit and integration tests.</w:t>
            </w:r>
          </w:p>
        </w:tc>
      </w:tr>
      <w:tr w:rsidR="00DC073C" w14:paraId="04623057" w14:textId="77777777">
        <w:tc>
          <w:tcPr>
            <w:tcW w:w="1200" w:type="dxa"/>
            <w:shd w:val="clear" w:color="auto" w:fill="F7F9FC"/>
            <w:tcMar>
              <w:top w:w="100" w:type="dxa"/>
              <w:left w:w="120" w:type="dxa"/>
              <w:bottom w:w="100" w:type="dxa"/>
              <w:right w:w="120" w:type="dxa"/>
            </w:tcMar>
            <w:vAlign w:val="center"/>
          </w:tcPr>
          <w:p w14:paraId="300AB53B" w14:textId="77777777" w:rsidR="00DC073C" w:rsidRDefault="00000000">
            <w:pPr>
              <w:spacing w:line="252" w:lineRule="auto"/>
              <w:jc w:val="center"/>
            </w:pPr>
            <w:r>
              <w:rPr>
                <w:rFonts w:ascii="Calibri" w:hAnsi="Calibri"/>
                <w:color w:val="000000"/>
                <w:sz w:val="18"/>
              </w:rPr>
              <w:t>4</w:t>
            </w:r>
          </w:p>
        </w:tc>
        <w:tc>
          <w:tcPr>
            <w:tcW w:w="1400" w:type="dxa"/>
            <w:shd w:val="clear" w:color="auto" w:fill="F7F9FC"/>
            <w:tcMar>
              <w:top w:w="100" w:type="dxa"/>
              <w:left w:w="120" w:type="dxa"/>
              <w:bottom w:w="100" w:type="dxa"/>
              <w:right w:w="120" w:type="dxa"/>
            </w:tcMar>
            <w:vAlign w:val="center"/>
          </w:tcPr>
          <w:p w14:paraId="25D774AC" w14:textId="77777777" w:rsidR="00DC073C" w:rsidRDefault="00000000">
            <w:pPr>
              <w:spacing w:line="252" w:lineRule="auto"/>
              <w:jc w:val="center"/>
            </w:pPr>
            <w:r>
              <w:rPr>
                <w:rFonts w:ascii="Calibri" w:hAnsi="Calibri"/>
                <w:color w:val="000000"/>
                <w:sz w:val="18"/>
              </w:rPr>
              <w:t>13-15</w:t>
            </w:r>
          </w:p>
        </w:tc>
        <w:tc>
          <w:tcPr>
            <w:tcW w:w="6424" w:type="dxa"/>
            <w:shd w:val="clear" w:color="auto" w:fill="F7F9FC"/>
            <w:tcMar>
              <w:top w:w="100" w:type="dxa"/>
              <w:left w:w="120" w:type="dxa"/>
              <w:bottom w:w="100" w:type="dxa"/>
              <w:right w:w="120" w:type="dxa"/>
            </w:tcMar>
            <w:vAlign w:val="center"/>
          </w:tcPr>
          <w:p w14:paraId="55A3B4F6" w14:textId="77777777" w:rsidR="00DC073C" w:rsidRDefault="00000000">
            <w:pPr>
              <w:spacing w:line="252" w:lineRule="auto"/>
            </w:pPr>
            <w:r>
              <w:rPr>
                <w:rFonts w:ascii="Calibri" w:hAnsi="Calibri"/>
                <w:color w:val="000000"/>
                <w:sz w:val="18"/>
              </w:rPr>
              <w:t>Build centralised baseline and load harness; run pilot; freeze measures, workload and negative-test expectations.</w:t>
            </w:r>
          </w:p>
        </w:tc>
      </w:tr>
      <w:tr w:rsidR="00DC073C" w14:paraId="73AC1605" w14:textId="77777777">
        <w:tc>
          <w:tcPr>
            <w:tcW w:w="1200" w:type="dxa"/>
            <w:tcMar>
              <w:top w:w="100" w:type="dxa"/>
              <w:left w:w="120" w:type="dxa"/>
              <w:bottom w:w="100" w:type="dxa"/>
              <w:right w:w="120" w:type="dxa"/>
            </w:tcMar>
            <w:vAlign w:val="center"/>
          </w:tcPr>
          <w:p w14:paraId="45E52D75" w14:textId="77777777" w:rsidR="00DC073C" w:rsidRDefault="00000000">
            <w:pPr>
              <w:spacing w:line="252" w:lineRule="auto"/>
              <w:jc w:val="center"/>
            </w:pPr>
            <w:r>
              <w:rPr>
                <w:rFonts w:ascii="Calibri" w:hAnsi="Calibri"/>
                <w:color w:val="000000"/>
                <w:sz w:val="18"/>
              </w:rPr>
              <w:t>5</w:t>
            </w:r>
          </w:p>
        </w:tc>
        <w:tc>
          <w:tcPr>
            <w:tcW w:w="1400" w:type="dxa"/>
            <w:tcMar>
              <w:top w:w="100" w:type="dxa"/>
              <w:left w:w="120" w:type="dxa"/>
              <w:bottom w:w="100" w:type="dxa"/>
              <w:right w:w="120" w:type="dxa"/>
            </w:tcMar>
            <w:vAlign w:val="center"/>
          </w:tcPr>
          <w:p w14:paraId="040DAFA8" w14:textId="77777777" w:rsidR="00DC073C" w:rsidRDefault="00000000">
            <w:pPr>
              <w:spacing w:line="252" w:lineRule="auto"/>
              <w:jc w:val="center"/>
            </w:pPr>
            <w:r>
              <w:rPr>
                <w:rFonts w:ascii="Calibri" w:hAnsi="Calibri"/>
                <w:color w:val="000000"/>
                <w:sz w:val="18"/>
              </w:rPr>
              <w:t>16-20</w:t>
            </w:r>
          </w:p>
        </w:tc>
        <w:tc>
          <w:tcPr>
            <w:tcW w:w="6424" w:type="dxa"/>
            <w:tcMar>
              <w:top w:w="100" w:type="dxa"/>
              <w:left w:w="120" w:type="dxa"/>
              <w:bottom w:w="100" w:type="dxa"/>
              <w:right w:w="120" w:type="dxa"/>
            </w:tcMar>
            <w:vAlign w:val="center"/>
          </w:tcPr>
          <w:p w14:paraId="1C1884D1" w14:textId="77777777" w:rsidR="00DC073C" w:rsidRDefault="00000000">
            <w:pPr>
              <w:spacing w:line="252" w:lineRule="auto"/>
            </w:pPr>
            <w:r>
              <w:rPr>
                <w:rFonts w:ascii="Calibri" w:hAnsi="Calibri"/>
                <w:color w:val="000000"/>
                <w:sz w:val="18"/>
              </w:rPr>
              <w:t>Run repeated performance matrix, revocation experiments, security tests and component-failure scenarios.</w:t>
            </w:r>
          </w:p>
        </w:tc>
      </w:tr>
      <w:tr w:rsidR="00DC073C" w14:paraId="2D74BBBF" w14:textId="77777777">
        <w:tc>
          <w:tcPr>
            <w:tcW w:w="1200" w:type="dxa"/>
            <w:shd w:val="clear" w:color="auto" w:fill="F7F9FC"/>
            <w:tcMar>
              <w:top w:w="100" w:type="dxa"/>
              <w:left w:w="120" w:type="dxa"/>
              <w:bottom w:w="100" w:type="dxa"/>
              <w:right w:w="120" w:type="dxa"/>
            </w:tcMar>
            <w:vAlign w:val="center"/>
          </w:tcPr>
          <w:p w14:paraId="2BD5C4B0" w14:textId="77777777" w:rsidR="00DC073C" w:rsidRDefault="00000000">
            <w:pPr>
              <w:spacing w:line="252" w:lineRule="auto"/>
              <w:jc w:val="center"/>
            </w:pPr>
            <w:r>
              <w:rPr>
                <w:rFonts w:ascii="Calibri" w:hAnsi="Calibri"/>
                <w:color w:val="000000"/>
                <w:sz w:val="18"/>
              </w:rPr>
              <w:t>6</w:t>
            </w:r>
          </w:p>
        </w:tc>
        <w:tc>
          <w:tcPr>
            <w:tcW w:w="1400" w:type="dxa"/>
            <w:shd w:val="clear" w:color="auto" w:fill="F7F9FC"/>
            <w:tcMar>
              <w:top w:w="100" w:type="dxa"/>
              <w:left w:w="120" w:type="dxa"/>
              <w:bottom w:w="100" w:type="dxa"/>
              <w:right w:w="120" w:type="dxa"/>
            </w:tcMar>
            <w:vAlign w:val="center"/>
          </w:tcPr>
          <w:p w14:paraId="42E76BFA" w14:textId="77777777" w:rsidR="00DC073C" w:rsidRDefault="00000000">
            <w:pPr>
              <w:spacing w:line="252" w:lineRule="auto"/>
              <w:jc w:val="center"/>
            </w:pPr>
            <w:r>
              <w:rPr>
                <w:rFonts w:ascii="Calibri" w:hAnsi="Calibri"/>
                <w:color w:val="000000"/>
                <w:sz w:val="18"/>
              </w:rPr>
              <w:t>21-23</w:t>
            </w:r>
          </w:p>
        </w:tc>
        <w:tc>
          <w:tcPr>
            <w:tcW w:w="6424" w:type="dxa"/>
            <w:shd w:val="clear" w:color="auto" w:fill="F7F9FC"/>
            <w:tcMar>
              <w:top w:w="100" w:type="dxa"/>
              <w:left w:w="120" w:type="dxa"/>
              <w:bottom w:w="100" w:type="dxa"/>
              <w:right w:w="120" w:type="dxa"/>
            </w:tcMar>
            <w:vAlign w:val="center"/>
          </w:tcPr>
          <w:p w14:paraId="43264012" w14:textId="77777777" w:rsidR="00DC073C" w:rsidRDefault="00000000">
            <w:pPr>
              <w:spacing w:line="252" w:lineRule="auto"/>
            </w:pPr>
            <w:r>
              <w:rPr>
                <w:rFonts w:ascii="Calibri" w:hAnsi="Calibri"/>
                <w:color w:val="000000"/>
                <w:sz w:val="18"/>
              </w:rPr>
              <w:t>Clean and analyse data; calculate confidence intervals/effect sizes; results freeze and supervisor review.</w:t>
            </w:r>
          </w:p>
        </w:tc>
      </w:tr>
      <w:tr w:rsidR="00DC073C" w14:paraId="50124CD8" w14:textId="77777777">
        <w:tc>
          <w:tcPr>
            <w:tcW w:w="1200" w:type="dxa"/>
            <w:tcMar>
              <w:top w:w="100" w:type="dxa"/>
              <w:left w:w="120" w:type="dxa"/>
              <w:bottom w:w="100" w:type="dxa"/>
              <w:right w:w="120" w:type="dxa"/>
            </w:tcMar>
            <w:vAlign w:val="center"/>
          </w:tcPr>
          <w:p w14:paraId="7253539E" w14:textId="77777777" w:rsidR="00DC073C" w:rsidRDefault="00000000">
            <w:pPr>
              <w:spacing w:line="252" w:lineRule="auto"/>
              <w:jc w:val="center"/>
            </w:pPr>
            <w:r>
              <w:rPr>
                <w:rFonts w:ascii="Calibri" w:hAnsi="Calibri"/>
                <w:color w:val="000000"/>
                <w:sz w:val="18"/>
              </w:rPr>
              <w:lastRenderedPageBreak/>
              <w:t>7</w:t>
            </w:r>
          </w:p>
        </w:tc>
        <w:tc>
          <w:tcPr>
            <w:tcW w:w="1400" w:type="dxa"/>
            <w:tcMar>
              <w:top w:w="100" w:type="dxa"/>
              <w:left w:w="120" w:type="dxa"/>
              <w:bottom w:w="100" w:type="dxa"/>
              <w:right w:w="120" w:type="dxa"/>
            </w:tcMar>
            <w:vAlign w:val="center"/>
          </w:tcPr>
          <w:p w14:paraId="01BBCE50" w14:textId="77777777" w:rsidR="00DC073C" w:rsidRDefault="00000000">
            <w:pPr>
              <w:spacing w:line="252" w:lineRule="auto"/>
              <w:jc w:val="center"/>
            </w:pPr>
            <w:r>
              <w:rPr>
                <w:rFonts w:ascii="Calibri" w:hAnsi="Calibri"/>
                <w:color w:val="000000"/>
                <w:sz w:val="18"/>
              </w:rPr>
              <w:t>24-26</w:t>
            </w:r>
          </w:p>
        </w:tc>
        <w:tc>
          <w:tcPr>
            <w:tcW w:w="6424" w:type="dxa"/>
            <w:tcMar>
              <w:top w:w="100" w:type="dxa"/>
              <w:left w:w="120" w:type="dxa"/>
              <w:bottom w:w="100" w:type="dxa"/>
              <w:right w:w="120" w:type="dxa"/>
            </w:tcMar>
            <w:vAlign w:val="center"/>
          </w:tcPr>
          <w:p w14:paraId="1CE6748F" w14:textId="77777777" w:rsidR="00DC073C" w:rsidRDefault="00000000">
            <w:pPr>
              <w:spacing w:line="252" w:lineRule="auto"/>
            </w:pPr>
            <w:r>
              <w:rPr>
                <w:rFonts w:ascii="Calibri" w:hAnsi="Calibri"/>
                <w:color w:val="000000"/>
                <w:sz w:val="18"/>
              </w:rPr>
              <w:t>Write, revise and proofread dissertation; package reproducible artefacts; final compliance and submission checks.</w:t>
            </w:r>
          </w:p>
        </w:tc>
      </w:tr>
    </w:tbl>
    <w:p w14:paraId="691AE278" w14:textId="77777777" w:rsidR="00DC073C" w:rsidRDefault="00DC073C">
      <w:pPr>
        <w:spacing w:after="160"/>
      </w:pPr>
    </w:p>
    <w:p w14:paraId="476EF3EE" w14:textId="77777777" w:rsidR="00DC073C" w:rsidRDefault="00000000">
      <w:pPr>
        <w:keepNext/>
        <w:spacing w:before="80"/>
        <w:jc w:val="center"/>
      </w:pPr>
      <w:r>
        <w:rPr>
          <w:noProof/>
        </w:rPr>
        <w:drawing>
          <wp:inline distT="0" distB="0" distL="0" distR="0" wp14:anchorId="2612F89E" wp14:editId="40D89738">
            <wp:extent cx="5669280" cy="2680023"/>
            <wp:effectExtent l="0" t="0" r="0" b="0"/>
            <wp:docPr id="4" name="Picture 4" descr="Gantt chart showing seven project phases distributed across weeks 1 to 26, from literature and ethics through implementation, evaluation, analysis and final writing." title="Twenty-six-week project Gant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_26_weeks.png"/>
                    <pic:cNvPicPr/>
                  </pic:nvPicPr>
                  <pic:blipFill>
                    <a:blip r:embed="rId11"/>
                    <a:stretch>
                      <a:fillRect/>
                    </a:stretch>
                  </pic:blipFill>
                  <pic:spPr>
                    <a:xfrm>
                      <a:off x="0" y="0"/>
                      <a:ext cx="5669280" cy="2680023"/>
                    </a:xfrm>
                    <a:prstGeom prst="rect">
                      <a:avLst/>
                    </a:prstGeom>
                  </pic:spPr>
                </pic:pic>
              </a:graphicData>
            </a:graphic>
          </wp:inline>
        </w:drawing>
      </w:r>
    </w:p>
    <w:p w14:paraId="0690BF3E" w14:textId="77777777" w:rsidR="00DC073C" w:rsidRDefault="00000000">
      <w:pPr>
        <w:spacing w:before="80" w:after="240"/>
        <w:jc w:val="center"/>
      </w:pPr>
      <w:r>
        <w:rPr>
          <w:rFonts w:ascii="Calibri" w:hAnsi="Calibri"/>
          <w:i/>
          <w:color w:val="000000"/>
          <w:sz w:val="19"/>
        </w:rPr>
        <w:t>Fig. 3. Twenty-six-week project timeline and review points.</w:t>
      </w:r>
    </w:p>
    <w:p w14:paraId="7A054F76" w14:textId="77777777" w:rsidR="00DC073C" w:rsidRDefault="00000000">
      <w:pPr>
        <w:pStyle w:val="Heading1"/>
        <w:keepNext/>
        <w:keepLines/>
        <w:spacing w:before="300" w:after="140"/>
      </w:pPr>
      <w:r>
        <w:rPr>
          <w:rFonts w:ascii="Calibri" w:hAnsi="Calibri"/>
          <w:b/>
          <w:color w:val="000000"/>
          <w:sz w:val="27"/>
        </w:rPr>
        <w:t>6. Overall Presentation of the Proposal</w:t>
      </w:r>
    </w:p>
    <w:p w14:paraId="38C66CEF" w14:textId="77777777" w:rsidR="00DC073C" w:rsidRDefault="00000000">
      <w:pPr>
        <w:spacing w:after="140" w:line="288" w:lineRule="auto"/>
        <w:jc w:val="both"/>
      </w:pPr>
      <w:r>
        <w:rPr>
          <w:rFonts w:ascii="Calibri" w:hAnsi="Calibri"/>
          <w:color w:val="000000"/>
          <w:sz w:val="22"/>
        </w:rPr>
        <w:t>The proposal is structured as a testable research plan rather than an argument that blockchain must be superior. Authentication, authorisation, credential status and ledger consensus are kept conceptually separate. Terms are defined when first used, the architecture is tied to the research objectives, and each metric answers a stated part of the research question. Figures show the system, method and schedule; tables support comparison rather than replacing the academic discussion.</w:t>
      </w:r>
    </w:p>
    <w:p w14:paraId="2F4DEB76" w14:textId="77777777" w:rsidR="00DC073C" w:rsidRDefault="00000000">
      <w:pPr>
        <w:spacing w:after="140" w:line="288" w:lineRule="auto"/>
        <w:jc w:val="both"/>
      </w:pPr>
      <w:r>
        <w:rPr>
          <w:rFonts w:ascii="Calibri" w:hAnsi="Calibri"/>
          <w:color w:val="000000"/>
          <w:sz w:val="22"/>
        </w:rPr>
        <w:t>IEEE-style citations are numbered in first-use order and the reference list combines standards, authoritative guidance and peer-reviewed studies. The planned implementation is scoped to work that can be completed and evaluated within 26 weeks. Reproducibility information, negative results and limitations are treated as research outputs, which should make the final dissertation useful even if the distributed design does not outperform the centralised baseline.</w:t>
      </w:r>
    </w:p>
    <w:p w14:paraId="5B4ED127" w14:textId="77777777" w:rsidR="00DC073C" w:rsidRDefault="00000000">
      <w:pPr>
        <w:pStyle w:val="Heading1"/>
        <w:keepNext/>
        <w:keepLines/>
        <w:spacing w:before="300" w:after="140"/>
      </w:pPr>
      <w:r>
        <w:rPr>
          <w:rFonts w:ascii="Calibri" w:hAnsi="Calibri"/>
          <w:b/>
          <w:color w:val="000000"/>
          <w:sz w:val="27"/>
        </w:rPr>
        <w:t>7. References</w:t>
      </w:r>
    </w:p>
    <w:p w14:paraId="79BAA35A" w14:textId="77777777" w:rsidR="00DC073C" w:rsidRDefault="00000000">
      <w:pPr>
        <w:spacing w:after="120" w:line="264" w:lineRule="auto"/>
        <w:ind w:left="432" w:hanging="432"/>
      </w:pPr>
      <w:r>
        <w:rPr>
          <w:rFonts w:ascii="Calibri" w:hAnsi="Calibri"/>
          <w:color w:val="000000"/>
        </w:rPr>
        <w:t>[1] M. Fagan, K. N. Megas, K. Scarfone, and M. Smith, "IoT Device Cybersecurity Capability Core Baseline," National Institute of Standards and Technology, NISTIR 8259A, May 2020, doi: 10.6028/NIST.IR.8259A.</w:t>
      </w:r>
    </w:p>
    <w:p w14:paraId="081999E7" w14:textId="77777777" w:rsidR="00DC073C" w:rsidRDefault="00000000">
      <w:pPr>
        <w:spacing w:after="120" w:line="264" w:lineRule="auto"/>
        <w:ind w:left="432" w:hanging="432"/>
      </w:pPr>
      <w:r>
        <w:rPr>
          <w:rFonts w:ascii="Calibri" w:hAnsi="Calibri"/>
          <w:color w:val="000000"/>
        </w:rPr>
        <w:t>[2] D. Temoshok, Y.-Y. Choong, R. Galluzzo, M. LaSalle, A. Regenscheid, D. Proud-Madruga, S. Gupta, and N. Lefkovitz, "Digital Identity Guidelines," National Institute of Standards and Technology, NIST SP 800-63-4, Jul. 2025, doi: 10.6028/NIST.SP.800-63-4.</w:t>
      </w:r>
    </w:p>
    <w:p w14:paraId="5931DD1A" w14:textId="77777777" w:rsidR="00DC073C" w:rsidRDefault="00000000">
      <w:pPr>
        <w:spacing w:after="120" w:line="264" w:lineRule="auto"/>
        <w:ind w:left="432" w:hanging="432"/>
      </w:pPr>
      <w:r>
        <w:rPr>
          <w:rFonts w:ascii="Calibri" w:hAnsi="Calibri"/>
          <w:color w:val="000000"/>
        </w:rPr>
        <w:t>[3] S. Rose, O. Borchert, S. Mitchell, and S. Connelly, "Zero Trust Architecture," National Institute of Standards and Technology, NIST SP 800-207, Aug. 2020, doi: 10.6028/NIST.SP.800-207.</w:t>
      </w:r>
    </w:p>
    <w:p w14:paraId="68FC1266" w14:textId="77777777" w:rsidR="00DC073C" w:rsidRDefault="00000000">
      <w:pPr>
        <w:spacing w:after="120" w:line="264" w:lineRule="auto"/>
        <w:ind w:left="432" w:hanging="432"/>
      </w:pPr>
      <w:r>
        <w:rPr>
          <w:rFonts w:ascii="Calibri" w:hAnsi="Calibri"/>
          <w:color w:val="000000"/>
        </w:rPr>
        <w:t>[4] D. Yaga, P. Mell, N. Roby, and K. Scarfone, "Blockchain Technology Overview," National Institute of Standards and Technology, NISTIR 8202, Oct. 2018, doi: 10.6028/NIST.IR.8202.</w:t>
      </w:r>
    </w:p>
    <w:p w14:paraId="295AB8BC" w14:textId="77777777" w:rsidR="00DC073C" w:rsidRDefault="00000000">
      <w:pPr>
        <w:spacing w:after="120" w:line="264" w:lineRule="auto"/>
        <w:ind w:left="432" w:hanging="432"/>
      </w:pPr>
      <w:r>
        <w:rPr>
          <w:rFonts w:ascii="Calibri" w:hAnsi="Calibri"/>
          <w:color w:val="000000"/>
        </w:rPr>
        <w:lastRenderedPageBreak/>
        <w:t>[5] World Wide Web Consortium, "Decentralized Identifiers (DIDs) v1.0: Core architecture, data model, and representations," W3C Recommendation, Jul. 19, 2022. [Online]. Available: https://www.w3.org/TR/did-core/</w:t>
      </w:r>
    </w:p>
    <w:p w14:paraId="186DCA6F" w14:textId="77777777" w:rsidR="00DC073C" w:rsidRDefault="00000000">
      <w:pPr>
        <w:spacing w:after="120" w:line="264" w:lineRule="auto"/>
        <w:ind w:left="432" w:hanging="432"/>
      </w:pPr>
      <w:r>
        <w:rPr>
          <w:rFonts w:ascii="Calibri" w:hAnsi="Calibri"/>
          <w:color w:val="000000"/>
        </w:rPr>
        <w:t>[6] World Wide Web Consortium, "Verifiable Credentials Data Model v2.0," W3C Recommendation, May 15, 2025. [Online]. Available: https://www.w3.org/TR/vc-data-model-2.0/</w:t>
      </w:r>
    </w:p>
    <w:p w14:paraId="46FBB866" w14:textId="77777777" w:rsidR="00DC073C" w:rsidRDefault="00000000">
      <w:pPr>
        <w:spacing w:after="120" w:line="264" w:lineRule="auto"/>
        <w:ind w:left="432" w:hanging="432"/>
      </w:pPr>
      <w:r>
        <w:rPr>
          <w:rFonts w:ascii="Calibri" w:hAnsi="Calibri"/>
          <w:color w:val="000000"/>
        </w:rPr>
        <w:t>[7] A. Goel and Y. Rahulamathavan, "A comparative survey of centralised and decentralised identity management systems: Analysing scalability, security, and feasibility," Future Internet, vol. 17, no. 1, Art. no. 1, 2025, doi: 10.3390/fi17010001.</w:t>
      </w:r>
    </w:p>
    <w:p w14:paraId="41DE041C" w14:textId="77777777" w:rsidR="00DC073C" w:rsidRDefault="00000000">
      <w:pPr>
        <w:spacing w:after="120" w:line="264" w:lineRule="auto"/>
        <w:ind w:left="432" w:hanging="432"/>
      </w:pPr>
      <w:r>
        <w:rPr>
          <w:rFonts w:ascii="Calibri" w:hAnsi="Calibri"/>
          <w:color w:val="000000"/>
        </w:rPr>
        <w:t>[8] O. Novo, "Blockchain meets IoT: An architecture for scalable access management in IoT," IEEE Internet Things J., vol. 5, no. 2, pp. 1184-1195, Apr. 2018, doi: 10.1109/JIOT.2018.2812239.</w:t>
      </w:r>
    </w:p>
    <w:p w14:paraId="7D5084F4" w14:textId="77777777" w:rsidR="00DC073C" w:rsidRDefault="00000000">
      <w:pPr>
        <w:spacing w:after="120" w:line="264" w:lineRule="auto"/>
        <w:ind w:left="432" w:hanging="432"/>
      </w:pPr>
      <w:r>
        <w:rPr>
          <w:rFonts w:ascii="Calibri" w:hAnsi="Calibri"/>
          <w:color w:val="000000"/>
        </w:rPr>
        <w:t>[9] O. Novo, "Scalable access management in IoT using blockchain: A performance evaluation," IEEE Internet Things J., vol. 6, no. 3, pp. 4694-4701, Jun. 2019, doi: 10.1109/JIOT.2018.2879679.</w:t>
      </w:r>
    </w:p>
    <w:p w14:paraId="15097C3B" w14:textId="77777777" w:rsidR="00DC073C" w:rsidRDefault="00000000">
      <w:pPr>
        <w:spacing w:after="120" w:line="264" w:lineRule="auto"/>
        <w:ind w:left="432" w:hanging="432"/>
      </w:pPr>
      <w:r>
        <w:rPr>
          <w:rFonts w:ascii="Calibri" w:hAnsi="Calibri"/>
          <w:color w:val="000000"/>
        </w:rPr>
        <w:t>[10] E. Androulaki et al., "Hyperledger Fabric: A distributed operating system for permissioned blockchains," in Proc. 13th EuroSys Conf. (EuroSys 2018), Porto, Portugal, 2018, pp. 1-15, doi: 10.1145/3190508.3190538.</w:t>
      </w:r>
    </w:p>
    <w:p w14:paraId="27EF9304" w14:textId="77777777" w:rsidR="00DC073C" w:rsidRDefault="00000000">
      <w:pPr>
        <w:spacing w:after="120" w:line="264" w:lineRule="auto"/>
        <w:ind w:left="432" w:hanging="432"/>
      </w:pPr>
      <w:r>
        <w:rPr>
          <w:rFonts w:ascii="Calibri" w:hAnsi="Calibri"/>
          <w:color w:val="000000"/>
        </w:rPr>
        <w:t>[11] A. Dorri, S. S. Kanhere, R. Jurdak, and P. Gauravaram, "Blockchain for IoT security and privacy: The case study of a smart home," in Proc. IEEE PerCom Workshops, Kona, HI, USA, 2017, pp. 618-623, doi: 10.1109/PERCOMW.2017.7917634.</w:t>
      </w:r>
    </w:p>
    <w:p w14:paraId="2CE7C10B" w14:textId="77777777" w:rsidR="00DC073C" w:rsidRDefault="00000000">
      <w:pPr>
        <w:spacing w:after="120" w:line="264" w:lineRule="auto"/>
        <w:ind w:left="432" w:hanging="432"/>
      </w:pPr>
      <w:r>
        <w:rPr>
          <w:rFonts w:ascii="Calibri" w:hAnsi="Calibri"/>
          <w:color w:val="000000"/>
        </w:rPr>
        <w:t>[12] F. Schardong and R. Custodio, "Self-sovereign identity: A systematic review, mapping and taxonomy," Sensors, vol. 22, no. 15, Art. no. 5641, 2022, doi: 10.3390/s22155641.</w:t>
      </w:r>
    </w:p>
    <w:p w14:paraId="51E58C80" w14:textId="77777777" w:rsidR="00DC073C" w:rsidRDefault="00000000">
      <w:pPr>
        <w:spacing w:after="120" w:line="264" w:lineRule="auto"/>
        <w:ind w:left="432" w:hanging="432"/>
      </w:pPr>
      <w:r>
        <w:rPr>
          <w:rFonts w:ascii="Calibri" w:hAnsi="Calibri"/>
          <w:color w:val="000000"/>
        </w:rPr>
        <w:t>[13] D. Pohn, M. Grabatin, and W. Hommel, "Analyzing the threats to blockchain-based self-sovereign identities by conducting a literature survey," Appl. Sci., vol. 14, no. 1, Art. no. 139, 2024, doi: 10.3390/app14010139.</w:t>
      </w:r>
    </w:p>
    <w:p w14:paraId="6E4BEB9B" w14:textId="77777777" w:rsidR="00DC073C" w:rsidRDefault="00000000">
      <w:pPr>
        <w:spacing w:after="120" w:line="264" w:lineRule="auto"/>
        <w:ind w:left="432" w:hanging="432"/>
      </w:pPr>
      <w:r>
        <w:rPr>
          <w:rFonts w:ascii="Calibri" w:hAnsi="Calibri"/>
          <w:color w:val="000000"/>
        </w:rPr>
        <w:t>[14] L. Seitz, G. Selander, E. Wahlstroem, S. Erdtman, and H. Tschofenig, "Authentication and Authorization for Constrained Environments Using the OAuth 2.0 Framework (ACE-OAuth)," RFC 9200, Aug. 2022, doi: 10.17487/RFC9200.</w:t>
      </w:r>
    </w:p>
    <w:p w14:paraId="719A82BB" w14:textId="77777777" w:rsidR="00DC073C" w:rsidRDefault="00000000">
      <w:pPr>
        <w:spacing w:after="120" w:line="264" w:lineRule="auto"/>
        <w:ind w:left="432" w:hanging="432"/>
      </w:pPr>
      <w:r>
        <w:rPr>
          <w:rFonts w:ascii="Calibri" w:hAnsi="Calibri"/>
          <w:color w:val="000000"/>
        </w:rPr>
        <w:t>[15] G. Selander, J. Preuss Mattsson, and F. Palombini, "Ephemeral Diffie-Hellman Over COSE (EDHOC)," RFC 9528, Mar. 2024, doi: 10.17487/RFC9528.</w:t>
      </w:r>
    </w:p>
    <w:p w14:paraId="4F962FA7" w14:textId="77777777" w:rsidR="00DC073C" w:rsidRDefault="00000000">
      <w:pPr>
        <w:spacing w:after="120" w:line="264" w:lineRule="auto"/>
        <w:ind w:left="432" w:hanging="432"/>
      </w:pPr>
      <w:r>
        <w:rPr>
          <w:rFonts w:ascii="Calibri" w:hAnsi="Calibri"/>
          <w:color w:val="000000"/>
        </w:rPr>
        <w:t>[16] C. H. Lau, K. H. Yeung, F. Yan, and S. Chan, "Blockchain-based authentication and secure communication in IoT networks," Security and Privacy, vol. 6, no. 6, Art. no. e319, 2023, doi: 10.1002/spy2.319.</w:t>
      </w:r>
    </w:p>
    <w:p w14:paraId="4FAEECEA" w14:textId="77777777" w:rsidR="00DC073C" w:rsidRDefault="00000000">
      <w:pPr>
        <w:spacing w:after="120" w:line="264" w:lineRule="auto"/>
        <w:ind w:left="432" w:hanging="432"/>
      </w:pPr>
      <w:r>
        <w:rPr>
          <w:rFonts w:ascii="Calibri" w:hAnsi="Calibri"/>
          <w:color w:val="000000"/>
        </w:rPr>
        <w:t>[17] M. T. Hammi, B. Hammi, P. Bellot, and A. Serhrouchni, "Bubbles of Trust: A decentralized blockchain-based authentication system for IoT," Comput. Security, vol. 78, pp. 126-142, Sep. 2018, doi: 10.1016/j.cose.2018.06.004.</w:t>
      </w:r>
    </w:p>
    <w:p w14:paraId="04C39F48" w14:textId="77777777" w:rsidR="00DC073C" w:rsidRDefault="00000000">
      <w:pPr>
        <w:spacing w:after="120" w:line="264" w:lineRule="auto"/>
        <w:ind w:left="432" w:hanging="432"/>
      </w:pPr>
      <w:r>
        <w:rPr>
          <w:rFonts w:ascii="Calibri" w:hAnsi="Calibri"/>
          <w:color w:val="000000"/>
        </w:rPr>
        <w:t>[18] R. Xu, Y. Chen, E. Blasch, and G. Chen, "BlendCAC: A smart contract enabled decentralized capability-based access control mechanism for the IoT," Computers, vol. 7, no. 3, Art. no. 39, 2018, doi: 10.3390/computers7030039.</w:t>
      </w:r>
    </w:p>
    <w:p w14:paraId="5FC25190" w14:textId="77777777" w:rsidR="00DC073C" w:rsidRDefault="00000000">
      <w:pPr>
        <w:spacing w:after="120" w:line="264" w:lineRule="auto"/>
        <w:ind w:left="432" w:hanging="432"/>
      </w:pPr>
      <w:r>
        <w:rPr>
          <w:rFonts w:ascii="Calibri" w:hAnsi="Calibri"/>
          <w:color w:val="000000"/>
        </w:rPr>
        <w:t>[19] K. Peffers, T. Tuunanen, M. A. Rothenberger, and S. Chatterjee, "A design science research methodology for information systems research," J. Manage. Inf. Syst., vol. 24, no. 3, pp. 45-77, Winter 2007-2008, doi: 10.2753/MIS0742-1222240302.</w:t>
      </w:r>
    </w:p>
    <w:p w14:paraId="3CBFFB4C" w14:textId="77777777" w:rsidR="00DC073C" w:rsidRDefault="00000000">
      <w:pPr>
        <w:spacing w:after="120" w:line="264" w:lineRule="auto"/>
        <w:ind w:left="432" w:hanging="432"/>
      </w:pPr>
      <w:r>
        <w:rPr>
          <w:rFonts w:ascii="Calibri" w:hAnsi="Calibri"/>
          <w:color w:val="000000"/>
        </w:rPr>
        <w:t>[20] Hyperledger Foundation, "Membership Service Provider (MSP)," Hyperledger Fabric Documentation, release 2.5. [Online]. Available: https://hyperledger-fabric.readthedocs.io/en/release-2.5/membership/membership.html. [Accessed: Aug. 9, 2026].</w:t>
      </w:r>
    </w:p>
    <w:sectPr w:rsidR="00DC073C" w:rsidSect="0086475D">
      <w:headerReference w:type="default" r:id="rId12"/>
      <w:footerReference w:type="default" r:id="rId13"/>
      <w:footerReference w:type="first" r:id="rId14"/>
      <w:pgSz w:w="11906" w:h="16838"/>
      <w:pgMar w:top="1351" w:right="1440" w:bottom="1351" w:left="1440" w:header="708" w:footer="708" w:gutter="0"/>
      <w:pgBorders w:offsetFrom="page">
        <w:top w:val="thinThickSmallGap" w:sz="18" w:space="24" w:color="auto"/>
        <w:left w:val="thinThickSmallGap" w:sz="18" w:space="24" w:color="auto"/>
        <w:bottom w:val="thickThinSmallGap" w:sz="18" w:space="24" w:color="auto"/>
        <w:right w:val="thickThinSmallGap"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45710" w14:textId="77777777" w:rsidR="00760F05" w:rsidRDefault="00760F05">
      <w:r>
        <w:separator/>
      </w:r>
    </w:p>
  </w:endnote>
  <w:endnote w:type="continuationSeparator" w:id="0">
    <w:p w14:paraId="4E6B7EA6" w14:textId="77777777" w:rsidR="00760F05" w:rsidRDefault="00760F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embedItalic r:id="rId1" w:fontKey="{9F8CA528-3838-4F75-8738-412D04B5E883}"/>
  </w:font>
  <w:font w:name="Calibri">
    <w:panose1 w:val="020F0502020204030204"/>
    <w:charset w:val="00"/>
    <w:family w:val="swiss"/>
    <w:pitch w:val="variable"/>
    <w:sig w:usb0="E4002EFF" w:usb1="C000247B" w:usb2="00000009" w:usb3="00000000" w:csb0="000001FF" w:csb1="00000000"/>
    <w:embedRegular r:id="rId2" w:fontKey="{93644715-2EAB-4569-A79D-A3F498CE0709}"/>
    <w:embedBold r:id="rId3" w:fontKey="{DEBCC2B0-4A5A-4D50-9FEB-0DB38E56C92B}"/>
    <w:embedItalic r:id="rId4" w:fontKey="{3258CD9A-34E7-4FD7-BA8E-01519519B41C}"/>
  </w:font>
  <w:font w:name="Cambria">
    <w:panose1 w:val="02040503050406030204"/>
    <w:charset w:val="00"/>
    <w:family w:val="roman"/>
    <w:pitch w:val="variable"/>
    <w:sig w:usb0="E00006FF" w:usb1="420024FF" w:usb2="02000000" w:usb3="00000000" w:csb0="0000019F" w:csb1="00000000"/>
    <w:embedRegular r:id="rId5" w:fontKey="{A9A9C7D1-E018-47AF-A9D9-9D79BBA3218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4B711" w14:textId="77777777" w:rsidR="00696738" w:rsidRDefault="00000000">
    <w:pPr>
      <w:jc w:val="center"/>
    </w:pPr>
    <w:r>
      <w:rPr>
        <w:rFonts w:ascii="Calibri" w:hAnsi="Calibri"/>
        <w:color w:val="000000"/>
      </w:rPr>
      <w:fldChar w:fldCharType="begin"/>
    </w:r>
    <w:r>
      <w:rPr>
        <w:rFonts w:ascii="Calibri" w:hAnsi="Calibri"/>
        <w:color w:val="000000"/>
      </w:rPr>
      <w:instrText xml:space="preserve"> PAGE </w:instrText>
    </w:r>
    <w:r>
      <w:rPr>
        <w:rFonts w:ascii="Calibri" w:hAnsi="Calibri"/>
        <w:color w:val="000000"/>
      </w:rPr>
      <w:fldChar w:fldCharType="separate"/>
    </w:r>
    <w:r>
      <w:rPr>
        <w:rFonts w:ascii="Calibri" w:hAnsi="Calibri"/>
        <w:color w:val="000000"/>
      </w:rPr>
      <w:t>2</w:t>
    </w:r>
    <w:r>
      <w:rPr>
        <w:rFonts w:ascii="Calibri" w:hAnsi="Calibri"/>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802C3" w14:textId="77777777" w:rsidR="00DC073C" w:rsidRDefault="00DC0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E76BE5" w14:textId="77777777" w:rsidR="00760F05" w:rsidRDefault="00760F05">
      <w:r>
        <w:separator/>
      </w:r>
    </w:p>
  </w:footnote>
  <w:footnote w:type="continuationSeparator" w:id="0">
    <w:p w14:paraId="1BE5CAD9" w14:textId="77777777" w:rsidR="00760F05" w:rsidRDefault="00760F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FDEE9A" w14:textId="77777777" w:rsidR="00696738" w:rsidRDefault="00696738">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0E64E4"/>
    <w:multiLevelType w:val="multilevel"/>
    <w:tmpl w:val="229637BE"/>
    <w:lvl w:ilvl="0">
      <w:start w:val="1"/>
      <w:numFmt w:val="bullet"/>
      <w:lvlText w:val="•"/>
      <w:lvlJc w:val="left"/>
      <w:pPr>
        <w:ind w:left="72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76AF710A"/>
    <w:multiLevelType w:val="singleLevel"/>
    <w:tmpl w:val="A6F23678"/>
    <w:lvl w:ilvl="0">
      <w:start w:val="1"/>
      <w:numFmt w:val="decimal"/>
      <w:lvlText w:val="O%1."/>
      <w:lvlJc w:val="left"/>
      <w:pPr>
        <w:tabs>
          <w:tab w:val="num" w:pos="605"/>
        </w:tabs>
        <w:ind w:left="605" w:hanging="360"/>
      </w:pPr>
    </w:lvl>
  </w:abstractNum>
  <w:abstractNum w:abstractNumId="2" w15:restartNumberingAfterBreak="0">
    <w:nsid w:val="79BE4BF5"/>
    <w:multiLevelType w:val="hybridMultilevel"/>
    <w:tmpl w:val="55E6E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63940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738"/>
    <w:rsid w:val="000B7041"/>
    <w:rsid w:val="001C0BBC"/>
    <w:rsid w:val="001E4686"/>
    <w:rsid w:val="00202A87"/>
    <w:rsid w:val="00302169"/>
    <w:rsid w:val="0036746E"/>
    <w:rsid w:val="003F06B1"/>
    <w:rsid w:val="0051147A"/>
    <w:rsid w:val="00696738"/>
    <w:rsid w:val="00760F05"/>
    <w:rsid w:val="0086475D"/>
    <w:rsid w:val="00A12114"/>
    <w:rsid w:val="00CC6CC7"/>
    <w:rsid w:val="00DC073C"/>
    <w:rsid w:val="00F529E3"/>
    <w:rsid w:val="00FC3D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2C8DF"/>
  <w15:docId w15:val="{6CE4C749-20F3-4A16-A56E-163EEA97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paragraph" w:styleId="ListParagraph">
    <w:name w:val="List Paragraph"/>
    <w:basedOn w:val="Normal"/>
    <w:uiPriority w:val="34"/>
    <w:qFormat/>
    <w:rsid w:val="001C0BBC"/>
    <w:pPr>
      <w:ind w:left="720"/>
      <w:contextualSpacing/>
    </w:pPr>
  </w:style>
  <w:style w:type="paragraph" w:styleId="Header">
    <w:name w:val="header"/>
    <w:basedOn w:val="Normal"/>
    <w:link w:val="HeaderChar"/>
    <w:uiPriority w:val="99"/>
    <w:unhideWhenUsed/>
    <w:rsid w:val="0086475D"/>
    <w:pPr>
      <w:tabs>
        <w:tab w:val="center" w:pos="4680"/>
        <w:tab w:val="right" w:pos="9360"/>
      </w:tabs>
    </w:pPr>
  </w:style>
  <w:style w:type="character" w:customStyle="1" w:styleId="HeaderChar">
    <w:name w:val="Header Char"/>
    <w:basedOn w:val="DefaultParagraphFont"/>
    <w:link w:val="Header"/>
    <w:uiPriority w:val="99"/>
    <w:rsid w:val="0086475D"/>
  </w:style>
  <w:style w:type="paragraph" w:styleId="Footer">
    <w:name w:val="footer"/>
    <w:basedOn w:val="Normal"/>
    <w:link w:val="FooterChar"/>
    <w:uiPriority w:val="99"/>
    <w:unhideWhenUsed/>
    <w:rsid w:val="0086475D"/>
    <w:pPr>
      <w:tabs>
        <w:tab w:val="center" w:pos="4680"/>
        <w:tab w:val="right" w:pos="9360"/>
      </w:tabs>
    </w:pPr>
  </w:style>
  <w:style w:type="character" w:customStyle="1" w:styleId="FooterChar">
    <w:name w:val="Footer Char"/>
    <w:basedOn w:val="DefaultParagraphFont"/>
    <w:link w:val="Footer"/>
    <w:uiPriority w:val="99"/>
    <w:rsid w:val="00864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L5V9XlffTuOlhhyAEYIsJ76Rg==">CgMxLjAyDmgudHczd3JucjdtcHcwMg5oLmtpaHF5b2JmNDVjNjIOaC5idHgwMDc4azZqMDAyDmguMmxwYWljODk2b3pxMg5oLnpjd3FhOGMxcnJydzIOaC5ybG43cmw5eDVpbGM4AHIhMW5LUC1DWlV2UnFHckRkT2VVTzVsanRDdG9WRTFQZUN1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5455</Words>
  <Characters>31099</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Evaluation of Blockchain-Backed Distributed Authentication for Resource-Constrained IoT Devices</dc:title>
  <dc:subject>MSc Postgraduate Research Proposal</dc:subject>
  <dc:creator>Raj Bhatia</dc:creator>
  <cp:keywords>blockchain, distributed authentication, IoT, decentralised identifiers, verifiable credentials, Hyperledger Fabric</cp:keywords>
  <dc:description>Original Level 7 research proposal prepared from the retained structural reference.</dc:description>
  <cp:lastModifiedBy>valand harsh</cp:lastModifiedBy>
  <cp:revision>10</cp:revision>
  <dcterms:created xsi:type="dcterms:W3CDTF">2026-07-27T18:33:00Z</dcterms:created>
  <dcterms:modified xsi:type="dcterms:W3CDTF">2026-08-09T11:41:00Z</dcterms:modified>
</cp:coreProperties>
</file>