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2797241F" w:rsidR="00D8137B" w:rsidRDefault="32433627" w:rsidP="7336895D">
      <w:r>
        <w:rPr>
          <w:noProof/>
        </w:rPr>
        <w:drawing>
          <wp:inline distT="0" distB="0" distL="0" distR="0" wp14:anchorId="4D66A03C" wp14:editId="79283025">
            <wp:extent cx="2038350" cy="704850"/>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w14:paraId="3ACE678D" w14:textId="597DED31" w:rsidR="7336895D" w:rsidRDefault="7336895D" w:rsidP="7336895D"/>
    <w:p w14:paraId="78777CD6" w14:textId="1204A6DB" w:rsidR="32433627" w:rsidRDefault="32433627" w:rsidP="2F17ACDD">
      <w:pPr>
        <w:rPr>
          <w:rFonts w:ascii="Arial" w:eastAsia="Arial" w:hAnsi="Arial" w:cs="Arial"/>
          <w:b/>
          <w:bCs/>
          <w:sz w:val="28"/>
          <w:szCs w:val="28"/>
        </w:rPr>
      </w:pPr>
      <w:r w:rsidRPr="2F17ACDD">
        <w:rPr>
          <w:rFonts w:ascii="Arial" w:eastAsia="Arial" w:hAnsi="Arial" w:cs="Arial"/>
          <w:b/>
          <w:bCs/>
          <w:sz w:val="28"/>
          <w:szCs w:val="28"/>
        </w:rPr>
        <w:t xml:space="preserve">BSc Professional Investigation </w:t>
      </w:r>
      <w:r w:rsidR="74C7EEBA" w:rsidRPr="2F17ACDD">
        <w:rPr>
          <w:rFonts w:ascii="Arial" w:eastAsia="Arial" w:hAnsi="Arial" w:cs="Arial"/>
          <w:b/>
          <w:bCs/>
          <w:sz w:val="28"/>
          <w:szCs w:val="28"/>
        </w:rPr>
        <w:t>2022/2023</w:t>
      </w:r>
    </w:p>
    <w:p w14:paraId="43AF8E42" w14:textId="636DF1FF" w:rsidR="32433627" w:rsidRDefault="32433627" w:rsidP="2F17ACDD">
      <w:pPr>
        <w:rPr>
          <w:rFonts w:ascii="Arial" w:eastAsia="Arial" w:hAnsi="Arial" w:cs="Arial"/>
          <w:color w:val="000000" w:themeColor="text1"/>
          <w:sz w:val="28"/>
          <w:szCs w:val="28"/>
        </w:rPr>
      </w:pPr>
      <w:r w:rsidRPr="2F17ACDD">
        <w:rPr>
          <w:rFonts w:ascii="Arial" w:eastAsia="Arial" w:hAnsi="Arial" w:cs="Arial"/>
          <w:b/>
          <w:bCs/>
          <w:color w:val="000000" w:themeColor="text1"/>
          <w:sz w:val="28"/>
          <w:szCs w:val="28"/>
        </w:rPr>
        <w:t>LEVEL 6 - 40 Credits</w:t>
      </w:r>
    </w:p>
    <w:p w14:paraId="772420AF" w14:textId="50D05E20" w:rsidR="7336895D" w:rsidRDefault="7336895D" w:rsidP="2F17ACDD">
      <w:pPr>
        <w:ind w:right="237"/>
        <w:rPr>
          <w:rFonts w:ascii="Arial" w:eastAsia="Arial" w:hAnsi="Arial" w:cs="Arial"/>
          <w:color w:val="000000" w:themeColor="text1"/>
          <w:sz w:val="28"/>
          <w:szCs w:val="28"/>
        </w:rPr>
      </w:pPr>
    </w:p>
    <w:p w14:paraId="00A730D2" w14:textId="5EFEA4EF" w:rsidR="2F17ACDD" w:rsidRDefault="2F17ACDD" w:rsidP="2F17ACDD">
      <w:pPr>
        <w:ind w:right="237"/>
        <w:jc w:val="center"/>
        <w:rPr>
          <w:rFonts w:ascii="Arial" w:eastAsia="Arial" w:hAnsi="Arial" w:cs="Arial"/>
          <w:b/>
          <w:bCs/>
          <w:color w:val="000000" w:themeColor="text1"/>
          <w:sz w:val="28"/>
          <w:szCs w:val="28"/>
        </w:rPr>
      </w:pPr>
    </w:p>
    <w:p w14:paraId="75A1E243" w14:textId="4D430A61" w:rsidR="2F17ACDD" w:rsidRDefault="2F17ACDD" w:rsidP="2F17ACDD">
      <w:pPr>
        <w:ind w:right="237"/>
        <w:jc w:val="center"/>
        <w:rPr>
          <w:rFonts w:ascii="Arial" w:eastAsia="Arial" w:hAnsi="Arial" w:cs="Arial"/>
          <w:b/>
          <w:bCs/>
          <w:color w:val="000000" w:themeColor="text1"/>
          <w:sz w:val="28"/>
          <w:szCs w:val="28"/>
        </w:rPr>
      </w:pPr>
    </w:p>
    <w:p w14:paraId="1741DE64" w14:textId="55BD30B3" w:rsidR="32433627" w:rsidRDefault="32433627" w:rsidP="2F17ACDD">
      <w:pPr>
        <w:ind w:right="237"/>
        <w:jc w:val="center"/>
        <w:rPr>
          <w:rFonts w:ascii="Arial" w:eastAsia="Arial" w:hAnsi="Arial" w:cs="Arial"/>
          <w:b/>
          <w:bCs/>
          <w:color w:val="000000" w:themeColor="text1"/>
          <w:sz w:val="28"/>
          <w:szCs w:val="28"/>
        </w:rPr>
      </w:pPr>
      <w:r w:rsidRPr="2F17ACDD">
        <w:rPr>
          <w:rFonts w:ascii="Arial" w:eastAsia="Arial" w:hAnsi="Arial" w:cs="Arial"/>
          <w:b/>
          <w:bCs/>
          <w:color w:val="000000" w:themeColor="text1"/>
          <w:sz w:val="28"/>
          <w:szCs w:val="28"/>
        </w:rPr>
        <w:t>Workbook title</w:t>
      </w:r>
      <w:r w:rsidR="021C0392" w:rsidRPr="2F17ACDD">
        <w:rPr>
          <w:rFonts w:ascii="Arial" w:eastAsia="Arial" w:hAnsi="Arial" w:cs="Arial"/>
          <w:b/>
          <w:bCs/>
          <w:color w:val="000000" w:themeColor="text1"/>
          <w:sz w:val="28"/>
          <w:szCs w:val="28"/>
        </w:rPr>
        <w:t xml:space="preserve">: Competency Based Workbook </w:t>
      </w:r>
      <w:r w:rsidR="6E27A6BC" w:rsidRPr="2F17ACDD">
        <w:rPr>
          <w:rFonts w:ascii="Arial" w:eastAsia="Arial" w:hAnsi="Arial" w:cs="Arial"/>
          <w:b/>
          <w:bCs/>
          <w:color w:val="000000" w:themeColor="text1"/>
          <w:sz w:val="28"/>
          <w:szCs w:val="28"/>
        </w:rPr>
        <w:t>2</w:t>
      </w:r>
    </w:p>
    <w:p w14:paraId="46D60806" w14:textId="3EB8E434" w:rsidR="49C54495" w:rsidRDefault="49C54495" w:rsidP="2F17ACDD">
      <w:pPr>
        <w:ind w:right="237"/>
        <w:jc w:val="center"/>
        <w:rPr>
          <w:rFonts w:ascii="Arial" w:eastAsia="Arial" w:hAnsi="Arial" w:cs="Arial"/>
          <w:b/>
          <w:bCs/>
          <w:i/>
          <w:iCs/>
          <w:color w:val="0070C0"/>
          <w:sz w:val="32"/>
          <w:szCs w:val="32"/>
        </w:rPr>
      </w:pPr>
      <w:r w:rsidRPr="2F17ACDD">
        <w:rPr>
          <w:rFonts w:ascii="Arial" w:eastAsia="Arial" w:hAnsi="Arial" w:cs="Arial"/>
          <w:b/>
          <w:bCs/>
          <w:i/>
          <w:iCs/>
          <w:color w:val="0070C0"/>
          <w:sz w:val="32"/>
          <w:szCs w:val="32"/>
        </w:rPr>
        <w:t>Module BMPI6002 – Professional Investigative Practice</w:t>
      </w:r>
    </w:p>
    <w:p w14:paraId="01172258" w14:textId="1D5843CB" w:rsidR="7336895D" w:rsidRDefault="7336895D" w:rsidP="2F17ACDD">
      <w:pPr>
        <w:ind w:right="237"/>
        <w:rPr>
          <w:rFonts w:ascii="Arial" w:eastAsia="Arial" w:hAnsi="Arial" w:cs="Arial"/>
          <w:b/>
          <w:bCs/>
          <w:color w:val="000000" w:themeColor="text1"/>
          <w:sz w:val="32"/>
          <w:szCs w:val="32"/>
        </w:rPr>
      </w:pPr>
    </w:p>
    <w:p w14:paraId="56F74FD0" w14:textId="3B1D8CFD" w:rsidR="7336895D" w:rsidRDefault="7336895D" w:rsidP="7336895D">
      <w:pPr>
        <w:rPr>
          <w:rFonts w:ascii="Arial" w:eastAsia="Arial" w:hAnsi="Arial" w:cs="Arial"/>
          <w:sz w:val="36"/>
          <w:szCs w:val="36"/>
        </w:rPr>
      </w:pPr>
    </w:p>
    <w:tbl>
      <w:tblPr>
        <w:tblStyle w:val="TableGrid"/>
        <w:tblW w:w="0" w:type="auto"/>
        <w:tblLayout w:type="fixed"/>
        <w:tblLook w:val="06A0" w:firstRow="1" w:lastRow="0" w:firstColumn="1" w:lastColumn="0" w:noHBand="1" w:noVBand="1"/>
      </w:tblPr>
      <w:tblGrid>
        <w:gridCol w:w="9015"/>
      </w:tblGrid>
      <w:tr w:rsidR="7336895D" w14:paraId="5364FEF4" w14:textId="77777777" w:rsidTr="2F17ACDD">
        <w:trPr>
          <w:trHeight w:val="2385"/>
        </w:trPr>
        <w:tc>
          <w:tcPr>
            <w:tcW w:w="9015" w:type="dxa"/>
          </w:tcPr>
          <w:p w14:paraId="2BF5B3F1" w14:textId="6E1BBE82" w:rsidR="63BD137B" w:rsidRDefault="233552EC" w:rsidP="7336895D">
            <w:pPr>
              <w:ind w:right="237"/>
              <w:rPr>
                <w:rFonts w:ascii="Arial" w:eastAsia="Arial" w:hAnsi="Arial" w:cs="Arial"/>
                <w:color w:val="000000" w:themeColor="text1"/>
                <w:sz w:val="36"/>
                <w:szCs w:val="36"/>
              </w:rPr>
            </w:pPr>
            <w:r w:rsidRPr="2F17ACDD">
              <w:rPr>
                <w:rFonts w:ascii="Arial" w:eastAsia="Arial" w:hAnsi="Arial" w:cs="Arial"/>
                <w:b/>
                <w:bCs/>
                <w:color w:val="000000" w:themeColor="text1"/>
                <w:sz w:val="28"/>
                <w:szCs w:val="28"/>
              </w:rPr>
              <w:t xml:space="preserve">Student </w:t>
            </w:r>
            <w:r w:rsidR="63BD137B" w:rsidRPr="2F17ACDD">
              <w:rPr>
                <w:rFonts w:ascii="Arial" w:eastAsia="Arial" w:hAnsi="Arial" w:cs="Arial"/>
                <w:b/>
                <w:bCs/>
                <w:color w:val="000000" w:themeColor="text1"/>
                <w:sz w:val="28"/>
                <w:szCs w:val="28"/>
              </w:rPr>
              <w:t>name:</w:t>
            </w:r>
            <w:r w:rsidR="00CA1672">
              <w:rPr>
                <w:rFonts w:ascii="Arial" w:eastAsia="Arial" w:hAnsi="Arial" w:cs="Arial"/>
                <w:b/>
                <w:bCs/>
                <w:color w:val="000000" w:themeColor="text1"/>
                <w:sz w:val="36"/>
                <w:szCs w:val="36"/>
              </w:rPr>
              <w:t xml:space="preserve"> Stuart McLaren</w:t>
            </w:r>
          </w:p>
          <w:p w14:paraId="5EBB5AA1" w14:textId="0C17428C" w:rsidR="7336895D" w:rsidRDefault="7336895D" w:rsidP="7336895D">
            <w:pPr>
              <w:ind w:right="237"/>
              <w:rPr>
                <w:rFonts w:ascii="Arial" w:eastAsia="Arial" w:hAnsi="Arial" w:cs="Arial"/>
                <w:color w:val="000000" w:themeColor="text1"/>
                <w:sz w:val="36"/>
                <w:szCs w:val="36"/>
              </w:rPr>
            </w:pPr>
          </w:p>
          <w:p w14:paraId="0FA944B7" w14:textId="1E38F5C7" w:rsidR="63BD137B" w:rsidRDefault="01A923D8" w:rsidP="7336895D">
            <w:pPr>
              <w:ind w:right="237"/>
              <w:rPr>
                <w:rFonts w:ascii="Arial" w:eastAsia="Arial" w:hAnsi="Arial" w:cs="Arial"/>
                <w:color w:val="000000" w:themeColor="text1"/>
                <w:sz w:val="36"/>
                <w:szCs w:val="36"/>
              </w:rPr>
            </w:pPr>
            <w:r w:rsidRPr="2F17ACDD">
              <w:rPr>
                <w:rFonts w:ascii="Arial" w:eastAsia="Arial" w:hAnsi="Arial" w:cs="Arial"/>
                <w:b/>
                <w:bCs/>
                <w:color w:val="000000" w:themeColor="text1"/>
                <w:sz w:val="28"/>
                <w:szCs w:val="28"/>
              </w:rPr>
              <w:t>Student</w:t>
            </w:r>
            <w:r w:rsidR="63BD137B" w:rsidRPr="2F17ACDD">
              <w:rPr>
                <w:rFonts w:ascii="Arial" w:eastAsia="Arial" w:hAnsi="Arial" w:cs="Arial"/>
                <w:b/>
                <w:bCs/>
                <w:color w:val="000000" w:themeColor="text1"/>
                <w:sz w:val="28"/>
                <w:szCs w:val="28"/>
              </w:rPr>
              <w:t>’s University Registration Number:</w:t>
            </w:r>
          </w:p>
          <w:p w14:paraId="53C5C38E" w14:textId="2BE43388" w:rsidR="63BD137B" w:rsidRDefault="00CA1672" w:rsidP="7336895D">
            <w:pPr>
              <w:ind w:right="237"/>
              <w:rPr>
                <w:rFonts w:ascii="Arial" w:eastAsia="Arial" w:hAnsi="Arial" w:cs="Arial"/>
                <w:color w:val="000000" w:themeColor="text1"/>
                <w:sz w:val="36"/>
                <w:szCs w:val="36"/>
              </w:rPr>
            </w:pPr>
            <w:r>
              <w:rPr>
                <w:rFonts w:ascii="Arial" w:eastAsia="Arial" w:hAnsi="Arial" w:cs="Arial"/>
                <w:b/>
                <w:bCs/>
                <w:color w:val="000000" w:themeColor="text1"/>
                <w:sz w:val="36"/>
                <w:szCs w:val="36"/>
              </w:rPr>
              <w:t>2216</w:t>
            </w:r>
            <w:r w:rsidR="00D64C30">
              <w:rPr>
                <w:rFonts w:ascii="Arial" w:eastAsia="Arial" w:hAnsi="Arial" w:cs="Arial"/>
                <w:b/>
                <w:bCs/>
                <w:color w:val="000000" w:themeColor="text1"/>
                <w:sz w:val="36"/>
                <w:szCs w:val="36"/>
              </w:rPr>
              <w:t>429</w:t>
            </w:r>
          </w:p>
          <w:p w14:paraId="27A16160" w14:textId="3CE21B6D" w:rsidR="7336895D" w:rsidRDefault="7336895D" w:rsidP="69B3A30A">
            <w:pPr>
              <w:rPr>
                <w:rFonts w:ascii="Arial" w:eastAsia="Arial" w:hAnsi="Arial" w:cs="Arial"/>
                <w:b/>
                <w:bCs/>
                <w:color w:val="000000" w:themeColor="text1"/>
                <w:sz w:val="36"/>
                <w:szCs w:val="36"/>
              </w:rPr>
            </w:pPr>
          </w:p>
          <w:p w14:paraId="1820B7EB" w14:textId="1EC06A53" w:rsidR="7336895D" w:rsidRDefault="7336895D" w:rsidP="2F17ACDD">
            <w:pPr>
              <w:rPr>
                <w:rFonts w:ascii="Arial" w:eastAsia="Arial" w:hAnsi="Arial" w:cs="Arial"/>
                <w:b/>
                <w:bCs/>
                <w:color w:val="000000" w:themeColor="text1"/>
                <w:sz w:val="36"/>
                <w:szCs w:val="36"/>
              </w:rPr>
            </w:pPr>
          </w:p>
        </w:tc>
      </w:tr>
    </w:tbl>
    <w:p w14:paraId="024E0F58" w14:textId="398B655E" w:rsidR="7336895D" w:rsidRDefault="7336895D" w:rsidP="7336895D">
      <w:pPr>
        <w:ind w:right="237"/>
        <w:rPr>
          <w:rFonts w:ascii="Arial" w:eastAsia="Arial" w:hAnsi="Arial" w:cs="Arial"/>
          <w:color w:val="000000" w:themeColor="text1"/>
          <w:sz w:val="32"/>
          <w:szCs w:val="32"/>
        </w:rPr>
      </w:pPr>
    </w:p>
    <w:p w14:paraId="1FCCF47F" w14:textId="00BEF892" w:rsidR="7336895D" w:rsidRDefault="1B3FFD0B" w:rsidP="1FD2736D">
      <w:pPr>
        <w:ind w:right="237"/>
        <w:rPr>
          <w:rFonts w:ascii="Arial" w:eastAsia="Arial" w:hAnsi="Arial" w:cs="Arial"/>
          <w:b/>
          <w:bCs/>
          <w:i/>
          <w:iCs/>
          <w:color w:val="000000" w:themeColor="text1"/>
          <w:sz w:val="28"/>
          <w:szCs w:val="28"/>
        </w:rPr>
      </w:pPr>
      <w:r w:rsidRPr="1FD2736D">
        <w:rPr>
          <w:rFonts w:ascii="Arial" w:eastAsia="Arial" w:hAnsi="Arial" w:cs="Arial"/>
          <w:b/>
          <w:bCs/>
          <w:i/>
          <w:iCs/>
          <w:color w:val="000000" w:themeColor="text1"/>
          <w:sz w:val="28"/>
          <w:szCs w:val="28"/>
        </w:rPr>
        <w:t>Institute of Management &amp; Health (IMH)</w:t>
      </w:r>
    </w:p>
    <w:p w14:paraId="65817939" w14:textId="75D730E3" w:rsidR="1B3FFD0B" w:rsidRDefault="1B3FFD0B" w:rsidP="1FD2736D">
      <w:pPr>
        <w:ind w:right="237"/>
        <w:rPr>
          <w:rFonts w:ascii="Arial" w:eastAsia="Arial" w:hAnsi="Arial" w:cs="Arial"/>
          <w:b/>
          <w:bCs/>
          <w:i/>
          <w:iCs/>
          <w:color w:val="000000" w:themeColor="text1"/>
          <w:sz w:val="28"/>
          <w:szCs w:val="28"/>
        </w:rPr>
      </w:pPr>
      <w:r w:rsidRPr="1FD2736D">
        <w:rPr>
          <w:rFonts w:ascii="Arial" w:eastAsia="Arial" w:hAnsi="Arial" w:cs="Arial"/>
          <w:b/>
          <w:bCs/>
          <w:i/>
          <w:iCs/>
          <w:color w:val="000000" w:themeColor="text1"/>
          <w:sz w:val="28"/>
          <w:szCs w:val="28"/>
        </w:rPr>
        <w:t>Blue Light Academy</w:t>
      </w:r>
    </w:p>
    <w:p w14:paraId="07F7D617" w14:textId="4325D2DC" w:rsidR="7336895D" w:rsidRDefault="7336895D" w:rsidP="2F17ACDD">
      <w:pPr>
        <w:ind w:right="237"/>
        <w:rPr>
          <w:rFonts w:ascii="Arial" w:eastAsia="Arial" w:hAnsi="Arial" w:cs="Arial"/>
          <w:b/>
          <w:bCs/>
          <w:i/>
          <w:iCs/>
          <w:color w:val="000000" w:themeColor="text1"/>
          <w:sz w:val="36"/>
          <w:szCs w:val="36"/>
        </w:rPr>
      </w:pPr>
    </w:p>
    <w:p w14:paraId="49F0E95C" w14:textId="59D677B6" w:rsidR="7336895D" w:rsidRDefault="7336895D" w:rsidP="2F17ACDD">
      <w:pPr>
        <w:ind w:right="237"/>
        <w:rPr>
          <w:rFonts w:ascii="Arial" w:eastAsia="Arial" w:hAnsi="Arial" w:cs="Arial"/>
          <w:b/>
          <w:bCs/>
          <w:i/>
          <w:iCs/>
          <w:color w:val="000000" w:themeColor="text1"/>
          <w:sz w:val="36"/>
          <w:szCs w:val="36"/>
        </w:rPr>
      </w:pPr>
    </w:p>
    <w:p w14:paraId="5F207D3E" w14:textId="41AADBF2" w:rsidR="7336895D" w:rsidRDefault="7336895D" w:rsidP="2F17ACDD">
      <w:pPr>
        <w:ind w:right="237"/>
        <w:rPr>
          <w:rFonts w:ascii="Arial" w:eastAsia="Arial" w:hAnsi="Arial" w:cs="Arial"/>
          <w:b/>
          <w:bCs/>
          <w:i/>
          <w:iCs/>
          <w:color w:val="000000" w:themeColor="text1"/>
          <w:sz w:val="36"/>
          <w:szCs w:val="36"/>
        </w:rPr>
      </w:pPr>
    </w:p>
    <w:p w14:paraId="2480CC67" w14:textId="0C8714F2" w:rsidR="7336895D" w:rsidRDefault="7336895D" w:rsidP="2F17ACDD">
      <w:pPr>
        <w:ind w:right="237"/>
        <w:rPr>
          <w:rFonts w:ascii="Arial" w:eastAsia="Arial" w:hAnsi="Arial" w:cs="Arial"/>
          <w:b/>
          <w:bCs/>
          <w:i/>
          <w:iCs/>
          <w:color w:val="000000" w:themeColor="text1"/>
          <w:sz w:val="36"/>
          <w:szCs w:val="36"/>
        </w:rPr>
      </w:pPr>
    </w:p>
    <w:p w14:paraId="5179DF88" w14:textId="5E37A20C" w:rsidR="7336895D" w:rsidRDefault="7336895D" w:rsidP="2F17ACDD">
      <w:pPr>
        <w:ind w:right="237"/>
        <w:rPr>
          <w:rFonts w:ascii="Arial" w:eastAsia="Arial" w:hAnsi="Arial" w:cs="Arial"/>
          <w:b/>
          <w:bCs/>
          <w:i/>
          <w:iCs/>
          <w:color w:val="000000" w:themeColor="text1"/>
          <w:sz w:val="36"/>
          <w:szCs w:val="36"/>
        </w:rPr>
      </w:pPr>
    </w:p>
    <w:p w14:paraId="0BF94E73" w14:textId="537EE5BC" w:rsidR="7336895D" w:rsidRDefault="7336895D" w:rsidP="2F17ACDD">
      <w:pPr>
        <w:ind w:right="237"/>
        <w:rPr>
          <w:rFonts w:ascii="Arial" w:eastAsia="Arial" w:hAnsi="Arial" w:cs="Arial"/>
          <w:b/>
          <w:bCs/>
          <w:i/>
          <w:iCs/>
          <w:color w:val="000000" w:themeColor="text1"/>
          <w:sz w:val="36"/>
          <w:szCs w:val="36"/>
        </w:rPr>
      </w:pPr>
    </w:p>
    <w:p w14:paraId="67BE0DA3" w14:textId="52E493E2" w:rsidR="2F17ACDD" w:rsidRDefault="2F17ACDD" w:rsidP="2F17ACDD">
      <w:pPr>
        <w:ind w:right="237"/>
        <w:jc w:val="center"/>
        <w:rPr>
          <w:rFonts w:ascii="Arial" w:eastAsia="Arial" w:hAnsi="Arial" w:cs="Arial"/>
          <w:b/>
          <w:bCs/>
          <w:color w:val="000000" w:themeColor="text1"/>
          <w:sz w:val="28"/>
          <w:szCs w:val="28"/>
        </w:rPr>
      </w:pPr>
    </w:p>
    <w:p w14:paraId="3164C44B" w14:textId="581E5A13" w:rsidR="7336895D" w:rsidRDefault="338C23AF" w:rsidP="2F17ACDD">
      <w:pPr>
        <w:ind w:right="237"/>
        <w:jc w:val="center"/>
        <w:rPr>
          <w:rFonts w:ascii="Arial" w:eastAsia="Arial" w:hAnsi="Arial" w:cs="Arial"/>
          <w:color w:val="000000" w:themeColor="text1"/>
          <w:sz w:val="28"/>
          <w:szCs w:val="28"/>
        </w:rPr>
      </w:pPr>
      <w:r w:rsidRPr="2F17ACDD">
        <w:rPr>
          <w:rFonts w:ascii="Arial" w:eastAsia="Arial" w:hAnsi="Arial" w:cs="Arial"/>
          <w:b/>
          <w:bCs/>
          <w:color w:val="000000" w:themeColor="text1"/>
          <w:sz w:val="28"/>
          <w:szCs w:val="28"/>
        </w:rPr>
        <w:t>Workbook Guidance</w:t>
      </w:r>
    </w:p>
    <w:p w14:paraId="3ED811BB" w14:textId="6ACD60D9" w:rsidR="2F17ACDD" w:rsidRDefault="2F17ACDD" w:rsidP="2F17ACDD">
      <w:pPr>
        <w:ind w:right="237"/>
        <w:jc w:val="center"/>
        <w:rPr>
          <w:rFonts w:ascii="Arial" w:eastAsia="Arial" w:hAnsi="Arial" w:cs="Arial"/>
          <w:b/>
          <w:bCs/>
          <w:color w:val="000000" w:themeColor="text1"/>
          <w:sz w:val="28"/>
          <w:szCs w:val="28"/>
        </w:rPr>
      </w:pPr>
    </w:p>
    <w:p w14:paraId="1B94AA1C" w14:textId="788A40F6" w:rsidR="7336895D" w:rsidRDefault="338C23AF" w:rsidP="2F17ACDD">
      <w:pPr>
        <w:ind w:right="23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Please read these notes carefully. They provide essential information</w:t>
      </w:r>
      <w:r w:rsidR="55913D77" w:rsidRPr="2F17ACDD">
        <w:rPr>
          <w:rFonts w:ascii="Arial" w:eastAsia="Arial" w:hAnsi="Arial" w:cs="Arial"/>
          <w:color w:val="000000" w:themeColor="text1"/>
          <w:sz w:val="24"/>
          <w:szCs w:val="24"/>
        </w:rPr>
        <w:t xml:space="preserve"> in relation to your assessment</w:t>
      </w:r>
      <w:r w:rsidRPr="2F17ACDD">
        <w:rPr>
          <w:rFonts w:ascii="Arial" w:eastAsia="Arial" w:hAnsi="Arial" w:cs="Arial"/>
          <w:color w:val="000000" w:themeColor="text1"/>
          <w:sz w:val="24"/>
          <w:szCs w:val="24"/>
        </w:rPr>
        <w:t>. The documents you will use in developing your workbook are on the following pages.</w:t>
      </w:r>
    </w:p>
    <w:p w14:paraId="2D1D3C5B" w14:textId="4566A7F8" w:rsidR="7336895D" w:rsidRDefault="338C23AF" w:rsidP="7336895D">
      <w:pPr>
        <w:ind w:right="237"/>
        <w:jc w:val="both"/>
        <w:rPr>
          <w:rFonts w:ascii="Arial" w:eastAsia="Arial" w:hAnsi="Arial" w:cs="Arial"/>
          <w:color w:val="000000" w:themeColor="text1"/>
          <w:sz w:val="24"/>
          <w:szCs w:val="24"/>
        </w:rPr>
      </w:pPr>
      <w:r w:rsidRPr="2F17ACDD">
        <w:rPr>
          <w:rFonts w:ascii="Arial" w:eastAsia="Arial" w:hAnsi="Arial" w:cs="Arial"/>
          <w:b/>
          <w:bCs/>
          <w:color w:val="000000" w:themeColor="text1"/>
          <w:sz w:val="24"/>
          <w:szCs w:val="24"/>
        </w:rPr>
        <w:t>What is the workbook for?</w:t>
      </w:r>
    </w:p>
    <w:p w14:paraId="2ECC5307" w14:textId="5B282A45" w:rsidR="7336895D" w:rsidRDefault="338C23AF" w:rsidP="7336895D">
      <w:pPr>
        <w:ind w:right="23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The purpose of this workbook is to enable learners to demonstrate and provide evidence of how they meet the learning outcomes for the BS</w:t>
      </w:r>
      <w:r w:rsidR="17DF5312" w:rsidRPr="2F17ACDD">
        <w:rPr>
          <w:rFonts w:ascii="Arial" w:eastAsia="Arial" w:hAnsi="Arial" w:cs="Arial"/>
          <w:color w:val="000000" w:themeColor="text1"/>
          <w:sz w:val="24"/>
          <w:szCs w:val="24"/>
        </w:rPr>
        <w:t>c</w:t>
      </w:r>
      <w:r w:rsidRPr="2F17ACDD">
        <w:rPr>
          <w:rFonts w:ascii="Arial" w:eastAsia="Arial" w:hAnsi="Arial" w:cs="Arial"/>
          <w:color w:val="000000" w:themeColor="text1"/>
          <w:sz w:val="24"/>
          <w:szCs w:val="24"/>
        </w:rPr>
        <w:t xml:space="preserve"> Professional Investigation. You are being asked to outline your experiential learning based upon your theoretical understanding in a range of operational situations. </w:t>
      </w:r>
    </w:p>
    <w:p w14:paraId="7F11AEE6" w14:textId="27019A51" w:rsidR="338C23AF" w:rsidRDefault="338C23AF" w:rsidP="2F17ACDD">
      <w:pPr>
        <w:ind w:right="237"/>
        <w:jc w:val="both"/>
        <w:rPr>
          <w:rFonts w:ascii="Arial" w:eastAsia="Arial" w:hAnsi="Arial" w:cs="Arial"/>
          <w:color w:val="000000" w:themeColor="text1"/>
          <w:sz w:val="24"/>
          <w:szCs w:val="24"/>
        </w:rPr>
      </w:pPr>
      <w:r w:rsidRPr="2F17ACDD">
        <w:rPr>
          <w:rFonts w:ascii="Arial" w:eastAsia="Arial" w:hAnsi="Arial" w:cs="Arial"/>
          <w:b/>
          <w:bCs/>
          <w:color w:val="000000" w:themeColor="text1"/>
          <w:sz w:val="24"/>
          <w:szCs w:val="24"/>
        </w:rPr>
        <w:t>How should the workbook be presented?</w:t>
      </w:r>
    </w:p>
    <w:p w14:paraId="1186794B" w14:textId="467827A1" w:rsidR="338C23AF" w:rsidRDefault="338C23AF" w:rsidP="7336895D">
      <w:pPr>
        <w:jc w:val="both"/>
        <w:rPr>
          <w:rFonts w:ascii="Arial" w:eastAsia="Arial" w:hAnsi="Arial" w:cs="Arial"/>
          <w:color w:val="000000" w:themeColor="text1"/>
          <w:sz w:val="24"/>
          <w:szCs w:val="24"/>
        </w:rPr>
      </w:pPr>
      <w:r w:rsidRPr="1FD2736D">
        <w:rPr>
          <w:rFonts w:ascii="Arial" w:eastAsia="Arial" w:hAnsi="Arial" w:cs="Arial"/>
          <w:color w:val="000000" w:themeColor="text1"/>
          <w:sz w:val="24"/>
          <w:szCs w:val="24"/>
        </w:rPr>
        <w:t xml:space="preserve">Blank electronic copies </w:t>
      </w:r>
      <w:r w:rsidR="790095D8" w:rsidRPr="1FD2736D">
        <w:rPr>
          <w:rFonts w:ascii="Arial" w:eastAsia="Arial" w:hAnsi="Arial" w:cs="Arial"/>
          <w:color w:val="000000" w:themeColor="text1"/>
          <w:sz w:val="24"/>
          <w:szCs w:val="24"/>
        </w:rPr>
        <w:t xml:space="preserve">of this workbook </w:t>
      </w:r>
      <w:r w:rsidRPr="1FD2736D">
        <w:rPr>
          <w:rFonts w:ascii="Arial" w:eastAsia="Arial" w:hAnsi="Arial" w:cs="Arial"/>
          <w:color w:val="000000" w:themeColor="text1"/>
          <w:sz w:val="24"/>
          <w:szCs w:val="24"/>
        </w:rPr>
        <w:t xml:space="preserve">can be found on Moodle. You must </w:t>
      </w:r>
      <w:r w:rsidR="01CB2635" w:rsidRPr="1FD2736D">
        <w:rPr>
          <w:rFonts w:ascii="Arial" w:eastAsia="Arial" w:hAnsi="Arial" w:cs="Arial"/>
          <w:color w:val="000000" w:themeColor="text1"/>
          <w:sz w:val="24"/>
          <w:szCs w:val="24"/>
        </w:rPr>
        <w:t>submit your</w:t>
      </w:r>
      <w:r w:rsidR="7B648FD0" w:rsidRPr="1FD2736D">
        <w:rPr>
          <w:rFonts w:ascii="Arial" w:eastAsia="Arial" w:hAnsi="Arial" w:cs="Arial"/>
          <w:color w:val="000000" w:themeColor="text1"/>
          <w:sz w:val="24"/>
          <w:szCs w:val="24"/>
        </w:rPr>
        <w:t xml:space="preserve"> assessment document</w:t>
      </w:r>
      <w:r w:rsidRPr="1FD2736D">
        <w:rPr>
          <w:rFonts w:ascii="Arial" w:eastAsia="Arial" w:hAnsi="Arial" w:cs="Arial"/>
          <w:color w:val="000000" w:themeColor="text1"/>
          <w:sz w:val="24"/>
          <w:szCs w:val="24"/>
        </w:rPr>
        <w:t xml:space="preserve"> electronically</w:t>
      </w:r>
      <w:r w:rsidR="54212D63" w:rsidRPr="1FD2736D">
        <w:rPr>
          <w:rFonts w:ascii="Arial" w:eastAsia="Arial" w:hAnsi="Arial" w:cs="Arial"/>
          <w:color w:val="000000" w:themeColor="text1"/>
          <w:sz w:val="24"/>
          <w:szCs w:val="24"/>
        </w:rPr>
        <w:t xml:space="preserve"> once completed,</w:t>
      </w:r>
      <w:r w:rsidRPr="1FD2736D">
        <w:rPr>
          <w:rFonts w:ascii="Arial" w:eastAsia="Arial" w:hAnsi="Arial" w:cs="Arial"/>
          <w:color w:val="000000" w:themeColor="text1"/>
          <w:sz w:val="24"/>
          <w:szCs w:val="24"/>
        </w:rPr>
        <w:t xml:space="preserve"> therefore it is important that you save your work regularly and upload the final typed version through Turnitin on Moodle. </w:t>
      </w:r>
      <w:r w:rsidR="23DBD5C3" w:rsidRPr="1FD2736D">
        <w:rPr>
          <w:rFonts w:ascii="Arial" w:eastAsia="Arial" w:hAnsi="Arial" w:cs="Arial"/>
          <w:color w:val="000000" w:themeColor="text1"/>
          <w:sz w:val="24"/>
          <w:szCs w:val="24"/>
        </w:rPr>
        <w:t>Further guidance will be provided by your tutor.</w:t>
      </w:r>
    </w:p>
    <w:p w14:paraId="3FB73BB8" w14:textId="27A1128A" w:rsidR="338C23AF" w:rsidRDefault="7F1D0A5F" w:rsidP="7336895D">
      <w:pPr>
        <w:jc w:val="both"/>
        <w:rPr>
          <w:rFonts w:ascii="Arial" w:eastAsia="Arial" w:hAnsi="Arial" w:cs="Arial"/>
          <w:color w:val="000000" w:themeColor="text1"/>
          <w:sz w:val="24"/>
          <w:szCs w:val="24"/>
        </w:rPr>
      </w:pPr>
      <w:r w:rsidRPr="1FD2736D">
        <w:rPr>
          <w:rFonts w:ascii="Arial" w:eastAsia="Arial" w:hAnsi="Arial" w:cs="Arial"/>
          <w:b/>
          <w:bCs/>
          <w:color w:val="000000" w:themeColor="text1"/>
          <w:sz w:val="24"/>
          <w:szCs w:val="24"/>
        </w:rPr>
        <w:t>The w</w:t>
      </w:r>
      <w:r w:rsidR="338C23AF" w:rsidRPr="1FD2736D">
        <w:rPr>
          <w:rFonts w:ascii="Arial" w:eastAsia="Arial" w:hAnsi="Arial" w:cs="Arial"/>
          <w:b/>
          <w:bCs/>
          <w:color w:val="000000" w:themeColor="text1"/>
          <w:sz w:val="24"/>
          <w:szCs w:val="24"/>
        </w:rPr>
        <w:t>ord count policy</w:t>
      </w:r>
      <w:r w:rsidR="338C23AF" w:rsidRPr="1FD2736D">
        <w:rPr>
          <w:rFonts w:ascii="Arial" w:eastAsia="Arial" w:hAnsi="Arial" w:cs="Arial"/>
          <w:color w:val="000000" w:themeColor="text1"/>
          <w:sz w:val="24"/>
          <w:szCs w:val="24"/>
        </w:rPr>
        <w:t xml:space="preserve"> can be found in chapter 7 of the Academic Quality</w:t>
      </w:r>
      <w:r w:rsidR="6211F24A" w:rsidRPr="1FD2736D">
        <w:rPr>
          <w:rFonts w:ascii="Arial" w:eastAsia="Arial" w:hAnsi="Arial" w:cs="Arial"/>
          <w:color w:val="000000" w:themeColor="text1"/>
          <w:sz w:val="24"/>
          <w:szCs w:val="24"/>
        </w:rPr>
        <w:t xml:space="preserve"> Handbook</w:t>
      </w:r>
      <w:r w:rsidR="338C23AF" w:rsidRPr="1FD2736D">
        <w:rPr>
          <w:rFonts w:ascii="Arial" w:eastAsia="Arial" w:hAnsi="Arial" w:cs="Arial"/>
          <w:color w:val="000000" w:themeColor="text1"/>
          <w:sz w:val="24"/>
          <w:szCs w:val="24"/>
        </w:rPr>
        <w:t xml:space="preserve"> under section 7.7 (this applies to presenting work above and under the specified word count).  </w:t>
      </w:r>
    </w:p>
    <w:p w14:paraId="270B5ABB" w14:textId="3474EEFA" w:rsidR="338C23AF" w:rsidRDefault="338C23AF" w:rsidP="2F17ACDD">
      <w:pPr>
        <w:jc w:val="both"/>
        <w:rPr>
          <w:rFonts w:ascii="Arial" w:eastAsia="Arial" w:hAnsi="Arial" w:cs="Arial"/>
          <w:color w:val="000000" w:themeColor="text1"/>
          <w:sz w:val="20"/>
          <w:szCs w:val="20"/>
        </w:rPr>
      </w:pPr>
      <w:r w:rsidRPr="2F17ACDD">
        <w:rPr>
          <w:rFonts w:ascii="Arial" w:eastAsia="Arial" w:hAnsi="Arial" w:cs="Arial"/>
          <w:color w:val="000000" w:themeColor="text1"/>
          <w:sz w:val="20"/>
          <w:szCs w:val="20"/>
        </w:rPr>
        <w:t>(</w:t>
      </w:r>
      <w:hyperlink r:id="rId6">
        <w:r w:rsidRPr="2F17ACDD">
          <w:rPr>
            <w:rStyle w:val="Hyperlink"/>
            <w:rFonts w:ascii="Arial" w:eastAsia="Arial" w:hAnsi="Arial" w:cs="Arial"/>
            <w:sz w:val="20"/>
            <w:szCs w:val="20"/>
          </w:rPr>
          <w:t>https://www.uwtsd.ac.uk/media/uwtsd-website/content-assets/documents/academic-office/aqh-chapters/chapters---en/Chapter_07_Assessment_Taught_Programmes_Pages_72-79-UPDATED-05-11-2019.pdf</w:t>
        </w:r>
      </w:hyperlink>
      <w:r w:rsidRPr="2F17ACDD">
        <w:rPr>
          <w:rFonts w:ascii="Arial" w:eastAsia="Arial" w:hAnsi="Arial" w:cs="Arial"/>
          <w:color w:val="0000FF"/>
          <w:sz w:val="20"/>
          <w:szCs w:val="20"/>
          <w:u w:val="single"/>
        </w:rPr>
        <w:t xml:space="preserve">) </w:t>
      </w:r>
    </w:p>
    <w:p w14:paraId="6F37D0AC" w14:textId="7F00DADF" w:rsidR="338C23AF" w:rsidRDefault="338C23AF" w:rsidP="69B3A30A">
      <w:pPr>
        <w:jc w:val="both"/>
        <w:rPr>
          <w:rFonts w:ascii="Arial" w:eastAsia="Arial" w:hAnsi="Arial" w:cs="Arial"/>
          <w:color w:val="000000" w:themeColor="text1"/>
          <w:sz w:val="24"/>
          <w:szCs w:val="24"/>
        </w:rPr>
      </w:pPr>
      <w:r w:rsidRPr="2F17ACDD">
        <w:rPr>
          <w:rFonts w:ascii="Arial" w:eastAsia="Arial" w:hAnsi="Arial" w:cs="Arial"/>
          <w:b/>
          <w:bCs/>
          <w:color w:val="000000" w:themeColor="text1"/>
          <w:sz w:val="24"/>
          <w:szCs w:val="24"/>
        </w:rPr>
        <w:t>Reflective practice</w:t>
      </w:r>
      <w:r w:rsidRPr="2F17ACDD">
        <w:rPr>
          <w:rFonts w:ascii="Arial" w:eastAsia="Arial" w:hAnsi="Arial" w:cs="Arial"/>
          <w:color w:val="000000" w:themeColor="text1"/>
          <w:sz w:val="24"/>
          <w:szCs w:val="24"/>
        </w:rPr>
        <w:t xml:space="preserve"> is a core aspect for your workbooks and although there is a variety of useful resources on Moodle, there is one </w:t>
      </w:r>
      <w:r w:rsidR="7C3FC7FE" w:rsidRPr="2F17ACDD">
        <w:rPr>
          <w:rFonts w:ascii="Arial" w:eastAsia="Arial" w:hAnsi="Arial" w:cs="Arial"/>
          <w:color w:val="000000" w:themeColor="text1"/>
          <w:sz w:val="24"/>
          <w:szCs w:val="24"/>
        </w:rPr>
        <w:t>book</w:t>
      </w:r>
      <w:r w:rsidRPr="2F17ACDD">
        <w:rPr>
          <w:rFonts w:ascii="Arial" w:eastAsia="Arial" w:hAnsi="Arial" w:cs="Arial"/>
          <w:color w:val="000000" w:themeColor="text1"/>
          <w:sz w:val="24"/>
          <w:szCs w:val="24"/>
        </w:rPr>
        <w:t xml:space="preserve">, that is specifically based on reflective practice in policing, here is a link to one chapter from Selina Copley’s Reflective Practice for Policing Students: </w:t>
      </w:r>
    </w:p>
    <w:p w14:paraId="376D9A4A" w14:textId="01498262" w:rsidR="338C23AF" w:rsidRDefault="00140EE7" w:rsidP="2F17ACDD">
      <w:pPr>
        <w:jc w:val="both"/>
        <w:rPr>
          <w:rFonts w:ascii="Arial" w:eastAsia="Arial" w:hAnsi="Arial" w:cs="Arial"/>
          <w:color w:val="000000" w:themeColor="text1"/>
          <w:sz w:val="20"/>
          <w:szCs w:val="20"/>
        </w:rPr>
      </w:pPr>
      <w:hyperlink r:id="rId7">
        <w:r w:rsidR="338C23AF" w:rsidRPr="2F17ACDD">
          <w:rPr>
            <w:rStyle w:val="Hyperlink"/>
            <w:rFonts w:ascii="Arial" w:eastAsia="Arial" w:hAnsi="Arial" w:cs="Arial"/>
            <w:sz w:val="20"/>
            <w:szCs w:val="20"/>
          </w:rPr>
          <w:t>https://moodle.uwtsd.ac.uk/pluginfile.php/298870/mod_resource/content/1/Reflective%20Practice%20for%20Policing%20Students%20-%20Selina%20Copley%20Chapter5.pdf</w:t>
        </w:r>
      </w:hyperlink>
    </w:p>
    <w:p w14:paraId="5011152D" w14:textId="7BB6FE6D" w:rsidR="338C23AF" w:rsidRDefault="338C23AF" w:rsidP="7336895D">
      <w:pPr>
        <w:jc w:val="both"/>
        <w:rPr>
          <w:rFonts w:ascii="Arial" w:eastAsia="Arial" w:hAnsi="Arial" w:cs="Arial"/>
          <w:color w:val="000000" w:themeColor="text1"/>
          <w:sz w:val="24"/>
          <w:szCs w:val="24"/>
        </w:rPr>
      </w:pPr>
      <w:r w:rsidRPr="2F17ACDD">
        <w:rPr>
          <w:rFonts w:ascii="Arial" w:eastAsia="Arial" w:hAnsi="Arial" w:cs="Arial"/>
          <w:b/>
          <w:bCs/>
          <w:color w:val="000000" w:themeColor="text1"/>
          <w:sz w:val="24"/>
          <w:szCs w:val="24"/>
        </w:rPr>
        <w:t>How is the workbook assessed?</w:t>
      </w:r>
    </w:p>
    <w:p w14:paraId="069440E1" w14:textId="6828FC75" w:rsidR="338C23AF" w:rsidRDefault="338C23AF" w:rsidP="7336895D">
      <w:pPr>
        <w:jc w:val="both"/>
        <w:rPr>
          <w:rFonts w:ascii="Arial" w:eastAsia="Arial" w:hAnsi="Arial" w:cs="Arial"/>
          <w:color w:val="000000" w:themeColor="text1"/>
          <w:sz w:val="24"/>
          <w:szCs w:val="24"/>
        </w:rPr>
      </w:pPr>
      <w:r w:rsidRPr="1FD2736D">
        <w:rPr>
          <w:rFonts w:ascii="Arial" w:eastAsia="Arial" w:hAnsi="Arial" w:cs="Arial"/>
          <w:color w:val="000000" w:themeColor="text1"/>
          <w:sz w:val="24"/>
          <w:szCs w:val="24"/>
        </w:rPr>
        <w:t xml:space="preserve">Advice and support about the completion of this workbook is available to you. Please contact </w:t>
      </w:r>
      <w:r w:rsidR="12F55137" w:rsidRPr="1FD2736D">
        <w:rPr>
          <w:rFonts w:ascii="Arial" w:eastAsia="Arial" w:hAnsi="Arial" w:cs="Arial"/>
          <w:color w:val="000000" w:themeColor="text1"/>
          <w:sz w:val="24"/>
          <w:szCs w:val="24"/>
        </w:rPr>
        <w:t>your tutor</w:t>
      </w:r>
      <w:r w:rsidRPr="1FD2736D">
        <w:rPr>
          <w:rFonts w:ascii="Arial" w:eastAsia="Arial" w:hAnsi="Arial" w:cs="Arial"/>
          <w:color w:val="000000" w:themeColor="text1"/>
          <w:sz w:val="24"/>
          <w:szCs w:val="24"/>
        </w:rPr>
        <w:t xml:space="preserve"> with any questions or queries you may have</w:t>
      </w:r>
      <w:r w:rsidR="70ADF34D" w:rsidRPr="1FD2736D">
        <w:rPr>
          <w:rFonts w:ascii="Arial" w:eastAsia="Arial" w:hAnsi="Arial" w:cs="Arial"/>
          <w:color w:val="000000" w:themeColor="text1"/>
          <w:sz w:val="24"/>
          <w:szCs w:val="24"/>
        </w:rPr>
        <w:t xml:space="preserve"> if you are unsure</w:t>
      </w:r>
      <w:r w:rsidRPr="1FD2736D">
        <w:rPr>
          <w:rFonts w:ascii="Arial" w:eastAsia="Arial" w:hAnsi="Arial" w:cs="Arial"/>
          <w:color w:val="000000" w:themeColor="text1"/>
          <w:sz w:val="24"/>
          <w:szCs w:val="24"/>
        </w:rPr>
        <w:t xml:space="preserve">. </w:t>
      </w:r>
    </w:p>
    <w:p w14:paraId="3EE56CF8" w14:textId="7B4A6299" w:rsidR="338C23AF" w:rsidRDefault="338C23AF" w:rsidP="69B3A30A">
      <w:pPr>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 xml:space="preserve">Once submitted your workbook will be assessed and marked independently. You will be provided with individual feedback once the work has been marked. </w:t>
      </w:r>
    </w:p>
    <w:p w14:paraId="79555996" w14:textId="472ED998" w:rsidR="7336895D" w:rsidRDefault="7336895D" w:rsidP="7336895D">
      <w:pPr>
        <w:ind w:right="237"/>
        <w:jc w:val="both"/>
        <w:rPr>
          <w:rFonts w:ascii="Arial" w:eastAsia="Arial" w:hAnsi="Arial" w:cs="Arial"/>
          <w:color w:val="000000" w:themeColor="text1"/>
          <w:sz w:val="24"/>
          <w:szCs w:val="24"/>
        </w:rPr>
      </w:pPr>
    </w:p>
    <w:p w14:paraId="26A00617" w14:textId="6FDDB418" w:rsidR="2F17ACDD" w:rsidRDefault="2F17ACDD" w:rsidP="2F17ACDD">
      <w:pPr>
        <w:ind w:right="237"/>
        <w:jc w:val="both"/>
        <w:rPr>
          <w:rFonts w:ascii="Arial" w:eastAsia="Arial" w:hAnsi="Arial" w:cs="Arial"/>
          <w:color w:val="000000" w:themeColor="text1"/>
          <w:sz w:val="24"/>
          <w:szCs w:val="24"/>
        </w:rPr>
      </w:pPr>
    </w:p>
    <w:p w14:paraId="3B044FB4" w14:textId="4005693A" w:rsidR="2F17ACDD" w:rsidRDefault="2F17ACDD" w:rsidP="2F17ACDD">
      <w:pPr>
        <w:ind w:right="237"/>
        <w:jc w:val="both"/>
        <w:rPr>
          <w:rFonts w:ascii="Arial" w:eastAsia="Arial" w:hAnsi="Arial" w:cs="Arial"/>
          <w:color w:val="000000" w:themeColor="text1"/>
          <w:sz w:val="24"/>
          <w:szCs w:val="24"/>
        </w:rPr>
      </w:pPr>
    </w:p>
    <w:p w14:paraId="2B7D3D4C" w14:textId="28F825F4" w:rsidR="2F17ACDD" w:rsidRDefault="2F17ACDD" w:rsidP="2F17ACDD">
      <w:pPr>
        <w:ind w:right="237"/>
        <w:jc w:val="both"/>
        <w:rPr>
          <w:rFonts w:ascii="Arial" w:eastAsia="Arial" w:hAnsi="Arial" w:cs="Arial"/>
          <w:color w:val="000000" w:themeColor="text1"/>
          <w:sz w:val="24"/>
          <w:szCs w:val="24"/>
        </w:rPr>
      </w:pPr>
    </w:p>
    <w:p w14:paraId="7665C91E" w14:textId="3FBAB4DB" w:rsidR="2F17ACDD" w:rsidRDefault="2F17ACDD" w:rsidP="2F17ACDD">
      <w:pPr>
        <w:ind w:right="237"/>
        <w:jc w:val="both"/>
        <w:rPr>
          <w:rFonts w:ascii="Arial" w:eastAsia="Arial" w:hAnsi="Arial" w:cs="Arial"/>
          <w:color w:val="000000" w:themeColor="text1"/>
          <w:sz w:val="24"/>
          <w:szCs w:val="24"/>
        </w:rPr>
      </w:pPr>
    </w:p>
    <w:p w14:paraId="53420D1A" w14:textId="2252EB75" w:rsidR="2F17ACDD" w:rsidRDefault="2F17ACDD" w:rsidP="2F17ACDD">
      <w:pPr>
        <w:ind w:right="237"/>
        <w:jc w:val="both"/>
        <w:rPr>
          <w:rFonts w:ascii="Arial" w:eastAsia="Arial" w:hAnsi="Arial" w:cs="Arial"/>
          <w:color w:val="000000" w:themeColor="text1"/>
          <w:sz w:val="24"/>
          <w:szCs w:val="24"/>
        </w:rPr>
      </w:pPr>
    </w:p>
    <w:p w14:paraId="624C3610" w14:textId="317BABBD" w:rsidR="7336895D" w:rsidRDefault="78979F44" w:rsidP="7336895D">
      <w:pPr>
        <w:ind w:right="237"/>
        <w:jc w:val="both"/>
        <w:rPr>
          <w:rFonts w:ascii="Arial" w:eastAsia="Arial" w:hAnsi="Arial" w:cs="Arial"/>
          <w:color w:val="000000" w:themeColor="text1"/>
          <w:sz w:val="24"/>
          <w:szCs w:val="24"/>
        </w:rPr>
      </w:pPr>
      <w:r w:rsidRPr="2F17ACDD">
        <w:rPr>
          <w:rFonts w:ascii="Arial" w:eastAsia="Arial" w:hAnsi="Arial" w:cs="Arial"/>
          <w:b/>
          <w:bCs/>
          <w:color w:val="000000" w:themeColor="text1"/>
          <w:sz w:val="24"/>
          <w:szCs w:val="24"/>
        </w:rPr>
        <w:t>Confidentiality</w:t>
      </w:r>
    </w:p>
    <w:p w14:paraId="588B0FF0" w14:textId="149964DA" w:rsidR="7336895D" w:rsidRDefault="78979F44" w:rsidP="7336895D">
      <w:pPr>
        <w:ind w:right="237"/>
        <w:jc w:val="both"/>
        <w:rPr>
          <w:rFonts w:ascii="Arial" w:eastAsia="Arial" w:hAnsi="Arial" w:cs="Arial"/>
          <w:color w:val="000000" w:themeColor="text1"/>
          <w:sz w:val="24"/>
          <w:szCs w:val="24"/>
        </w:rPr>
      </w:pPr>
      <w:r w:rsidRPr="1FD2736D">
        <w:rPr>
          <w:rFonts w:ascii="Arial" w:eastAsia="Arial" w:hAnsi="Arial" w:cs="Arial"/>
          <w:color w:val="000000" w:themeColor="text1"/>
          <w:sz w:val="24"/>
          <w:szCs w:val="24"/>
        </w:rPr>
        <w:t xml:space="preserve">It is important that no individual can be identified either directly or indirectly from the information in the workbook. </w:t>
      </w:r>
      <w:r w:rsidR="3A8DA724" w:rsidRPr="1FD2736D">
        <w:rPr>
          <w:rFonts w:ascii="Arial" w:eastAsia="Arial" w:hAnsi="Arial" w:cs="Arial"/>
          <w:color w:val="000000" w:themeColor="text1"/>
          <w:sz w:val="24"/>
          <w:szCs w:val="24"/>
        </w:rPr>
        <w:t>Y</w:t>
      </w:r>
      <w:r w:rsidRPr="1FD2736D">
        <w:rPr>
          <w:rFonts w:ascii="Arial" w:eastAsia="Arial" w:hAnsi="Arial" w:cs="Arial"/>
          <w:color w:val="000000" w:themeColor="text1"/>
          <w:sz w:val="24"/>
          <w:szCs w:val="24"/>
        </w:rPr>
        <w:t>ou must</w:t>
      </w:r>
      <w:r w:rsidR="414D9CBA" w:rsidRPr="1FD2736D">
        <w:rPr>
          <w:rFonts w:ascii="Arial" w:eastAsia="Arial" w:hAnsi="Arial" w:cs="Arial"/>
          <w:color w:val="000000" w:themeColor="text1"/>
          <w:sz w:val="24"/>
          <w:szCs w:val="24"/>
        </w:rPr>
        <w:t xml:space="preserve"> therefore:</w:t>
      </w:r>
    </w:p>
    <w:p w14:paraId="1ADFC5DB" w14:textId="30D2AD3D" w:rsidR="78979F44" w:rsidRDefault="414D9CBA" w:rsidP="7336895D">
      <w:pPr>
        <w:pStyle w:val="ListParagraph"/>
        <w:numPr>
          <w:ilvl w:val="0"/>
          <w:numId w:val="5"/>
        </w:numPr>
        <w:ind w:right="23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A</w:t>
      </w:r>
      <w:r w:rsidR="78979F44" w:rsidRPr="2F17ACDD">
        <w:rPr>
          <w:rFonts w:ascii="Arial" w:eastAsia="Arial" w:hAnsi="Arial" w:cs="Arial"/>
          <w:color w:val="000000" w:themeColor="text1"/>
          <w:sz w:val="24"/>
          <w:szCs w:val="24"/>
        </w:rPr>
        <w:t>dhere to guidance in the Candidate Handbook about confidentiality.</w:t>
      </w:r>
    </w:p>
    <w:p w14:paraId="213F07F0" w14:textId="4B4FA813" w:rsidR="78979F44" w:rsidRDefault="1D389B3A" w:rsidP="7336895D">
      <w:pPr>
        <w:pStyle w:val="ListParagraph"/>
        <w:numPr>
          <w:ilvl w:val="0"/>
          <w:numId w:val="5"/>
        </w:numPr>
        <w:ind w:right="23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N</w:t>
      </w:r>
      <w:r w:rsidR="78979F44" w:rsidRPr="2F17ACDD">
        <w:rPr>
          <w:rFonts w:ascii="Arial" w:eastAsia="Arial" w:hAnsi="Arial" w:cs="Arial"/>
          <w:color w:val="000000" w:themeColor="text1"/>
          <w:sz w:val="24"/>
          <w:szCs w:val="24"/>
        </w:rPr>
        <w:t>ot identify individuals including witnesses, victims, or offenders by name.</w:t>
      </w:r>
    </w:p>
    <w:p w14:paraId="29F81CCF" w14:textId="41A67FA6" w:rsidR="78979F44" w:rsidRDefault="246D6816" w:rsidP="7336895D">
      <w:pPr>
        <w:pStyle w:val="ListParagraph"/>
        <w:numPr>
          <w:ilvl w:val="0"/>
          <w:numId w:val="4"/>
        </w:numPr>
        <w:ind w:right="23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N</w:t>
      </w:r>
      <w:r w:rsidR="78979F44" w:rsidRPr="2F17ACDD">
        <w:rPr>
          <w:rFonts w:ascii="Arial" w:eastAsia="Arial" w:hAnsi="Arial" w:cs="Arial"/>
          <w:color w:val="000000" w:themeColor="text1"/>
          <w:sz w:val="24"/>
          <w:szCs w:val="24"/>
        </w:rPr>
        <w:t>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6D873AF" w14:textId="78C45BC1" w:rsidR="78979F44" w:rsidRDefault="07AC996B" w:rsidP="7336895D">
      <w:pPr>
        <w:pStyle w:val="ListParagraph"/>
        <w:numPr>
          <w:ilvl w:val="0"/>
          <w:numId w:val="4"/>
        </w:numPr>
        <w:ind w:right="23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T</w:t>
      </w:r>
      <w:r w:rsidR="78979F44" w:rsidRPr="2F17ACDD">
        <w:rPr>
          <w:rFonts w:ascii="Arial" w:eastAsia="Arial" w:hAnsi="Arial" w:cs="Arial"/>
          <w:color w:val="000000" w:themeColor="text1"/>
          <w:sz w:val="24"/>
          <w:szCs w:val="24"/>
        </w:rPr>
        <w:t xml:space="preserve">ake personal responsibility for adhering to confidentiality rules. </w:t>
      </w:r>
    </w:p>
    <w:p w14:paraId="7E8B1CB2" w14:textId="2FBC8434" w:rsidR="7336895D" w:rsidRDefault="48F98F71" w:rsidP="2F17ACDD">
      <w:pPr>
        <w:pStyle w:val="ListParagraph"/>
        <w:numPr>
          <w:ilvl w:val="0"/>
          <w:numId w:val="4"/>
        </w:numPr>
        <w:ind w:right="23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N</w:t>
      </w:r>
      <w:r w:rsidR="78979F44" w:rsidRPr="2F17ACDD">
        <w:rPr>
          <w:rFonts w:ascii="Arial" w:eastAsia="Arial" w:hAnsi="Arial" w:cs="Arial"/>
          <w:color w:val="000000" w:themeColor="text1"/>
          <w:sz w:val="24"/>
          <w:szCs w:val="24"/>
        </w:rPr>
        <w:t>ot include any dates of any incidents or anything that specifically identifies an actual incident.</w:t>
      </w:r>
    </w:p>
    <w:p w14:paraId="090742B3" w14:textId="2DCB3A2A" w:rsidR="7336895D" w:rsidRDefault="78979F44" w:rsidP="7336895D">
      <w:pPr>
        <w:ind w:right="237"/>
        <w:jc w:val="both"/>
        <w:rPr>
          <w:rFonts w:ascii="Arial" w:eastAsia="Arial" w:hAnsi="Arial" w:cs="Arial"/>
          <w:color w:val="000000" w:themeColor="text1"/>
          <w:sz w:val="24"/>
          <w:szCs w:val="24"/>
        </w:rPr>
      </w:pPr>
      <w:r w:rsidRPr="2F17ACDD">
        <w:rPr>
          <w:rFonts w:ascii="Arial" w:eastAsia="Arial" w:hAnsi="Arial" w:cs="Arial"/>
          <w:b/>
          <w:bCs/>
          <w:color w:val="000000" w:themeColor="text1"/>
          <w:sz w:val="24"/>
          <w:szCs w:val="24"/>
        </w:rPr>
        <w:t>NOTE</w:t>
      </w:r>
      <w:r w:rsidR="7B11F144" w:rsidRPr="2F17ACDD">
        <w:rPr>
          <w:rFonts w:ascii="Arial" w:eastAsia="Arial" w:hAnsi="Arial" w:cs="Arial"/>
          <w:b/>
          <w:bCs/>
          <w:color w:val="000000" w:themeColor="text1"/>
          <w:sz w:val="24"/>
          <w:szCs w:val="24"/>
        </w:rPr>
        <w:t>:</w:t>
      </w:r>
    </w:p>
    <w:p w14:paraId="7EB9B71D" w14:textId="1FF75FD2" w:rsidR="7336895D" w:rsidRDefault="78979F44" w:rsidP="2F17ACDD">
      <w:pPr>
        <w:ind w:right="237"/>
        <w:jc w:val="both"/>
        <w:rPr>
          <w:rFonts w:ascii="Arial" w:eastAsia="Arial" w:hAnsi="Arial" w:cs="Arial"/>
          <w:color w:val="000000" w:themeColor="text1"/>
          <w:sz w:val="24"/>
          <w:szCs w:val="24"/>
        </w:rPr>
      </w:pPr>
      <w:r w:rsidRPr="1FD2736D">
        <w:rPr>
          <w:rFonts w:ascii="Arial" w:eastAsia="Arial" w:hAnsi="Arial" w:cs="Arial"/>
          <w:color w:val="000000" w:themeColor="text1"/>
          <w:sz w:val="24"/>
          <w:szCs w:val="24"/>
        </w:rPr>
        <w:t xml:space="preserve">Your workbook will be submitted electronically via Turnitin on Moodle. Guidance on this is in the </w:t>
      </w:r>
      <w:r w:rsidR="103F1B9A" w:rsidRPr="1FD2736D">
        <w:rPr>
          <w:rFonts w:ascii="Arial" w:eastAsia="Arial" w:hAnsi="Arial" w:cs="Arial"/>
          <w:color w:val="000000" w:themeColor="text1"/>
          <w:sz w:val="24"/>
          <w:szCs w:val="24"/>
        </w:rPr>
        <w:t>student</w:t>
      </w:r>
      <w:r w:rsidRPr="1FD2736D">
        <w:rPr>
          <w:rFonts w:ascii="Arial" w:eastAsia="Arial" w:hAnsi="Arial" w:cs="Arial"/>
          <w:color w:val="000000" w:themeColor="text1"/>
          <w:sz w:val="24"/>
          <w:szCs w:val="24"/>
        </w:rPr>
        <w:t xml:space="preserve"> </w:t>
      </w:r>
      <w:r w:rsidR="7AB9772B" w:rsidRPr="1FD2736D">
        <w:rPr>
          <w:rFonts w:ascii="Arial" w:eastAsia="Arial" w:hAnsi="Arial" w:cs="Arial"/>
          <w:color w:val="000000" w:themeColor="text1"/>
          <w:sz w:val="24"/>
          <w:szCs w:val="24"/>
        </w:rPr>
        <w:t>h</w:t>
      </w:r>
      <w:r w:rsidRPr="1FD2736D">
        <w:rPr>
          <w:rFonts w:ascii="Arial" w:eastAsia="Arial" w:hAnsi="Arial" w:cs="Arial"/>
          <w:color w:val="000000" w:themeColor="text1"/>
          <w:sz w:val="24"/>
          <w:szCs w:val="24"/>
        </w:rPr>
        <w:t>andbook</w:t>
      </w:r>
      <w:r w:rsidR="2C079DB7" w:rsidRPr="1FD2736D">
        <w:rPr>
          <w:rFonts w:ascii="Arial" w:eastAsia="Arial" w:hAnsi="Arial" w:cs="Arial"/>
          <w:color w:val="000000" w:themeColor="text1"/>
          <w:sz w:val="24"/>
          <w:szCs w:val="24"/>
        </w:rPr>
        <w:t xml:space="preserve"> and within Moodle</w:t>
      </w:r>
      <w:r w:rsidRPr="1FD2736D">
        <w:rPr>
          <w:rFonts w:ascii="Arial" w:eastAsia="Arial" w:hAnsi="Arial" w:cs="Arial"/>
          <w:color w:val="000000" w:themeColor="text1"/>
          <w:sz w:val="24"/>
          <w:szCs w:val="24"/>
        </w:rPr>
        <w:t xml:space="preserve">. </w:t>
      </w:r>
    </w:p>
    <w:p w14:paraId="1E1EAC82" w14:textId="10120BB0" w:rsidR="7336895D" w:rsidRDefault="78979F44" w:rsidP="7336895D">
      <w:pPr>
        <w:ind w:right="237"/>
        <w:jc w:val="both"/>
        <w:rPr>
          <w:rFonts w:ascii="Arial" w:eastAsia="Arial" w:hAnsi="Arial" w:cs="Arial"/>
          <w:color w:val="000000" w:themeColor="text1"/>
          <w:sz w:val="24"/>
          <w:szCs w:val="24"/>
        </w:rPr>
      </w:pPr>
      <w:r w:rsidRPr="2F17ACDD">
        <w:rPr>
          <w:rFonts w:ascii="Arial" w:eastAsia="Arial" w:hAnsi="Arial" w:cs="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0EE79DB2" w14:textId="2D95DA70" w:rsidR="2F17ACDD" w:rsidRDefault="2F17ACDD" w:rsidP="2F17ACDD">
      <w:pPr>
        <w:ind w:right="237"/>
        <w:jc w:val="both"/>
        <w:rPr>
          <w:rFonts w:ascii="Arial" w:eastAsia="Arial" w:hAnsi="Arial" w:cs="Arial"/>
          <w:b/>
          <w:bCs/>
          <w:i/>
          <w:iCs/>
          <w:color w:val="000000" w:themeColor="text1"/>
          <w:sz w:val="24"/>
          <w:szCs w:val="24"/>
        </w:rPr>
      </w:pPr>
    </w:p>
    <w:p w14:paraId="3351012F" w14:textId="4A93D8B0" w:rsidR="7336895D" w:rsidRDefault="78979F44" w:rsidP="7336895D">
      <w:pPr>
        <w:ind w:right="237"/>
        <w:jc w:val="both"/>
        <w:rPr>
          <w:rFonts w:ascii="Arial" w:eastAsia="Arial" w:hAnsi="Arial" w:cs="Arial"/>
          <w:color w:val="000000" w:themeColor="text1"/>
          <w:sz w:val="24"/>
          <w:szCs w:val="24"/>
        </w:rPr>
      </w:pPr>
      <w:r w:rsidRPr="2F17ACDD">
        <w:rPr>
          <w:rFonts w:ascii="Arial" w:eastAsia="Arial" w:hAnsi="Arial" w:cs="Arial"/>
          <w:b/>
          <w:bCs/>
          <w:color w:val="000000" w:themeColor="text1"/>
          <w:sz w:val="24"/>
          <w:szCs w:val="24"/>
        </w:rPr>
        <w:t>Dyslexia and other special circumstances</w:t>
      </w:r>
    </w:p>
    <w:p w14:paraId="4C7E4EAB" w14:textId="0B3725D8" w:rsidR="78979F44" w:rsidRDefault="78979F44" w:rsidP="7336895D">
      <w:pPr>
        <w:ind w:right="237"/>
        <w:jc w:val="both"/>
        <w:rPr>
          <w:rFonts w:ascii="Arial" w:eastAsia="Arial" w:hAnsi="Arial" w:cs="Arial"/>
          <w:color w:val="000000" w:themeColor="text1"/>
          <w:sz w:val="24"/>
          <w:szCs w:val="24"/>
        </w:rPr>
      </w:pPr>
      <w:r w:rsidRPr="1FD2736D">
        <w:rPr>
          <w:rFonts w:ascii="Arial" w:eastAsia="Arial" w:hAnsi="Arial" w:cs="Arial"/>
          <w:color w:val="000000" w:themeColor="text1"/>
          <w:sz w:val="24"/>
          <w:szCs w:val="24"/>
        </w:rPr>
        <w:t xml:space="preserve">If you have any condition that you feel may affect your ability to deal with any part of the programme, please see the </w:t>
      </w:r>
      <w:r w:rsidR="16A5B1FE" w:rsidRPr="1FD2736D">
        <w:rPr>
          <w:rFonts w:ascii="Arial" w:eastAsia="Arial" w:hAnsi="Arial" w:cs="Arial"/>
          <w:color w:val="000000" w:themeColor="text1"/>
          <w:sz w:val="24"/>
          <w:szCs w:val="24"/>
        </w:rPr>
        <w:t>Student</w:t>
      </w:r>
      <w:r w:rsidRPr="1FD2736D">
        <w:rPr>
          <w:rFonts w:ascii="Arial" w:eastAsia="Arial" w:hAnsi="Arial" w:cs="Arial"/>
          <w:color w:val="000000" w:themeColor="text1"/>
          <w:sz w:val="24"/>
          <w:szCs w:val="24"/>
        </w:rPr>
        <w:t xml:space="preserve"> Handbook for further guidance. The University has a Student Services Unit that may be able to help but </w:t>
      </w:r>
      <w:r w:rsidRPr="1FD2736D">
        <w:rPr>
          <w:rFonts w:ascii="Arial" w:eastAsia="Arial" w:hAnsi="Arial" w:cs="Arial"/>
          <w:b/>
          <w:bCs/>
          <w:i/>
          <w:iCs/>
          <w:color w:val="000000" w:themeColor="text1"/>
          <w:sz w:val="24"/>
          <w:szCs w:val="24"/>
        </w:rPr>
        <w:t>it is the learner’s individual responsibility to contact them</w:t>
      </w:r>
      <w:r w:rsidRPr="1FD2736D">
        <w:rPr>
          <w:rFonts w:ascii="Arial" w:eastAsia="Arial" w:hAnsi="Arial" w:cs="Arial"/>
          <w:color w:val="000000" w:themeColor="text1"/>
          <w:sz w:val="24"/>
          <w:szCs w:val="24"/>
        </w:rPr>
        <w:t>.</w:t>
      </w:r>
    </w:p>
    <w:p w14:paraId="560FADE2" w14:textId="4C58098B" w:rsidR="7336895D" w:rsidRDefault="7336895D" w:rsidP="7336895D">
      <w:pPr>
        <w:ind w:right="237"/>
        <w:jc w:val="both"/>
        <w:rPr>
          <w:rFonts w:ascii="Arial" w:eastAsia="Arial" w:hAnsi="Arial" w:cs="Arial"/>
          <w:color w:val="000000" w:themeColor="text1"/>
          <w:sz w:val="24"/>
          <w:szCs w:val="24"/>
        </w:rPr>
      </w:pPr>
    </w:p>
    <w:p w14:paraId="1F1DA594" w14:textId="1EA2F93A" w:rsidR="7336895D" w:rsidRDefault="7336895D" w:rsidP="7336895D">
      <w:pPr>
        <w:spacing w:after="200" w:line="240" w:lineRule="auto"/>
        <w:rPr>
          <w:rFonts w:ascii="Arial" w:eastAsia="Arial" w:hAnsi="Arial" w:cs="Arial"/>
          <w:color w:val="000000" w:themeColor="text1"/>
        </w:rPr>
      </w:pPr>
    </w:p>
    <w:p w14:paraId="0234F888" w14:textId="687D4F34" w:rsidR="2F17ACDD" w:rsidRDefault="2F17ACDD" w:rsidP="2F17ACDD">
      <w:pPr>
        <w:spacing w:after="200" w:line="240" w:lineRule="auto"/>
        <w:rPr>
          <w:rFonts w:ascii="Arial" w:eastAsia="Arial" w:hAnsi="Arial" w:cs="Arial"/>
          <w:color w:val="000000" w:themeColor="text1"/>
        </w:rPr>
      </w:pPr>
    </w:p>
    <w:p w14:paraId="3ADCAE02" w14:textId="721A6AD4" w:rsidR="2F17ACDD" w:rsidRDefault="2F17ACDD" w:rsidP="2F17ACDD">
      <w:pPr>
        <w:spacing w:after="200" w:line="240" w:lineRule="auto"/>
        <w:rPr>
          <w:rFonts w:ascii="Arial" w:eastAsia="Arial" w:hAnsi="Arial" w:cs="Arial"/>
          <w:color w:val="000000" w:themeColor="text1"/>
        </w:rPr>
      </w:pPr>
    </w:p>
    <w:p w14:paraId="56DE0B92" w14:textId="1A4B9116" w:rsidR="2F17ACDD" w:rsidRDefault="2F17ACDD" w:rsidP="2F17ACDD">
      <w:pPr>
        <w:spacing w:after="200" w:line="240" w:lineRule="auto"/>
        <w:rPr>
          <w:rFonts w:ascii="Arial" w:eastAsia="Arial" w:hAnsi="Arial" w:cs="Arial"/>
          <w:color w:val="000000" w:themeColor="text1"/>
        </w:rPr>
      </w:pPr>
    </w:p>
    <w:p w14:paraId="613B7327" w14:textId="70F2EB8F" w:rsidR="2F17ACDD" w:rsidRDefault="2F17ACDD" w:rsidP="2F17ACDD">
      <w:pPr>
        <w:spacing w:after="200" w:line="240" w:lineRule="auto"/>
        <w:rPr>
          <w:rFonts w:ascii="Arial" w:eastAsia="Arial" w:hAnsi="Arial" w:cs="Arial"/>
          <w:color w:val="000000" w:themeColor="text1"/>
        </w:rPr>
      </w:pPr>
    </w:p>
    <w:p w14:paraId="333C818F" w14:textId="6D397B6D" w:rsidR="2F17ACDD" w:rsidRDefault="2F17ACDD" w:rsidP="2F17ACDD">
      <w:pPr>
        <w:spacing w:after="200" w:line="240" w:lineRule="auto"/>
        <w:rPr>
          <w:rFonts w:ascii="Arial" w:eastAsia="Arial" w:hAnsi="Arial" w:cs="Arial"/>
          <w:color w:val="000000" w:themeColor="text1"/>
        </w:rPr>
      </w:pPr>
    </w:p>
    <w:p w14:paraId="73058D19" w14:textId="58647FAF" w:rsidR="2F17ACDD" w:rsidRDefault="2F17ACDD" w:rsidP="2F17ACDD">
      <w:pPr>
        <w:spacing w:after="200" w:line="240" w:lineRule="auto"/>
        <w:rPr>
          <w:rFonts w:ascii="Arial" w:eastAsia="Arial" w:hAnsi="Arial" w:cs="Arial"/>
          <w:color w:val="000000" w:themeColor="text1"/>
        </w:rPr>
      </w:pPr>
    </w:p>
    <w:p w14:paraId="7BBC3611" w14:textId="4416661B" w:rsidR="7336895D" w:rsidRDefault="7336895D" w:rsidP="515A1CF8">
      <w:pPr>
        <w:spacing w:before="120" w:after="0" w:line="240" w:lineRule="auto"/>
        <w:ind w:left="720"/>
        <w:jc w:val="center"/>
        <w:rPr>
          <w:rFonts w:ascii="Arial" w:eastAsia="Arial" w:hAnsi="Arial" w:cs="Arial"/>
          <w:color w:val="000000" w:themeColor="text1"/>
        </w:rPr>
      </w:pPr>
    </w:p>
    <w:p w14:paraId="4A12D33C" w14:textId="1597B34A" w:rsidR="2F17ACDD" w:rsidRDefault="2F17ACDD" w:rsidP="2F17ACDD">
      <w:pPr>
        <w:spacing w:before="120" w:after="0" w:line="240" w:lineRule="auto"/>
        <w:ind w:left="720"/>
        <w:jc w:val="center"/>
        <w:rPr>
          <w:rFonts w:ascii="Arial" w:eastAsia="Arial" w:hAnsi="Arial" w:cs="Arial"/>
          <w:color w:val="000000" w:themeColor="text1"/>
        </w:rPr>
      </w:pPr>
    </w:p>
    <w:p w14:paraId="072273F3" w14:textId="2A3857C3" w:rsidR="2F17ACDD" w:rsidRDefault="2F17ACDD" w:rsidP="2F17ACDD">
      <w:pPr>
        <w:spacing w:before="120" w:after="0" w:line="240" w:lineRule="auto"/>
        <w:rPr>
          <w:rFonts w:ascii="Arial" w:eastAsia="Arial" w:hAnsi="Arial" w:cs="Arial"/>
          <w:b/>
          <w:bCs/>
          <w:color w:val="000000" w:themeColor="text1"/>
        </w:rPr>
      </w:pPr>
    </w:p>
    <w:p w14:paraId="7B0FF6DA" w14:textId="009A53F6" w:rsidR="20387707" w:rsidRDefault="20387707" w:rsidP="1FD2736D">
      <w:pPr>
        <w:spacing w:before="120" w:after="0" w:line="240" w:lineRule="auto"/>
        <w:rPr>
          <w:rFonts w:ascii="Arial" w:eastAsia="Arial" w:hAnsi="Arial" w:cs="Arial"/>
          <w:b/>
          <w:bCs/>
          <w:color w:val="000000" w:themeColor="text1"/>
        </w:rPr>
      </w:pPr>
      <w:r w:rsidRPr="1FD2736D">
        <w:rPr>
          <w:rFonts w:ascii="Arial" w:eastAsia="Arial" w:hAnsi="Arial" w:cs="Arial"/>
          <w:b/>
          <w:bCs/>
          <w:color w:val="000000" w:themeColor="text1"/>
        </w:rPr>
        <w:t>Module Aim(s):</w:t>
      </w:r>
    </w:p>
    <w:p w14:paraId="1C0AE25C" w14:textId="2A58DA00" w:rsidR="2F17ACDD" w:rsidRDefault="2F17ACDD" w:rsidP="1FD2736D">
      <w:pPr>
        <w:spacing w:before="120" w:after="0" w:line="240" w:lineRule="auto"/>
        <w:rPr>
          <w:rFonts w:ascii="Arial" w:eastAsia="Arial" w:hAnsi="Arial" w:cs="Arial"/>
          <w:b/>
          <w:bCs/>
          <w:color w:val="000000" w:themeColor="text1"/>
        </w:rPr>
      </w:pPr>
    </w:p>
    <w:p w14:paraId="63B8AA26" w14:textId="51EA9014" w:rsidR="41B31C81" w:rsidRDefault="41B31C81" w:rsidP="2793C622">
      <w:pPr>
        <w:pStyle w:val="ListParagraph"/>
        <w:numPr>
          <w:ilvl w:val="0"/>
          <w:numId w:val="5"/>
        </w:numPr>
        <w:rPr>
          <w:rFonts w:eastAsiaTheme="minorEastAsia"/>
        </w:rPr>
      </w:pPr>
      <w:r w:rsidRPr="1FD2736D">
        <w:rPr>
          <w:rFonts w:ascii="Arial" w:eastAsia="Arial" w:hAnsi="Arial" w:cs="Arial"/>
        </w:rPr>
        <w:t>To provide learners with an opportunity to gain credit for their workplace practice by reflecting on National Occupational Standards (NOS) and other competencies related to their professional role as an investigator.</w:t>
      </w:r>
    </w:p>
    <w:p w14:paraId="2B7CA101" w14:textId="5BB9E0B1" w:rsidR="2F17ACDD" w:rsidRDefault="2F17ACDD" w:rsidP="2F17ACDD">
      <w:pPr>
        <w:spacing w:before="120" w:after="0" w:line="240" w:lineRule="auto"/>
        <w:rPr>
          <w:rFonts w:ascii="Arial" w:eastAsia="Arial" w:hAnsi="Arial" w:cs="Arial"/>
          <w:b/>
          <w:bCs/>
          <w:color w:val="000000" w:themeColor="text1"/>
        </w:rPr>
      </w:pPr>
    </w:p>
    <w:p w14:paraId="1EFA3B14" w14:textId="53FDF11B" w:rsidR="2F17ACDD" w:rsidRDefault="2F17ACDD" w:rsidP="2F17ACDD">
      <w:pPr>
        <w:spacing w:before="120" w:after="0" w:line="240" w:lineRule="auto"/>
        <w:ind w:left="720"/>
        <w:jc w:val="center"/>
        <w:rPr>
          <w:rFonts w:ascii="Arial" w:eastAsia="Arial" w:hAnsi="Arial" w:cs="Arial"/>
          <w:color w:val="000000" w:themeColor="text1"/>
        </w:rPr>
      </w:pPr>
    </w:p>
    <w:p w14:paraId="6D380843" w14:textId="5909099C" w:rsidR="78979F44" w:rsidRDefault="78979F44" w:rsidP="2F17ACDD">
      <w:pPr>
        <w:rPr>
          <w:rFonts w:ascii="Arial" w:eastAsia="Arial" w:hAnsi="Arial" w:cs="Arial"/>
          <w:b/>
          <w:bCs/>
          <w:sz w:val="24"/>
          <w:szCs w:val="24"/>
        </w:rPr>
      </w:pPr>
      <w:r w:rsidRPr="2F17ACDD">
        <w:rPr>
          <w:rFonts w:ascii="Arial" w:eastAsia="Arial" w:hAnsi="Arial" w:cs="Arial"/>
          <w:b/>
          <w:bCs/>
          <w:sz w:val="24"/>
          <w:szCs w:val="24"/>
        </w:rPr>
        <w:t>Content</w:t>
      </w:r>
      <w:r w:rsidR="75F82496" w:rsidRPr="2F17ACDD">
        <w:rPr>
          <w:rFonts w:ascii="Arial" w:eastAsia="Arial" w:hAnsi="Arial" w:cs="Arial"/>
          <w:b/>
          <w:bCs/>
          <w:sz w:val="24"/>
          <w:szCs w:val="24"/>
        </w:rPr>
        <w:t xml:space="preserve"> of Workbook:</w:t>
      </w:r>
    </w:p>
    <w:p w14:paraId="693CFE8D" w14:textId="195AF11C" w:rsidR="7336895D" w:rsidRDefault="7336895D" w:rsidP="7336895D">
      <w:pPr>
        <w:rPr>
          <w:rFonts w:ascii="Arial" w:eastAsia="Arial" w:hAnsi="Arial" w:cs="Arial"/>
          <w:b/>
          <w:bCs/>
          <w:sz w:val="28"/>
          <w:szCs w:val="28"/>
        </w:rPr>
      </w:pPr>
    </w:p>
    <w:tbl>
      <w:tblPr>
        <w:tblStyle w:val="TableGrid"/>
        <w:tblW w:w="0" w:type="auto"/>
        <w:tblLayout w:type="fixed"/>
        <w:tblLook w:val="06A0" w:firstRow="1" w:lastRow="0" w:firstColumn="1" w:lastColumn="0" w:noHBand="1" w:noVBand="1"/>
      </w:tblPr>
      <w:tblGrid>
        <w:gridCol w:w="3005"/>
        <w:gridCol w:w="3005"/>
        <w:gridCol w:w="3005"/>
      </w:tblGrid>
      <w:tr w:rsidR="7336895D" w14:paraId="32B5EB03" w14:textId="77777777" w:rsidTr="1FD2736D">
        <w:tc>
          <w:tcPr>
            <w:tcW w:w="3005" w:type="dxa"/>
            <w:shd w:val="clear" w:color="auto" w:fill="5B9BD5" w:themeFill="accent5"/>
          </w:tcPr>
          <w:p w14:paraId="142F514F" w14:textId="32AC44F5" w:rsidR="7336895D" w:rsidRDefault="75F82496" w:rsidP="7336895D">
            <w:pPr>
              <w:rPr>
                <w:rFonts w:ascii="Arial" w:eastAsia="Arial" w:hAnsi="Arial" w:cs="Arial"/>
                <w:b/>
                <w:bCs/>
                <w:sz w:val="28"/>
                <w:szCs w:val="28"/>
              </w:rPr>
            </w:pPr>
            <w:r w:rsidRPr="2F17ACDD">
              <w:rPr>
                <w:rFonts w:ascii="Arial" w:eastAsia="Arial" w:hAnsi="Arial" w:cs="Arial"/>
                <w:b/>
                <w:bCs/>
                <w:sz w:val="28"/>
                <w:szCs w:val="28"/>
              </w:rPr>
              <w:t>Task</w:t>
            </w:r>
          </w:p>
        </w:tc>
        <w:tc>
          <w:tcPr>
            <w:tcW w:w="3005" w:type="dxa"/>
            <w:shd w:val="clear" w:color="auto" w:fill="5B9BD5" w:themeFill="accent5"/>
          </w:tcPr>
          <w:p w14:paraId="10754AEF" w14:textId="7055DF7E" w:rsidR="7336895D" w:rsidRDefault="75F82496" w:rsidP="7336895D">
            <w:pPr>
              <w:rPr>
                <w:rFonts w:ascii="Arial" w:eastAsia="Arial" w:hAnsi="Arial" w:cs="Arial"/>
                <w:b/>
                <w:bCs/>
                <w:sz w:val="24"/>
                <w:szCs w:val="24"/>
              </w:rPr>
            </w:pPr>
            <w:r w:rsidRPr="2F17ACDD">
              <w:rPr>
                <w:rFonts w:ascii="Arial" w:eastAsia="Arial" w:hAnsi="Arial" w:cs="Arial"/>
                <w:b/>
                <w:bCs/>
                <w:sz w:val="24"/>
                <w:szCs w:val="24"/>
              </w:rPr>
              <w:t>Relevant Investigative Area</w:t>
            </w:r>
          </w:p>
        </w:tc>
        <w:tc>
          <w:tcPr>
            <w:tcW w:w="3005" w:type="dxa"/>
            <w:shd w:val="clear" w:color="auto" w:fill="5B9BD5" w:themeFill="accent5"/>
          </w:tcPr>
          <w:p w14:paraId="64484E9C" w14:textId="305A6342" w:rsidR="1F9D89F6" w:rsidRDefault="1F9D89F6" w:rsidP="727E3A7D">
            <w:pPr>
              <w:jc w:val="center"/>
              <w:rPr>
                <w:rFonts w:ascii="Arial" w:eastAsia="Arial" w:hAnsi="Arial" w:cs="Arial"/>
                <w:b/>
                <w:bCs/>
                <w:sz w:val="24"/>
                <w:szCs w:val="24"/>
              </w:rPr>
            </w:pPr>
            <w:r w:rsidRPr="727E3A7D">
              <w:rPr>
                <w:rFonts w:ascii="Arial" w:eastAsia="Arial" w:hAnsi="Arial" w:cs="Arial"/>
                <w:b/>
                <w:bCs/>
                <w:sz w:val="24"/>
                <w:szCs w:val="24"/>
              </w:rPr>
              <w:t>Word Count</w:t>
            </w:r>
          </w:p>
        </w:tc>
      </w:tr>
      <w:tr w:rsidR="7336895D" w14:paraId="368A386A" w14:textId="77777777" w:rsidTr="1FD2736D">
        <w:tc>
          <w:tcPr>
            <w:tcW w:w="3005" w:type="dxa"/>
          </w:tcPr>
          <w:p w14:paraId="038D7866" w14:textId="523C0D78" w:rsidR="1F9D89F6" w:rsidRDefault="1F9D89F6" w:rsidP="2F17ACDD">
            <w:pPr>
              <w:rPr>
                <w:rFonts w:ascii="Arial" w:eastAsia="Arial" w:hAnsi="Arial" w:cs="Arial"/>
                <w:sz w:val="24"/>
                <w:szCs w:val="24"/>
              </w:rPr>
            </w:pPr>
            <w:r w:rsidRPr="2F17ACDD">
              <w:rPr>
                <w:rFonts w:ascii="Arial" w:eastAsia="Arial" w:hAnsi="Arial" w:cs="Arial"/>
                <w:sz w:val="24"/>
                <w:szCs w:val="24"/>
              </w:rPr>
              <w:t>Task 1</w:t>
            </w:r>
          </w:p>
        </w:tc>
        <w:tc>
          <w:tcPr>
            <w:tcW w:w="3005" w:type="dxa"/>
          </w:tcPr>
          <w:p w14:paraId="63372E0A" w14:textId="70AEE7CD" w:rsidR="7336895D" w:rsidRDefault="232D13EF" w:rsidP="515A1CF8">
            <w:pPr>
              <w:rPr>
                <w:rFonts w:ascii="Arial" w:eastAsia="Arial" w:hAnsi="Arial" w:cs="Arial"/>
                <w:b/>
                <w:bCs/>
              </w:rPr>
            </w:pPr>
            <w:r w:rsidRPr="1FD2736D">
              <w:rPr>
                <w:rFonts w:ascii="Arial" w:eastAsia="Arial" w:hAnsi="Arial" w:cs="Arial"/>
                <w:b/>
                <w:bCs/>
              </w:rPr>
              <w:t>Information</w:t>
            </w:r>
            <w:r w:rsidR="4EC2FFF9" w:rsidRPr="1FD2736D">
              <w:rPr>
                <w:rFonts w:ascii="Arial" w:eastAsia="Arial" w:hAnsi="Arial" w:cs="Arial"/>
                <w:b/>
                <w:bCs/>
              </w:rPr>
              <w:t>,</w:t>
            </w:r>
            <w:r w:rsidRPr="1FD2736D">
              <w:rPr>
                <w:rFonts w:ascii="Arial" w:eastAsia="Arial" w:hAnsi="Arial" w:cs="Arial"/>
                <w:b/>
                <w:bCs/>
              </w:rPr>
              <w:t xml:space="preserve"> intelligence</w:t>
            </w:r>
            <w:r w:rsidR="4872B6C5" w:rsidRPr="1FD2736D">
              <w:rPr>
                <w:rFonts w:ascii="Arial" w:eastAsia="Arial" w:hAnsi="Arial" w:cs="Arial"/>
                <w:b/>
                <w:bCs/>
              </w:rPr>
              <w:t xml:space="preserve"> &amp; evidence </w:t>
            </w:r>
            <w:r w:rsidRPr="1FD2736D">
              <w:rPr>
                <w:rFonts w:ascii="Arial" w:eastAsia="Arial" w:hAnsi="Arial" w:cs="Arial"/>
                <w:b/>
                <w:bCs/>
              </w:rPr>
              <w:t xml:space="preserve">gathering </w:t>
            </w:r>
          </w:p>
        </w:tc>
        <w:tc>
          <w:tcPr>
            <w:tcW w:w="3005" w:type="dxa"/>
          </w:tcPr>
          <w:p w14:paraId="34715AAA" w14:textId="46F89F6C" w:rsidR="7336895D" w:rsidRDefault="63CCC5AE" w:rsidP="2F17ACDD">
            <w:pPr>
              <w:jc w:val="center"/>
              <w:rPr>
                <w:rFonts w:ascii="Arial" w:eastAsia="Arial" w:hAnsi="Arial" w:cs="Arial"/>
              </w:rPr>
            </w:pPr>
            <w:r w:rsidRPr="2F17ACDD">
              <w:rPr>
                <w:rFonts w:ascii="Arial" w:eastAsia="Arial" w:hAnsi="Arial" w:cs="Arial"/>
              </w:rPr>
              <w:t>200</w:t>
            </w:r>
            <w:r w:rsidR="6808E2AE" w:rsidRPr="2F17ACDD">
              <w:rPr>
                <w:rFonts w:ascii="Arial" w:eastAsia="Arial" w:hAnsi="Arial" w:cs="Arial"/>
              </w:rPr>
              <w:t>0</w:t>
            </w:r>
          </w:p>
        </w:tc>
      </w:tr>
      <w:tr w:rsidR="7336895D" w14:paraId="23F16150" w14:textId="77777777" w:rsidTr="1FD2736D">
        <w:tc>
          <w:tcPr>
            <w:tcW w:w="3005" w:type="dxa"/>
          </w:tcPr>
          <w:p w14:paraId="7833C05E" w14:textId="21B42D20" w:rsidR="1F9D89F6" w:rsidRDefault="1F9D89F6" w:rsidP="2F17ACDD">
            <w:pPr>
              <w:rPr>
                <w:rFonts w:ascii="Arial" w:eastAsia="Arial" w:hAnsi="Arial" w:cs="Arial"/>
              </w:rPr>
            </w:pPr>
            <w:r w:rsidRPr="2F17ACDD">
              <w:rPr>
                <w:rFonts w:ascii="Arial" w:eastAsia="Arial" w:hAnsi="Arial" w:cs="Arial"/>
              </w:rPr>
              <w:t>Task 2</w:t>
            </w:r>
          </w:p>
        </w:tc>
        <w:tc>
          <w:tcPr>
            <w:tcW w:w="3005" w:type="dxa"/>
          </w:tcPr>
          <w:p w14:paraId="40041519" w14:textId="4E758F92" w:rsidR="7336895D" w:rsidRDefault="76EFEBAD" w:rsidP="515A1CF8">
            <w:pPr>
              <w:rPr>
                <w:rFonts w:ascii="Arial" w:eastAsia="Arial" w:hAnsi="Arial" w:cs="Arial"/>
                <w:b/>
                <w:bCs/>
              </w:rPr>
            </w:pPr>
            <w:r w:rsidRPr="515A1CF8">
              <w:rPr>
                <w:rFonts w:ascii="Arial" w:eastAsia="Arial" w:hAnsi="Arial" w:cs="Arial"/>
                <w:b/>
                <w:bCs/>
              </w:rPr>
              <w:t>Safeguarding and Risk assessment</w:t>
            </w:r>
          </w:p>
        </w:tc>
        <w:tc>
          <w:tcPr>
            <w:tcW w:w="3005" w:type="dxa"/>
          </w:tcPr>
          <w:p w14:paraId="3F030E0E" w14:textId="1407C65A" w:rsidR="7336895D" w:rsidRDefault="374C56F6" w:rsidP="2F17ACDD">
            <w:pPr>
              <w:jc w:val="center"/>
              <w:rPr>
                <w:rFonts w:ascii="Arial" w:eastAsia="Arial" w:hAnsi="Arial" w:cs="Arial"/>
              </w:rPr>
            </w:pPr>
            <w:r w:rsidRPr="2F17ACDD">
              <w:rPr>
                <w:rFonts w:ascii="Arial" w:eastAsia="Arial" w:hAnsi="Arial" w:cs="Arial"/>
              </w:rPr>
              <w:t>2000</w:t>
            </w:r>
          </w:p>
        </w:tc>
      </w:tr>
      <w:tr w:rsidR="7336895D" w14:paraId="1F88D916" w14:textId="77777777" w:rsidTr="1FD2736D">
        <w:tc>
          <w:tcPr>
            <w:tcW w:w="3005" w:type="dxa"/>
          </w:tcPr>
          <w:p w14:paraId="4DD48D66" w14:textId="72230023" w:rsidR="1F9D89F6" w:rsidRDefault="1F9D89F6" w:rsidP="2F17ACDD">
            <w:pPr>
              <w:rPr>
                <w:rFonts w:ascii="Arial" w:eastAsia="Arial" w:hAnsi="Arial" w:cs="Arial"/>
                <w:sz w:val="24"/>
                <w:szCs w:val="24"/>
              </w:rPr>
            </w:pPr>
            <w:r w:rsidRPr="2F17ACDD">
              <w:rPr>
                <w:rFonts w:ascii="Arial" w:eastAsia="Arial" w:hAnsi="Arial" w:cs="Arial"/>
                <w:sz w:val="24"/>
                <w:szCs w:val="24"/>
              </w:rPr>
              <w:t>Task 3</w:t>
            </w:r>
          </w:p>
        </w:tc>
        <w:tc>
          <w:tcPr>
            <w:tcW w:w="3005" w:type="dxa"/>
          </w:tcPr>
          <w:p w14:paraId="1F9DE1DB" w14:textId="044982C3" w:rsidR="7336895D" w:rsidRDefault="7FF28BF6" w:rsidP="515A1CF8">
            <w:pPr>
              <w:rPr>
                <w:rFonts w:ascii="Arial" w:eastAsia="Arial" w:hAnsi="Arial" w:cs="Arial"/>
                <w:b/>
                <w:bCs/>
              </w:rPr>
            </w:pPr>
            <w:r w:rsidRPr="515A1CF8">
              <w:rPr>
                <w:rFonts w:ascii="Arial" w:eastAsia="Arial" w:hAnsi="Arial" w:cs="Arial"/>
                <w:b/>
                <w:bCs/>
              </w:rPr>
              <w:t>Interview and custody processes</w:t>
            </w:r>
          </w:p>
        </w:tc>
        <w:tc>
          <w:tcPr>
            <w:tcW w:w="3005" w:type="dxa"/>
          </w:tcPr>
          <w:p w14:paraId="1460CC8D" w14:textId="6067515F" w:rsidR="7336895D" w:rsidRDefault="04898A5B" w:rsidP="2F17ACDD">
            <w:pPr>
              <w:jc w:val="center"/>
              <w:rPr>
                <w:rFonts w:ascii="Arial" w:eastAsia="Arial" w:hAnsi="Arial" w:cs="Arial"/>
              </w:rPr>
            </w:pPr>
            <w:r w:rsidRPr="2F17ACDD">
              <w:rPr>
                <w:rFonts w:ascii="Arial" w:eastAsia="Arial" w:hAnsi="Arial" w:cs="Arial"/>
              </w:rPr>
              <w:t>2000</w:t>
            </w:r>
          </w:p>
        </w:tc>
      </w:tr>
      <w:tr w:rsidR="7336895D" w14:paraId="6CA89FA1" w14:textId="77777777" w:rsidTr="1FD2736D">
        <w:tc>
          <w:tcPr>
            <w:tcW w:w="3005" w:type="dxa"/>
          </w:tcPr>
          <w:p w14:paraId="500E68B8" w14:textId="06C51E03" w:rsidR="1F9D89F6" w:rsidRDefault="1F9D89F6" w:rsidP="2F17ACDD">
            <w:pPr>
              <w:rPr>
                <w:rFonts w:ascii="Arial" w:eastAsia="Arial" w:hAnsi="Arial" w:cs="Arial"/>
                <w:sz w:val="24"/>
                <w:szCs w:val="24"/>
              </w:rPr>
            </w:pPr>
            <w:r w:rsidRPr="2F17ACDD">
              <w:rPr>
                <w:rFonts w:ascii="Arial" w:eastAsia="Arial" w:hAnsi="Arial" w:cs="Arial"/>
                <w:sz w:val="24"/>
                <w:szCs w:val="24"/>
              </w:rPr>
              <w:t>Task 4</w:t>
            </w:r>
          </w:p>
        </w:tc>
        <w:tc>
          <w:tcPr>
            <w:tcW w:w="3005" w:type="dxa"/>
          </w:tcPr>
          <w:p w14:paraId="588EE43A" w14:textId="54E9B29B" w:rsidR="7336895D" w:rsidRDefault="4CAD43B7" w:rsidP="515A1CF8">
            <w:pPr>
              <w:rPr>
                <w:rFonts w:ascii="Arial" w:eastAsia="Arial" w:hAnsi="Arial" w:cs="Arial"/>
                <w:b/>
                <w:bCs/>
              </w:rPr>
            </w:pPr>
            <w:r w:rsidRPr="515A1CF8">
              <w:rPr>
                <w:rFonts w:ascii="Arial" w:eastAsia="Arial" w:hAnsi="Arial" w:cs="Arial"/>
                <w:b/>
                <w:bCs/>
              </w:rPr>
              <w:t xml:space="preserve">Investigation documentation processes. </w:t>
            </w:r>
          </w:p>
        </w:tc>
        <w:tc>
          <w:tcPr>
            <w:tcW w:w="3005" w:type="dxa"/>
          </w:tcPr>
          <w:p w14:paraId="32C22075" w14:textId="40D67B8E" w:rsidR="7336895D" w:rsidRDefault="22989878" w:rsidP="2F17ACDD">
            <w:pPr>
              <w:spacing w:after="160" w:line="259" w:lineRule="auto"/>
              <w:jc w:val="center"/>
              <w:rPr>
                <w:rFonts w:ascii="Arial" w:eastAsia="Arial" w:hAnsi="Arial" w:cs="Arial"/>
              </w:rPr>
            </w:pPr>
            <w:r w:rsidRPr="2F17ACDD">
              <w:rPr>
                <w:rFonts w:ascii="Arial" w:eastAsia="Arial" w:hAnsi="Arial" w:cs="Arial"/>
              </w:rPr>
              <w:t>2000</w:t>
            </w:r>
          </w:p>
        </w:tc>
      </w:tr>
      <w:tr w:rsidR="7336895D" w14:paraId="5FAA5059" w14:textId="77777777" w:rsidTr="1FD2736D">
        <w:trPr>
          <w:trHeight w:val="1020"/>
        </w:trPr>
        <w:tc>
          <w:tcPr>
            <w:tcW w:w="3005" w:type="dxa"/>
          </w:tcPr>
          <w:p w14:paraId="609D83C7" w14:textId="21A54D27" w:rsidR="7336895D" w:rsidRDefault="1F9D89F6" w:rsidP="2F17ACDD">
            <w:pPr>
              <w:rPr>
                <w:rFonts w:ascii="Arial" w:eastAsia="Arial" w:hAnsi="Arial" w:cs="Arial"/>
                <w:sz w:val="24"/>
                <w:szCs w:val="24"/>
              </w:rPr>
            </w:pPr>
            <w:r w:rsidRPr="2F17ACDD">
              <w:rPr>
                <w:rFonts w:ascii="Arial" w:eastAsia="Arial" w:hAnsi="Arial" w:cs="Arial"/>
                <w:sz w:val="24"/>
                <w:szCs w:val="24"/>
              </w:rPr>
              <w:t>Task 5</w:t>
            </w:r>
          </w:p>
          <w:p w14:paraId="698F2607" w14:textId="4B3FF3C9" w:rsidR="7336895D" w:rsidRDefault="7336895D" w:rsidP="2F17ACDD">
            <w:pPr>
              <w:rPr>
                <w:rFonts w:ascii="Arial" w:eastAsia="Arial" w:hAnsi="Arial" w:cs="Arial"/>
                <w:sz w:val="24"/>
                <w:szCs w:val="24"/>
              </w:rPr>
            </w:pPr>
          </w:p>
        </w:tc>
        <w:tc>
          <w:tcPr>
            <w:tcW w:w="3005" w:type="dxa"/>
          </w:tcPr>
          <w:p w14:paraId="4432633F" w14:textId="388BB802" w:rsidR="7336895D" w:rsidRDefault="1F9D89F6" w:rsidP="2F17ACDD">
            <w:pPr>
              <w:jc w:val="both"/>
              <w:rPr>
                <w:rFonts w:ascii="Arial" w:eastAsia="Arial" w:hAnsi="Arial" w:cs="Arial"/>
                <w:lang w:val="en-US"/>
              </w:rPr>
            </w:pPr>
            <w:r w:rsidRPr="2F17ACDD">
              <w:rPr>
                <w:rFonts w:ascii="Arial" w:eastAsia="Arial" w:hAnsi="Arial" w:cs="Arial"/>
                <w:b/>
                <w:bCs/>
                <w:color w:val="000000" w:themeColor="text1"/>
              </w:rPr>
              <w:t>Personal study/learning plan</w:t>
            </w:r>
          </w:p>
        </w:tc>
        <w:tc>
          <w:tcPr>
            <w:tcW w:w="3005" w:type="dxa"/>
          </w:tcPr>
          <w:p w14:paraId="76373DB7" w14:textId="016E5C80" w:rsidR="1F9D89F6" w:rsidRDefault="1F9D89F6" w:rsidP="2F17ACDD">
            <w:pPr>
              <w:jc w:val="center"/>
              <w:rPr>
                <w:rFonts w:ascii="Arial" w:eastAsia="Arial" w:hAnsi="Arial" w:cs="Arial"/>
              </w:rPr>
            </w:pPr>
            <w:r w:rsidRPr="2F17ACDD">
              <w:rPr>
                <w:rFonts w:ascii="Arial" w:eastAsia="Arial" w:hAnsi="Arial" w:cs="Arial"/>
              </w:rPr>
              <w:t>2000</w:t>
            </w:r>
          </w:p>
        </w:tc>
      </w:tr>
      <w:tr w:rsidR="7336895D" w14:paraId="2B7AB660" w14:textId="77777777" w:rsidTr="1FD2736D">
        <w:tc>
          <w:tcPr>
            <w:tcW w:w="3005" w:type="dxa"/>
          </w:tcPr>
          <w:p w14:paraId="161B944D" w14:textId="56EA47D7" w:rsidR="7336895D" w:rsidRDefault="7336895D" w:rsidP="2F17ACDD">
            <w:pPr>
              <w:rPr>
                <w:rFonts w:ascii="Arial" w:eastAsia="Arial" w:hAnsi="Arial" w:cs="Arial"/>
                <w:b/>
                <w:bCs/>
                <w:sz w:val="28"/>
                <w:szCs w:val="28"/>
              </w:rPr>
            </w:pPr>
          </w:p>
        </w:tc>
        <w:tc>
          <w:tcPr>
            <w:tcW w:w="3005" w:type="dxa"/>
          </w:tcPr>
          <w:p w14:paraId="1F7793A8" w14:textId="1B686836" w:rsidR="1F9D89F6" w:rsidRDefault="1F9D89F6" w:rsidP="2F17ACDD">
            <w:pPr>
              <w:rPr>
                <w:rFonts w:ascii="Arial" w:eastAsia="Arial" w:hAnsi="Arial" w:cs="Arial"/>
                <w:b/>
                <w:bCs/>
                <w:color w:val="000000" w:themeColor="text1"/>
                <w:sz w:val="24"/>
                <w:szCs w:val="24"/>
              </w:rPr>
            </w:pPr>
            <w:r w:rsidRPr="2F17ACDD">
              <w:rPr>
                <w:rFonts w:ascii="Arial" w:eastAsia="Arial" w:hAnsi="Arial" w:cs="Arial"/>
                <w:b/>
                <w:bCs/>
                <w:color w:val="000000" w:themeColor="text1"/>
                <w:sz w:val="24"/>
                <w:szCs w:val="24"/>
              </w:rPr>
              <w:t>Bibliography</w:t>
            </w:r>
          </w:p>
          <w:p w14:paraId="2468FF94" w14:textId="1EE40AC0" w:rsidR="1F9D89F6" w:rsidRDefault="1F9D89F6" w:rsidP="2F17ACDD">
            <w:pPr>
              <w:jc w:val="center"/>
              <w:rPr>
                <w:rFonts w:ascii="Arial" w:eastAsia="Arial" w:hAnsi="Arial" w:cs="Arial"/>
                <w:b/>
                <w:bCs/>
                <w:color w:val="000000" w:themeColor="text1"/>
                <w:sz w:val="24"/>
                <w:szCs w:val="24"/>
              </w:rPr>
            </w:pPr>
          </w:p>
        </w:tc>
        <w:tc>
          <w:tcPr>
            <w:tcW w:w="3005" w:type="dxa"/>
          </w:tcPr>
          <w:p w14:paraId="336382B5" w14:textId="1A8D32A2" w:rsidR="7336895D" w:rsidRDefault="7336895D" w:rsidP="7336895D">
            <w:pPr>
              <w:rPr>
                <w:rFonts w:ascii="Arial" w:eastAsia="Arial" w:hAnsi="Arial" w:cs="Arial"/>
                <w:b/>
                <w:bCs/>
                <w:sz w:val="24"/>
                <w:szCs w:val="24"/>
              </w:rPr>
            </w:pPr>
          </w:p>
        </w:tc>
      </w:tr>
    </w:tbl>
    <w:p w14:paraId="78413DF1" w14:textId="0B55EF01" w:rsidR="3EBD2789" w:rsidRDefault="3EBD2789"/>
    <w:p w14:paraId="037229E0" w14:textId="30FF0009" w:rsidR="7336895D" w:rsidRDefault="7336895D" w:rsidP="7336895D">
      <w:pPr>
        <w:rPr>
          <w:rFonts w:ascii="Arial" w:eastAsia="Arial" w:hAnsi="Arial" w:cs="Arial"/>
          <w:b/>
          <w:bCs/>
          <w:sz w:val="28"/>
          <w:szCs w:val="28"/>
        </w:rPr>
      </w:pPr>
    </w:p>
    <w:p w14:paraId="2A8D22EC" w14:textId="28EA3210" w:rsidR="7336895D" w:rsidRDefault="7336895D" w:rsidP="7336895D">
      <w:pPr>
        <w:rPr>
          <w:rFonts w:ascii="Arial" w:eastAsia="Arial" w:hAnsi="Arial" w:cs="Arial"/>
          <w:b/>
          <w:bCs/>
          <w:sz w:val="28"/>
          <w:szCs w:val="28"/>
        </w:rPr>
      </w:pPr>
    </w:p>
    <w:p w14:paraId="4298C1BC" w14:textId="150B9582" w:rsidR="7336895D" w:rsidRDefault="7336895D" w:rsidP="7336895D">
      <w:pPr>
        <w:ind w:left="3600" w:right="107" w:firstLine="720"/>
        <w:jc w:val="both"/>
        <w:rPr>
          <w:rFonts w:ascii="Arial" w:eastAsia="Arial" w:hAnsi="Arial" w:cs="Arial"/>
          <w:b/>
          <w:bCs/>
          <w:color w:val="000000" w:themeColor="text1"/>
          <w:sz w:val="24"/>
          <w:szCs w:val="24"/>
        </w:rPr>
      </w:pPr>
    </w:p>
    <w:p w14:paraId="7D3F1522" w14:textId="78EE0B34" w:rsidR="7336895D" w:rsidRDefault="7336895D" w:rsidP="7336895D">
      <w:pPr>
        <w:ind w:left="3600" w:right="107" w:firstLine="720"/>
        <w:jc w:val="both"/>
        <w:rPr>
          <w:rFonts w:ascii="Arial" w:eastAsia="Arial" w:hAnsi="Arial" w:cs="Arial"/>
          <w:b/>
          <w:bCs/>
          <w:color w:val="000000" w:themeColor="text1"/>
          <w:sz w:val="24"/>
          <w:szCs w:val="24"/>
        </w:rPr>
      </w:pPr>
    </w:p>
    <w:p w14:paraId="188A723A" w14:textId="52D70E67" w:rsidR="727E3A7D" w:rsidRDefault="727E3A7D" w:rsidP="727E3A7D">
      <w:pPr>
        <w:rPr>
          <w:rFonts w:ascii="Arial" w:eastAsia="Arial" w:hAnsi="Arial" w:cs="Arial"/>
          <w:b/>
          <w:bCs/>
          <w:sz w:val="24"/>
          <w:szCs w:val="24"/>
        </w:rPr>
      </w:pPr>
    </w:p>
    <w:p w14:paraId="34843062" w14:textId="56FAD287" w:rsidR="727E3A7D" w:rsidRDefault="727E3A7D" w:rsidP="727E3A7D">
      <w:pPr>
        <w:rPr>
          <w:rFonts w:ascii="Arial" w:eastAsia="Arial" w:hAnsi="Arial" w:cs="Arial"/>
          <w:b/>
          <w:bCs/>
          <w:sz w:val="24"/>
          <w:szCs w:val="24"/>
        </w:rPr>
      </w:pPr>
    </w:p>
    <w:p w14:paraId="5B81185A" w14:textId="3B432C47" w:rsidR="727E3A7D" w:rsidRDefault="727E3A7D" w:rsidP="727E3A7D">
      <w:pPr>
        <w:rPr>
          <w:rFonts w:ascii="Arial" w:eastAsia="Arial" w:hAnsi="Arial" w:cs="Arial"/>
          <w:b/>
          <w:bCs/>
          <w:sz w:val="24"/>
          <w:szCs w:val="24"/>
        </w:rPr>
      </w:pPr>
    </w:p>
    <w:p w14:paraId="1B1971E5" w14:textId="4556C5D8" w:rsidR="727E3A7D" w:rsidRDefault="727E3A7D" w:rsidP="727E3A7D">
      <w:pPr>
        <w:rPr>
          <w:rFonts w:ascii="Arial" w:eastAsia="Arial" w:hAnsi="Arial" w:cs="Arial"/>
          <w:b/>
          <w:bCs/>
          <w:sz w:val="24"/>
          <w:szCs w:val="24"/>
        </w:rPr>
      </w:pPr>
    </w:p>
    <w:p w14:paraId="4DB03199" w14:textId="4A40523F" w:rsidR="727E3A7D" w:rsidRDefault="727E3A7D" w:rsidP="727E3A7D">
      <w:pPr>
        <w:rPr>
          <w:rFonts w:ascii="Arial" w:eastAsia="Arial" w:hAnsi="Arial" w:cs="Arial"/>
          <w:b/>
          <w:bCs/>
          <w:sz w:val="24"/>
          <w:szCs w:val="24"/>
        </w:rPr>
      </w:pPr>
    </w:p>
    <w:p w14:paraId="763D38D9" w14:textId="1307ABDC" w:rsidR="727E3A7D" w:rsidRDefault="727E3A7D" w:rsidP="727E3A7D">
      <w:pPr>
        <w:rPr>
          <w:rFonts w:ascii="Arial" w:eastAsia="Arial" w:hAnsi="Arial" w:cs="Arial"/>
          <w:b/>
          <w:bCs/>
          <w:sz w:val="24"/>
          <w:szCs w:val="24"/>
        </w:rPr>
      </w:pPr>
    </w:p>
    <w:p w14:paraId="42C4A042" w14:textId="0B145901" w:rsidR="727E3A7D" w:rsidRDefault="727E3A7D" w:rsidP="727E3A7D">
      <w:pPr>
        <w:rPr>
          <w:rFonts w:ascii="Arial" w:eastAsia="Arial" w:hAnsi="Arial" w:cs="Arial"/>
          <w:b/>
          <w:bCs/>
          <w:sz w:val="24"/>
          <w:szCs w:val="24"/>
        </w:rPr>
      </w:pPr>
    </w:p>
    <w:p w14:paraId="6FA77BB6" w14:textId="6AF4BEBF" w:rsidR="2F17ACDD" w:rsidRDefault="2F17ACDD" w:rsidP="2F17ACDD">
      <w:pPr>
        <w:rPr>
          <w:rFonts w:ascii="Arial" w:eastAsia="Arial" w:hAnsi="Arial" w:cs="Arial"/>
          <w:b/>
          <w:bCs/>
          <w:sz w:val="24"/>
          <w:szCs w:val="24"/>
        </w:rPr>
      </w:pPr>
    </w:p>
    <w:p w14:paraId="44C1DFE9" w14:textId="1A0A64E8" w:rsidR="2F17ACDD" w:rsidRDefault="2F17ACDD" w:rsidP="2F17ACDD">
      <w:pPr>
        <w:rPr>
          <w:rFonts w:ascii="Arial" w:eastAsia="Arial" w:hAnsi="Arial" w:cs="Arial"/>
          <w:b/>
          <w:bCs/>
          <w:sz w:val="24"/>
          <w:szCs w:val="24"/>
        </w:rPr>
      </w:pPr>
    </w:p>
    <w:p w14:paraId="62F5231B" w14:textId="29D201B7" w:rsidR="010A2EC9" w:rsidRDefault="010A2EC9" w:rsidP="1FD2736D">
      <w:pPr>
        <w:rPr>
          <w:rFonts w:ascii="Arial" w:eastAsia="Arial" w:hAnsi="Arial" w:cs="Arial"/>
          <w:b/>
          <w:bCs/>
          <w:i/>
          <w:iCs/>
          <w:color w:val="000000" w:themeColor="text1"/>
          <w:sz w:val="24"/>
          <w:szCs w:val="24"/>
        </w:rPr>
      </w:pPr>
      <w:r w:rsidRPr="1FD2736D">
        <w:rPr>
          <w:rFonts w:ascii="Arial" w:eastAsia="Arial" w:hAnsi="Arial" w:cs="Arial"/>
          <w:b/>
          <w:bCs/>
          <w:i/>
          <w:iCs/>
          <w:sz w:val="24"/>
          <w:szCs w:val="24"/>
        </w:rPr>
        <w:t xml:space="preserve">Task </w:t>
      </w:r>
      <w:r w:rsidRPr="1FD2736D">
        <w:rPr>
          <w:rFonts w:ascii="Arial" w:eastAsia="Arial" w:hAnsi="Arial" w:cs="Arial"/>
          <w:b/>
          <w:bCs/>
          <w:i/>
          <w:iCs/>
          <w:color w:val="000000" w:themeColor="text1"/>
          <w:sz w:val="24"/>
          <w:szCs w:val="24"/>
        </w:rPr>
        <w:t xml:space="preserve">1: </w:t>
      </w:r>
      <w:r w:rsidR="15A75648" w:rsidRPr="1FD2736D">
        <w:rPr>
          <w:rFonts w:ascii="Arial" w:eastAsia="Arial" w:hAnsi="Arial" w:cs="Arial"/>
          <w:b/>
          <w:bCs/>
          <w:i/>
          <w:iCs/>
          <w:color w:val="000000" w:themeColor="text1"/>
          <w:sz w:val="24"/>
          <w:szCs w:val="24"/>
        </w:rPr>
        <w:t>Information</w:t>
      </w:r>
      <w:r w:rsidR="4C7DB9DB" w:rsidRPr="1FD2736D">
        <w:rPr>
          <w:rFonts w:ascii="Arial" w:eastAsia="Arial" w:hAnsi="Arial" w:cs="Arial"/>
          <w:b/>
          <w:bCs/>
          <w:i/>
          <w:iCs/>
          <w:color w:val="000000" w:themeColor="text1"/>
          <w:sz w:val="24"/>
          <w:szCs w:val="24"/>
        </w:rPr>
        <w:t>,</w:t>
      </w:r>
      <w:r w:rsidR="15A75648" w:rsidRPr="1FD2736D">
        <w:rPr>
          <w:rFonts w:ascii="Arial" w:eastAsia="Arial" w:hAnsi="Arial" w:cs="Arial"/>
          <w:b/>
          <w:bCs/>
          <w:i/>
          <w:iCs/>
          <w:color w:val="000000" w:themeColor="text1"/>
          <w:sz w:val="24"/>
          <w:szCs w:val="24"/>
        </w:rPr>
        <w:t xml:space="preserve"> Intelligence </w:t>
      </w:r>
      <w:r w:rsidR="644F48EE" w:rsidRPr="1FD2736D">
        <w:rPr>
          <w:rFonts w:ascii="Arial" w:eastAsia="Arial" w:hAnsi="Arial" w:cs="Arial"/>
          <w:b/>
          <w:bCs/>
          <w:i/>
          <w:iCs/>
          <w:color w:val="000000" w:themeColor="text1"/>
          <w:sz w:val="24"/>
          <w:szCs w:val="24"/>
        </w:rPr>
        <w:t xml:space="preserve">&amp; Evidence </w:t>
      </w:r>
      <w:r w:rsidR="15A75648" w:rsidRPr="1FD2736D">
        <w:rPr>
          <w:rFonts w:ascii="Arial" w:eastAsia="Arial" w:hAnsi="Arial" w:cs="Arial"/>
          <w:b/>
          <w:bCs/>
          <w:i/>
          <w:iCs/>
          <w:color w:val="000000" w:themeColor="text1"/>
          <w:sz w:val="24"/>
          <w:szCs w:val="24"/>
        </w:rPr>
        <w:t>Gathering</w:t>
      </w:r>
    </w:p>
    <w:p w14:paraId="1F98BC2F" w14:textId="006BBA6A" w:rsidR="727E3A7D" w:rsidRDefault="36ED0FD5" w:rsidP="2F17ACDD">
      <w:pPr>
        <w:rPr>
          <w:rFonts w:ascii="Arial" w:eastAsia="Arial" w:hAnsi="Arial" w:cs="Arial"/>
          <w:color w:val="000000" w:themeColor="text1"/>
          <w:sz w:val="24"/>
          <w:szCs w:val="24"/>
        </w:rPr>
      </w:pPr>
      <w:r w:rsidRPr="1FD2736D">
        <w:rPr>
          <w:rFonts w:ascii="Arial" w:eastAsia="Arial" w:hAnsi="Arial" w:cs="Arial"/>
          <w:color w:val="000000" w:themeColor="text1"/>
          <w:sz w:val="24"/>
          <w:szCs w:val="24"/>
        </w:rPr>
        <w:t xml:space="preserve">You must choose a serious and complex investigation in which you played a significant role with the gathering of </w:t>
      </w:r>
      <w:r w:rsidR="408C7892" w:rsidRPr="1FD2736D">
        <w:rPr>
          <w:rFonts w:ascii="Arial" w:eastAsia="Arial" w:hAnsi="Arial" w:cs="Arial"/>
          <w:color w:val="000000" w:themeColor="text1"/>
          <w:sz w:val="24"/>
          <w:szCs w:val="24"/>
        </w:rPr>
        <w:t xml:space="preserve">intelligence or </w:t>
      </w:r>
      <w:r w:rsidRPr="1FD2736D">
        <w:rPr>
          <w:rFonts w:ascii="Arial" w:eastAsia="Arial" w:hAnsi="Arial" w:cs="Arial"/>
          <w:color w:val="000000" w:themeColor="text1"/>
          <w:sz w:val="24"/>
          <w:szCs w:val="24"/>
        </w:rPr>
        <w:t>evidential material.</w:t>
      </w:r>
      <w:r w:rsidRPr="1FD2736D">
        <w:rPr>
          <w:rFonts w:ascii="Arial" w:eastAsia="Arial" w:hAnsi="Arial" w:cs="Arial"/>
          <w:b/>
          <w:bCs/>
          <w:color w:val="000000" w:themeColor="text1"/>
          <w:sz w:val="24"/>
          <w:szCs w:val="24"/>
        </w:rPr>
        <w:t xml:space="preserve"> </w:t>
      </w:r>
    </w:p>
    <w:tbl>
      <w:tblPr>
        <w:tblStyle w:val="TableGrid"/>
        <w:tblW w:w="0" w:type="auto"/>
        <w:tblLayout w:type="fixed"/>
        <w:tblLook w:val="06A0" w:firstRow="1" w:lastRow="0" w:firstColumn="1" w:lastColumn="0" w:noHBand="1" w:noVBand="1"/>
      </w:tblPr>
      <w:tblGrid>
        <w:gridCol w:w="9015"/>
      </w:tblGrid>
      <w:tr w:rsidR="7336895D" w14:paraId="7598B4AD" w14:textId="77777777" w:rsidTr="1FD2736D">
        <w:tc>
          <w:tcPr>
            <w:tcW w:w="9015" w:type="dxa"/>
          </w:tcPr>
          <w:p w14:paraId="51D17758" w14:textId="13266AFB" w:rsidR="7336895D" w:rsidRDefault="5B3306FD" w:rsidP="2F17ACDD">
            <w:pPr>
              <w:rPr>
                <w:rFonts w:ascii="Arial" w:eastAsia="Arial" w:hAnsi="Arial" w:cs="Arial"/>
                <w:sz w:val="24"/>
                <w:szCs w:val="24"/>
              </w:rPr>
            </w:pPr>
            <w:r w:rsidRPr="2F17ACDD">
              <w:rPr>
                <w:rFonts w:ascii="Arial" w:eastAsia="Arial" w:hAnsi="Arial" w:cs="Arial"/>
                <w:b/>
                <w:bCs/>
                <w:color w:val="000000" w:themeColor="text1"/>
                <w:sz w:val="24"/>
                <w:szCs w:val="24"/>
              </w:rPr>
              <w:t>Give a brief description</w:t>
            </w:r>
            <w:r w:rsidRPr="2F17ACDD">
              <w:rPr>
                <w:rFonts w:ascii="Arial" w:eastAsia="Arial" w:hAnsi="Arial" w:cs="Arial"/>
                <w:color w:val="000000" w:themeColor="text1"/>
                <w:sz w:val="24"/>
                <w:szCs w:val="24"/>
              </w:rPr>
              <w:t xml:space="preserve"> of the investigation including social and legislative contexts and any relevant cultural, ethnicity and language issues.  </w:t>
            </w:r>
          </w:p>
          <w:p w14:paraId="7CAE03A0" w14:textId="08B83F3F" w:rsidR="515A1CF8" w:rsidRDefault="515A1CF8" w:rsidP="515A1CF8">
            <w:pPr>
              <w:rPr>
                <w:rFonts w:ascii="Arial" w:eastAsia="Arial" w:hAnsi="Arial" w:cs="Arial"/>
                <w:color w:val="000000" w:themeColor="text1"/>
                <w:sz w:val="24"/>
                <w:szCs w:val="24"/>
              </w:rPr>
            </w:pPr>
          </w:p>
          <w:p w14:paraId="763D83D5" w14:textId="6202FBB2" w:rsidR="0164F6A5" w:rsidRDefault="525CCFD5" w:rsidP="1FD2736D">
            <w:pPr>
              <w:rPr>
                <w:rFonts w:ascii="Arial" w:eastAsia="Arial" w:hAnsi="Arial" w:cs="Arial"/>
                <w:color w:val="000000" w:themeColor="text1"/>
                <w:sz w:val="24"/>
                <w:szCs w:val="24"/>
              </w:rPr>
            </w:pPr>
            <w:r w:rsidRPr="1FD2736D">
              <w:rPr>
                <w:rFonts w:ascii="Arial" w:eastAsia="Arial" w:hAnsi="Arial" w:cs="Arial"/>
                <w:color w:val="000000" w:themeColor="text1"/>
                <w:sz w:val="24"/>
                <w:szCs w:val="24"/>
              </w:rPr>
              <w:t>Evaluate how you have worked with others (</w:t>
            </w:r>
            <w:r w:rsidR="498DEB93" w:rsidRPr="1FD2736D">
              <w:rPr>
                <w:rFonts w:ascii="Arial" w:eastAsia="Arial" w:hAnsi="Arial" w:cs="Arial"/>
                <w:color w:val="000000" w:themeColor="text1"/>
                <w:sz w:val="24"/>
                <w:szCs w:val="24"/>
              </w:rPr>
              <w:t>e.g.</w:t>
            </w:r>
            <w:r w:rsidRPr="1FD2736D">
              <w:rPr>
                <w:rFonts w:ascii="Arial" w:eastAsia="Arial" w:hAnsi="Arial" w:cs="Arial"/>
                <w:color w:val="000000" w:themeColor="text1"/>
                <w:sz w:val="24"/>
                <w:szCs w:val="24"/>
              </w:rPr>
              <w:t xml:space="preserve">, investigators, </w:t>
            </w:r>
            <w:proofErr w:type="gramStart"/>
            <w:r w:rsidRPr="1FD2736D">
              <w:rPr>
                <w:rFonts w:ascii="Arial" w:eastAsia="Arial" w:hAnsi="Arial" w:cs="Arial"/>
                <w:color w:val="000000" w:themeColor="text1"/>
                <w:sz w:val="24"/>
                <w:szCs w:val="24"/>
              </w:rPr>
              <w:t>specialists</w:t>
            </w:r>
            <w:proofErr w:type="gramEnd"/>
            <w:r w:rsidRPr="1FD2736D">
              <w:rPr>
                <w:rFonts w:ascii="Arial" w:eastAsia="Arial" w:hAnsi="Arial" w:cs="Arial"/>
                <w:color w:val="000000" w:themeColor="text1"/>
                <w:sz w:val="24"/>
                <w:szCs w:val="24"/>
              </w:rPr>
              <w:t xml:space="preserve"> and managers) to establish and use approp</w:t>
            </w:r>
            <w:r w:rsidR="19A118D1" w:rsidRPr="1FD2736D">
              <w:rPr>
                <w:rFonts w:ascii="Arial" w:eastAsia="Arial" w:hAnsi="Arial" w:cs="Arial"/>
                <w:color w:val="000000" w:themeColor="text1"/>
                <w:sz w:val="24"/>
                <w:szCs w:val="24"/>
              </w:rPr>
              <w:t xml:space="preserve">riate methods for gathering </w:t>
            </w:r>
            <w:r w:rsidR="0B281E6C" w:rsidRPr="1FD2736D">
              <w:rPr>
                <w:rFonts w:ascii="Arial" w:eastAsia="Arial" w:hAnsi="Arial" w:cs="Arial"/>
                <w:color w:val="000000" w:themeColor="text1"/>
                <w:sz w:val="24"/>
                <w:szCs w:val="24"/>
              </w:rPr>
              <w:t>intelligence</w:t>
            </w:r>
            <w:r w:rsidR="5A18F88D" w:rsidRPr="1FD2736D">
              <w:rPr>
                <w:rFonts w:ascii="Arial" w:eastAsia="Arial" w:hAnsi="Arial" w:cs="Arial"/>
                <w:color w:val="000000" w:themeColor="text1"/>
                <w:sz w:val="24"/>
                <w:szCs w:val="24"/>
              </w:rPr>
              <w:t xml:space="preserve"> or evidence</w:t>
            </w:r>
            <w:r w:rsidR="19A118D1" w:rsidRPr="1FD2736D">
              <w:rPr>
                <w:rFonts w:ascii="Arial" w:eastAsia="Arial" w:hAnsi="Arial" w:cs="Arial"/>
                <w:color w:val="000000" w:themeColor="text1"/>
                <w:sz w:val="24"/>
                <w:szCs w:val="24"/>
              </w:rPr>
              <w:t xml:space="preserve">. </w:t>
            </w:r>
          </w:p>
          <w:p w14:paraId="2A5CCC9C" w14:textId="2C120F3B" w:rsidR="7336895D" w:rsidRDefault="7336895D" w:rsidP="515A1CF8">
            <w:pPr>
              <w:rPr>
                <w:rFonts w:ascii="Arial" w:eastAsia="Arial" w:hAnsi="Arial" w:cs="Arial"/>
              </w:rPr>
            </w:pPr>
          </w:p>
          <w:p w14:paraId="00A3DFC1" w14:textId="0721E470" w:rsidR="7336895D" w:rsidRDefault="683F5C35" w:rsidP="2F17ACDD">
            <w:pPr>
              <w:rPr>
                <w:rFonts w:ascii="Arial" w:eastAsia="Arial" w:hAnsi="Arial" w:cs="Arial"/>
                <w:sz w:val="24"/>
                <w:szCs w:val="24"/>
              </w:rPr>
            </w:pPr>
            <w:r w:rsidRPr="1FD2736D">
              <w:rPr>
                <w:rFonts w:ascii="Arial" w:eastAsia="Arial" w:hAnsi="Arial" w:cs="Arial"/>
                <w:sz w:val="24"/>
                <w:szCs w:val="24"/>
              </w:rPr>
              <w:t xml:space="preserve">Assess how you have </w:t>
            </w:r>
            <w:r w:rsidR="613E6880" w:rsidRPr="1FD2736D">
              <w:rPr>
                <w:rFonts w:ascii="Arial" w:eastAsia="Arial" w:hAnsi="Arial" w:cs="Arial"/>
                <w:sz w:val="24"/>
                <w:szCs w:val="24"/>
              </w:rPr>
              <w:t>gathered</w:t>
            </w:r>
            <w:r w:rsidRPr="1FD2736D">
              <w:rPr>
                <w:rFonts w:ascii="Arial" w:eastAsia="Arial" w:hAnsi="Arial" w:cs="Arial"/>
                <w:sz w:val="24"/>
                <w:szCs w:val="24"/>
              </w:rPr>
              <w:t xml:space="preserve"> </w:t>
            </w:r>
            <w:r w:rsidR="7D1ED19F" w:rsidRPr="1FD2736D">
              <w:rPr>
                <w:rFonts w:ascii="Arial" w:eastAsia="Arial" w:hAnsi="Arial" w:cs="Arial"/>
                <w:sz w:val="24"/>
                <w:szCs w:val="24"/>
              </w:rPr>
              <w:t>intelligence or evidence</w:t>
            </w:r>
            <w:r w:rsidRPr="1FD2736D">
              <w:rPr>
                <w:rFonts w:ascii="Arial" w:eastAsia="Arial" w:hAnsi="Arial" w:cs="Arial"/>
                <w:sz w:val="24"/>
                <w:szCs w:val="24"/>
              </w:rPr>
              <w:t xml:space="preserve"> from a range of appropriate sources. C</w:t>
            </w:r>
            <w:r w:rsidR="46F6B78B" w:rsidRPr="1FD2736D">
              <w:rPr>
                <w:rFonts w:ascii="Arial" w:eastAsia="Arial" w:hAnsi="Arial" w:cs="Arial"/>
                <w:sz w:val="24"/>
                <w:szCs w:val="24"/>
              </w:rPr>
              <w:t xml:space="preserve">onsider how you have recorded and retained </w:t>
            </w:r>
            <w:r w:rsidR="13BA565E" w:rsidRPr="1FD2736D">
              <w:rPr>
                <w:rFonts w:ascii="Arial" w:eastAsia="Arial" w:hAnsi="Arial" w:cs="Arial"/>
                <w:sz w:val="24"/>
                <w:szCs w:val="24"/>
              </w:rPr>
              <w:t xml:space="preserve">intelligence or </w:t>
            </w:r>
            <w:r w:rsidR="46F6B78B" w:rsidRPr="1FD2736D">
              <w:rPr>
                <w:rFonts w:ascii="Arial" w:eastAsia="Arial" w:hAnsi="Arial" w:cs="Arial"/>
                <w:sz w:val="24"/>
                <w:szCs w:val="24"/>
              </w:rPr>
              <w:t xml:space="preserve">evidence in a format </w:t>
            </w:r>
            <w:r w:rsidR="6E2CCFAB" w:rsidRPr="1FD2736D">
              <w:rPr>
                <w:rFonts w:ascii="Arial" w:eastAsia="Arial" w:hAnsi="Arial" w:cs="Arial"/>
                <w:sz w:val="24"/>
                <w:szCs w:val="24"/>
              </w:rPr>
              <w:t xml:space="preserve">in line with policy and procedure. </w:t>
            </w:r>
          </w:p>
          <w:p w14:paraId="675F1B33" w14:textId="21D8656A" w:rsidR="7336895D" w:rsidRDefault="7336895D" w:rsidP="2F17ACDD">
            <w:pPr>
              <w:rPr>
                <w:sz w:val="24"/>
                <w:szCs w:val="24"/>
              </w:rPr>
            </w:pPr>
          </w:p>
          <w:p w14:paraId="3E6715F6" w14:textId="30782BFD" w:rsidR="7336895D" w:rsidRDefault="5CACBAB9" w:rsidP="515A1CF8">
            <w:pPr>
              <w:rPr>
                <w:rFonts w:ascii="Arial" w:eastAsia="Arial" w:hAnsi="Arial" w:cs="Arial"/>
              </w:rPr>
            </w:pPr>
            <w:r w:rsidRPr="2F17ACDD">
              <w:rPr>
                <w:rFonts w:ascii="Arial" w:eastAsia="Arial" w:hAnsi="Arial" w:cs="Arial"/>
                <w:sz w:val="24"/>
                <w:szCs w:val="24"/>
              </w:rPr>
              <w:t xml:space="preserve">Describe how you have identified and planned your own investigative actions, taking </w:t>
            </w:r>
            <w:r w:rsidR="072EA6D4" w:rsidRPr="2F17ACDD">
              <w:rPr>
                <w:rFonts w:ascii="Arial" w:eastAsia="Arial" w:hAnsi="Arial" w:cs="Arial"/>
                <w:sz w:val="24"/>
                <w:szCs w:val="24"/>
              </w:rPr>
              <w:t>in account</w:t>
            </w:r>
            <w:r w:rsidRPr="2F17ACDD">
              <w:rPr>
                <w:rFonts w:ascii="Arial" w:eastAsia="Arial" w:hAnsi="Arial" w:cs="Arial"/>
                <w:sz w:val="24"/>
                <w:szCs w:val="24"/>
              </w:rPr>
              <w:t xml:space="preserve"> resources, </w:t>
            </w:r>
            <w:proofErr w:type="gramStart"/>
            <w:r w:rsidR="4E184253" w:rsidRPr="2F17ACDD">
              <w:rPr>
                <w:rFonts w:ascii="Arial" w:eastAsia="Arial" w:hAnsi="Arial" w:cs="Arial"/>
                <w:sz w:val="24"/>
                <w:szCs w:val="24"/>
              </w:rPr>
              <w:t>priorities</w:t>
            </w:r>
            <w:proofErr w:type="gramEnd"/>
            <w:r w:rsidRPr="2F17ACDD">
              <w:rPr>
                <w:rFonts w:ascii="Arial" w:eastAsia="Arial" w:hAnsi="Arial" w:cs="Arial"/>
                <w:sz w:val="24"/>
                <w:szCs w:val="24"/>
              </w:rPr>
              <w:t xml:space="preserve"> and </w:t>
            </w:r>
            <w:r w:rsidR="14A065ED" w:rsidRPr="2F17ACDD">
              <w:rPr>
                <w:rFonts w:ascii="Arial" w:eastAsia="Arial" w:hAnsi="Arial" w:cs="Arial"/>
                <w:sz w:val="24"/>
                <w:szCs w:val="24"/>
              </w:rPr>
              <w:t>proportionality</w:t>
            </w:r>
            <w:r w:rsidRPr="2F17ACDD">
              <w:rPr>
                <w:rFonts w:ascii="Arial" w:eastAsia="Arial" w:hAnsi="Arial" w:cs="Arial"/>
                <w:sz w:val="24"/>
                <w:szCs w:val="24"/>
              </w:rPr>
              <w:t xml:space="preserve"> to achieve </w:t>
            </w:r>
            <w:r w:rsidR="7C23475F" w:rsidRPr="2F17ACDD">
              <w:rPr>
                <w:rFonts w:ascii="Arial" w:eastAsia="Arial" w:hAnsi="Arial" w:cs="Arial"/>
                <w:sz w:val="24"/>
                <w:szCs w:val="24"/>
              </w:rPr>
              <w:t>investigatory</w:t>
            </w:r>
            <w:r w:rsidR="546C361F" w:rsidRPr="2F17ACDD">
              <w:rPr>
                <w:rFonts w:ascii="Arial" w:eastAsia="Arial" w:hAnsi="Arial" w:cs="Arial"/>
                <w:sz w:val="24"/>
                <w:szCs w:val="24"/>
              </w:rPr>
              <w:t xml:space="preserve"> objectives.</w:t>
            </w:r>
            <w:r w:rsidR="546C361F" w:rsidRPr="2F17ACDD">
              <w:rPr>
                <w:rFonts w:ascii="Arial" w:eastAsia="Arial" w:hAnsi="Arial" w:cs="Arial"/>
              </w:rPr>
              <w:t xml:space="preserve"> </w:t>
            </w:r>
          </w:p>
          <w:p w14:paraId="01B79DB0" w14:textId="01241819" w:rsidR="7336895D" w:rsidRDefault="7336895D" w:rsidP="2F17ACDD"/>
          <w:p w14:paraId="2F7715EC" w14:textId="19D8D547" w:rsidR="7336895D" w:rsidRDefault="55B9A6C8" w:rsidP="2F17ACDD">
            <w:pPr>
              <w:ind w:right="237"/>
              <w:jc w:val="both"/>
              <w:rPr>
                <w:rFonts w:ascii="Calibri" w:eastAsia="Calibri" w:hAnsi="Calibri" w:cs="Calibri"/>
              </w:rPr>
            </w:pPr>
            <w:r w:rsidRPr="2F17ACDD">
              <w:rPr>
                <w:rFonts w:ascii="Arial" w:eastAsia="Arial" w:hAnsi="Arial" w:cs="Arial"/>
                <w:b/>
                <w:bCs/>
                <w:color w:val="000000" w:themeColor="text1"/>
                <w:sz w:val="24"/>
                <w:szCs w:val="24"/>
              </w:rPr>
              <w:t>2000 words</w:t>
            </w:r>
            <w:r w:rsidRPr="2F17ACDD">
              <w:rPr>
                <w:rFonts w:ascii="Arial" w:eastAsia="Arial" w:hAnsi="Arial" w:cs="Arial"/>
                <w:color w:val="000000" w:themeColor="text1"/>
                <w:sz w:val="24"/>
                <w:szCs w:val="24"/>
              </w:rPr>
              <w:t xml:space="preserve"> </w:t>
            </w:r>
            <w:r w:rsidRPr="2F17ACDD">
              <w:rPr>
                <w:rFonts w:ascii="Arial" w:eastAsia="Arial" w:hAnsi="Arial" w:cs="Arial"/>
                <w:i/>
                <w:iCs/>
                <w:color w:val="000000" w:themeColor="text1"/>
                <w:sz w:val="24"/>
                <w:szCs w:val="24"/>
              </w:rPr>
              <w:t>(+/- 10%: include your actual word count at the end of each section)</w:t>
            </w:r>
          </w:p>
        </w:tc>
      </w:tr>
    </w:tbl>
    <w:p w14:paraId="73A5527A" w14:textId="43643768" w:rsidR="2F17ACDD" w:rsidRDefault="2F17ACDD" w:rsidP="00D64C30">
      <w:pPr>
        <w:ind w:right="107"/>
        <w:rPr>
          <w:rFonts w:ascii="Arial" w:eastAsia="Arial" w:hAnsi="Arial" w:cs="Arial"/>
          <w:b/>
          <w:bCs/>
          <w:color w:val="000000" w:themeColor="text1"/>
          <w:sz w:val="24"/>
          <w:szCs w:val="24"/>
        </w:rPr>
      </w:pPr>
    </w:p>
    <w:p w14:paraId="7995ED34" w14:textId="3B11CFFA" w:rsidR="00D64C30" w:rsidRDefault="009175A6" w:rsidP="009175A6">
      <w:pPr>
        <w:pStyle w:val="Heading1"/>
      </w:pPr>
      <w:r>
        <w:t xml:space="preserve">TASK 1 </w:t>
      </w:r>
      <w:r w:rsidR="00D64C30">
        <w:t>ANSWER:</w:t>
      </w:r>
    </w:p>
    <w:p w14:paraId="65252301" w14:textId="77777777" w:rsidR="002729A2" w:rsidRPr="00515727" w:rsidRDefault="002729A2" w:rsidP="002729A2">
      <w:pPr>
        <w:pStyle w:val="Heading2"/>
        <w:rPr>
          <w:rFonts w:eastAsia="Arial"/>
          <w:b/>
          <w:bCs/>
        </w:rPr>
      </w:pPr>
      <w:r w:rsidRPr="003813CC">
        <w:rPr>
          <w:rFonts w:eastAsia="Arial"/>
          <w:b/>
          <w:bCs/>
        </w:rPr>
        <w:t xml:space="preserve">Give a brief description of the investigation including social and legislative contexts and any relevant cultural, ethnicity and language issues.  </w:t>
      </w:r>
    </w:p>
    <w:p w14:paraId="5CBCDACB" w14:textId="77777777" w:rsidR="002729A2" w:rsidRDefault="002729A2" w:rsidP="002729A2">
      <w:r>
        <w:t xml:space="preserve">The Police Online Investigation Team (POLIT) regularly receive intelligence referrals from the National Crime Agency (NCA) relating to reports of online account holders being involved in the upload of indecent images of children to electronic service platforms. A referral will include context of the offending activity, account identifiers, account information and IP activity. Any referral is disseminated as intelligence and developed with a view to taking enforcement action against any identified suspect or carrying out safeguarding duties that may be required.  </w:t>
      </w:r>
    </w:p>
    <w:p w14:paraId="54227A22" w14:textId="77777777" w:rsidR="002729A2" w:rsidRPr="003813CC" w:rsidRDefault="002729A2" w:rsidP="002729A2">
      <w:r>
        <w:t>(Words 81)</w:t>
      </w:r>
    </w:p>
    <w:p w14:paraId="49B442C4" w14:textId="77777777" w:rsidR="002729A2" w:rsidRPr="003813CC" w:rsidRDefault="002729A2" w:rsidP="002729A2">
      <w:pPr>
        <w:pStyle w:val="Heading2"/>
        <w:rPr>
          <w:rFonts w:eastAsia="Arial"/>
          <w:b/>
          <w:bCs/>
        </w:rPr>
      </w:pPr>
      <w:r w:rsidRPr="003813CC">
        <w:rPr>
          <w:rFonts w:eastAsia="Arial"/>
          <w:b/>
          <w:bCs/>
        </w:rPr>
        <w:t xml:space="preserve">Evaluate how you have worked with others (e.g., investigators, </w:t>
      </w:r>
      <w:proofErr w:type="gramStart"/>
      <w:r w:rsidRPr="003813CC">
        <w:rPr>
          <w:rFonts w:eastAsia="Arial"/>
          <w:b/>
          <w:bCs/>
        </w:rPr>
        <w:t>specialists</w:t>
      </w:r>
      <w:proofErr w:type="gramEnd"/>
      <w:r w:rsidRPr="003813CC">
        <w:rPr>
          <w:rFonts w:eastAsia="Arial"/>
          <w:b/>
          <w:bCs/>
        </w:rPr>
        <w:t xml:space="preserve"> and managers) to establish and use appropriate methods for gathering intelligence or evidence. </w:t>
      </w:r>
    </w:p>
    <w:p w14:paraId="23723FEF" w14:textId="77777777" w:rsidR="002729A2" w:rsidRDefault="002729A2" w:rsidP="002729A2"/>
    <w:p w14:paraId="710B686C" w14:textId="77777777" w:rsidR="002729A2" w:rsidRDefault="002729A2" w:rsidP="002729A2">
      <w:r w:rsidRPr="00DA2746">
        <w:t>Collaboration and information-sharing are essential components of successful online child sexual abuse investigations, and it is essential to leverage the expertise and resources of other law enforcement agencies and specialists to achieve the best possible outcomes.</w:t>
      </w:r>
      <w:r>
        <w:t xml:space="preserve"> Partnership working with multi-agencies is a key theme in Policing and is a documented as a priority in the current Dyfed Powys Police and Crime Plan (Dyfed Powys PCC, 2021) it has also been reiterated in recent HMICFRS inspections with an added focus on placing a child’s needs at the forefront of any decision making (HMICFRS, 2023, p.35). </w:t>
      </w:r>
    </w:p>
    <w:p w14:paraId="5DB1E4B4" w14:textId="77777777" w:rsidR="002729A2" w:rsidRDefault="002729A2" w:rsidP="002729A2">
      <w:r>
        <w:t xml:space="preserve">Working in the POLIT affords me the opportunity to work with a range of departments and partner agencies. This close working allows me to foster and develop effective working partnerships to achieve a shared outcome. </w:t>
      </w:r>
    </w:p>
    <w:p w14:paraId="0C9FB5C5" w14:textId="77777777" w:rsidR="002729A2" w:rsidRDefault="002729A2" w:rsidP="002729A2">
      <w:r>
        <w:t xml:space="preserve">Upon receipt of a referral from the NCA an intelligence report (IR) is created in line with the National Intelligence Model Codes of Practice (Home Office, 2005).  Intelligence analysts play a crucial role, helping to develop intelligence strategies (COP, 2013a). Their </w:t>
      </w:r>
      <w:r w:rsidRPr="00BB1234">
        <w:t>importance has never been greater, according to a Police Foundation</w:t>
      </w:r>
      <w:r>
        <w:t xml:space="preserve"> (2022)</w:t>
      </w:r>
      <w:r w:rsidRPr="00BB1234">
        <w:t xml:space="preserve"> assessment. The National Police Chiefs' Council-commissioned assessment indicated that intelligence analysts are essential to spotting and stopping criminal activity</w:t>
      </w:r>
      <w:r>
        <w:t xml:space="preserve"> and more are required</w:t>
      </w:r>
      <w:r w:rsidRPr="00BB1234">
        <w:t>.</w:t>
      </w:r>
      <w:r>
        <w:t xml:space="preserve"> By utilising the assistance of an intelligence analyst at the earliest stages of a referral from the NCA it allows my team to further develop the intelligence picture filling any gaps in knowledge and identifying any safeguarding risks that may be present.</w:t>
      </w:r>
    </w:p>
    <w:p w14:paraId="660CFB04" w14:textId="77777777" w:rsidR="002729A2" w:rsidRDefault="002729A2" w:rsidP="002729A2">
      <w:r>
        <w:t xml:space="preserve">Effective analysis of information in policing can be visualised by the ‘3i model’ below (Ratcliffe 2005, p.439).  </w:t>
      </w:r>
    </w:p>
    <w:p w14:paraId="1B06A7FD" w14:textId="77777777" w:rsidR="002729A2" w:rsidRDefault="002729A2" w:rsidP="002729A2">
      <w:pPr>
        <w:jc w:val="center"/>
      </w:pPr>
      <w:r>
        <w:rPr>
          <w:noProof/>
        </w:rPr>
        <w:drawing>
          <wp:inline distT="0" distB="0" distL="0" distR="0" wp14:anchorId="2B7C7A96" wp14:editId="61778E5A">
            <wp:extent cx="4482527" cy="2624447"/>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88992" cy="2628232"/>
                    </a:xfrm>
                    <a:prstGeom prst="rect">
                      <a:avLst/>
                    </a:prstGeom>
                    <a:noFill/>
                  </pic:spPr>
                </pic:pic>
              </a:graphicData>
            </a:graphic>
          </wp:inline>
        </w:drawing>
      </w:r>
    </w:p>
    <w:p w14:paraId="69675F16" w14:textId="77777777" w:rsidR="002729A2" w:rsidRDefault="002729A2" w:rsidP="002729A2">
      <w:pPr>
        <w:jc w:val="right"/>
      </w:pPr>
      <w:r>
        <w:t xml:space="preserve">(Diagram: 3i Model. COP, 2020) </w:t>
      </w:r>
    </w:p>
    <w:p w14:paraId="3DB7C874" w14:textId="77777777" w:rsidR="002729A2" w:rsidRDefault="002729A2" w:rsidP="002729A2">
      <w:r>
        <w:t xml:space="preserve">Ratcliffe (2005, p.439) explains that both the NIM and the 3i model can be used to focus on a broad range of criminal offending. However, Ratcliffe further warns that to achieve true intelligence-led policing then all 3 stages in the model (interpret, influence, impact) need to be present. </w:t>
      </w:r>
    </w:p>
    <w:p w14:paraId="4E91CE7A" w14:textId="77777777" w:rsidR="002729A2" w:rsidRDefault="002729A2" w:rsidP="002729A2">
      <w:r>
        <w:t xml:space="preserve">Analysts can also produce evidential products in investigations. When dealing with suspects in POLIT investigations Dyfed Powys Police actively seek to identify any communications on suspects devices and review those communications the distribution of child abuse material and for any sexualised chat with children or other likeminded individuals. By reviewing this data, it allows for the identification of vulnerable persons at risk of sexual harm and initiate safeguarding. </w:t>
      </w:r>
    </w:p>
    <w:p w14:paraId="4AAAEAF9" w14:textId="77777777" w:rsidR="002729A2" w:rsidRDefault="002729A2" w:rsidP="002729A2">
      <w:r>
        <w:t xml:space="preserve">The investigation of suspects communication data has been highlighted in a recent inspection by the HMICFRS (2023a, p.46) as ‘promising practice’. However, the inspection further highlighted that this was not consistent with other police forces, commenting that investigations were of poor quality, due to delays in developing intelligence, carrying out risk assessments or acting. </w:t>
      </w:r>
    </w:p>
    <w:p w14:paraId="1A052555" w14:textId="77777777" w:rsidR="002729A2" w:rsidRDefault="002729A2" w:rsidP="002729A2">
      <w:r>
        <w:t xml:space="preserve">Digital evidence can be critical to the success of POLIT investigations. A policing think tank has recently highlighted that the ways in which people engage in illegal activities have been significantly changed by the digital revolution. The introduction of digital technology has provided fresh avenues for committing traditional crimes like child sexual abuse and fraud. Additionally, it has given rise to entirely new forms of criminal behaviour. Furthermore, due to the widespread use of digital devices and the central role of the internet in people's daily lives, nearly every criminal act leaves behind a digital footprint that is pertinent to an investigation (The Police Foundation, 2021, p.2). </w:t>
      </w:r>
    </w:p>
    <w:p w14:paraId="5275DD4F" w14:textId="77777777" w:rsidR="002729A2" w:rsidRDefault="002729A2" w:rsidP="002729A2">
      <w:r>
        <w:t>T</w:t>
      </w:r>
      <w:r w:rsidRPr="00001471">
        <w:t xml:space="preserve">he House of Lords Science and Technology Select Committee report on forensic science </w:t>
      </w:r>
      <w:r>
        <w:t xml:space="preserve">highlighted the challenges faced in presenting scientific evidence in criminal proceedings. </w:t>
      </w:r>
    </w:p>
    <w:p w14:paraId="0EB7F8B8" w14:textId="77777777" w:rsidR="002729A2" w:rsidRDefault="002729A2" w:rsidP="002729A2">
      <w:pPr>
        <w:ind w:left="720"/>
      </w:pPr>
      <w:r>
        <w:t xml:space="preserve">“A further difficulty is the challenge of providing clear evaluative interpretations of what the evidence means to a court. A number of witnesses highlighted the gaps that exist in being able to deliver evidence-based interpretations.” </w:t>
      </w:r>
    </w:p>
    <w:p w14:paraId="42CD563A" w14:textId="77777777" w:rsidR="002729A2" w:rsidRDefault="002729A2" w:rsidP="002729A2">
      <w:pPr>
        <w:jc w:val="right"/>
      </w:pPr>
      <w:r>
        <w:t>(House of Lords, 2019, p.33)</w:t>
      </w:r>
    </w:p>
    <w:p w14:paraId="5A71CF6D" w14:textId="77777777" w:rsidR="002729A2" w:rsidRPr="00001471" w:rsidRDefault="002729A2" w:rsidP="002729A2"/>
    <w:p w14:paraId="5B2F7910" w14:textId="77777777" w:rsidR="002729A2" w:rsidRDefault="002729A2" w:rsidP="002729A2">
      <w:r>
        <w:t xml:space="preserve">Taking DFIs to POLIT warrants assist greatly in the capture of digital evidence in accordance with the </w:t>
      </w:r>
      <w:r w:rsidRPr="00406177">
        <w:t>codes of practice and conduct for forensic practitioner</w:t>
      </w:r>
      <w:r>
        <w:t xml:space="preserve">s, which ensures they comply with the </w:t>
      </w:r>
      <w:r w:rsidRPr="004D7A6E">
        <w:t>International Organi</w:t>
      </w:r>
      <w:r>
        <w:t>s</w:t>
      </w:r>
      <w:r w:rsidRPr="004D7A6E">
        <w:t>ation for Standardi</w:t>
      </w:r>
      <w:r>
        <w:t>s</w:t>
      </w:r>
      <w:r w:rsidRPr="004D7A6E">
        <w:t>ation</w:t>
      </w:r>
      <w:r>
        <w:t xml:space="preserve"> (ISO) (Home Office, 2022). Whilst these standards and codes of practice don’t apply to on-scene triage in POLIT cases, the DFIs</w:t>
      </w:r>
      <w:r w:rsidRPr="001665F7">
        <w:t xml:space="preserve"> have the speciali</w:t>
      </w:r>
      <w:r>
        <w:t>s</w:t>
      </w:r>
      <w:r w:rsidRPr="001665F7">
        <w:t>ed skills and knowledge necessary to extract and analy</w:t>
      </w:r>
      <w:r>
        <w:t>s</w:t>
      </w:r>
      <w:r w:rsidRPr="001665F7">
        <w:t>e digital evidence. This can be a complex and time-consuming process, and digital forensic investigators have the experience and tools to do it quickly and efficiently.</w:t>
      </w:r>
    </w:p>
    <w:p w14:paraId="47444D4E" w14:textId="77777777" w:rsidR="002729A2" w:rsidRDefault="002729A2" w:rsidP="002729A2">
      <w:r>
        <w:t xml:space="preserve">Whilst DFIs can provided specialised skills in securing and preserving digital evidence they often lack the investigative mindset and can fail to remain objective with their investigations. The emotive nature of dealing with child sex offenders can also add to the presumption of guilt. The Making a Murderer (2015) documentary featuring the investigation and conviction of Stephen Avery and Brendon </w:t>
      </w:r>
      <w:proofErr w:type="spellStart"/>
      <w:r>
        <w:t>Dassey</w:t>
      </w:r>
      <w:proofErr w:type="spellEnd"/>
      <w:r>
        <w:t xml:space="preserve"> for the murder of Theresa Halbach in 2005, has all the hallmarks of the presumption of guilt by investigators. The details of the grisly murder were used in the questionable interviewing by investigators and were later fed to the media before trial (Findley, 2016). The pair were convicted, and the bias of the investigators has been the feature of subsequent appeals. </w:t>
      </w:r>
    </w:p>
    <w:p w14:paraId="225671CB" w14:textId="77777777" w:rsidR="002729A2" w:rsidRDefault="002729A2" w:rsidP="002729A2">
      <w:r>
        <w:t>Presumption of guilt by the DFIs can lead to tunnel vision and losing objectivity in their investigations. Although duty bound as an investigator, as a result reasonable lines of enquiry that may prove or disprove a suspect’s guilt are</w:t>
      </w:r>
      <w:r w:rsidRPr="002671F0">
        <w:t xml:space="preserve"> </w:t>
      </w:r>
      <w:r>
        <w:t>not considered (</w:t>
      </w:r>
      <w:r w:rsidRPr="00ED6C75">
        <w:t>CPIA, 1996</w:t>
      </w:r>
      <w:r>
        <w:t xml:space="preserve">). To overcome this, I ensure DFIs are fully briefed prior to the warrant, outlining the objectives of the investigation. During the execution of the warrant, I request meticulous record keeping of the forensic triage and de-brief the actions completed. This practice was supported in recommendations by a Police Foundation (2021, p.10) report calling for the Forensic Capability Network to create an ongoing learning environment for DFIs to upskill and maintain their knowledge. </w:t>
      </w:r>
    </w:p>
    <w:p w14:paraId="69584505" w14:textId="77777777" w:rsidR="002729A2" w:rsidRPr="00576A86" w:rsidRDefault="002729A2" w:rsidP="002729A2">
      <w:pPr>
        <w:rPr>
          <w:b/>
          <w:bCs/>
        </w:rPr>
      </w:pPr>
      <w:r>
        <w:t>(Words 938)</w:t>
      </w:r>
    </w:p>
    <w:p w14:paraId="7A5CCD92" w14:textId="77777777" w:rsidR="002729A2" w:rsidRDefault="002729A2" w:rsidP="002729A2">
      <w:pPr>
        <w:pStyle w:val="Heading2"/>
        <w:rPr>
          <w:rFonts w:eastAsia="Arial"/>
          <w:b/>
          <w:bCs/>
        </w:rPr>
      </w:pPr>
      <w:r w:rsidRPr="003813CC">
        <w:rPr>
          <w:rFonts w:eastAsia="Arial"/>
          <w:b/>
          <w:bCs/>
        </w:rPr>
        <w:t>Assess how you have gathered intelligence or evidence from a range of appropriate sources. Consider how you have recorded and retained intelligence or evidence in a format in line with policy and procedure.</w:t>
      </w:r>
    </w:p>
    <w:p w14:paraId="55474470" w14:textId="77777777" w:rsidR="002729A2" w:rsidRDefault="002729A2" w:rsidP="002729A2"/>
    <w:p w14:paraId="2A1953D5" w14:textId="77777777" w:rsidR="002729A2" w:rsidRDefault="002729A2" w:rsidP="002729A2">
      <w:r>
        <w:t xml:space="preserve">During the process of developing a POLIT case there are a vast array of intelligence sources that I can utilise in order to enrich the intelligence picture of my case and support a warrant application or the arrest of an individual. As investigators we gather information for a policing purpose and this serves as the lawful justification for the </w:t>
      </w:r>
      <w:r w:rsidRPr="001648BD">
        <w:t>recording, evaluation, sharing and retention of information</w:t>
      </w:r>
      <w:r>
        <w:t xml:space="preserve"> (COP, 2015). COP (2015) Authorised Professional Practice goes on to list the reasons for gathering information with preventing the occurrence of crimes, bringing criminals to justice, and fulfilling any obligations or responsibilities derived from both common and statutory laws being the most relevant to POLIT investigations. </w:t>
      </w:r>
    </w:p>
    <w:p w14:paraId="28B1CF5F" w14:textId="77777777" w:rsidR="002729A2" w:rsidRDefault="002729A2" w:rsidP="002729A2">
      <w:r>
        <w:t>During an investigation it is essential to remain vigilant to</w:t>
      </w:r>
      <w:r w:rsidRPr="00160F9F">
        <w:t xml:space="preserve"> opportunities to gather intelligence</w:t>
      </w:r>
      <w:r>
        <w:t xml:space="preserve"> and conduct analysis of any information in collaboration with intelligence </w:t>
      </w:r>
      <w:r w:rsidRPr="00160F9F">
        <w:t>officers and analysts</w:t>
      </w:r>
      <w:r>
        <w:t xml:space="preserve"> so that it can be transformed into actionable intelligence (COP, 2019a).</w:t>
      </w:r>
    </w:p>
    <w:p w14:paraId="486D43CE" w14:textId="77777777" w:rsidR="002729A2" w:rsidRDefault="002729A2" w:rsidP="002729A2">
      <w:r w:rsidRPr="00160F9F">
        <w:t>This intelligence, following the application of the National Intelligence Mode</w:t>
      </w:r>
      <w:r>
        <w:t>l</w:t>
      </w:r>
      <w:r w:rsidRPr="00160F9F">
        <w:t xml:space="preserve"> </w:t>
      </w:r>
      <w:r>
        <w:t xml:space="preserve">(NIM) </w:t>
      </w:r>
      <w:r w:rsidRPr="00160F9F">
        <w:t>and the strategic assessment process, can inform the implementation of tactics aimed at mitigating or eliminating any threats.</w:t>
      </w:r>
      <w:r>
        <w:t xml:space="preserve"> The four core intelligence products outlined within the NIM are subject profile, problem profile, tactical assessment, and strategic assessment. These products can be tailored and combined to properly answer the questions posed in an investigation, allowing for a more fluid and flexible approach (COP, 2019b). However, it is important to be aware of the potential limitations of the NIM highlighted in research by who suggests that decision making can be hindered by issues around</w:t>
      </w:r>
      <w:r w:rsidRPr="00F6453E">
        <w:t xml:space="preserve"> culture, dynamic decision-making, and information sharing</w:t>
      </w:r>
      <w:r>
        <w:t xml:space="preserve"> (</w:t>
      </w:r>
      <w:proofErr w:type="spellStart"/>
      <w:r w:rsidRPr="000855B1">
        <w:t>Keningale</w:t>
      </w:r>
      <w:proofErr w:type="spellEnd"/>
      <w:r w:rsidRPr="000855B1">
        <w:t>,</w:t>
      </w:r>
      <w:r>
        <w:t xml:space="preserve"> 2022). The initial stages of a POLIT investigation requires the development of the intelligence to build a subject profile. Allowing myself as an investigator to make decisions around necessary lines of enquiry to assist the investigation and any police action that is required. </w:t>
      </w:r>
    </w:p>
    <w:p w14:paraId="22CF1CF0" w14:textId="73657F2C" w:rsidR="002729A2" w:rsidRDefault="002729A2" w:rsidP="002729A2">
      <w:pPr>
        <w:rPr>
          <w:b/>
          <w:bCs/>
        </w:rPr>
      </w:pPr>
      <w:r>
        <w:t xml:space="preserve">In a POLIT investigation there a wide </w:t>
      </w:r>
      <w:r w:rsidRPr="00A9322F">
        <w:t xml:space="preserve">range of intelligence sources </w:t>
      </w:r>
      <w:r>
        <w:t xml:space="preserve">that </w:t>
      </w:r>
      <w:r w:rsidRPr="00A9322F">
        <w:t>can be utili</w:t>
      </w:r>
      <w:r>
        <w:t>s</w:t>
      </w:r>
      <w:r w:rsidRPr="00A9322F">
        <w:t xml:space="preserve">ed </w:t>
      </w:r>
      <w:r>
        <w:t>to help develop subject profiles</w:t>
      </w:r>
      <w:r w:rsidRPr="00A9322F">
        <w:t xml:space="preserve">. These sources vary in terms of accessibility, with certain ones being openly accessible, while others are subject to legal regulations like the </w:t>
      </w:r>
      <w:r w:rsidRPr="00DF753B">
        <w:t xml:space="preserve">Regulation of Investigatory Powers Act </w:t>
      </w:r>
      <w:r w:rsidR="00DF753B">
        <w:t>(</w:t>
      </w:r>
      <w:proofErr w:type="gramStart"/>
      <w:r w:rsidRPr="00DF753B">
        <w:t>2000</w:t>
      </w:r>
      <w:r w:rsidR="00DF753B">
        <w:t>)</w:t>
      </w:r>
      <w:r w:rsidRPr="00DF753B">
        <w:t>(</w:t>
      </w:r>
      <w:proofErr w:type="gramEnd"/>
      <w:r w:rsidRPr="00DF753B">
        <w:t>RIPA)</w:t>
      </w:r>
      <w:r w:rsidRPr="00A9322F">
        <w:t xml:space="preserve">, which has been replaced by the </w:t>
      </w:r>
      <w:r w:rsidRPr="00DF753B">
        <w:t>Investigatory Powers Act</w:t>
      </w:r>
      <w:r w:rsidRPr="00A9322F">
        <w:t xml:space="preserve"> </w:t>
      </w:r>
      <w:r w:rsidR="00DF753B">
        <w:t>(2016)</w:t>
      </w:r>
      <w:r w:rsidRPr="00A9322F">
        <w:t>(IPA).</w:t>
      </w:r>
      <w:r>
        <w:t xml:space="preserve"> This legislation enables me as an investigator to acquire private data held on an individual by communication service providers. Without this I would not be able to attribute offending accounts to an individual or a subject location.</w:t>
      </w:r>
      <w:r w:rsidRPr="00A9322F">
        <w:t xml:space="preserve"> Consequently, the selection and utili</w:t>
      </w:r>
      <w:r>
        <w:t>s</w:t>
      </w:r>
      <w:r w:rsidRPr="00A9322F">
        <w:t>ation of these sources are contingent upon factors such as the specific characteristics and intricacy of the investigation, as well as the need for and appropriateness of their u</w:t>
      </w:r>
      <w:r>
        <w:t>tilisation (COP, 2013a).</w:t>
      </w:r>
    </w:p>
    <w:p w14:paraId="7E95FAA0" w14:textId="77777777" w:rsidR="002729A2" w:rsidRPr="00587864" w:rsidRDefault="002729A2" w:rsidP="002729A2">
      <w:pPr>
        <w:rPr>
          <w:b/>
          <w:bCs/>
        </w:rPr>
      </w:pPr>
      <w:r w:rsidRPr="004D4E81">
        <w:t>In an intelligence-led inquiry, the use of data analysis and criminal intelligence is critical in developing an impartial and effective decision-making framework that promotes crime reduction. This methodology has been referred to as a "business model" as well as a "managerial philosophy."</w:t>
      </w:r>
      <w:r>
        <w:t xml:space="preserve"> (Ratcliffe, 2008, p.89). </w:t>
      </w:r>
    </w:p>
    <w:p w14:paraId="5ABCCB5A" w14:textId="77777777" w:rsidR="002729A2" w:rsidRPr="003813CC" w:rsidRDefault="002729A2" w:rsidP="002729A2">
      <w:r>
        <w:t>(Words 479)</w:t>
      </w:r>
    </w:p>
    <w:p w14:paraId="17D22605" w14:textId="77777777" w:rsidR="002729A2" w:rsidRPr="00B637F0" w:rsidRDefault="002729A2" w:rsidP="002729A2">
      <w:pPr>
        <w:pStyle w:val="Heading2"/>
        <w:rPr>
          <w:rFonts w:eastAsia="Arial"/>
          <w:b/>
          <w:bCs/>
        </w:rPr>
      </w:pPr>
      <w:r w:rsidRPr="003813CC">
        <w:rPr>
          <w:rFonts w:eastAsia="Arial"/>
          <w:b/>
          <w:bCs/>
        </w:rPr>
        <w:t xml:space="preserve">Describe how you have identified and planned your own investigative actions, taking in account resources, </w:t>
      </w:r>
      <w:proofErr w:type="gramStart"/>
      <w:r w:rsidRPr="003813CC">
        <w:rPr>
          <w:rFonts w:eastAsia="Arial"/>
          <w:b/>
          <w:bCs/>
        </w:rPr>
        <w:t>priorities</w:t>
      </w:r>
      <w:proofErr w:type="gramEnd"/>
      <w:r w:rsidRPr="003813CC">
        <w:rPr>
          <w:rFonts w:eastAsia="Arial"/>
          <w:b/>
          <w:bCs/>
        </w:rPr>
        <w:t xml:space="preserve"> and proportionality to achieve investigatory objectives. </w:t>
      </w:r>
    </w:p>
    <w:p w14:paraId="74095DFD" w14:textId="77777777" w:rsidR="002729A2" w:rsidRDefault="002729A2" w:rsidP="002729A2"/>
    <w:p w14:paraId="26679A63" w14:textId="77777777" w:rsidR="002729A2" w:rsidRDefault="002729A2" w:rsidP="002729A2">
      <w:r>
        <w:t xml:space="preserve">Managing the risk that sex offenders pose to vulnerable persons is a priority in my role within POLIT. At the heart of my decision making, I utilise the National Decision-Making Model (NDM). </w:t>
      </w:r>
      <w:r w:rsidRPr="0018559B">
        <w:t xml:space="preserve">The NDM distinguishes itself from other decision-making models by putting the Code of Ethics at the heart of all police decision </w:t>
      </w:r>
      <w:r>
        <w:t xml:space="preserve">making (College of Policing, 2013b). </w:t>
      </w:r>
    </w:p>
    <w:p w14:paraId="6F9A9BF5" w14:textId="77777777" w:rsidR="002729A2" w:rsidRDefault="002729A2" w:rsidP="002729A2">
      <w:pPr>
        <w:jc w:val="center"/>
      </w:pPr>
      <w:r>
        <w:rPr>
          <w:noProof/>
        </w:rPr>
        <w:drawing>
          <wp:inline distT="0" distB="0" distL="0" distR="0" wp14:anchorId="429D05EF" wp14:editId="1CF9899A">
            <wp:extent cx="3347637" cy="310466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50225" cy="3107065"/>
                    </a:xfrm>
                    <a:prstGeom prst="rect">
                      <a:avLst/>
                    </a:prstGeom>
                    <a:noFill/>
                  </pic:spPr>
                </pic:pic>
              </a:graphicData>
            </a:graphic>
          </wp:inline>
        </w:drawing>
      </w:r>
    </w:p>
    <w:p w14:paraId="195DF799" w14:textId="77777777" w:rsidR="002729A2" w:rsidRDefault="002729A2" w:rsidP="002729A2">
      <w:pPr>
        <w:jc w:val="right"/>
      </w:pPr>
      <w:r>
        <w:t>(Diagram: NDM, College of Policing, 2013c).</w:t>
      </w:r>
    </w:p>
    <w:p w14:paraId="44F06A25" w14:textId="77777777" w:rsidR="002729A2" w:rsidRDefault="002729A2" w:rsidP="002729A2">
      <w:r>
        <w:t xml:space="preserve">The application of the 6 key components of the NDM is </w:t>
      </w:r>
      <w:r w:rsidRPr="00200394">
        <w:t>appropriate for every decision</w:t>
      </w:r>
      <w:r>
        <w:t xml:space="preserve">, whether </w:t>
      </w:r>
      <w:r w:rsidRPr="00200394">
        <w:t>individual</w:t>
      </w:r>
      <w:r>
        <w:t>ly</w:t>
      </w:r>
      <w:r w:rsidRPr="00200394">
        <w:t xml:space="preserve"> or </w:t>
      </w:r>
      <w:r>
        <w:t xml:space="preserve">by </w:t>
      </w:r>
      <w:r w:rsidRPr="00200394">
        <w:t>groups of people in both operational and non-operational circumstances, for spontaneous incidents or planned activities. It can be used by decision-makers to organise a justification for what they did and why during an incident. It can be used by managers and others to evaluate choices and actions made. The NDM's inherent flexibility makes it simple to expand for specialised policing sectors. The model is always the same, but users are free to choose the inquiries and factors they consider at each stage</w:t>
      </w:r>
      <w:r>
        <w:t xml:space="preserve"> (ACPO, 2011) </w:t>
      </w:r>
    </w:p>
    <w:p w14:paraId="5624E4CF" w14:textId="77777777" w:rsidR="002729A2" w:rsidRDefault="002729A2" w:rsidP="002729A2">
      <w:r>
        <w:t xml:space="preserve">Decision making in the Police was subject of research following the Covid pandemic. Following their research </w:t>
      </w:r>
      <w:r w:rsidRPr="00B73739">
        <w:t>Fenton-</w:t>
      </w:r>
      <w:proofErr w:type="spellStart"/>
      <w:r w:rsidRPr="00B73739">
        <w:t>O’Creevy</w:t>
      </w:r>
      <w:proofErr w:type="spellEnd"/>
      <w:r>
        <w:t xml:space="preserve"> et al (2022) concluded that the </w:t>
      </w:r>
      <w:r w:rsidRPr="00177D69">
        <w:t xml:space="preserve">NDM has several clear advantages, including functioning as a clear prompt to consider numerous key aspects of a decision and its role in recording a defensible basis for decisions. However, two points of worry </w:t>
      </w:r>
      <w:r>
        <w:t xml:space="preserve">were </w:t>
      </w:r>
      <w:r w:rsidRPr="00177D69">
        <w:t>raised</w:t>
      </w:r>
      <w:r>
        <w:t>:</w:t>
      </w:r>
    </w:p>
    <w:p w14:paraId="606AAB18" w14:textId="77777777" w:rsidR="002729A2" w:rsidRDefault="002729A2" w:rsidP="002729A2">
      <w:pPr>
        <w:pStyle w:val="ListParagraph"/>
        <w:numPr>
          <w:ilvl w:val="0"/>
          <w:numId w:val="11"/>
        </w:numPr>
      </w:pPr>
      <w:r>
        <w:t>There is a</w:t>
      </w:r>
      <w:r w:rsidRPr="00177D69">
        <w:t xml:space="preserve"> possibility of establishing a defensible rationale for actions in the context of blame cultures, which may be intensified by rigorous external scrutiny. </w:t>
      </w:r>
    </w:p>
    <w:p w14:paraId="7732A603" w14:textId="77777777" w:rsidR="002729A2" w:rsidRDefault="002729A2" w:rsidP="002729A2">
      <w:pPr>
        <w:pStyle w:val="ListParagraph"/>
        <w:numPr>
          <w:ilvl w:val="0"/>
          <w:numId w:val="11"/>
        </w:numPr>
      </w:pPr>
      <w:r>
        <w:t>A</w:t>
      </w:r>
      <w:r w:rsidRPr="00177D69">
        <w:t xml:space="preserve"> fear that the NDM, in conjunction with the increased emphasis on evidence-based decision-making, may delegitimi</w:t>
      </w:r>
      <w:r>
        <w:t>s</w:t>
      </w:r>
      <w:r w:rsidRPr="00177D69">
        <w:t>e the use of experience-based intuition.</w:t>
      </w:r>
    </w:p>
    <w:p w14:paraId="6D17A950" w14:textId="77777777" w:rsidR="002729A2" w:rsidRDefault="002729A2" w:rsidP="002729A2">
      <w:r>
        <w:t xml:space="preserve">However, the College of Policing (2022a) emphasises the use of professional judgement throughout the Authorised Professional Practice (APP) the idea of, especially when providing guidance in the context of vulnerability.  </w:t>
      </w:r>
    </w:p>
    <w:p w14:paraId="3FC75561" w14:textId="77777777" w:rsidR="002729A2" w:rsidRDefault="002729A2" w:rsidP="002729A2">
      <w:r>
        <w:t>Whilst the NDM allows me to rationalise and document my decision making I still have to consider the stages of a criminal investigations. There are two methods of criminal investigations outlined by the Core Investigative Doctrine</w:t>
      </w:r>
      <w:r w:rsidRPr="00555FD9">
        <w:t xml:space="preserve"> </w:t>
      </w:r>
      <w:r>
        <w:t xml:space="preserve">(NPIA, 2012); reactive investigations or proactive investigations. The majority of POLIT cases fall into proactive investigations. </w:t>
      </w:r>
    </w:p>
    <w:p w14:paraId="5D2332B1" w14:textId="77777777" w:rsidR="002729A2" w:rsidRDefault="002729A2" w:rsidP="002729A2">
      <w:r>
        <w:t xml:space="preserve">There are a number of stages to criminal investigations I consider, and my decision making evolves through each of the stages outlined in the </w:t>
      </w:r>
      <w:r w:rsidRPr="00441DA9">
        <w:t xml:space="preserve">Process of </w:t>
      </w:r>
      <w:r>
        <w:t>I</w:t>
      </w:r>
      <w:r w:rsidRPr="00441DA9">
        <w:t>nvestigation diagram</w:t>
      </w:r>
      <w:r>
        <w:t xml:space="preserve"> (COP, 2023) below. </w:t>
      </w:r>
    </w:p>
    <w:p w14:paraId="2A5CA2F1" w14:textId="77777777" w:rsidR="002729A2" w:rsidRDefault="002729A2" w:rsidP="002729A2">
      <w:pPr>
        <w:jc w:val="center"/>
      </w:pPr>
      <w:r>
        <w:rPr>
          <w:noProof/>
        </w:rPr>
        <w:drawing>
          <wp:inline distT="0" distB="0" distL="0" distR="0" wp14:anchorId="2C20A260" wp14:editId="7B021703">
            <wp:extent cx="4683672" cy="4600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90866" cy="4607641"/>
                    </a:xfrm>
                    <a:prstGeom prst="rect">
                      <a:avLst/>
                    </a:prstGeom>
                    <a:noFill/>
                  </pic:spPr>
                </pic:pic>
              </a:graphicData>
            </a:graphic>
          </wp:inline>
        </w:drawing>
      </w:r>
    </w:p>
    <w:p w14:paraId="3EE3CDF2" w14:textId="77777777" w:rsidR="002729A2" w:rsidRDefault="002729A2" w:rsidP="002729A2">
      <w:pPr>
        <w:jc w:val="right"/>
      </w:pPr>
      <w:r>
        <w:t>(Diagram: Process of Investigation, College of Policing, 2023)</w:t>
      </w:r>
    </w:p>
    <w:p w14:paraId="446080F3" w14:textId="77777777" w:rsidR="002729A2" w:rsidRDefault="002729A2" w:rsidP="002729A2">
      <w:r>
        <w:t xml:space="preserve">Upon receiving a referral, it is essential to establish the type of offending this will determine the level of response required and available powers and policies that can be considered. A self-generated image would require a safeguarding response, whereas an upload of indecent images of children to the internet would require a criminal investigation. The initial investigation and analysis of the referral, checking accuracy and timeliness of the intelligence can determine the direction of the investigation (COP, 2013a).  </w:t>
      </w:r>
    </w:p>
    <w:p w14:paraId="453FC16B" w14:textId="77777777" w:rsidR="002729A2" w:rsidRDefault="002729A2" w:rsidP="002729A2">
      <w:r>
        <w:t xml:space="preserve">By the determining the direction of the investigation from the initial review of the intelligence, I can then establish an investigation plan, outlining the objectives and identifying investigation actions for my team (COP, 2022b). Acquiring and analysing communications data, using legislation </w:t>
      </w:r>
      <w:r w:rsidRPr="00705AE4">
        <w:rPr>
          <w:i/>
          <w:iCs/>
        </w:rPr>
        <w:t>(I</w:t>
      </w:r>
      <w:r w:rsidRPr="00697BEF">
        <w:rPr>
          <w:i/>
          <w:iCs/>
        </w:rPr>
        <w:t>nvestigatory Powers Act 2016</w:t>
      </w:r>
      <w:r>
        <w:rPr>
          <w:i/>
          <w:iCs/>
        </w:rPr>
        <w:t>a (IPA))</w:t>
      </w:r>
      <w:r>
        <w:t xml:space="preserve"> is a core line of enquiry in POLIT investigations. As a result, additional consideration for data protection and the relevant legislation (</w:t>
      </w:r>
      <w:r w:rsidRPr="006265F1">
        <w:rPr>
          <w:i/>
          <w:iCs/>
        </w:rPr>
        <w:t>Data Protection Act 2018; UK General Data Protection Regulation</w:t>
      </w:r>
      <w:r>
        <w:rPr>
          <w:i/>
          <w:iCs/>
        </w:rPr>
        <w:t xml:space="preserve"> 2021</w:t>
      </w:r>
      <w:r>
        <w:t>) is essential to ensure effective policing and prevent any breaches of an individual’s human rights (</w:t>
      </w:r>
      <w:r w:rsidRPr="00AA220F">
        <w:rPr>
          <w:i/>
          <w:iCs/>
        </w:rPr>
        <w:t xml:space="preserve">Human Rights Act 1998, </w:t>
      </w:r>
      <w:r>
        <w:rPr>
          <w:i/>
          <w:iCs/>
        </w:rPr>
        <w:t>A</w:t>
      </w:r>
      <w:r w:rsidRPr="00AA220F">
        <w:rPr>
          <w:i/>
          <w:iCs/>
        </w:rPr>
        <w:t>rticle 8</w:t>
      </w:r>
      <w:r>
        <w:t xml:space="preserve">). </w:t>
      </w:r>
    </w:p>
    <w:p w14:paraId="39EC093A" w14:textId="77777777" w:rsidR="002729A2" w:rsidRDefault="002729A2" w:rsidP="002729A2">
      <w:r>
        <w:t xml:space="preserve">With the development of a subject profile, I was able to utilise risk assessment tools such as THRIVE (COP, 2021) and KIRAT (HMICFRS, 2023b) in order prioritise investigations with the highest risk. However, there are barriers to the effective management of risk, such as resourcing issues or delays in acquiring data under IPA. As a superior recording an investigation plan and my decision making are important not only for the direction of my team conducting those enquires but for the accountability of any decisions made around risk and any delays that escalate that risk. By openly supporting decision-makers and improving their confidence in taking risks, the police force promotes a more positive approach to risk. The adoption of 10 risk principles is a first step in that direction (College of Policing, 2013b). </w:t>
      </w:r>
    </w:p>
    <w:p w14:paraId="2F2ACA5E" w14:textId="77777777" w:rsidR="002729A2" w:rsidRDefault="002729A2" w:rsidP="002729A2">
      <w:r>
        <w:t>(Words 701)</w:t>
      </w:r>
    </w:p>
    <w:p w14:paraId="17A238E4" w14:textId="77777777" w:rsidR="002729A2" w:rsidRDefault="002729A2" w:rsidP="002729A2">
      <w:r>
        <w:t>(Words 2199)</w:t>
      </w:r>
    </w:p>
    <w:p w14:paraId="456D33E8" w14:textId="77777777" w:rsidR="002729A2" w:rsidRPr="00707B75" w:rsidRDefault="002729A2" w:rsidP="002729A2">
      <w:pPr>
        <w:pStyle w:val="Heading2"/>
        <w:rPr>
          <w:b/>
          <w:bCs/>
        </w:rPr>
      </w:pPr>
      <w:r w:rsidRPr="00707B75">
        <w:rPr>
          <w:b/>
          <w:bCs/>
        </w:rPr>
        <w:t>References</w:t>
      </w:r>
    </w:p>
    <w:p w14:paraId="096D2426" w14:textId="77777777" w:rsidR="002729A2" w:rsidRDefault="002729A2" w:rsidP="002729A2"/>
    <w:p w14:paraId="3B10899E" w14:textId="77777777" w:rsidR="002729A2" w:rsidRDefault="002729A2" w:rsidP="002729A2">
      <w:r>
        <w:t xml:space="preserve">ACPO (2011) </w:t>
      </w:r>
      <w:r w:rsidRPr="0084262E">
        <w:rPr>
          <w:i/>
          <w:iCs/>
        </w:rPr>
        <w:t>The National Decision Model.</w:t>
      </w:r>
      <w:r>
        <w:t xml:space="preserve"> Available at: </w:t>
      </w:r>
      <w:hyperlink r:id="rId11" w:history="1">
        <w:r w:rsidRPr="00CC37DA">
          <w:rPr>
            <w:rStyle w:val="Hyperlink"/>
          </w:rPr>
          <w:t>https://webarchive.nationalarchives.gov.uk/ukgwa/20131003092615/http://www.acpo.police.uk/documents/president/201201PBANDM.pdf</w:t>
        </w:r>
      </w:hyperlink>
      <w:r>
        <w:t xml:space="preserve"> (Accessed: 02 March 2023)</w:t>
      </w:r>
    </w:p>
    <w:p w14:paraId="047C34A4" w14:textId="77777777" w:rsidR="002729A2" w:rsidRDefault="002729A2" w:rsidP="002729A2">
      <w:r>
        <w:t xml:space="preserve">College of Policing (2013a) </w:t>
      </w:r>
      <w:r w:rsidRPr="0084262E">
        <w:rPr>
          <w:i/>
          <w:iCs/>
        </w:rPr>
        <w:t>Intelligence Strategy.</w:t>
      </w:r>
      <w:r>
        <w:t xml:space="preserve"> Available at: </w:t>
      </w:r>
      <w:hyperlink r:id="rId12" w:history="1">
        <w:r w:rsidRPr="002E72AA">
          <w:rPr>
            <w:rStyle w:val="Hyperlink"/>
          </w:rPr>
          <w:t>https://www.college.police.uk/app/investigation/investigative-strategies/intelligence-strategy</w:t>
        </w:r>
      </w:hyperlink>
      <w:r>
        <w:t xml:space="preserve"> (Accessed: 05 March 2023)</w:t>
      </w:r>
    </w:p>
    <w:p w14:paraId="2BFC1A92" w14:textId="77777777" w:rsidR="002729A2" w:rsidRDefault="002729A2" w:rsidP="002729A2">
      <w:r>
        <w:t xml:space="preserve">College of Policing (2013b) </w:t>
      </w:r>
      <w:r w:rsidRPr="0084262E">
        <w:rPr>
          <w:i/>
          <w:iCs/>
        </w:rPr>
        <w:t>National decision model.</w:t>
      </w:r>
      <w:r w:rsidRPr="00BA6DCA">
        <w:t xml:space="preserve"> Available at: </w:t>
      </w:r>
      <w:hyperlink r:id="rId13" w:history="1">
        <w:r w:rsidRPr="00D85A1B">
          <w:rPr>
            <w:rStyle w:val="Hyperlink"/>
          </w:rPr>
          <w:t>https://www.college.police.uk/app/national-decision-model/national-decision-model</w:t>
        </w:r>
      </w:hyperlink>
      <w:r>
        <w:t xml:space="preserve"> (Accessed: 02 March 2023)</w:t>
      </w:r>
    </w:p>
    <w:p w14:paraId="01942637" w14:textId="77777777" w:rsidR="002729A2" w:rsidRDefault="002729A2" w:rsidP="002729A2">
      <w:r>
        <w:t xml:space="preserve">College of Policing (2013c) </w:t>
      </w:r>
      <w:r w:rsidRPr="0084262E">
        <w:rPr>
          <w:i/>
          <w:iCs/>
        </w:rPr>
        <w:t xml:space="preserve">National decision model diagram </w:t>
      </w:r>
      <w:r w:rsidRPr="00446102">
        <w:t>[Diagram]</w:t>
      </w:r>
      <w:r>
        <w:t xml:space="preserve">. </w:t>
      </w:r>
      <w:r w:rsidRPr="00BA6DCA">
        <w:t xml:space="preserve">Available at: </w:t>
      </w:r>
      <w:hyperlink r:id="rId14" w:history="1">
        <w:r w:rsidRPr="00D85A1B">
          <w:rPr>
            <w:rStyle w:val="Hyperlink"/>
          </w:rPr>
          <w:t>https://www.college.police.uk/app/national-decision-model/national-decision-model</w:t>
        </w:r>
      </w:hyperlink>
      <w:r>
        <w:t xml:space="preserve"> (Accessed: 02 March 2023)</w:t>
      </w:r>
    </w:p>
    <w:p w14:paraId="2B8AB0EC" w14:textId="77777777" w:rsidR="002729A2" w:rsidRDefault="002729A2" w:rsidP="002729A2">
      <w:r>
        <w:t xml:space="preserve">College of Policing (2015) </w:t>
      </w:r>
      <w:r w:rsidRPr="0084262E">
        <w:rPr>
          <w:i/>
          <w:iCs/>
        </w:rPr>
        <w:t xml:space="preserve">Intelligence collection, </w:t>
      </w:r>
      <w:proofErr w:type="gramStart"/>
      <w:r w:rsidRPr="0084262E">
        <w:rPr>
          <w:i/>
          <w:iCs/>
        </w:rPr>
        <w:t>development</w:t>
      </w:r>
      <w:proofErr w:type="gramEnd"/>
      <w:r w:rsidRPr="0084262E">
        <w:rPr>
          <w:i/>
          <w:iCs/>
        </w:rPr>
        <w:t xml:space="preserve"> and dissemination</w:t>
      </w:r>
      <w:r>
        <w:t xml:space="preserve">. Available at: </w:t>
      </w:r>
      <w:hyperlink r:id="rId15" w:history="1">
        <w:r w:rsidRPr="00CC37DA">
          <w:rPr>
            <w:rStyle w:val="Hyperlink"/>
          </w:rPr>
          <w:t>https://www.college.police.uk/app/intelligence-management/intelligence-collection-development-and-dissemination</w:t>
        </w:r>
      </w:hyperlink>
      <w:r>
        <w:t xml:space="preserve"> </w:t>
      </w:r>
      <w:r w:rsidRPr="00806BCD">
        <w:t xml:space="preserve">(Accessed: </w:t>
      </w:r>
      <w:r>
        <w:t>12</w:t>
      </w:r>
      <w:r w:rsidRPr="00806BCD">
        <w:t xml:space="preserve"> </w:t>
      </w:r>
      <w:r>
        <w:t>March</w:t>
      </w:r>
      <w:r w:rsidRPr="00806BCD">
        <w:t xml:space="preserve"> 2023)</w:t>
      </w:r>
    </w:p>
    <w:p w14:paraId="02B21645" w14:textId="77777777" w:rsidR="002729A2" w:rsidRDefault="002729A2" w:rsidP="002729A2">
      <w:r>
        <w:t xml:space="preserve">College of Policing (2019a) </w:t>
      </w:r>
      <w:r w:rsidRPr="0084262E">
        <w:rPr>
          <w:i/>
          <w:iCs/>
        </w:rPr>
        <w:t>Analysis intelligence products.</w:t>
      </w:r>
      <w:r>
        <w:t xml:space="preserve"> Available at: </w:t>
      </w:r>
      <w:hyperlink r:id="rId16" w:history="1">
        <w:r w:rsidRPr="00CC37DA">
          <w:rPr>
            <w:rStyle w:val="Hyperlink"/>
          </w:rPr>
          <w:t>https://www.college.police.uk/app/intelligence-management/analysis/analysis-intelligence-products</w:t>
        </w:r>
      </w:hyperlink>
      <w:r>
        <w:t xml:space="preserve"> </w:t>
      </w:r>
      <w:r w:rsidRPr="00806BCD">
        <w:t xml:space="preserve">(Accessed: </w:t>
      </w:r>
      <w:r>
        <w:t>12</w:t>
      </w:r>
      <w:r w:rsidRPr="00806BCD">
        <w:t xml:space="preserve"> </w:t>
      </w:r>
      <w:r>
        <w:t>March</w:t>
      </w:r>
      <w:r w:rsidRPr="00806BCD">
        <w:t xml:space="preserve"> 2023)</w:t>
      </w:r>
    </w:p>
    <w:p w14:paraId="050D0D74" w14:textId="77777777" w:rsidR="002729A2" w:rsidRDefault="002729A2" w:rsidP="002729A2">
      <w:r>
        <w:t xml:space="preserve">College of Policing (2019b) </w:t>
      </w:r>
      <w:r w:rsidRPr="0084262E">
        <w:rPr>
          <w:i/>
          <w:iCs/>
        </w:rPr>
        <w:t>Information management.</w:t>
      </w:r>
      <w:r>
        <w:t xml:space="preserve"> Available at: </w:t>
      </w:r>
      <w:hyperlink r:id="rId17" w:anchor="use-of-the-national-intelligence-model" w:history="1">
        <w:r w:rsidRPr="00CC37DA">
          <w:rPr>
            <w:rStyle w:val="Hyperlink"/>
          </w:rPr>
          <w:t>https://www.college.police.uk/app/major-investigation-and-public-protection/investigating-child-abuse-and-safeguarding-children/police-response-investigating-child-abuse/information-management#use-of-the-national-intelligence-model</w:t>
        </w:r>
      </w:hyperlink>
      <w:r>
        <w:t xml:space="preserve"> </w:t>
      </w:r>
      <w:r w:rsidRPr="00806BCD">
        <w:t xml:space="preserve">(Accessed: </w:t>
      </w:r>
      <w:r>
        <w:t>12</w:t>
      </w:r>
      <w:r w:rsidRPr="00806BCD">
        <w:t xml:space="preserve"> </w:t>
      </w:r>
      <w:r>
        <w:t>March</w:t>
      </w:r>
      <w:r w:rsidRPr="00806BCD">
        <w:t xml:space="preserve"> 2023)</w:t>
      </w:r>
    </w:p>
    <w:p w14:paraId="60C9D5B3" w14:textId="77777777" w:rsidR="002729A2" w:rsidRPr="00DF2EDC" w:rsidRDefault="002729A2" w:rsidP="002729A2">
      <w:r w:rsidRPr="00830208">
        <w:t>College of Policing (2021)</w:t>
      </w:r>
      <w:r w:rsidRPr="0084262E">
        <w:rPr>
          <w:i/>
          <w:iCs/>
        </w:rPr>
        <w:t xml:space="preserve"> Introduction to Vulnerability and Risk.</w:t>
      </w:r>
      <w:r>
        <w:t xml:space="preserve"> Available at: </w:t>
      </w:r>
      <w:hyperlink r:id="rId18" w:anchor="thrive" w:history="1">
        <w:r w:rsidRPr="002E72AA">
          <w:rPr>
            <w:rStyle w:val="Hyperlink"/>
          </w:rPr>
          <w:t>https://www.college.police.uk/guidance/vulnerability-related-risks/introduction-vulnerability-related-risk#thrive</w:t>
        </w:r>
      </w:hyperlink>
      <w:r>
        <w:t xml:space="preserve"> (Accessed: 05 March 2023)</w:t>
      </w:r>
    </w:p>
    <w:p w14:paraId="3A180FD8" w14:textId="77777777" w:rsidR="002729A2" w:rsidRDefault="002729A2" w:rsidP="002729A2">
      <w:r>
        <w:t xml:space="preserve">College of Policing (2022a) </w:t>
      </w:r>
      <w:r w:rsidRPr="0084262E">
        <w:rPr>
          <w:i/>
          <w:iCs/>
        </w:rPr>
        <w:t xml:space="preserve">Understanding risk and vulnerability in the context of domestic abuse. </w:t>
      </w:r>
      <w:r>
        <w:t xml:space="preserve">Available at: </w:t>
      </w:r>
      <w:hyperlink r:id="rId19" w:anchor="structured-professional-judgment" w:history="1">
        <w:r w:rsidRPr="002E72AA">
          <w:rPr>
            <w:rStyle w:val="Hyperlink"/>
          </w:rPr>
          <w:t>https://www.college.police.uk/app/major-investigation-and-public-protection/domestic-abuse/understanding-risk-and-vulnerability-context-domestic-abuse#structured-professional-judgment</w:t>
        </w:r>
      </w:hyperlink>
      <w:r>
        <w:t xml:space="preserve"> (Accessed: 03 March 2023)</w:t>
      </w:r>
    </w:p>
    <w:p w14:paraId="48249FEB" w14:textId="77777777" w:rsidR="002729A2" w:rsidRDefault="002729A2" w:rsidP="002729A2">
      <w:r>
        <w:t xml:space="preserve">College of Policing (2022b) </w:t>
      </w:r>
      <w:r w:rsidRPr="0084262E">
        <w:rPr>
          <w:i/>
          <w:iCs/>
        </w:rPr>
        <w:t>Managing investigations.</w:t>
      </w:r>
      <w:r>
        <w:t xml:space="preserve"> Available at: </w:t>
      </w:r>
      <w:hyperlink r:id="rId20" w:history="1">
        <w:r w:rsidRPr="002E72AA">
          <w:rPr>
            <w:rStyle w:val="Hyperlink"/>
          </w:rPr>
          <w:t>https://www.college.police.uk/app/investigation/managing-investigations</w:t>
        </w:r>
      </w:hyperlink>
      <w:r>
        <w:t xml:space="preserve"> (Accessed: 13 March 2023)</w:t>
      </w:r>
    </w:p>
    <w:p w14:paraId="4017DB07" w14:textId="77777777" w:rsidR="002729A2" w:rsidRDefault="002729A2" w:rsidP="002729A2">
      <w:r>
        <w:t xml:space="preserve">College of Policing (2023) </w:t>
      </w:r>
      <w:r w:rsidRPr="0084262E">
        <w:rPr>
          <w:i/>
          <w:iCs/>
        </w:rPr>
        <w:t>Process of investigation diagram</w:t>
      </w:r>
      <w:r>
        <w:t xml:space="preserve"> [Diagram]. Available at: </w:t>
      </w:r>
      <w:hyperlink r:id="rId21" w:history="1">
        <w:r w:rsidRPr="00D85A1B">
          <w:rPr>
            <w:rStyle w:val="Hyperlink"/>
          </w:rPr>
          <w:t>https://www.college.police.uk/app/investigation/investigation-process</w:t>
        </w:r>
      </w:hyperlink>
      <w:r>
        <w:t xml:space="preserve"> (Accessed: 03 March 2023)</w:t>
      </w:r>
    </w:p>
    <w:p w14:paraId="6E3A8185" w14:textId="77777777" w:rsidR="002729A2" w:rsidRPr="00A160DC" w:rsidRDefault="002729A2" w:rsidP="002729A2">
      <w:r w:rsidRPr="0084262E">
        <w:rPr>
          <w:i/>
          <w:iCs/>
        </w:rPr>
        <w:t>Criminal Procedure and Investigations Act 1996, c.25</w:t>
      </w:r>
      <w:r>
        <w:t xml:space="preserve">. Available at: </w:t>
      </w:r>
      <w:hyperlink r:id="rId22" w:history="1">
        <w:r w:rsidRPr="002E72AA">
          <w:rPr>
            <w:rStyle w:val="Hyperlink"/>
          </w:rPr>
          <w:t>https://www.legislation.gov.uk/ukpga/1996/25/contents</w:t>
        </w:r>
      </w:hyperlink>
      <w:r>
        <w:t xml:space="preserve"> </w:t>
      </w:r>
      <w:r w:rsidRPr="00806BCD">
        <w:t xml:space="preserve">(Accessed: </w:t>
      </w:r>
      <w:r>
        <w:t>25 April</w:t>
      </w:r>
      <w:r w:rsidRPr="00806BCD">
        <w:t xml:space="preserve"> 2023)</w:t>
      </w:r>
    </w:p>
    <w:p w14:paraId="5587AD52" w14:textId="77777777" w:rsidR="002729A2" w:rsidRDefault="002729A2" w:rsidP="002729A2">
      <w:r w:rsidRPr="0084262E">
        <w:rPr>
          <w:i/>
          <w:iCs/>
        </w:rPr>
        <w:t>Data Protection Act 2018, c.12</w:t>
      </w:r>
      <w:r>
        <w:t xml:space="preserve">. Available at: </w:t>
      </w:r>
      <w:hyperlink r:id="rId23" w:history="1">
        <w:r w:rsidRPr="002E72AA">
          <w:rPr>
            <w:rStyle w:val="Hyperlink"/>
          </w:rPr>
          <w:t>https://www.legislation.gov.uk/ukpga/2018/12/contents/enacted</w:t>
        </w:r>
      </w:hyperlink>
      <w:r>
        <w:t xml:space="preserve"> (Accessed: 13 March 2023)</w:t>
      </w:r>
    </w:p>
    <w:p w14:paraId="5111131B" w14:textId="77777777" w:rsidR="002729A2" w:rsidRDefault="002729A2" w:rsidP="002729A2">
      <w:r>
        <w:t xml:space="preserve">Dyfed Powys Police and Crime Commissioner (2021) </w:t>
      </w:r>
      <w:r w:rsidRPr="0084262E">
        <w:rPr>
          <w:i/>
          <w:iCs/>
        </w:rPr>
        <w:t xml:space="preserve">Dyfed-Powys Police and Crime Plan 2021-2025. </w:t>
      </w:r>
      <w:r>
        <w:t xml:space="preserve">Available at: </w:t>
      </w:r>
      <w:hyperlink r:id="rId24" w:history="1">
        <w:r w:rsidRPr="00CC37DA">
          <w:rPr>
            <w:rStyle w:val="Hyperlink"/>
          </w:rPr>
          <w:t>https://www.dyfedpowys-pcc.org.uk/media/11092/police-and-crime-plan-2021-2025.pdf</w:t>
        </w:r>
      </w:hyperlink>
      <w:r>
        <w:t xml:space="preserve"> </w:t>
      </w:r>
      <w:r w:rsidRPr="00806BCD">
        <w:t xml:space="preserve">(Accessed: </w:t>
      </w:r>
      <w:r>
        <w:t>12</w:t>
      </w:r>
      <w:r w:rsidRPr="00806BCD">
        <w:t xml:space="preserve"> </w:t>
      </w:r>
      <w:r>
        <w:t>March</w:t>
      </w:r>
      <w:r w:rsidRPr="00806BCD">
        <w:t xml:space="preserve"> 2023)</w:t>
      </w:r>
    </w:p>
    <w:p w14:paraId="1716D75D" w14:textId="77777777" w:rsidR="002729A2" w:rsidRDefault="002729A2" w:rsidP="002729A2">
      <w:r>
        <w:t xml:space="preserve">Findley (2016) </w:t>
      </w:r>
      <w:r w:rsidRPr="0084262E">
        <w:rPr>
          <w:i/>
          <w:iCs/>
        </w:rPr>
        <w:t xml:space="preserve">Opinion: The presumption of innocence exists in theory, not reality. </w:t>
      </w:r>
      <w:r w:rsidRPr="004062B6">
        <w:t xml:space="preserve">Available at: </w:t>
      </w:r>
      <w:hyperlink r:id="rId25" w:history="1">
        <w:r w:rsidRPr="002E72AA">
          <w:rPr>
            <w:rStyle w:val="Hyperlink"/>
          </w:rPr>
          <w:t>https://www.washingtonpost.com/news/in-theory/wp/2016/01/19/the-presumption-of-innocence-exists-in-theory-not-reality/</w:t>
        </w:r>
      </w:hyperlink>
      <w:r>
        <w:t xml:space="preserve"> </w:t>
      </w:r>
      <w:r w:rsidRPr="00806BCD">
        <w:t xml:space="preserve">(Accessed: </w:t>
      </w:r>
      <w:r>
        <w:t>16 April</w:t>
      </w:r>
      <w:r w:rsidRPr="00806BCD">
        <w:t xml:space="preserve"> 2023)</w:t>
      </w:r>
    </w:p>
    <w:p w14:paraId="6250DB7B" w14:textId="77777777" w:rsidR="002729A2" w:rsidRDefault="002729A2" w:rsidP="002729A2">
      <w:r>
        <w:t xml:space="preserve">HMICFRS (2023a) </w:t>
      </w:r>
      <w:r w:rsidRPr="0084262E">
        <w:rPr>
          <w:i/>
          <w:iCs/>
        </w:rPr>
        <w:t>An inspection of how well the police and National Crime Agency tackle the online sexual abuse and exploitation of children.</w:t>
      </w:r>
      <w:r>
        <w:t xml:space="preserve"> Available at: </w:t>
      </w:r>
      <w:hyperlink r:id="rId26" w:history="1">
        <w:r w:rsidRPr="00CC37DA">
          <w:rPr>
            <w:rStyle w:val="Hyperlink"/>
          </w:rPr>
          <w:t>https://www.justiceinspectorates.gov.uk/hmicfrs/wp-content/uploads/inspection-online-sexual-abuse-and-exploitation-of-children.pdf</w:t>
        </w:r>
      </w:hyperlink>
      <w:r>
        <w:t xml:space="preserve"> </w:t>
      </w:r>
      <w:r w:rsidRPr="00806BCD">
        <w:t xml:space="preserve">(Accessed: </w:t>
      </w:r>
      <w:r>
        <w:t>15 April</w:t>
      </w:r>
      <w:r w:rsidRPr="00806BCD">
        <w:t xml:space="preserve"> 2023)</w:t>
      </w:r>
    </w:p>
    <w:p w14:paraId="5300EF93" w14:textId="77777777" w:rsidR="002729A2" w:rsidRDefault="002729A2" w:rsidP="002729A2">
      <w:r>
        <w:t xml:space="preserve">HMICFRS (2023b) </w:t>
      </w:r>
      <w:r w:rsidRPr="0084262E">
        <w:rPr>
          <w:i/>
          <w:iCs/>
        </w:rPr>
        <w:t>Kent internet risk assessment tool (KIRAT)</w:t>
      </w:r>
      <w:r>
        <w:t xml:space="preserve">. Available at: </w:t>
      </w:r>
      <w:hyperlink r:id="rId27" w:history="1">
        <w:r w:rsidRPr="00D85A1B">
          <w:rPr>
            <w:rStyle w:val="Hyperlink"/>
          </w:rPr>
          <w:t>https://www.justiceinspectorates.gov.uk/hmicfrs/glossary/kent-internet-risk-assessment/</w:t>
        </w:r>
      </w:hyperlink>
      <w:r>
        <w:t xml:space="preserve">  (Accessed: 03 March 2023)</w:t>
      </w:r>
    </w:p>
    <w:p w14:paraId="65F3B7D6" w14:textId="77777777" w:rsidR="002729A2" w:rsidRDefault="002729A2" w:rsidP="002729A2">
      <w:r w:rsidRPr="00A160DC">
        <w:t>Home Office (2005)</w:t>
      </w:r>
      <w:r w:rsidRPr="0084262E">
        <w:rPr>
          <w:i/>
          <w:iCs/>
        </w:rPr>
        <w:t xml:space="preserve"> National Intelligence Model Codes of Practice. </w:t>
      </w:r>
      <w:r w:rsidRPr="00A160DC">
        <w:t xml:space="preserve">Available at: </w:t>
      </w:r>
      <w:hyperlink r:id="rId28" w:history="1">
        <w:r w:rsidRPr="00CC37DA">
          <w:rPr>
            <w:rStyle w:val="Hyperlink"/>
          </w:rPr>
          <w:t>https://library.college.police.uk/docs/npia/NIM-Code-of-Practice.pdf</w:t>
        </w:r>
      </w:hyperlink>
      <w:r>
        <w:t xml:space="preserve"> </w:t>
      </w:r>
      <w:r w:rsidRPr="00806BCD">
        <w:t xml:space="preserve">(Accessed: </w:t>
      </w:r>
      <w:r>
        <w:t>15 April</w:t>
      </w:r>
      <w:r w:rsidRPr="00806BCD">
        <w:t xml:space="preserve"> 2023)</w:t>
      </w:r>
    </w:p>
    <w:p w14:paraId="51E079FD" w14:textId="77777777" w:rsidR="002729A2" w:rsidRDefault="002729A2" w:rsidP="002729A2">
      <w:r>
        <w:t xml:space="preserve">House of Lords (2019) Forensic science and the criminal justice system: a blueprint for change. Available at: </w:t>
      </w:r>
      <w:hyperlink r:id="rId29" w:history="1">
        <w:r w:rsidRPr="002E72AA">
          <w:rPr>
            <w:rStyle w:val="Hyperlink"/>
          </w:rPr>
          <w:t>https://publications.parliament.uk/pa/ld201719/ldselect/ldsctech/333/333.pdf</w:t>
        </w:r>
      </w:hyperlink>
      <w:r>
        <w:t xml:space="preserve"> </w:t>
      </w:r>
      <w:r w:rsidRPr="00806BCD">
        <w:t xml:space="preserve">(Accessed: </w:t>
      </w:r>
      <w:r>
        <w:t>14</w:t>
      </w:r>
      <w:r w:rsidRPr="00806BCD">
        <w:t xml:space="preserve"> </w:t>
      </w:r>
      <w:r>
        <w:t>March</w:t>
      </w:r>
      <w:r w:rsidRPr="00806BCD">
        <w:t xml:space="preserve"> 2023)</w:t>
      </w:r>
      <w:r>
        <w:t xml:space="preserve">   </w:t>
      </w:r>
    </w:p>
    <w:p w14:paraId="2BB4B24F" w14:textId="77777777" w:rsidR="002729A2" w:rsidRDefault="002729A2" w:rsidP="002729A2">
      <w:r w:rsidRPr="0084262E">
        <w:rPr>
          <w:i/>
          <w:iCs/>
        </w:rPr>
        <w:t>Human Rights Act 1998.</w:t>
      </w:r>
      <w:r>
        <w:t xml:space="preserve"> Available at: </w:t>
      </w:r>
      <w:hyperlink r:id="rId30" w:history="1">
        <w:r w:rsidRPr="002E72AA">
          <w:rPr>
            <w:rStyle w:val="Hyperlink"/>
          </w:rPr>
          <w:t>https://www.legislation.gov.uk/ukpga/1998/42/schedule/1/part/I/chapter/7</w:t>
        </w:r>
      </w:hyperlink>
      <w:r>
        <w:t xml:space="preserve"> (Accessed: 13 March 2023)</w:t>
      </w:r>
    </w:p>
    <w:p w14:paraId="4E293A8B" w14:textId="77777777" w:rsidR="002729A2" w:rsidRPr="0084262E" w:rsidRDefault="002729A2" w:rsidP="002729A2">
      <w:pPr>
        <w:rPr>
          <w:i/>
          <w:iCs/>
        </w:rPr>
      </w:pPr>
      <w:r w:rsidRPr="0084262E">
        <w:rPr>
          <w:i/>
          <w:iCs/>
        </w:rPr>
        <w:t xml:space="preserve">Investigatory Powers Act 2016, c.25. </w:t>
      </w:r>
      <w:r>
        <w:t xml:space="preserve">Available at: </w:t>
      </w:r>
      <w:hyperlink r:id="rId31" w:history="1">
        <w:r w:rsidRPr="00CC37DA">
          <w:rPr>
            <w:rStyle w:val="Hyperlink"/>
          </w:rPr>
          <w:t>https://www.legislation.gov.uk/ukpga/2016/25/contents/enacted</w:t>
        </w:r>
      </w:hyperlink>
      <w:r>
        <w:t xml:space="preserve"> </w:t>
      </w:r>
      <w:r w:rsidRPr="00806BCD">
        <w:t xml:space="preserve">(Accessed: </w:t>
      </w:r>
      <w:r>
        <w:t>20</w:t>
      </w:r>
      <w:r w:rsidRPr="00806BCD">
        <w:t xml:space="preserve"> </w:t>
      </w:r>
      <w:r>
        <w:t>March</w:t>
      </w:r>
      <w:r w:rsidRPr="00806BCD">
        <w:t xml:space="preserve"> 2023).</w:t>
      </w:r>
    </w:p>
    <w:p w14:paraId="1EB7C907" w14:textId="77777777" w:rsidR="002729A2" w:rsidRDefault="002729A2" w:rsidP="002729A2">
      <w:proofErr w:type="spellStart"/>
      <w:r w:rsidRPr="00286A4A">
        <w:t>Keningale</w:t>
      </w:r>
      <w:proofErr w:type="spellEnd"/>
      <w:r>
        <w:t xml:space="preserve">, P (2022) </w:t>
      </w:r>
      <w:r w:rsidRPr="0084262E">
        <w:rPr>
          <w:i/>
          <w:iCs/>
        </w:rPr>
        <w:t xml:space="preserve">The National Intelligence Model: The barriers to its success. </w:t>
      </w:r>
      <w:r>
        <w:t xml:space="preserve">Available at: </w:t>
      </w:r>
      <w:hyperlink r:id="rId32" w:history="1">
        <w:r w:rsidRPr="00CC37DA">
          <w:rPr>
            <w:rStyle w:val="Hyperlink"/>
          </w:rPr>
          <w:t>https://bscpolicingnetwork.wordpress.com/2022/05/31/the-national-intelligence-model-the-barriers-to-its-success/</w:t>
        </w:r>
      </w:hyperlink>
      <w:r>
        <w:t xml:space="preserve"> </w:t>
      </w:r>
      <w:r w:rsidRPr="00806BCD">
        <w:t xml:space="preserve">(Accessed: </w:t>
      </w:r>
      <w:r>
        <w:t>28</w:t>
      </w:r>
      <w:r w:rsidRPr="00806BCD">
        <w:t xml:space="preserve"> </w:t>
      </w:r>
      <w:r>
        <w:t>April</w:t>
      </w:r>
      <w:r w:rsidRPr="00806BCD">
        <w:t xml:space="preserve"> 2023)</w:t>
      </w:r>
    </w:p>
    <w:p w14:paraId="0BA7E5EA" w14:textId="77777777" w:rsidR="002729A2" w:rsidRDefault="002729A2" w:rsidP="002729A2">
      <w:r>
        <w:t>Long et al (2016) ‘</w:t>
      </w:r>
      <w:r w:rsidRPr="0084262E">
        <w:rPr>
          <w:i/>
          <w:iCs/>
        </w:rPr>
        <w:t>Law enforcement’s prioritization tool for investigating indecent image offenders.’ Psychology, Public Policy, and Law</w:t>
      </w:r>
      <w:r w:rsidRPr="004A2B09">
        <w:t>, 22(1),</w:t>
      </w:r>
      <w:r>
        <w:t xml:space="preserve"> pp.</w:t>
      </w:r>
      <w:r w:rsidRPr="004A2B09">
        <w:t xml:space="preserve"> 12–21</w:t>
      </w:r>
      <w:r w:rsidRPr="0084262E">
        <w:rPr>
          <w:i/>
          <w:iCs/>
        </w:rPr>
        <w:t xml:space="preserve">. </w:t>
      </w:r>
      <w:r w:rsidRPr="004A2B09">
        <w:t>Available at:</w:t>
      </w:r>
      <w:r w:rsidRPr="0084262E">
        <w:rPr>
          <w:i/>
          <w:iCs/>
        </w:rPr>
        <w:t xml:space="preserve"> </w:t>
      </w:r>
      <w:hyperlink r:id="rId33" w:history="1">
        <w:r w:rsidRPr="00CC37DA">
          <w:rPr>
            <w:rStyle w:val="Hyperlink"/>
          </w:rPr>
          <w:t>https://doi.org/10.1037/law0000069</w:t>
        </w:r>
      </w:hyperlink>
      <w:r>
        <w:t xml:space="preserve"> (Accessed: 21 March 2023)</w:t>
      </w:r>
    </w:p>
    <w:p w14:paraId="432C09B7" w14:textId="77777777" w:rsidR="002729A2" w:rsidRDefault="002729A2" w:rsidP="002729A2">
      <w:r w:rsidRPr="0084262E">
        <w:rPr>
          <w:i/>
          <w:iCs/>
        </w:rPr>
        <w:t>Making a Murderer</w:t>
      </w:r>
      <w:r>
        <w:t xml:space="preserve"> (2015) 1, 1-10, Netflix, </w:t>
      </w:r>
      <w:r w:rsidRPr="005745D4">
        <w:t>18 December 2015</w:t>
      </w:r>
    </w:p>
    <w:p w14:paraId="0B7D84CE" w14:textId="77777777" w:rsidR="002729A2" w:rsidRDefault="002729A2" w:rsidP="002729A2">
      <w:r>
        <w:t>National Policing Improvement Agency</w:t>
      </w:r>
      <w:r w:rsidRPr="00004CC4">
        <w:t xml:space="preserve"> (2012)</w:t>
      </w:r>
      <w:r w:rsidRPr="0084262E">
        <w:rPr>
          <w:i/>
          <w:iCs/>
        </w:rPr>
        <w:t xml:space="preserve"> CORE INVESTIGATIVE DOCTRINE 2</w:t>
      </w:r>
      <w:r w:rsidRPr="0084262E">
        <w:rPr>
          <w:i/>
          <w:iCs/>
          <w:vertAlign w:val="superscript"/>
        </w:rPr>
        <w:t>nd</w:t>
      </w:r>
      <w:r w:rsidRPr="0084262E">
        <w:rPr>
          <w:i/>
          <w:iCs/>
        </w:rPr>
        <w:t xml:space="preserve"> EDITION. </w:t>
      </w:r>
      <w:r>
        <w:t>Available at:</w:t>
      </w:r>
      <w:r w:rsidRPr="0084262E">
        <w:rPr>
          <w:i/>
          <w:iCs/>
        </w:rPr>
        <w:t xml:space="preserve"> </w:t>
      </w:r>
      <w:hyperlink r:id="rId34" w:history="1">
        <w:r w:rsidRPr="00D85A1B">
          <w:rPr>
            <w:rStyle w:val="Hyperlink"/>
          </w:rPr>
          <w:t>https://library.college.police.uk/docs/acpo/ACPO-Practice-Advice-on-Core-Investigative-Doctrine-2012.pdf</w:t>
        </w:r>
      </w:hyperlink>
      <w:r>
        <w:t xml:space="preserve"> (Accessed: 04 March 2023)</w:t>
      </w:r>
    </w:p>
    <w:p w14:paraId="695C85B6" w14:textId="77777777" w:rsidR="002729A2" w:rsidRPr="0084262E" w:rsidRDefault="002729A2" w:rsidP="002729A2">
      <w:pPr>
        <w:rPr>
          <w:i/>
          <w:iCs/>
        </w:rPr>
      </w:pPr>
      <w:r w:rsidRPr="0084262E">
        <w:rPr>
          <w:i/>
          <w:iCs/>
        </w:rPr>
        <w:t xml:space="preserve">Police and Criminal Evidence Act 1984, c.60, s.20. </w:t>
      </w:r>
      <w:r>
        <w:t xml:space="preserve">Available at: </w:t>
      </w:r>
      <w:hyperlink r:id="rId35" w:history="1">
        <w:r w:rsidRPr="00CC37DA">
          <w:rPr>
            <w:rStyle w:val="Hyperlink"/>
          </w:rPr>
          <w:t>https://www.legislation.gov.uk/ukpga/1984/60/section/20</w:t>
        </w:r>
      </w:hyperlink>
      <w:r>
        <w:t xml:space="preserve"> </w:t>
      </w:r>
      <w:r w:rsidRPr="00806BCD">
        <w:t xml:space="preserve">(Accessed: </w:t>
      </w:r>
      <w:r>
        <w:t>15</w:t>
      </w:r>
      <w:r w:rsidRPr="00806BCD">
        <w:t xml:space="preserve"> </w:t>
      </w:r>
      <w:r>
        <w:t>March</w:t>
      </w:r>
      <w:r w:rsidRPr="00806BCD">
        <w:t xml:space="preserve"> 2023)</w:t>
      </w:r>
    </w:p>
    <w:p w14:paraId="1D827DC5" w14:textId="77777777" w:rsidR="002729A2" w:rsidRDefault="002729A2" w:rsidP="002729A2">
      <w:r>
        <w:t xml:space="preserve">The Police Foundation (2021) </w:t>
      </w:r>
      <w:r w:rsidRPr="0084262E">
        <w:rPr>
          <w:i/>
          <w:iCs/>
        </w:rPr>
        <w:t>UNLEASHING THE VALUE OF DIGITAL FORENSICS.</w:t>
      </w:r>
      <w:r>
        <w:t xml:space="preserve"> Available at: </w:t>
      </w:r>
      <w:hyperlink r:id="rId36" w:history="1">
        <w:r w:rsidRPr="002E72AA">
          <w:rPr>
            <w:rStyle w:val="Hyperlink"/>
          </w:rPr>
          <w:t>https://www.police-foundation.org.uk/2017/wp-content/uploads/2010/10/value_of_digital_forensics.pdf</w:t>
        </w:r>
      </w:hyperlink>
      <w:r>
        <w:t xml:space="preserve"> </w:t>
      </w:r>
      <w:r w:rsidRPr="00806BCD">
        <w:t xml:space="preserve">(Accessed: </w:t>
      </w:r>
      <w:r>
        <w:t>14</w:t>
      </w:r>
      <w:r w:rsidRPr="00806BCD">
        <w:t xml:space="preserve"> </w:t>
      </w:r>
      <w:r>
        <w:t>March</w:t>
      </w:r>
      <w:r w:rsidRPr="00806BCD">
        <w:t xml:space="preserve"> 2023)</w:t>
      </w:r>
      <w:r>
        <w:t xml:space="preserve">   </w:t>
      </w:r>
    </w:p>
    <w:p w14:paraId="321FC290" w14:textId="77777777" w:rsidR="002729A2" w:rsidRDefault="002729A2" w:rsidP="002729A2">
      <w:r>
        <w:t>The Police foundation (2022)</w:t>
      </w:r>
      <w:r w:rsidRPr="00C32E29">
        <w:t xml:space="preserve"> </w:t>
      </w:r>
      <w:r>
        <w:t xml:space="preserve">Available at: </w:t>
      </w:r>
      <w:hyperlink r:id="rId37" w:history="1">
        <w:r w:rsidRPr="00D85A1B">
          <w:rPr>
            <w:rStyle w:val="Hyperlink"/>
          </w:rPr>
          <w:t>https://www.police-foundation.org.uk/publication/turning-the-tide-against-online-child-sexual-abuse/</w:t>
        </w:r>
      </w:hyperlink>
      <w:r>
        <w:t xml:space="preserve"> </w:t>
      </w:r>
      <w:r w:rsidRPr="00806BCD">
        <w:t xml:space="preserve">(Accessed: </w:t>
      </w:r>
      <w:r>
        <w:t>30</w:t>
      </w:r>
      <w:r w:rsidRPr="00806BCD">
        <w:t xml:space="preserve"> </w:t>
      </w:r>
      <w:r>
        <w:t>April</w:t>
      </w:r>
      <w:r w:rsidRPr="00806BCD">
        <w:t xml:space="preserve"> 2023)</w:t>
      </w:r>
    </w:p>
    <w:p w14:paraId="1BE16B10" w14:textId="77777777" w:rsidR="002729A2" w:rsidRDefault="002729A2" w:rsidP="002729A2">
      <w:r w:rsidRPr="00806BCD">
        <w:t xml:space="preserve">Ratcliffe, J.H. (2016) </w:t>
      </w:r>
      <w:r w:rsidRPr="0084262E">
        <w:rPr>
          <w:i/>
          <w:iCs/>
        </w:rPr>
        <w:t>Intelligence-led policing</w:t>
      </w:r>
      <w:r w:rsidRPr="00806BCD">
        <w:t>. 2</w:t>
      </w:r>
      <w:r w:rsidRPr="0084262E">
        <w:rPr>
          <w:vertAlign w:val="superscript"/>
        </w:rPr>
        <w:t>nd</w:t>
      </w:r>
      <w:r>
        <w:t xml:space="preserve"> </w:t>
      </w:r>
      <w:proofErr w:type="spellStart"/>
      <w:r>
        <w:t>edn</w:t>
      </w:r>
      <w:proofErr w:type="spellEnd"/>
      <w:r w:rsidRPr="00806BCD">
        <w:t xml:space="preserve">. </w:t>
      </w:r>
      <w:r>
        <w:t xml:space="preserve">London and New York: </w:t>
      </w:r>
      <w:r w:rsidRPr="00806BCD">
        <w:t xml:space="preserve">Routledge. Available at: </w:t>
      </w:r>
      <w:hyperlink r:id="rId38" w:history="1">
        <w:r w:rsidRPr="00D85A1B">
          <w:rPr>
            <w:rStyle w:val="Hyperlink"/>
          </w:rPr>
          <w:t>https://search.ebscohost.com/login.aspx?direct=true&amp;AuthType=shib&amp;db=cat04924a&amp;AN=npl.9781315717579&amp;site=eds-live&amp;scope=site</w:t>
        </w:r>
      </w:hyperlink>
      <w:r>
        <w:t xml:space="preserve"> </w:t>
      </w:r>
      <w:r w:rsidRPr="00806BCD">
        <w:t xml:space="preserve">(Accessed: </w:t>
      </w:r>
      <w:r>
        <w:t>28</w:t>
      </w:r>
      <w:r w:rsidRPr="00806BCD">
        <w:t xml:space="preserve"> </w:t>
      </w:r>
      <w:r>
        <w:t>April</w:t>
      </w:r>
      <w:r w:rsidRPr="00806BCD">
        <w:t xml:space="preserve"> 2023)</w:t>
      </w:r>
    </w:p>
    <w:p w14:paraId="31D4F5D1" w14:textId="3822583D" w:rsidR="002729A2" w:rsidRPr="0084262E" w:rsidRDefault="002729A2" w:rsidP="002729A2">
      <w:pPr>
        <w:rPr>
          <w:i/>
          <w:iCs/>
        </w:rPr>
      </w:pPr>
      <w:r w:rsidRPr="0084262E">
        <w:rPr>
          <w:i/>
          <w:iCs/>
        </w:rPr>
        <w:t xml:space="preserve">Regulation of Investigatory Powers Act 2000, c.23. </w:t>
      </w:r>
      <w:r>
        <w:t xml:space="preserve">Available at: </w:t>
      </w:r>
      <w:hyperlink r:id="rId39" w:history="1">
        <w:r w:rsidRPr="00CC37DA">
          <w:rPr>
            <w:rStyle w:val="Hyperlink"/>
          </w:rPr>
          <w:t>https://www.legislation.gov.uk/ukpga/2000/23/contents</w:t>
        </w:r>
      </w:hyperlink>
      <w:r>
        <w:t xml:space="preserve"> </w:t>
      </w:r>
      <w:r w:rsidRPr="00806BCD">
        <w:t xml:space="preserve">(Accessed: </w:t>
      </w:r>
      <w:r>
        <w:t>20</w:t>
      </w:r>
      <w:r w:rsidRPr="00806BCD">
        <w:t xml:space="preserve"> </w:t>
      </w:r>
      <w:r>
        <w:t>March</w:t>
      </w:r>
      <w:r w:rsidRPr="00806BCD">
        <w:t xml:space="preserve"> 2023)</w:t>
      </w:r>
    </w:p>
    <w:p w14:paraId="301F865C" w14:textId="51E724D2" w:rsidR="00D64C30" w:rsidRDefault="002729A2" w:rsidP="002729A2">
      <w:pPr>
        <w:ind w:right="107"/>
        <w:rPr>
          <w:rFonts w:ascii="Arial" w:eastAsia="Arial" w:hAnsi="Arial" w:cs="Arial"/>
          <w:b/>
          <w:bCs/>
          <w:i/>
          <w:iCs/>
          <w:color w:val="000000" w:themeColor="text1"/>
          <w:sz w:val="24"/>
          <w:szCs w:val="24"/>
        </w:rPr>
      </w:pPr>
      <w:r w:rsidRPr="0084262E">
        <w:rPr>
          <w:i/>
          <w:iCs/>
        </w:rPr>
        <w:t xml:space="preserve">United Kingdom General Data Protection Regulation 2016 </w:t>
      </w:r>
      <w:r w:rsidRPr="009821D5">
        <w:t>(SI 2016/679</w:t>
      </w:r>
      <w:r>
        <w:t xml:space="preserve">). Available at: </w:t>
      </w:r>
      <w:hyperlink r:id="rId40" w:history="1">
        <w:r w:rsidRPr="002E72AA">
          <w:rPr>
            <w:rStyle w:val="Hyperlink"/>
          </w:rPr>
          <w:t>https://www.legislation.gov.uk/eur/2016/679/contents#</w:t>
        </w:r>
      </w:hyperlink>
      <w:r>
        <w:t xml:space="preserve"> (Accessed: 13 March 2023)</w:t>
      </w:r>
    </w:p>
    <w:p w14:paraId="2F03655D" w14:textId="55FA5E1A" w:rsidR="7336895D" w:rsidRDefault="010A2EC9" w:rsidP="2F17ACDD">
      <w:pPr>
        <w:rPr>
          <w:rFonts w:ascii="Arial" w:eastAsia="Arial" w:hAnsi="Arial" w:cs="Arial"/>
          <w:b/>
          <w:bCs/>
          <w:i/>
          <w:iCs/>
          <w:sz w:val="24"/>
          <w:szCs w:val="24"/>
        </w:rPr>
      </w:pPr>
      <w:r w:rsidRPr="2F17ACDD">
        <w:rPr>
          <w:rFonts w:ascii="Arial" w:eastAsia="Arial" w:hAnsi="Arial" w:cs="Arial"/>
          <w:b/>
          <w:bCs/>
          <w:i/>
          <w:iCs/>
          <w:sz w:val="24"/>
          <w:szCs w:val="24"/>
        </w:rPr>
        <w:t xml:space="preserve">Task 2: </w:t>
      </w:r>
      <w:r w:rsidR="3F637696" w:rsidRPr="2F17ACDD">
        <w:rPr>
          <w:rFonts w:ascii="Arial" w:eastAsia="Arial" w:hAnsi="Arial" w:cs="Arial"/>
          <w:b/>
          <w:bCs/>
          <w:i/>
          <w:iCs/>
          <w:sz w:val="24"/>
          <w:szCs w:val="24"/>
        </w:rPr>
        <w:t>Safeguarding and Risk Assessment</w:t>
      </w:r>
    </w:p>
    <w:p w14:paraId="2A30A3F0" w14:textId="7DE690F1" w:rsidR="7336895D" w:rsidRDefault="1EBEE606" w:rsidP="2F17ACDD">
      <w:pPr>
        <w:rPr>
          <w:rFonts w:ascii="Arial" w:eastAsia="Arial" w:hAnsi="Arial" w:cs="Arial"/>
          <w:color w:val="000000" w:themeColor="text1"/>
          <w:sz w:val="24"/>
          <w:szCs w:val="24"/>
        </w:rPr>
      </w:pPr>
      <w:r w:rsidRPr="2F17ACDD">
        <w:rPr>
          <w:rFonts w:ascii="Arial" w:eastAsia="Arial" w:hAnsi="Arial" w:cs="Arial"/>
          <w:color w:val="000000" w:themeColor="text1"/>
          <w:sz w:val="24"/>
          <w:szCs w:val="24"/>
        </w:rPr>
        <w:t xml:space="preserve">You must choose an investigation in which you played a significant role and reflect upon how you supported victims and or witnesses. </w:t>
      </w:r>
    </w:p>
    <w:tbl>
      <w:tblPr>
        <w:tblStyle w:val="TableGrid"/>
        <w:tblW w:w="0" w:type="auto"/>
        <w:tblLayout w:type="fixed"/>
        <w:tblLook w:val="06A0" w:firstRow="1" w:lastRow="0" w:firstColumn="1" w:lastColumn="0" w:noHBand="1" w:noVBand="1"/>
      </w:tblPr>
      <w:tblGrid>
        <w:gridCol w:w="9015"/>
      </w:tblGrid>
      <w:tr w:rsidR="7336895D" w14:paraId="377E1D5D" w14:textId="77777777" w:rsidTr="2F17ACDD">
        <w:tc>
          <w:tcPr>
            <w:tcW w:w="9015" w:type="dxa"/>
          </w:tcPr>
          <w:p w14:paraId="44012570" w14:textId="0A59423F" w:rsidR="7336895D" w:rsidRDefault="1EBEE606" w:rsidP="2F17ACDD">
            <w:pPr>
              <w:spacing w:line="259" w:lineRule="auto"/>
              <w:rPr>
                <w:rFonts w:ascii="Arial" w:eastAsia="Arial" w:hAnsi="Arial" w:cs="Arial"/>
                <w:b/>
                <w:bCs/>
                <w:color w:val="000000" w:themeColor="text1"/>
                <w:sz w:val="24"/>
                <w:szCs w:val="24"/>
              </w:rPr>
            </w:pPr>
            <w:r w:rsidRPr="2F17ACDD">
              <w:rPr>
                <w:rFonts w:ascii="Arial" w:eastAsia="Arial" w:hAnsi="Arial" w:cs="Arial"/>
                <w:b/>
                <w:bCs/>
                <w:color w:val="000000" w:themeColor="text1"/>
                <w:sz w:val="24"/>
                <w:szCs w:val="24"/>
              </w:rPr>
              <w:t>Give a brief description</w:t>
            </w:r>
            <w:r w:rsidRPr="2F17ACDD">
              <w:rPr>
                <w:rFonts w:ascii="Arial" w:eastAsia="Arial" w:hAnsi="Arial" w:cs="Arial"/>
                <w:color w:val="000000" w:themeColor="text1"/>
                <w:sz w:val="24"/>
                <w:szCs w:val="24"/>
              </w:rPr>
              <w:t xml:space="preserve"> of the investigation including social and legislative contexts and any relevant cultural, ethnicity and language issues.  </w:t>
            </w:r>
            <w:r w:rsidRPr="2F17ACDD">
              <w:rPr>
                <w:rFonts w:ascii="Arial" w:eastAsia="Arial" w:hAnsi="Arial" w:cs="Arial"/>
                <w:sz w:val="24"/>
                <w:szCs w:val="24"/>
              </w:rPr>
              <w:t xml:space="preserve"> </w:t>
            </w:r>
          </w:p>
          <w:p w14:paraId="2A0EC8D3" w14:textId="6AF2A5EB" w:rsidR="7336895D" w:rsidRDefault="7336895D" w:rsidP="515A1CF8">
            <w:pPr>
              <w:rPr>
                <w:rFonts w:ascii="Arial" w:eastAsia="Arial" w:hAnsi="Arial" w:cs="Arial"/>
                <w:b/>
                <w:bCs/>
                <w:color w:val="000000" w:themeColor="text1"/>
                <w:sz w:val="24"/>
                <w:szCs w:val="24"/>
              </w:rPr>
            </w:pPr>
          </w:p>
          <w:p w14:paraId="49AF60EB" w14:textId="7E8FD7D8" w:rsidR="1EBEE606" w:rsidRDefault="1EBEE606" w:rsidP="515A1CF8">
            <w:pPr>
              <w:rPr>
                <w:rFonts w:ascii="Arial" w:eastAsia="Arial" w:hAnsi="Arial" w:cs="Arial"/>
                <w:b/>
                <w:bCs/>
                <w:color w:val="000000" w:themeColor="text1"/>
                <w:sz w:val="24"/>
                <w:szCs w:val="24"/>
              </w:rPr>
            </w:pPr>
            <w:r w:rsidRPr="2F17ACDD">
              <w:rPr>
                <w:rFonts w:ascii="Arial" w:eastAsia="Arial" w:hAnsi="Arial" w:cs="Arial"/>
                <w:color w:val="000000" w:themeColor="text1"/>
                <w:sz w:val="24"/>
                <w:szCs w:val="24"/>
              </w:rPr>
              <w:t xml:space="preserve">Critically evaluate how you have provided appropriate support for victims during an investigation. Consider the use of </w:t>
            </w:r>
            <w:r w:rsidR="77459558" w:rsidRPr="2F17ACDD">
              <w:rPr>
                <w:rFonts w:ascii="Arial" w:eastAsia="Arial" w:hAnsi="Arial" w:cs="Arial"/>
                <w:color w:val="000000" w:themeColor="text1"/>
                <w:sz w:val="24"/>
                <w:szCs w:val="24"/>
              </w:rPr>
              <w:t xml:space="preserve">a victim strategy when required and working with the Victim Care Unit. </w:t>
            </w:r>
          </w:p>
          <w:p w14:paraId="44E0E104" w14:textId="74D7C2CC" w:rsidR="515A1CF8" w:rsidRDefault="515A1CF8" w:rsidP="515A1CF8">
            <w:pPr>
              <w:rPr>
                <w:rFonts w:ascii="Arial" w:eastAsia="Arial" w:hAnsi="Arial" w:cs="Arial"/>
                <w:color w:val="000000" w:themeColor="text1"/>
                <w:sz w:val="24"/>
                <w:szCs w:val="24"/>
              </w:rPr>
            </w:pPr>
          </w:p>
          <w:p w14:paraId="299FE2F7" w14:textId="5EF70B86" w:rsidR="587461C1" w:rsidRDefault="241B4BAD" w:rsidP="79283025">
            <w:pPr>
              <w:rPr>
                <w:rFonts w:ascii="Arial" w:eastAsia="Arial" w:hAnsi="Arial" w:cs="Arial"/>
                <w:color w:val="000000" w:themeColor="text1"/>
                <w:sz w:val="24"/>
                <w:szCs w:val="24"/>
              </w:rPr>
            </w:pPr>
            <w:r w:rsidRPr="2F17ACDD">
              <w:rPr>
                <w:rFonts w:ascii="Arial" w:eastAsia="Arial" w:hAnsi="Arial" w:cs="Arial"/>
                <w:color w:val="000000" w:themeColor="text1"/>
                <w:sz w:val="24"/>
                <w:szCs w:val="24"/>
              </w:rPr>
              <w:t>Examine the use of appropriate responses to safeguarding concerns and manage</w:t>
            </w:r>
            <w:r w:rsidR="56CF73C9" w:rsidRPr="2F17ACDD">
              <w:rPr>
                <w:rFonts w:ascii="Arial" w:eastAsia="Arial" w:hAnsi="Arial" w:cs="Arial"/>
                <w:color w:val="000000" w:themeColor="text1"/>
                <w:sz w:val="24"/>
                <w:szCs w:val="24"/>
              </w:rPr>
              <w:t>ment</w:t>
            </w:r>
            <w:r w:rsidRPr="2F17ACDD">
              <w:rPr>
                <w:rFonts w:ascii="Arial" w:eastAsia="Arial" w:hAnsi="Arial" w:cs="Arial"/>
                <w:color w:val="000000" w:themeColor="text1"/>
                <w:sz w:val="24"/>
                <w:szCs w:val="24"/>
              </w:rPr>
              <w:t xml:space="preserve"> risk in investigations. </w:t>
            </w:r>
            <w:r w:rsidRPr="2F17ACDD">
              <w:rPr>
                <w:rFonts w:ascii="Arial" w:eastAsia="Arial" w:hAnsi="Arial" w:cs="Arial"/>
                <w:i/>
                <w:iCs/>
                <w:color w:val="000000" w:themeColor="text1"/>
                <w:sz w:val="24"/>
                <w:szCs w:val="24"/>
              </w:rPr>
              <w:t>(</w:t>
            </w:r>
            <w:r w:rsidR="3BC963D9" w:rsidRPr="2F17ACDD">
              <w:rPr>
                <w:rFonts w:ascii="Arial" w:eastAsia="Arial" w:hAnsi="Arial" w:cs="Arial"/>
                <w:i/>
                <w:iCs/>
                <w:color w:val="000000" w:themeColor="text1"/>
                <w:sz w:val="24"/>
                <w:szCs w:val="24"/>
              </w:rPr>
              <w:t>Examples</w:t>
            </w:r>
            <w:r w:rsidRPr="2F17ACDD">
              <w:rPr>
                <w:rFonts w:ascii="Arial" w:eastAsia="Arial" w:hAnsi="Arial" w:cs="Arial"/>
                <w:i/>
                <w:iCs/>
                <w:color w:val="000000" w:themeColor="text1"/>
                <w:sz w:val="24"/>
                <w:szCs w:val="24"/>
              </w:rPr>
              <w:t xml:space="preserve"> inclu</w:t>
            </w:r>
            <w:r w:rsidR="3246B245" w:rsidRPr="2F17ACDD">
              <w:rPr>
                <w:rFonts w:ascii="Arial" w:eastAsia="Arial" w:hAnsi="Arial" w:cs="Arial"/>
                <w:i/>
                <w:iCs/>
                <w:color w:val="000000" w:themeColor="text1"/>
                <w:sz w:val="24"/>
                <w:szCs w:val="24"/>
              </w:rPr>
              <w:t>de but not limited to; child abuse, offences against vulnerable adults and domestic abuse</w:t>
            </w:r>
            <w:r w:rsidR="3246B245" w:rsidRPr="2F17ACDD">
              <w:rPr>
                <w:rFonts w:ascii="Arial" w:eastAsia="Arial" w:hAnsi="Arial" w:cs="Arial"/>
                <w:color w:val="000000" w:themeColor="text1"/>
                <w:sz w:val="24"/>
                <w:szCs w:val="24"/>
              </w:rPr>
              <w:t>).</w:t>
            </w:r>
          </w:p>
          <w:p w14:paraId="6308EF80" w14:textId="244D8081" w:rsidR="7336895D" w:rsidRDefault="7336895D" w:rsidP="515A1CF8">
            <w:pPr>
              <w:rPr>
                <w:rFonts w:ascii="Arial" w:eastAsia="Arial" w:hAnsi="Arial" w:cs="Arial"/>
                <w:b/>
                <w:bCs/>
                <w:color w:val="000000" w:themeColor="text1"/>
                <w:sz w:val="24"/>
                <w:szCs w:val="24"/>
              </w:rPr>
            </w:pPr>
          </w:p>
          <w:p w14:paraId="7CAF4048" w14:textId="6196AD54" w:rsidR="4D1E61E7" w:rsidRDefault="487939DB" w:rsidP="79283025">
            <w:pPr>
              <w:rPr>
                <w:rFonts w:ascii="Arial" w:eastAsia="Arial" w:hAnsi="Arial" w:cs="Arial"/>
                <w:color w:val="000000" w:themeColor="text1"/>
                <w:sz w:val="24"/>
                <w:szCs w:val="24"/>
              </w:rPr>
            </w:pPr>
            <w:r w:rsidRPr="2F17ACDD">
              <w:rPr>
                <w:rFonts w:ascii="Arial" w:eastAsia="Arial" w:hAnsi="Arial" w:cs="Arial"/>
                <w:color w:val="000000" w:themeColor="text1"/>
                <w:sz w:val="24"/>
                <w:szCs w:val="24"/>
              </w:rPr>
              <w:t>Consider and reflect</w:t>
            </w:r>
            <w:r w:rsidRPr="2F17ACDD">
              <w:rPr>
                <w:rFonts w:ascii="Arial" w:eastAsia="Arial" w:hAnsi="Arial" w:cs="Arial"/>
                <w:b/>
                <w:bCs/>
                <w:color w:val="000000" w:themeColor="text1"/>
                <w:sz w:val="24"/>
                <w:szCs w:val="24"/>
              </w:rPr>
              <w:t xml:space="preserve"> </w:t>
            </w:r>
            <w:r w:rsidRPr="2F17ACDD">
              <w:rPr>
                <w:rFonts w:ascii="Arial" w:eastAsia="Arial" w:hAnsi="Arial" w:cs="Arial"/>
                <w:color w:val="000000" w:themeColor="text1"/>
                <w:sz w:val="24"/>
                <w:szCs w:val="24"/>
              </w:rPr>
              <w:t xml:space="preserve">upon how you have assessed threat, </w:t>
            </w:r>
            <w:proofErr w:type="gramStart"/>
            <w:r w:rsidRPr="2F17ACDD">
              <w:rPr>
                <w:rFonts w:ascii="Arial" w:eastAsia="Arial" w:hAnsi="Arial" w:cs="Arial"/>
                <w:color w:val="000000" w:themeColor="text1"/>
                <w:sz w:val="24"/>
                <w:szCs w:val="24"/>
              </w:rPr>
              <w:t>risk</w:t>
            </w:r>
            <w:proofErr w:type="gramEnd"/>
            <w:r w:rsidRPr="2F17ACDD">
              <w:rPr>
                <w:rFonts w:ascii="Arial" w:eastAsia="Arial" w:hAnsi="Arial" w:cs="Arial"/>
                <w:color w:val="000000" w:themeColor="text1"/>
                <w:sz w:val="24"/>
                <w:szCs w:val="24"/>
              </w:rPr>
              <w:t xml:space="preserve"> and harm </w:t>
            </w:r>
            <w:r w:rsidR="4953F3A6" w:rsidRPr="2F17ACDD">
              <w:rPr>
                <w:rFonts w:ascii="Arial" w:eastAsia="Arial" w:hAnsi="Arial" w:cs="Arial"/>
                <w:color w:val="000000" w:themeColor="text1"/>
                <w:sz w:val="24"/>
                <w:szCs w:val="24"/>
              </w:rPr>
              <w:t>to</w:t>
            </w:r>
            <w:r w:rsidRPr="2F17ACDD">
              <w:rPr>
                <w:rFonts w:ascii="Arial" w:eastAsia="Arial" w:hAnsi="Arial" w:cs="Arial"/>
                <w:color w:val="000000" w:themeColor="text1"/>
                <w:sz w:val="24"/>
                <w:szCs w:val="24"/>
              </w:rPr>
              <w:t xml:space="preserve"> develop and implement plans and strategies to investigate serious and complex crime</w:t>
            </w:r>
            <w:r w:rsidR="75DFBB0C" w:rsidRPr="2F17ACDD">
              <w:rPr>
                <w:rFonts w:ascii="Arial" w:eastAsia="Arial" w:hAnsi="Arial" w:cs="Arial"/>
                <w:color w:val="000000" w:themeColor="text1"/>
                <w:sz w:val="24"/>
                <w:szCs w:val="24"/>
              </w:rPr>
              <w:t xml:space="preserve">. </w:t>
            </w:r>
          </w:p>
          <w:p w14:paraId="22801FC5" w14:textId="42129A2A" w:rsidR="7336895D" w:rsidRDefault="7336895D" w:rsidP="2F17ACDD">
            <w:pPr>
              <w:rPr>
                <w:rFonts w:ascii="Arial" w:eastAsia="Arial" w:hAnsi="Arial" w:cs="Arial"/>
                <w:color w:val="000000" w:themeColor="text1"/>
                <w:sz w:val="24"/>
                <w:szCs w:val="24"/>
              </w:rPr>
            </w:pPr>
          </w:p>
          <w:p w14:paraId="33BEFD48" w14:textId="34D11B70" w:rsidR="7336895D" w:rsidRDefault="02F7C53E" w:rsidP="2F17ACDD">
            <w:pPr>
              <w:ind w:right="237"/>
              <w:jc w:val="both"/>
              <w:rPr>
                <w:rFonts w:ascii="Arial" w:eastAsia="Arial" w:hAnsi="Arial" w:cs="Arial"/>
                <w:sz w:val="24"/>
                <w:szCs w:val="24"/>
              </w:rPr>
            </w:pPr>
            <w:r w:rsidRPr="2F17ACDD">
              <w:rPr>
                <w:rFonts w:ascii="Arial" w:eastAsia="Arial" w:hAnsi="Arial" w:cs="Arial"/>
                <w:b/>
                <w:bCs/>
                <w:color w:val="000000" w:themeColor="text1"/>
                <w:sz w:val="24"/>
                <w:szCs w:val="24"/>
              </w:rPr>
              <w:t>2000 words</w:t>
            </w:r>
            <w:r w:rsidRPr="2F17ACDD">
              <w:rPr>
                <w:rFonts w:ascii="Arial" w:eastAsia="Arial" w:hAnsi="Arial" w:cs="Arial"/>
                <w:color w:val="000000" w:themeColor="text1"/>
                <w:sz w:val="24"/>
                <w:szCs w:val="24"/>
              </w:rPr>
              <w:t xml:space="preserve"> </w:t>
            </w:r>
            <w:r w:rsidRPr="2F17ACDD">
              <w:rPr>
                <w:rFonts w:ascii="Arial" w:eastAsia="Arial" w:hAnsi="Arial" w:cs="Arial"/>
                <w:i/>
                <w:iCs/>
                <w:color w:val="000000" w:themeColor="text1"/>
                <w:sz w:val="24"/>
                <w:szCs w:val="24"/>
              </w:rPr>
              <w:t>(+/- 10%: include your actual word count at the end of each section)</w:t>
            </w:r>
          </w:p>
        </w:tc>
      </w:tr>
    </w:tbl>
    <w:p w14:paraId="28824CA4" w14:textId="5793308C" w:rsidR="7336895D" w:rsidRDefault="7336895D" w:rsidP="7336895D">
      <w:pPr>
        <w:ind w:left="3600" w:right="107" w:firstLine="720"/>
        <w:jc w:val="both"/>
        <w:rPr>
          <w:rFonts w:ascii="Arial" w:eastAsia="Arial" w:hAnsi="Arial" w:cs="Arial"/>
          <w:b/>
          <w:bCs/>
          <w:color w:val="000000" w:themeColor="text1"/>
          <w:sz w:val="24"/>
          <w:szCs w:val="24"/>
        </w:rPr>
      </w:pPr>
    </w:p>
    <w:p w14:paraId="67BE06B2" w14:textId="41BA389C" w:rsidR="009175A6" w:rsidRDefault="009175A6" w:rsidP="009175A6">
      <w:pPr>
        <w:pStyle w:val="Heading1"/>
      </w:pPr>
      <w:r>
        <w:t xml:space="preserve">TASK </w:t>
      </w:r>
      <w:r>
        <w:t>2</w:t>
      </w:r>
      <w:r>
        <w:t xml:space="preserve"> ANSWER:</w:t>
      </w:r>
    </w:p>
    <w:p w14:paraId="77F04D95" w14:textId="77777777" w:rsidR="00B10E8D" w:rsidRDefault="00B10E8D" w:rsidP="00B10E8D">
      <w:pPr>
        <w:pStyle w:val="Heading2"/>
        <w:rPr>
          <w:rFonts w:eastAsia="Arial"/>
          <w:b/>
          <w:bCs/>
        </w:rPr>
      </w:pPr>
      <w:r w:rsidRPr="00303121">
        <w:rPr>
          <w:rFonts w:eastAsia="Arial"/>
          <w:b/>
          <w:bCs/>
        </w:rPr>
        <w:t xml:space="preserve">Give a brief description of the investigation including social and legislative contexts and any relevant cultural, ethnicity and language issues.   </w:t>
      </w:r>
    </w:p>
    <w:p w14:paraId="58DD3DE5" w14:textId="77777777" w:rsidR="00B10E8D" w:rsidRDefault="00B10E8D" w:rsidP="00B10E8D">
      <w:r>
        <w:t>I supervised the execution of a search warrant related to indecent images of children. The suspect was found in possession of indecent images of children</w:t>
      </w:r>
      <w:r w:rsidRPr="00C55B69">
        <w:t xml:space="preserve"> </w:t>
      </w:r>
      <w:r>
        <w:t xml:space="preserve">and arrested. An interview with the suspect’s daughter led to her disclosing she was the victim of rape by the suspect.  </w:t>
      </w:r>
    </w:p>
    <w:p w14:paraId="3A9C6244" w14:textId="77777777" w:rsidR="00B10E8D" w:rsidRPr="00303121" w:rsidRDefault="00B10E8D" w:rsidP="00B10E8D">
      <w:r>
        <w:t>(Words 46)</w:t>
      </w:r>
    </w:p>
    <w:p w14:paraId="1C72B002" w14:textId="77777777" w:rsidR="00B10E8D" w:rsidRDefault="00B10E8D" w:rsidP="00B10E8D">
      <w:pPr>
        <w:pStyle w:val="Heading2"/>
        <w:rPr>
          <w:rFonts w:eastAsia="Arial"/>
          <w:b/>
          <w:bCs/>
        </w:rPr>
      </w:pPr>
      <w:r w:rsidRPr="00303121">
        <w:rPr>
          <w:rFonts w:eastAsia="Arial"/>
          <w:b/>
          <w:bCs/>
        </w:rPr>
        <w:t xml:space="preserve">Critically evaluate how you have provided appropriate support for victims during an investigation. Consider the use of a victim strategy when required and working with the Victim Care Unit. </w:t>
      </w:r>
    </w:p>
    <w:p w14:paraId="76D70661" w14:textId="77777777" w:rsidR="00B10E8D" w:rsidRDefault="00B10E8D" w:rsidP="00B10E8D"/>
    <w:p w14:paraId="321CA648" w14:textId="77777777" w:rsidR="00B10E8D" w:rsidRDefault="00B10E8D" w:rsidP="00B10E8D">
      <w:r>
        <w:t xml:space="preserve">During the intelligence development of a warrant, we look to identify whether a likely suspect has access to children. Research </w:t>
      </w:r>
      <w:r w:rsidRPr="00B96472">
        <w:t>on child</w:t>
      </w:r>
      <w:r>
        <w:t xml:space="preserve"> abuse material </w:t>
      </w:r>
      <w:r w:rsidRPr="00B96472">
        <w:t>offenders found that they are more likely to have sexually abused children in the past or to do so in the future than non-offenders</w:t>
      </w:r>
      <w:r>
        <w:t xml:space="preserve"> (</w:t>
      </w:r>
      <w:r w:rsidRPr="00B96472">
        <w:t>Henshaw,</w:t>
      </w:r>
      <w:r>
        <w:t xml:space="preserve"> </w:t>
      </w:r>
      <w:proofErr w:type="spellStart"/>
      <w:r w:rsidRPr="00B96472">
        <w:t>Ogloff</w:t>
      </w:r>
      <w:proofErr w:type="spellEnd"/>
      <w:r w:rsidRPr="00B96472">
        <w:t>, and Clough</w:t>
      </w:r>
      <w:r>
        <w:t xml:space="preserve">, 2017). </w:t>
      </w:r>
    </w:p>
    <w:p w14:paraId="1023F97E" w14:textId="77777777" w:rsidR="00B10E8D" w:rsidRDefault="00B10E8D" w:rsidP="00B10E8D">
      <w:pPr>
        <w:rPr>
          <w:color w:val="221E1F"/>
        </w:rPr>
      </w:pPr>
      <w:r>
        <w:t xml:space="preserve">Early co-ordination with </w:t>
      </w:r>
      <w:r>
        <w:rPr>
          <w:color w:val="221E1F"/>
        </w:rPr>
        <w:t xml:space="preserve">the Central Referral Unit (CRU) enabled me to initiate safeguarding support to the child identified, through information sharing with partner agencies, such as child social services. This is essential for managing vulnerable victims should they make disclosures of abuse. CRU are responsible for administering Dyfed Powys Police’s responsibilities under the </w:t>
      </w:r>
      <w:r w:rsidRPr="004E4A26">
        <w:rPr>
          <w:i/>
          <w:iCs/>
          <w:color w:val="221E1F"/>
        </w:rPr>
        <w:t xml:space="preserve">Social Services and Wellbeing (Wales) Act </w:t>
      </w:r>
      <w:r>
        <w:rPr>
          <w:i/>
          <w:iCs/>
          <w:color w:val="221E1F"/>
        </w:rPr>
        <w:t>(</w:t>
      </w:r>
      <w:r w:rsidRPr="004E4A26">
        <w:rPr>
          <w:i/>
          <w:iCs/>
          <w:color w:val="221E1F"/>
        </w:rPr>
        <w:t>2014</w:t>
      </w:r>
      <w:r>
        <w:rPr>
          <w:i/>
          <w:iCs/>
          <w:color w:val="221E1F"/>
        </w:rPr>
        <w:t>)</w:t>
      </w:r>
      <w:r>
        <w:rPr>
          <w:color w:val="221E1F"/>
        </w:rPr>
        <w:t xml:space="preserve"> and in accordance with the Wales Safeguarding Procedures (Welsh Government, 2021) by sharing information with partner agencies in order to initiate a multi-agency response. </w:t>
      </w:r>
    </w:p>
    <w:p w14:paraId="4F270860" w14:textId="77777777" w:rsidR="00B10E8D" w:rsidRPr="0035710B" w:rsidRDefault="00B10E8D" w:rsidP="00B10E8D">
      <w:pPr>
        <w:rPr>
          <w:color w:val="221E1F"/>
        </w:rPr>
      </w:pPr>
      <w:r>
        <w:rPr>
          <w:color w:val="221E1F"/>
        </w:rPr>
        <w:t xml:space="preserve">Submitting a Multi-Agency Referral Form (MARF) detailing the concerns identified initiated the early co-ordination of partner agencies and </w:t>
      </w:r>
      <w:r>
        <w:t>allowed the Police and social services to discharge their statutory responsibilities</w:t>
      </w:r>
      <w:r>
        <w:rPr>
          <w:color w:val="221E1F"/>
        </w:rPr>
        <w:t>. A</w:t>
      </w:r>
      <w:r w:rsidRPr="007F4CDA">
        <w:rPr>
          <w:color w:val="221E1F"/>
        </w:rPr>
        <w:t xml:space="preserve"> MARF to Social Services </w:t>
      </w:r>
      <w:r>
        <w:rPr>
          <w:color w:val="221E1F"/>
        </w:rPr>
        <w:t>detailing the concerns of significant harm to the child prompted</w:t>
      </w:r>
      <w:r w:rsidRPr="007F4CDA">
        <w:rPr>
          <w:color w:val="221E1F"/>
        </w:rPr>
        <w:t xml:space="preserve"> a </w:t>
      </w:r>
      <w:r>
        <w:rPr>
          <w:color w:val="221E1F"/>
        </w:rPr>
        <w:t>s</w:t>
      </w:r>
      <w:r w:rsidRPr="007F4CDA">
        <w:rPr>
          <w:color w:val="221E1F"/>
        </w:rPr>
        <w:t xml:space="preserve">trategy </w:t>
      </w:r>
      <w:r>
        <w:rPr>
          <w:color w:val="221E1F"/>
        </w:rPr>
        <w:t>d</w:t>
      </w:r>
      <w:r w:rsidRPr="007F4CDA">
        <w:rPr>
          <w:color w:val="221E1F"/>
        </w:rPr>
        <w:t>iscussion/</w:t>
      </w:r>
      <w:r>
        <w:rPr>
          <w:color w:val="221E1F"/>
        </w:rPr>
        <w:t>m</w:t>
      </w:r>
      <w:r w:rsidRPr="007F4CDA">
        <w:rPr>
          <w:color w:val="221E1F"/>
        </w:rPr>
        <w:t xml:space="preserve">eeting </w:t>
      </w:r>
      <w:r>
        <w:rPr>
          <w:color w:val="221E1F"/>
        </w:rPr>
        <w:t xml:space="preserve">to decide </w:t>
      </w:r>
      <w:r w:rsidRPr="007F4CDA">
        <w:rPr>
          <w:color w:val="221E1F"/>
        </w:rPr>
        <w:t xml:space="preserve">whether to initiate enquiries under Section 47 of the </w:t>
      </w:r>
      <w:r w:rsidRPr="00995A6A">
        <w:rPr>
          <w:i/>
          <w:iCs/>
          <w:color w:val="221E1F"/>
        </w:rPr>
        <w:t xml:space="preserve">Children Act </w:t>
      </w:r>
      <w:r>
        <w:rPr>
          <w:i/>
          <w:iCs/>
          <w:color w:val="221E1F"/>
        </w:rPr>
        <w:t>(</w:t>
      </w:r>
      <w:r w:rsidRPr="00995A6A">
        <w:rPr>
          <w:i/>
          <w:iCs/>
          <w:color w:val="221E1F"/>
        </w:rPr>
        <w:t>1989</w:t>
      </w:r>
      <w:r>
        <w:rPr>
          <w:i/>
          <w:iCs/>
          <w:color w:val="221E1F"/>
        </w:rPr>
        <w:t>a)</w:t>
      </w:r>
      <w:r w:rsidRPr="007F4CDA">
        <w:rPr>
          <w:color w:val="221E1F"/>
        </w:rPr>
        <w:t>.</w:t>
      </w:r>
      <w:r>
        <w:rPr>
          <w:color w:val="221E1F"/>
        </w:rPr>
        <w:t xml:space="preserve"> </w:t>
      </w:r>
    </w:p>
    <w:p w14:paraId="27792E28" w14:textId="77777777" w:rsidR="00B10E8D" w:rsidRDefault="00B10E8D" w:rsidP="00B10E8D">
      <w:r>
        <w:t xml:space="preserve">Section 31(9) of the </w:t>
      </w:r>
      <w:r w:rsidRPr="00995A6A">
        <w:rPr>
          <w:i/>
          <w:iCs/>
        </w:rPr>
        <w:t xml:space="preserve">Children Act </w:t>
      </w:r>
      <w:r>
        <w:rPr>
          <w:i/>
          <w:iCs/>
        </w:rPr>
        <w:t>(</w:t>
      </w:r>
      <w:r w:rsidRPr="00995A6A">
        <w:rPr>
          <w:i/>
          <w:iCs/>
        </w:rPr>
        <w:t>1989</w:t>
      </w:r>
      <w:r>
        <w:rPr>
          <w:i/>
          <w:iCs/>
        </w:rPr>
        <w:t>b)</w:t>
      </w:r>
      <w:r>
        <w:t xml:space="preserve"> tells us that harm means “ill-treatment or the impairment of health or development including, for example, impairment suffered from seeing or hearing the ill-treatment of another”. There was enough information to suggest that could be the case in this investigation. A decision was made to complete multi-agency visit. During the visit a Witness Interview Booklet (WIB) was completed with the child. </w:t>
      </w:r>
      <w:r w:rsidRPr="00BA7E4C">
        <w:t xml:space="preserve">The </w:t>
      </w:r>
      <w:r>
        <w:t xml:space="preserve">WIB was prepared by Dyfed Powys Police </w:t>
      </w:r>
      <w:r w:rsidRPr="00BA7E4C">
        <w:t xml:space="preserve">in accordance with the requirements of </w:t>
      </w:r>
      <w:r>
        <w:t>legislation and national guidance (</w:t>
      </w:r>
      <w:r w:rsidRPr="00BA7E4C">
        <w:rPr>
          <w:i/>
          <w:iCs/>
        </w:rPr>
        <w:t>Youth Justice and Criminal Evidence Act 1999</w:t>
      </w:r>
      <w:r>
        <w:rPr>
          <w:i/>
          <w:iCs/>
        </w:rPr>
        <w:t>:</w:t>
      </w:r>
      <w:r w:rsidRPr="00BA7E4C">
        <w:t xml:space="preserve"> </w:t>
      </w:r>
      <w:r>
        <w:t xml:space="preserve">Ministry of Justice, 2011). Its designated use includes vulnerable witnesses. During the interview the child disclosed a serious sexual assault by a family member. </w:t>
      </w:r>
    </w:p>
    <w:p w14:paraId="6EEC81DB" w14:textId="77777777" w:rsidR="00B10E8D" w:rsidRPr="006B4DFA" w:rsidRDefault="00B10E8D" w:rsidP="00B10E8D">
      <w:r>
        <w:t xml:space="preserve">Legislation dictates that victims are entitled to support and services throughout the criminal justice process (Ministry of Justice, 2020). Services include the right to special measures. The child victim in this investigation is classed as a vulnerable victim simply due to their age and therefore are eligible for ‘special measures’ in law </w:t>
      </w:r>
      <w:r w:rsidRPr="00AD56C3">
        <w:rPr>
          <w:i/>
          <w:iCs/>
        </w:rPr>
        <w:t>(Youth Justice and Criminal Evidence Act 1999)</w:t>
      </w:r>
      <w:r>
        <w:rPr>
          <w:i/>
          <w:iCs/>
        </w:rPr>
        <w:t xml:space="preserve">. </w:t>
      </w:r>
      <w:proofErr w:type="spellStart"/>
      <w:r w:rsidRPr="005F527B">
        <w:t>Goleudy</w:t>
      </w:r>
      <w:proofErr w:type="spellEnd"/>
      <w:r>
        <w:t xml:space="preserve"> is</w:t>
      </w:r>
      <w:r w:rsidRPr="005F527B">
        <w:t xml:space="preserve"> an independent service</w:t>
      </w:r>
      <w:r>
        <w:t xml:space="preserve"> commissioned to assist in the delivery of those services. Their aim is to engage</w:t>
      </w:r>
      <w:r w:rsidRPr="005F527B">
        <w:t xml:space="preserve"> </w:t>
      </w:r>
      <w:r>
        <w:t xml:space="preserve">with </w:t>
      </w:r>
      <w:r w:rsidRPr="005F527B">
        <w:t>all victims and witnesses involved in the Criminal Justice process, ensuring that they are fully supported, listened to</w:t>
      </w:r>
      <w:r>
        <w:t>,</w:t>
      </w:r>
      <w:r w:rsidRPr="005F527B">
        <w:t xml:space="preserve"> and have a voice throughout the Criminal Justice System</w:t>
      </w:r>
      <w:r>
        <w:t>.</w:t>
      </w:r>
    </w:p>
    <w:p w14:paraId="023E99C9" w14:textId="77777777" w:rsidR="00B10E8D" w:rsidRDefault="00B10E8D" w:rsidP="00B10E8D">
      <w:r>
        <w:t>Various research studies have examined the effectiveness of special measures for vulnerable victims, which have shown that such measures can be beneficial in reducing the anxiety of complainants who are vulnerable or intimidated, including those involved in sexual offences cases (Majeed-</w:t>
      </w:r>
      <w:proofErr w:type="spellStart"/>
      <w:r>
        <w:t>Ariss</w:t>
      </w:r>
      <w:proofErr w:type="spellEnd"/>
      <w:r>
        <w:t xml:space="preserve"> et al, 2019, p.4-5). The measures are intended to ensure that witnesses who are vulnerable or intimidated can provide the best possible evidence before the court, and may include the use of screens, live TV links, and intermediaries (CPS, 2021).</w:t>
      </w:r>
    </w:p>
    <w:p w14:paraId="369E64CC" w14:textId="77777777" w:rsidR="00B10E8D" w:rsidRDefault="00B10E8D" w:rsidP="00B10E8D">
      <w:r>
        <w:t>However, while previous research indicates that special measures can be effective in reducing anxiety and improving the quality of evidence (Majeed-</w:t>
      </w:r>
      <w:proofErr w:type="spellStart"/>
      <w:r>
        <w:t>Ariss</w:t>
      </w:r>
      <w:proofErr w:type="spellEnd"/>
      <w:r>
        <w:t xml:space="preserve"> et al, 2019, p.4-5), the current legal framework for special measures may not adequately protect vulnerable or intimidated participants from trauma and harm (Fairclough, 2021). This limitation raises concerns about the adequacy of the legal framework and the potential for inhumane treatment of vulnerable persons exposed to the criminal justice system. </w:t>
      </w:r>
    </w:p>
    <w:p w14:paraId="758DC977" w14:textId="77777777" w:rsidR="00B10E8D" w:rsidRDefault="00B10E8D" w:rsidP="00B10E8D">
      <w:r>
        <w:t>Overall studies have shown that special measures are viewed positively by vulnerable victim, but there is recognition that more could be done to meet the needs of vulnerable victims in order to further reduce the stressfulness of the experience, though being cognisant that it cannot be removed altogether (</w:t>
      </w:r>
      <w:r w:rsidRPr="001C3595">
        <w:t>Hamlyn</w:t>
      </w:r>
      <w:r>
        <w:t xml:space="preserve"> et all, 2004, p.112). The implementation of support services like </w:t>
      </w:r>
      <w:proofErr w:type="spellStart"/>
      <w:r>
        <w:t>Goleudy</w:t>
      </w:r>
      <w:proofErr w:type="spellEnd"/>
      <w:r>
        <w:t xml:space="preserve"> are instrumental in delivering special measures effectively. </w:t>
      </w:r>
    </w:p>
    <w:p w14:paraId="5B76C587" w14:textId="77777777" w:rsidR="00B10E8D" w:rsidRDefault="00B10E8D" w:rsidP="00B10E8D">
      <w:r>
        <w:t>Despite this concern, the overall objective of ensuring that all criminal cases are dealt with justly and that the rights of vulnerable and intimidated witnesses are respected remains a priority. Special measures are an important tool to achieve this objective by enabling vulnerable victims to provide their best evidence in court and reducing the stress associated with giving evidence. Nonetheless, it is essential to ensure that special measures are implemented appropriately and with sensitivity to the needs and concerns of vulnerable witnesses.</w:t>
      </w:r>
    </w:p>
    <w:p w14:paraId="7684AA13" w14:textId="77777777" w:rsidR="00B10E8D" w:rsidRPr="00303121" w:rsidRDefault="00B10E8D" w:rsidP="00B10E8D">
      <w:r>
        <w:t>(Words 723)</w:t>
      </w:r>
    </w:p>
    <w:p w14:paraId="5A7D9988" w14:textId="77777777" w:rsidR="00B10E8D" w:rsidRDefault="00B10E8D" w:rsidP="00B10E8D">
      <w:pPr>
        <w:pStyle w:val="Heading2"/>
        <w:rPr>
          <w:rFonts w:eastAsia="Arial"/>
          <w:b/>
          <w:bCs/>
        </w:rPr>
      </w:pPr>
      <w:r w:rsidRPr="00303121">
        <w:rPr>
          <w:rFonts w:eastAsia="Arial"/>
          <w:b/>
          <w:bCs/>
        </w:rPr>
        <w:t xml:space="preserve">Examine the use of appropriate responses to safeguarding concerns and management risk in investigations. </w:t>
      </w:r>
      <w:r w:rsidRPr="00303121">
        <w:rPr>
          <w:rFonts w:eastAsia="Arial"/>
          <w:b/>
          <w:bCs/>
          <w:i/>
          <w:iCs/>
        </w:rPr>
        <w:t xml:space="preserve">(Examples include but not limited </w:t>
      </w:r>
      <w:proofErr w:type="gramStart"/>
      <w:r w:rsidRPr="00303121">
        <w:rPr>
          <w:rFonts w:eastAsia="Arial"/>
          <w:b/>
          <w:bCs/>
          <w:i/>
          <w:iCs/>
        </w:rPr>
        <w:t>to;</w:t>
      </w:r>
      <w:proofErr w:type="gramEnd"/>
      <w:r w:rsidRPr="00303121">
        <w:rPr>
          <w:rFonts w:eastAsia="Arial"/>
          <w:b/>
          <w:bCs/>
          <w:i/>
          <w:iCs/>
        </w:rPr>
        <w:t xml:space="preserve"> child abuse, offences against vulnerable adults and domestic abuse</w:t>
      </w:r>
      <w:r w:rsidRPr="00303121">
        <w:rPr>
          <w:rFonts w:eastAsia="Arial"/>
          <w:b/>
          <w:bCs/>
        </w:rPr>
        <w:t>)</w:t>
      </w:r>
    </w:p>
    <w:p w14:paraId="1F77CF59" w14:textId="77777777" w:rsidR="00B10E8D" w:rsidRDefault="00B10E8D" w:rsidP="00B10E8D"/>
    <w:p w14:paraId="525A541C" w14:textId="77777777" w:rsidR="00B10E8D" w:rsidRDefault="00B10E8D" w:rsidP="00B10E8D">
      <w:r>
        <w:t xml:space="preserve">The College of Policing approved ten risk principles encourages a positive approach to risk management in police investigations by supporting and building the confidence of decision makers. The purpose of the principles is to convey the nature and the consequences of risk taking and encourage the use of the principles in conjunction with risk tools such as the National Decision-Making Model (NDM) (COP, 2013a). </w:t>
      </w:r>
    </w:p>
    <w:p w14:paraId="6E599AA6" w14:textId="77777777" w:rsidR="00B10E8D" w:rsidRDefault="00B10E8D" w:rsidP="00B10E8D">
      <w:r>
        <w:t xml:space="preserve">Police have a number of </w:t>
      </w:r>
      <w:r w:rsidRPr="006F4C2B">
        <w:t>policies and procedures in place to ensure that safeguarding concerns are appropriately respond</w:t>
      </w:r>
      <w:r>
        <w:t xml:space="preserve">ed </w:t>
      </w:r>
      <w:r w:rsidRPr="006F4C2B">
        <w:t>to</w:t>
      </w:r>
      <w:r>
        <w:t>,</w:t>
      </w:r>
      <w:r w:rsidRPr="006F4C2B">
        <w:t xml:space="preserve"> and </w:t>
      </w:r>
      <w:r>
        <w:t xml:space="preserve">effective risk management is conducted in criminal </w:t>
      </w:r>
      <w:r w:rsidRPr="006F4C2B">
        <w:t>investigations</w:t>
      </w:r>
      <w:r>
        <w:t>.</w:t>
      </w:r>
    </w:p>
    <w:p w14:paraId="7E8EC265" w14:textId="77777777" w:rsidR="00B10E8D" w:rsidRDefault="00B10E8D" w:rsidP="00B10E8D">
      <w:r>
        <w:t xml:space="preserve">The College of Policing’s approach to vulnerability related risk is to adopt the THRIVE risk assessment tool. I was able to apply the THRIVE tool to my investigation by following four steps, which include identifying vulnerabilities, understanding how the vulnerabilities lead to situations that create risk of harm, assessing that level of harm or risk and then taking proportionate action where necessary with the inclusion of those with the relevant skills and resources (COP, 2021a). </w:t>
      </w:r>
    </w:p>
    <w:p w14:paraId="45C492B4" w14:textId="77777777" w:rsidR="00B10E8D" w:rsidRDefault="00B10E8D" w:rsidP="00B10E8D">
      <w:r>
        <w:t xml:space="preserve">During POLIT investigation this isn’t the only tool at my disposal for assessing risk. As a tool </w:t>
      </w:r>
      <w:r w:rsidRPr="00A217F9">
        <w:t xml:space="preserve">THRIVE aligns to the Code of Ethics and </w:t>
      </w:r>
      <w:r>
        <w:t>NDM</w:t>
      </w:r>
      <w:r w:rsidRPr="00A217F9">
        <w:t xml:space="preserve"> model and helps </w:t>
      </w:r>
      <w:r>
        <w:t>police</w:t>
      </w:r>
      <w:r w:rsidRPr="00A217F9">
        <w:t xml:space="preserve"> respond at </w:t>
      </w:r>
      <w:r>
        <w:t xml:space="preserve">dynamically to incidents. The model is also nationally endorsed by police forces in England and Wales meaning it risk can be assessed in consistent manner across force boundaries. This is especially important in POLIT investigations where referrals can require the sharing or risk with referrals relating to child sexual abuse online.   </w:t>
      </w:r>
    </w:p>
    <w:p w14:paraId="213CE087" w14:textId="77777777" w:rsidR="00B10E8D" w:rsidRDefault="00B10E8D" w:rsidP="00B10E8D">
      <w:r>
        <w:t>However, a more specific tool for POLIT is the Kent Internet Risk Assessment Tool (KIRAT) which is an online tool developed by researchers at the University of Kent in the UK. KIRAT is used to assess the level of risk posed by a suspect who possesses and views indecent images of children on the internet, and the likelihood of that person becoming a contact offender (HMICFRS, 2023).</w:t>
      </w:r>
    </w:p>
    <w:p w14:paraId="377E6C6A" w14:textId="77777777" w:rsidR="00B10E8D" w:rsidRDefault="00B10E8D" w:rsidP="00B10E8D">
      <w:r>
        <w:t xml:space="preserve">Long et al. (2016) concluded that the KIRAT provides an evidence-based approach to prioritising cases for law enforcement. Practically there are limitations in its applications, in particular when no suspect has been identified there is no nominal available to assess the risk against. Making the tool redundant. </w:t>
      </w:r>
    </w:p>
    <w:p w14:paraId="08120264" w14:textId="77777777" w:rsidR="00B10E8D" w:rsidRDefault="00B10E8D" w:rsidP="00B10E8D">
      <w:r>
        <w:t xml:space="preserve">As a result of identifying and carefully considering risk I am able to consider a multitude of safeguarding actions available when dealing with the safeguarding. A key focus is partnership working and statutory framework sets out the legislation relevant to safeguarding and highlights those agencies with responsibilities and requirements to act (Home Office, 2018a). Government legislation provides the police and local authorities significant powers to be able to safeguard children and the COP (2021b) recommends actions that should be taken by Police.  </w:t>
      </w:r>
    </w:p>
    <w:p w14:paraId="35F26EAD" w14:textId="77777777" w:rsidR="00B10E8D" w:rsidRDefault="00B10E8D" w:rsidP="00B10E8D">
      <w:r>
        <w:t xml:space="preserve">It should be noted that some of the measures recommended are not always suited to the victims you are dealing with. Removing a child from a home environment is not always the best course of action for the welfare and emotional wellbeing of that child. Their views and feelings are fundamental to any actions considered. The Home Office (2018b, p.9) echo a child centred approach to safeguarding in statutory guidance to multi agencies. Therefore, I would consider the removal of a child from their home as a last resort, where all other options have been negated, ultimately favouring the removal of the suspect from the family environment or at the very least the inclusion of a safety plan agreed jointly with Child Social Services. </w:t>
      </w:r>
    </w:p>
    <w:p w14:paraId="308CAD1A" w14:textId="77777777" w:rsidR="00B10E8D" w:rsidRDefault="00B10E8D" w:rsidP="00B10E8D">
      <w:r>
        <w:t xml:space="preserve">At present it is obvious that we rely on a range of tools to assess risk in policing and different tools will be better suited to different scenarios. Recent inspections have highlighted police are working in difficult circumstances, with limited resources and increase demand, which is leading to unacceptable delays and exposing children to greater risk from sexual predators (HMICFRS, 2023). Further recommendations were made to prompt Police to act more quickly and effectively with safeguarding partners when children are at risk. </w:t>
      </w:r>
      <w:r w:rsidRPr="004D6F62">
        <w:t>The Management of Risk in Law Enforcement</w:t>
      </w:r>
      <w:r>
        <w:t xml:space="preserve"> (</w:t>
      </w:r>
      <w:proofErr w:type="spellStart"/>
      <w:r>
        <w:t>MoRiLE</w:t>
      </w:r>
      <w:proofErr w:type="spellEnd"/>
      <w:r>
        <w:t xml:space="preserve">) programme is ongoing research that will examine to what extent it can help police meet modern challenges of managing risk (EMPAC, 2018). Hopefully this will look to modernise polices approach to managing risk and highlight the gaps in risk management. </w:t>
      </w:r>
    </w:p>
    <w:p w14:paraId="1FD99883" w14:textId="77777777" w:rsidR="00B10E8D" w:rsidRDefault="00B10E8D" w:rsidP="00B10E8D">
      <w:r>
        <w:t>(Words 700)</w:t>
      </w:r>
    </w:p>
    <w:p w14:paraId="79BC99CD" w14:textId="77777777" w:rsidR="00B10E8D" w:rsidRDefault="00B10E8D" w:rsidP="00B10E8D">
      <w:pPr>
        <w:pStyle w:val="Heading2"/>
        <w:rPr>
          <w:rFonts w:eastAsia="Arial"/>
          <w:b/>
          <w:bCs/>
        </w:rPr>
      </w:pPr>
      <w:r w:rsidRPr="00303121">
        <w:rPr>
          <w:rFonts w:eastAsia="Arial"/>
          <w:b/>
          <w:bCs/>
        </w:rPr>
        <w:t xml:space="preserve">Consider and reflect upon how you have assessed threat, </w:t>
      </w:r>
      <w:proofErr w:type="gramStart"/>
      <w:r w:rsidRPr="00303121">
        <w:rPr>
          <w:rFonts w:eastAsia="Arial"/>
          <w:b/>
          <w:bCs/>
        </w:rPr>
        <w:t>risk</w:t>
      </w:r>
      <w:proofErr w:type="gramEnd"/>
      <w:r w:rsidRPr="00303121">
        <w:rPr>
          <w:rFonts w:eastAsia="Arial"/>
          <w:b/>
          <w:bCs/>
        </w:rPr>
        <w:t xml:space="preserve"> and harm to develop and implement plans and strategies to investigate serious and complex crime. </w:t>
      </w:r>
    </w:p>
    <w:p w14:paraId="536540DD" w14:textId="77777777" w:rsidR="00B10E8D" w:rsidRDefault="00B10E8D" w:rsidP="00B10E8D"/>
    <w:p w14:paraId="6E762DA2" w14:textId="77777777" w:rsidR="00B10E8D" w:rsidRDefault="00B10E8D" w:rsidP="00B10E8D">
      <w:r>
        <w:t xml:space="preserve">Assessing risk and harm during POLIT investigations is often very challenging. The initial intelligence received can be minimal and requires focused investigation plans to identify and avert any risk posed by sexual offenders. Development of intelligence to the attribution of a subject address or individual builds an intelligence picture to secure search warrants section 8 of </w:t>
      </w:r>
      <w:r w:rsidRPr="00913D04">
        <w:t>PACE (1984a</w:t>
      </w:r>
      <w:r w:rsidRPr="00B260DF">
        <w:rPr>
          <w:i/>
          <w:iCs/>
        </w:rPr>
        <w:t>)</w:t>
      </w:r>
      <w:r>
        <w:t xml:space="preserve"> or under section 4 of the </w:t>
      </w:r>
      <w:r w:rsidRPr="00725E1D">
        <w:t>Protection of Children Act (1978)</w:t>
      </w:r>
      <w:r w:rsidRPr="00470B64">
        <w:rPr>
          <w:i/>
          <w:iCs/>
        </w:rPr>
        <w:t>.</w:t>
      </w:r>
      <w:r>
        <w:t xml:space="preserve"> These statutory powers provide police with the power to enter a property and search them for electronic devices that may contain child abuse material. </w:t>
      </w:r>
    </w:p>
    <w:p w14:paraId="46C18767" w14:textId="77777777" w:rsidR="00B10E8D" w:rsidRDefault="00B10E8D" w:rsidP="00B10E8D">
      <w:r>
        <w:t xml:space="preserve">The use of a search warrant can be a very intrusive tool, especially when there are multiple persons living in one household or any of the individuals are vulnerable (COP, 2013b) For this reason, all search warrants are carefully planned with consideration to the proportionality and necessity in addition to making sure it is lawful and can stand up to scrutiny.  However, the alternatives are not ideal solutions and present challenges. Such as opting for the immediate arrest of a likely suspect. There is an argument that there would not be reasonable grounds to suspect any specific individual was guilty of the offence, as defined in section 24 of </w:t>
      </w:r>
      <w:r w:rsidRPr="00913D04">
        <w:t>PACE (1984b).</w:t>
      </w:r>
      <w:r>
        <w:t xml:space="preserve"> PACE codes also provide provisions for consented searches. However, this presents issues as to the extent of the consent and when consent is withdrawn, leading to challenges of evidence in court </w:t>
      </w:r>
      <w:r w:rsidRPr="00BA0318">
        <w:t>(</w:t>
      </w:r>
      <w:r>
        <w:t>Home Office, 2022)</w:t>
      </w:r>
      <w:r w:rsidRPr="00BA0318">
        <w:t>.</w:t>
      </w:r>
      <w:r>
        <w:t xml:space="preserve"> </w:t>
      </w:r>
    </w:p>
    <w:p w14:paraId="09745576" w14:textId="77777777" w:rsidR="00B10E8D" w:rsidRDefault="00B10E8D" w:rsidP="00B10E8D">
      <w:r>
        <w:t xml:space="preserve">In the example of my investigation there was minimal information received in the development of the warrant that would identify a suspect. However, identified a child living at the address who could be at significant risk of harm. Arrest is not aways and option, but with the effective use of a search warrant it can provide sufficient information to give reasonable grounds for arrest of an individual providing the arrest criteria is met. It also provides the opportunity to create an environment of control within a subject address. This allows for the use of the other statutory powers to safeguard vulnerable persons. By using a search warrant as a power of entry and search, it was possible to identify a suspect in possession of indecent images of children. Their arrest provided the opportunity to conduct further safeguarding measures with the family in consultation with partner agencies. This ultimately led to the disclosure of a serious sexual offence by a child victim. </w:t>
      </w:r>
    </w:p>
    <w:p w14:paraId="4EFF3794" w14:textId="77777777" w:rsidR="00B10E8D" w:rsidRDefault="00B10E8D" w:rsidP="00B10E8D">
      <w:r>
        <w:t xml:space="preserve">Ultimately the action taken by police during POLIT investigations can have a devasting impact on the dynamics of a family environment. Charities such as the Lucy Faithful Foundation (2017) have set up the ‘Stop it Now’ campaign and are actively dedicated to preventing child sexual abuse. They provide a valuable resource to the public and professional bodies on how to combat child sexual abuse. They also provide support for those affected by an individual in their family being investigated for related sexual offences (Lucy Faithful Foundation 2020). By networking the family with professional bodies, it elevates the burden of safeguarding on the police, allowing for more time and resources to be focused on the criminal investigation and maximising the individuals support. </w:t>
      </w:r>
    </w:p>
    <w:p w14:paraId="30040CF2" w14:textId="77777777" w:rsidR="00B10E8D" w:rsidRDefault="00B10E8D" w:rsidP="00B10E8D">
      <w:r>
        <w:t xml:space="preserve">By analytically reviewing data from POLIT investigations over the last 18 months, I have identified a growing trend of child suspects who are accessing and in possession of indecent images of children. It is not clear if this data is consistent across other police force in England and Wales. However, it does present the opportunity for further research on the topic. It is clear from research by </w:t>
      </w:r>
      <w:r w:rsidRPr="00953A9C">
        <w:t>McCarthy</w:t>
      </w:r>
      <w:r>
        <w:t xml:space="preserve"> (2010, p.193) that there is evidence to suggest that offenders who access indecent images of children or who arrange for the trading, paying for, concealing and/or organising of child abuse material are more likely to commit sexual contact offences. It stands to reason that increased exposure to child abuse material at such a young age, would lead to a percentage of those offenders going on to commit more serious contact sexual offences. </w:t>
      </w:r>
      <w:r w:rsidRPr="00BD7A96">
        <w:t>Quayle</w:t>
      </w:r>
      <w:r>
        <w:t xml:space="preserve"> and</w:t>
      </w:r>
      <w:r w:rsidRPr="00BD7A96">
        <w:t xml:space="preserve"> Taylor</w:t>
      </w:r>
      <w:r>
        <w:t xml:space="preserve"> (2002, p.355) raise the correlation between the ease of access to child abuse material on the internet and the spiralling search for more extreme material to satisfy a sexual urge. However, by researching and identifying the signs of children who present a risk at an early age, it may be possible to provide them with sufficient support to prevent harm to them and other children (Welsh Government, 2021). </w:t>
      </w:r>
    </w:p>
    <w:p w14:paraId="26717423" w14:textId="77777777" w:rsidR="00B10E8D" w:rsidRDefault="00B10E8D" w:rsidP="00B10E8D">
      <w:r>
        <w:t>(Words 731)</w:t>
      </w:r>
    </w:p>
    <w:p w14:paraId="69811C7B" w14:textId="77777777" w:rsidR="00B10E8D" w:rsidRDefault="00B10E8D" w:rsidP="00B10E8D">
      <w:r>
        <w:t>(Total words 2200)</w:t>
      </w:r>
    </w:p>
    <w:p w14:paraId="192E9C9D" w14:textId="77777777" w:rsidR="00B10E8D" w:rsidRPr="00303121" w:rsidRDefault="00B10E8D" w:rsidP="00B10E8D">
      <w:pPr>
        <w:pStyle w:val="Heading2"/>
        <w:rPr>
          <w:b/>
          <w:bCs/>
        </w:rPr>
      </w:pPr>
      <w:r w:rsidRPr="00303121">
        <w:rPr>
          <w:b/>
          <w:bCs/>
        </w:rPr>
        <w:t>References</w:t>
      </w:r>
    </w:p>
    <w:p w14:paraId="2C3AE52A" w14:textId="77777777" w:rsidR="00B10E8D" w:rsidRDefault="00B10E8D" w:rsidP="00B10E8D"/>
    <w:p w14:paraId="6A764396" w14:textId="77777777" w:rsidR="00B10E8D" w:rsidRDefault="00B10E8D" w:rsidP="00B10E8D">
      <w:r w:rsidRPr="00FB690F">
        <w:rPr>
          <w:i/>
          <w:iCs/>
        </w:rPr>
        <w:t>Children Act 1989a, c.41, s.47</w:t>
      </w:r>
      <w:r>
        <w:t xml:space="preserve">. Available at: </w:t>
      </w:r>
      <w:hyperlink r:id="rId41" w:history="1">
        <w:r w:rsidRPr="00665316">
          <w:rPr>
            <w:rStyle w:val="Hyperlink"/>
          </w:rPr>
          <w:t>https://www.legislation.gov.uk/ukpga/1989/41/section/47</w:t>
        </w:r>
      </w:hyperlink>
      <w:r>
        <w:t xml:space="preserve"> (Accessed: 12 May 2023)</w:t>
      </w:r>
    </w:p>
    <w:p w14:paraId="560BCEB2" w14:textId="77777777" w:rsidR="00B10E8D" w:rsidRDefault="00B10E8D" w:rsidP="00B10E8D">
      <w:r w:rsidRPr="00FB690F">
        <w:rPr>
          <w:i/>
          <w:iCs/>
        </w:rPr>
        <w:t>Children Act 1989b, c.41, s.39(1).</w:t>
      </w:r>
      <w:r>
        <w:t xml:space="preserve"> Available at: </w:t>
      </w:r>
      <w:hyperlink r:id="rId42" w:history="1">
        <w:r w:rsidRPr="00665316">
          <w:rPr>
            <w:rStyle w:val="Hyperlink"/>
          </w:rPr>
          <w:t>https://www.legislation.gov.uk/ukpga/1989/41/section/31</w:t>
        </w:r>
      </w:hyperlink>
      <w:r>
        <w:t xml:space="preserve"> (Accessed: 12 May 2023)</w:t>
      </w:r>
    </w:p>
    <w:p w14:paraId="1E057083" w14:textId="77777777" w:rsidR="00B10E8D" w:rsidRPr="00FB690F" w:rsidRDefault="00B10E8D" w:rsidP="00B10E8D">
      <w:pPr>
        <w:rPr>
          <w:i/>
          <w:iCs/>
        </w:rPr>
      </w:pPr>
      <w:r>
        <w:t xml:space="preserve">College of Policing (2013a) </w:t>
      </w:r>
      <w:r w:rsidRPr="00FB690F">
        <w:rPr>
          <w:i/>
          <w:iCs/>
        </w:rPr>
        <w:t xml:space="preserve">Risk principles. </w:t>
      </w:r>
      <w:r>
        <w:t xml:space="preserve">Available at: </w:t>
      </w:r>
      <w:hyperlink r:id="rId43" w:history="1">
        <w:r w:rsidRPr="002E72AA">
          <w:rPr>
            <w:rStyle w:val="Hyperlink"/>
          </w:rPr>
          <w:t>https://www.college.police.uk/app/risk/risk</w:t>
        </w:r>
      </w:hyperlink>
      <w:r>
        <w:t xml:space="preserve"> (Accessed: 23 April 2023)</w:t>
      </w:r>
    </w:p>
    <w:p w14:paraId="51BA1001" w14:textId="77777777" w:rsidR="00B10E8D" w:rsidRDefault="00B10E8D" w:rsidP="00B10E8D">
      <w:r>
        <w:t xml:space="preserve">College of Policing (2013b) </w:t>
      </w:r>
      <w:r w:rsidRPr="00FB690F">
        <w:rPr>
          <w:i/>
          <w:iCs/>
        </w:rPr>
        <w:t xml:space="preserve">Search </w:t>
      </w:r>
      <w:proofErr w:type="gramStart"/>
      <w:r w:rsidRPr="00FB690F">
        <w:rPr>
          <w:i/>
          <w:iCs/>
        </w:rPr>
        <w:t>powers, and</w:t>
      </w:r>
      <w:proofErr w:type="gramEnd"/>
      <w:r w:rsidRPr="00FB690F">
        <w:rPr>
          <w:i/>
          <w:iCs/>
        </w:rPr>
        <w:t xml:space="preserve"> obtaining and executing search warrants</w:t>
      </w:r>
      <w:r>
        <w:t xml:space="preserve">. Available at: </w:t>
      </w:r>
      <w:hyperlink r:id="rId44" w:history="1">
        <w:r w:rsidRPr="002E72AA">
          <w:rPr>
            <w:rStyle w:val="Hyperlink"/>
          </w:rPr>
          <w:t>https://www.college.police.uk/app/investigation/investigative-strategies/search-powers-and-obtaining-and-executing-search-warrants</w:t>
        </w:r>
      </w:hyperlink>
      <w:r>
        <w:t xml:space="preserve"> (Accessed: 04 May 2023)</w:t>
      </w:r>
    </w:p>
    <w:p w14:paraId="6A04DBF7" w14:textId="77777777" w:rsidR="00B10E8D" w:rsidRPr="00FB690F" w:rsidRDefault="00B10E8D" w:rsidP="00B10E8D">
      <w:pPr>
        <w:rPr>
          <w:i/>
          <w:iCs/>
        </w:rPr>
      </w:pPr>
      <w:r w:rsidRPr="00524DF7">
        <w:t>College of Policing (2021</w:t>
      </w:r>
      <w:r>
        <w:t>a</w:t>
      </w:r>
      <w:r w:rsidRPr="00524DF7">
        <w:t>)</w:t>
      </w:r>
      <w:r w:rsidRPr="00FB690F">
        <w:rPr>
          <w:i/>
          <w:iCs/>
        </w:rPr>
        <w:t xml:space="preserve"> Introduction to vulnerability-related risk</w:t>
      </w:r>
      <w:r>
        <w:t xml:space="preserve">. Available at: </w:t>
      </w:r>
      <w:hyperlink r:id="rId45" w:anchor="thrive" w:history="1">
        <w:r w:rsidRPr="002E72AA">
          <w:rPr>
            <w:rStyle w:val="Hyperlink"/>
          </w:rPr>
          <w:t>https://www.college.police.uk/guidance/vulnerability-related-risks/introduction-vulnerability-related-risk#thrive</w:t>
        </w:r>
      </w:hyperlink>
      <w:r>
        <w:t xml:space="preserve"> (Accessed: 23 April 2023)</w:t>
      </w:r>
    </w:p>
    <w:p w14:paraId="57777842" w14:textId="77777777" w:rsidR="00B10E8D" w:rsidRDefault="00B10E8D" w:rsidP="00B10E8D">
      <w:r>
        <w:t xml:space="preserve">College of Policing (2021b) </w:t>
      </w:r>
      <w:r w:rsidRPr="00FB690F">
        <w:rPr>
          <w:i/>
          <w:iCs/>
        </w:rPr>
        <w:t xml:space="preserve">Appendix 1 – Actions. </w:t>
      </w:r>
      <w:r>
        <w:t xml:space="preserve">Available at: </w:t>
      </w:r>
      <w:hyperlink r:id="rId46" w:history="1">
        <w:r w:rsidRPr="00665316">
          <w:rPr>
            <w:rStyle w:val="Hyperlink"/>
          </w:rPr>
          <w:t>https://www.college.police.uk/guidance/vulnerability-related-risks/appendix-1-actions</w:t>
        </w:r>
      </w:hyperlink>
      <w:r>
        <w:t xml:space="preserve"> (Accessed: 01 May 2023)</w:t>
      </w:r>
    </w:p>
    <w:p w14:paraId="1D4D5A8A" w14:textId="77777777" w:rsidR="00B10E8D" w:rsidRPr="00FB690F" w:rsidRDefault="00B10E8D" w:rsidP="00B10E8D">
      <w:pPr>
        <w:rPr>
          <w:i/>
          <w:iCs/>
        </w:rPr>
      </w:pPr>
      <w:r>
        <w:t xml:space="preserve">CPS (2021) </w:t>
      </w:r>
      <w:r w:rsidRPr="00FB690F">
        <w:rPr>
          <w:i/>
          <w:iCs/>
        </w:rPr>
        <w:t xml:space="preserve">Special Measures. </w:t>
      </w:r>
      <w:r>
        <w:t xml:space="preserve">Available at: </w:t>
      </w:r>
      <w:hyperlink r:id="rId47" w:history="1">
        <w:r w:rsidRPr="00A9198B">
          <w:rPr>
            <w:rStyle w:val="Hyperlink"/>
          </w:rPr>
          <w:t>https://www.cps.gov.uk/legal-guidance/special-measures</w:t>
        </w:r>
      </w:hyperlink>
      <w:r>
        <w:t xml:space="preserve"> (Accessed: 03 May 2023)</w:t>
      </w:r>
    </w:p>
    <w:p w14:paraId="3B971C73" w14:textId="77777777" w:rsidR="00B10E8D" w:rsidRDefault="00B10E8D" w:rsidP="00B10E8D">
      <w:r>
        <w:t xml:space="preserve">EMPAC (2018) </w:t>
      </w:r>
      <w:r w:rsidRPr="00FB690F">
        <w:rPr>
          <w:i/>
          <w:iCs/>
        </w:rPr>
        <w:t>The science of management of risk in law enforcement</w:t>
      </w:r>
      <w:r>
        <w:t xml:space="preserve">. Available at: </w:t>
      </w:r>
      <w:hyperlink r:id="rId48" w:anchor=":~:text=Following%20several%20enquiries%20from%20academic%20researchers%20and%20indeed,national%20risk%20principles%20that%20should%20underpin%20law%20enforcement" w:history="1">
        <w:r w:rsidRPr="002E72AA">
          <w:rPr>
            <w:rStyle w:val="Hyperlink"/>
          </w:rPr>
          <w:t>https://www.empac.org.uk/science-management-risk-law-enforcement/#:~:text=Following%20several%20enquiries%20from%20academic%20researchers%20and%20indeed,national%20risk%20principles%20that%20should%20underpin%20law%20enforcement</w:t>
        </w:r>
      </w:hyperlink>
      <w:r>
        <w:t xml:space="preserve">  (Accessed: 03 May 2023)</w:t>
      </w:r>
    </w:p>
    <w:p w14:paraId="2F2B4A16" w14:textId="77777777" w:rsidR="00B10E8D" w:rsidRPr="00FB690F" w:rsidRDefault="00B10E8D" w:rsidP="00B10E8D">
      <w:pPr>
        <w:rPr>
          <w:i/>
          <w:iCs/>
        </w:rPr>
      </w:pPr>
      <w:r>
        <w:t xml:space="preserve">Fairclough (2021), </w:t>
      </w:r>
      <w:r w:rsidRPr="00FB690F">
        <w:rPr>
          <w:i/>
          <w:iCs/>
        </w:rPr>
        <w:t>The Lost Leg of the Youth Justice and Criminal Evidence Act (1999): Special Measures and Humane Treatment.</w:t>
      </w:r>
      <w:r>
        <w:t xml:space="preserve"> Available at: </w:t>
      </w:r>
      <w:hyperlink r:id="rId49" w:history="1">
        <w:r w:rsidRPr="00A9198B">
          <w:rPr>
            <w:rStyle w:val="Hyperlink"/>
          </w:rPr>
          <w:t>https://www.ncbi.nlm.nih.gov/pmc/articles/PMC8643598/</w:t>
        </w:r>
      </w:hyperlink>
      <w:r>
        <w:t xml:space="preserve"> (Accessed: 02 May 2023)</w:t>
      </w:r>
    </w:p>
    <w:p w14:paraId="2AC5ED75" w14:textId="77777777" w:rsidR="00B10E8D" w:rsidRDefault="00B10E8D" w:rsidP="00B10E8D">
      <w:r w:rsidRPr="001C3595">
        <w:t xml:space="preserve">Hamlyn, </w:t>
      </w:r>
      <w:r>
        <w:t xml:space="preserve">B. et al, (2004) </w:t>
      </w:r>
      <w:r w:rsidRPr="00FB690F">
        <w:rPr>
          <w:i/>
          <w:iCs/>
        </w:rPr>
        <w:t xml:space="preserve">Home Office Research Study 283. Are special measures working? Evidence from surveys of vulnerable and intimidated witnesses. </w:t>
      </w:r>
      <w:r>
        <w:t xml:space="preserve">Available at: </w:t>
      </w:r>
      <w:hyperlink r:id="rId50" w:history="1">
        <w:r w:rsidRPr="00A9198B">
          <w:rPr>
            <w:rStyle w:val="Hyperlink"/>
          </w:rPr>
          <w:t>https://library.college.police.uk/docs/hors/hors283.pdf</w:t>
        </w:r>
      </w:hyperlink>
      <w:r>
        <w:t xml:space="preserve"> (Accessed: 03 May 2023)</w:t>
      </w:r>
    </w:p>
    <w:p w14:paraId="06337594" w14:textId="77777777" w:rsidR="00B10E8D" w:rsidRDefault="00B10E8D" w:rsidP="00B10E8D">
      <w:r w:rsidRPr="00B96472">
        <w:t xml:space="preserve">Henshaw, M., </w:t>
      </w:r>
      <w:proofErr w:type="spellStart"/>
      <w:r w:rsidRPr="00B96472">
        <w:t>Ogloff</w:t>
      </w:r>
      <w:proofErr w:type="spellEnd"/>
      <w:r w:rsidRPr="00B96472">
        <w:t xml:space="preserve">, J.R.P. and Clough, J.A. (2017) </w:t>
      </w:r>
      <w:r w:rsidRPr="00FB690F">
        <w:rPr>
          <w:i/>
          <w:iCs/>
        </w:rPr>
        <w:t>‘Looking Beyond the Screen: A Critical Review of the Literature on the Online Child Pornography Offender’</w:t>
      </w:r>
      <w:r w:rsidRPr="00B96472">
        <w:t xml:space="preserve">, </w:t>
      </w:r>
      <w:r w:rsidRPr="00FB690F">
        <w:rPr>
          <w:i/>
          <w:iCs/>
        </w:rPr>
        <w:t>Sexual abuse</w:t>
      </w:r>
      <w:r w:rsidRPr="00B96472">
        <w:t xml:space="preserve">, 29(5), pp. 416–445. Available at: </w:t>
      </w:r>
      <w:hyperlink r:id="rId51" w:history="1">
        <w:r w:rsidRPr="002E72AA">
          <w:rPr>
            <w:rStyle w:val="Hyperlink"/>
          </w:rPr>
          <w:t>https://doi.org/10.1177/1079063215603690</w:t>
        </w:r>
      </w:hyperlink>
      <w:r>
        <w:t xml:space="preserve"> (Accessed: 25 April 2023).</w:t>
      </w:r>
    </w:p>
    <w:p w14:paraId="7F325A98" w14:textId="77777777" w:rsidR="00B10E8D" w:rsidRDefault="00B10E8D" w:rsidP="00B10E8D">
      <w:r>
        <w:t xml:space="preserve">HMICFRS (2023) Glossary. Available at: </w:t>
      </w:r>
      <w:hyperlink r:id="rId52" w:history="1">
        <w:r w:rsidRPr="002E72AA">
          <w:rPr>
            <w:rStyle w:val="Hyperlink"/>
          </w:rPr>
          <w:t>https://www.justiceinspectorates.gov.uk/hmicfrs/glossary/kent-internet-risk-assessment/</w:t>
        </w:r>
      </w:hyperlink>
      <w:r>
        <w:t xml:space="preserve"> </w:t>
      </w:r>
      <w:r w:rsidRPr="006B761F">
        <w:t xml:space="preserve">(Accessed: </w:t>
      </w:r>
      <w:r>
        <w:t>20</w:t>
      </w:r>
      <w:r w:rsidRPr="006B761F">
        <w:t xml:space="preserve"> </w:t>
      </w:r>
      <w:r>
        <w:t>April</w:t>
      </w:r>
      <w:r w:rsidRPr="006B761F">
        <w:t xml:space="preserve"> 2023)</w:t>
      </w:r>
    </w:p>
    <w:p w14:paraId="49CA8363" w14:textId="77777777" w:rsidR="00B10E8D" w:rsidRDefault="00B10E8D" w:rsidP="00B10E8D">
      <w:r>
        <w:t xml:space="preserve">Home Office (2018a) </w:t>
      </w:r>
      <w:r w:rsidRPr="00FB690F">
        <w:rPr>
          <w:i/>
          <w:iCs/>
        </w:rPr>
        <w:t xml:space="preserve">Working Together to Safeguard Children. Statutory framework: legislation relevant to safeguarding and promoting the welfare of children. </w:t>
      </w:r>
      <w:r w:rsidRPr="007E7A28">
        <w:t>Available at:</w:t>
      </w:r>
      <w:r w:rsidRPr="00FB690F">
        <w:rPr>
          <w:i/>
          <w:iCs/>
        </w:rPr>
        <w:t xml:space="preserve"> </w:t>
      </w:r>
      <w:hyperlink r:id="rId53" w:history="1">
        <w:r w:rsidRPr="007E7A28">
          <w:rPr>
            <w:rStyle w:val="Hyperlink"/>
          </w:rPr>
          <w:t>https://assets.publishing.service.gov.uk/government/uploads/system/uploads/attachment_data/file/942455/Working_together_to_safeguard_children_Statutory_framework_legislation_relevant_to_safeguarding_and_promoting_the_welfare_of_children.pdf</w:t>
        </w:r>
      </w:hyperlink>
      <w:r w:rsidRPr="00FB690F">
        <w:rPr>
          <w:i/>
          <w:iCs/>
        </w:rPr>
        <w:t xml:space="preserve"> </w:t>
      </w:r>
      <w:r>
        <w:t>(Accessed: 07 May 2023)</w:t>
      </w:r>
    </w:p>
    <w:p w14:paraId="791F44B4" w14:textId="77777777" w:rsidR="00B10E8D" w:rsidRDefault="00B10E8D" w:rsidP="00B10E8D">
      <w:r>
        <w:t xml:space="preserve">Home Office (2018b) </w:t>
      </w:r>
      <w:r w:rsidRPr="00FB690F">
        <w:rPr>
          <w:i/>
          <w:iCs/>
        </w:rPr>
        <w:t xml:space="preserve">Working Together to Safeguard Children: A guide to inter-agency working to safeguard and promote the welfare of children. </w:t>
      </w:r>
      <w:r>
        <w:t xml:space="preserve">Available at: </w:t>
      </w:r>
      <w:hyperlink r:id="rId54" w:history="1">
        <w:r w:rsidRPr="00665316">
          <w:rPr>
            <w:rStyle w:val="Hyperlink"/>
          </w:rPr>
          <w:t>https://assets.publishing.service.gov.uk/government/uploads/system/uploads/attachment_data/file/942454/Working_together_to_safeguard_children_inter_agency_guidance.pdf</w:t>
        </w:r>
      </w:hyperlink>
      <w:r>
        <w:t xml:space="preserve"> (Accessed: 05 May 2023)</w:t>
      </w:r>
    </w:p>
    <w:p w14:paraId="3F9BA221" w14:textId="77777777" w:rsidR="00B10E8D" w:rsidRDefault="00B10E8D" w:rsidP="00B10E8D">
      <w:r>
        <w:t xml:space="preserve">Home Office (2022) </w:t>
      </w:r>
      <w:r w:rsidRPr="00FB690F">
        <w:rPr>
          <w:i/>
          <w:iCs/>
        </w:rPr>
        <w:t>PACE Code B.</w:t>
      </w:r>
      <w:r>
        <w:t xml:space="preserve"> Available at: </w:t>
      </w:r>
      <w:hyperlink r:id="rId55" w:anchor="search-with-consent" w:history="1">
        <w:r w:rsidRPr="002E72AA">
          <w:rPr>
            <w:rStyle w:val="Hyperlink"/>
          </w:rPr>
          <w:t>https://www.gov.uk/government/publications/pace-code-b-2013/pace-code-b-accessible#search-with-consent</w:t>
        </w:r>
      </w:hyperlink>
      <w:r>
        <w:t xml:space="preserve"> (Accessed: 04 May 2023)</w:t>
      </w:r>
    </w:p>
    <w:p w14:paraId="50A7A5D4" w14:textId="77777777" w:rsidR="00B10E8D" w:rsidRDefault="00B10E8D" w:rsidP="00B10E8D">
      <w:r w:rsidRPr="006B761F">
        <w:t xml:space="preserve">Long et al (2016) </w:t>
      </w:r>
      <w:r w:rsidRPr="00FB690F">
        <w:rPr>
          <w:i/>
          <w:iCs/>
        </w:rPr>
        <w:t>‘Law enforcement’s prioritization tool for investigating indecent image offenders.’ Psychology, Public Policy, and Law</w:t>
      </w:r>
      <w:r w:rsidRPr="006B761F">
        <w:t>, 22(1), pp. 12–21. Available at: https://doi.org/10.1037/law0000069 (Accessed: 21 March 2023)</w:t>
      </w:r>
    </w:p>
    <w:p w14:paraId="4A9187B0" w14:textId="77777777" w:rsidR="00B10E8D" w:rsidRDefault="00B10E8D" w:rsidP="00B10E8D">
      <w:r>
        <w:t xml:space="preserve">Lucy Faithful Foundation (2017) </w:t>
      </w:r>
      <w:r w:rsidRPr="00FB690F">
        <w:rPr>
          <w:i/>
          <w:iCs/>
        </w:rPr>
        <w:t xml:space="preserve">The Lucy Faithfull Foundation. </w:t>
      </w:r>
      <w:r>
        <w:t xml:space="preserve">Available at: </w:t>
      </w:r>
      <w:hyperlink r:id="rId56" w:history="1">
        <w:r w:rsidRPr="00665316">
          <w:rPr>
            <w:rStyle w:val="Hyperlink"/>
          </w:rPr>
          <w:t>https://www.stopitnow.org.uk/how-we-prevent-child-sexual-abuse/the-lucy-faithfull-foundation/</w:t>
        </w:r>
      </w:hyperlink>
      <w:r>
        <w:t xml:space="preserve"> (Accessed: 03 May 2023)</w:t>
      </w:r>
    </w:p>
    <w:p w14:paraId="4C0F4454" w14:textId="77777777" w:rsidR="00B10E8D" w:rsidRDefault="00B10E8D" w:rsidP="00B10E8D">
      <w:r>
        <w:t xml:space="preserve">Lucy Faithful Foundation (2020) </w:t>
      </w:r>
      <w:r w:rsidRPr="00FB690F">
        <w:rPr>
          <w:i/>
          <w:iCs/>
        </w:rPr>
        <w:t>If someone you know is being investigated for online offences.</w:t>
      </w:r>
      <w:r w:rsidRPr="0028250D">
        <w:t xml:space="preserve"> </w:t>
      </w:r>
      <w:r>
        <w:t xml:space="preserve">Available at: </w:t>
      </w:r>
      <w:hyperlink r:id="rId57" w:history="1">
        <w:r w:rsidRPr="00665316">
          <w:rPr>
            <w:rStyle w:val="Hyperlink"/>
          </w:rPr>
          <w:t>https://www.stopitnow.org.uk/concerned-about-the-behaviour-of-another-adult/online-behaviour/if-someone-you-know-has-been-arrested/</w:t>
        </w:r>
      </w:hyperlink>
      <w:r>
        <w:t xml:space="preserve"> (Accessed: 01 May 2023).</w:t>
      </w:r>
    </w:p>
    <w:p w14:paraId="00BD18BF" w14:textId="77777777" w:rsidR="00B10E8D" w:rsidRPr="00FB690F" w:rsidRDefault="00B10E8D" w:rsidP="00B10E8D">
      <w:pPr>
        <w:rPr>
          <w:i/>
          <w:iCs/>
        </w:rPr>
      </w:pPr>
      <w:r w:rsidRPr="00A62F6E">
        <w:t>Majeed-</w:t>
      </w:r>
      <w:proofErr w:type="spellStart"/>
      <w:r w:rsidRPr="00A62F6E">
        <w:t>Ariss</w:t>
      </w:r>
      <w:proofErr w:type="spellEnd"/>
      <w:r w:rsidRPr="00A62F6E">
        <w:t>, R</w:t>
      </w:r>
      <w:r>
        <w:t>.</w:t>
      </w:r>
      <w:r w:rsidRPr="00A62F6E">
        <w:t xml:space="preserve"> </w:t>
      </w:r>
      <w:r>
        <w:t>et al,</w:t>
      </w:r>
      <w:r w:rsidRPr="00A62F6E">
        <w:t xml:space="preserve"> (2019)</w:t>
      </w:r>
      <w:r w:rsidRPr="00FB690F">
        <w:rPr>
          <w:i/>
          <w:iCs/>
        </w:rPr>
        <w:t xml:space="preserve"> ‘Could do better: Report on the use of special measures in sexual offences cases.’ Criminology and Criminal Justice, </w:t>
      </w:r>
      <w:r>
        <w:t>21(1).</w:t>
      </w:r>
      <w:r w:rsidRPr="00FB690F">
        <w:rPr>
          <w:i/>
          <w:iCs/>
        </w:rPr>
        <w:t xml:space="preserve"> </w:t>
      </w:r>
      <w:r>
        <w:t xml:space="preserve">Available at: </w:t>
      </w:r>
      <w:hyperlink r:id="rId58" w:history="1">
        <w:r w:rsidRPr="00A9198B">
          <w:rPr>
            <w:rStyle w:val="Hyperlink"/>
          </w:rPr>
          <w:t>https://doi.org/10.1177/1748895819840396</w:t>
        </w:r>
      </w:hyperlink>
      <w:r>
        <w:t xml:space="preserve"> (Accessed: 05 May 2023) </w:t>
      </w:r>
    </w:p>
    <w:p w14:paraId="716AFCC6" w14:textId="77777777" w:rsidR="00B10E8D" w:rsidRDefault="00B10E8D" w:rsidP="00B10E8D">
      <w:r w:rsidRPr="00953A9C">
        <w:t xml:space="preserve">McCarthy, J.A. (2010) </w:t>
      </w:r>
      <w:r w:rsidRPr="00FB690F">
        <w:rPr>
          <w:i/>
          <w:iCs/>
        </w:rPr>
        <w:t>‘Internet sexual activity: A comparison between contact and non-contact child pornography offenders’</w:t>
      </w:r>
      <w:r w:rsidRPr="00953A9C">
        <w:t xml:space="preserve">, </w:t>
      </w:r>
      <w:r w:rsidRPr="00FB690F">
        <w:rPr>
          <w:i/>
          <w:iCs/>
        </w:rPr>
        <w:t>The journal of sexual aggression</w:t>
      </w:r>
      <w:r w:rsidRPr="00953A9C">
        <w:t xml:space="preserve">, 16(2), pp. 181–195. Available at: </w:t>
      </w:r>
      <w:hyperlink r:id="rId59" w:history="1">
        <w:r w:rsidRPr="00665316">
          <w:rPr>
            <w:rStyle w:val="Hyperlink"/>
          </w:rPr>
          <w:t>https://doi.org/10.1080/13552601003760006</w:t>
        </w:r>
      </w:hyperlink>
      <w:r w:rsidRPr="00953A9C">
        <w:t>.</w:t>
      </w:r>
      <w:r w:rsidRPr="006B761F">
        <w:t xml:space="preserve"> </w:t>
      </w:r>
      <w:r>
        <w:t>(Accessed: 02 May 2023)</w:t>
      </w:r>
    </w:p>
    <w:p w14:paraId="30702A46" w14:textId="77777777" w:rsidR="00B10E8D" w:rsidRPr="00786FC6" w:rsidRDefault="00B10E8D" w:rsidP="00B10E8D">
      <w:r>
        <w:t xml:space="preserve">Ministry of Justice (2011) </w:t>
      </w:r>
      <w:r w:rsidRPr="00FB690F">
        <w:rPr>
          <w:i/>
          <w:iCs/>
        </w:rPr>
        <w:t xml:space="preserve">Achieving Best Evidence in Criminal Proceedings: Guidance on Interviewing Victims and Witnesses and Using Special Measures. </w:t>
      </w:r>
      <w:r>
        <w:t xml:space="preserve">Available at: </w:t>
      </w:r>
      <w:hyperlink r:id="rId60" w:history="1">
        <w:r w:rsidRPr="002E72AA">
          <w:rPr>
            <w:rStyle w:val="Hyperlink"/>
          </w:rPr>
          <w:t>https://www.cps.gov.uk/sites/default/files/documents/legal_guidance/best_evidence_in_criminal_proceedings.pdf</w:t>
        </w:r>
      </w:hyperlink>
      <w:r>
        <w:t xml:space="preserve"> (Accessed: 11 May 2023)</w:t>
      </w:r>
    </w:p>
    <w:p w14:paraId="5A12857D" w14:textId="77777777" w:rsidR="00B10E8D" w:rsidRDefault="00B10E8D" w:rsidP="00B10E8D">
      <w:r>
        <w:t xml:space="preserve">Ministry of Justice (2020) </w:t>
      </w:r>
      <w:r w:rsidRPr="00FB690F">
        <w:rPr>
          <w:i/>
          <w:iCs/>
        </w:rPr>
        <w:t>Code of Practice for Victims of Crime in England and Wales</w:t>
      </w:r>
      <w:r>
        <w:t xml:space="preserve">. Available at: </w:t>
      </w:r>
      <w:hyperlink r:id="rId61" w:history="1">
        <w:r w:rsidRPr="002E72AA">
          <w:rPr>
            <w:rStyle w:val="Hyperlink"/>
          </w:rPr>
          <w:t>https://assets.publishing.service.gov.uk/government/uploads/system/uploads/attachment_data/file/936239/victims-code-2020.pdf</w:t>
        </w:r>
      </w:hyperlink>
      <w:r>
        <w:t xml:space="preserve"> (Accessed: 10 May 2023)</w:t>
      </w:r>
    </w:p>
    <w:p w14:paraId="1397DFE2" w14:textId="77777777" w:rsidR="00B10E8D" w:rsidRDefault="00B10E8D" w:rsidP="00B10E8D">
      <w:r w:rsidRPr="00FB690F">
        <w:rPr>
          <w:i/>
          <w:iCs/>
        </w:rPr>
        <w:t>Police and Criminal Evidence Act 1984a, c.60, s.8.</w:t>
      </w:r>
      <w:r>
        <w:t xml:space="preserve"> Available at: </w:t>
      </w:r>
      <w:hyperlink r:id="rId62" w:history="1">
        <w:r w:rsidRPr="002E72AA">
          <w:rPr>
            <w:rStyle w:val="Hyperlink"/>
          </w:rPr>
          <w:t>https://www.legislation.gov.uk/ukpga/1984/60/section/8</w:t>
        </w:r>
      </w:hyperlink>
      <w:r>
        <w:t xml:space="preserve"> (Accessed: 12 May 2023</w:t>
      </w:r>
    </w:p>
    <w:p w14:paraId="4474A1EA" w14:textId="77777777" w:rsidR="00B10E8D" w:rsidRDefault="00B10E8D" w:rsidP="00B10E8D">
      <w:r w:rsidRPr="00FB690F">
        <w:rPr>
          <w:i/>
          <w:iCs/>
        </w:rPr>
        <w:t xml:space="preserve">Police and Criminal Evidence Act 1984b, c.60, s.24. </w:t>
      </w:r>
      <w:r>
        <w:t>Available at:</w:t>
      </w:r>
      <w:r w:rsidRPr="00EC0400">
        <w:t xml:space="preserve"> </w:t>
      </w:r>
      <w:hyperlink r:id="rId63" w:history="1">
        <w:r w:rsidRPr="002E72AA">
          <w:rPr>
            <w:rStyle w:val="Hyperlink"/>
          </w:rPr>
          <w:t>https://www.legislation.gov.uk/ukpga/1984/60/section/24</w:t>
        </w:r>
      </w:hyperlink>
      <w:r>
        <w:t xml:space="preserve"> (Accessed: 12 May 2023)</w:t>
      </w:r>
    </w:p>
    <w:p w14:paraId="49746C6B" w14:textId="77777777" w:rsidR="00B10E8D" w:rsidRDefault="00B10E8D" w:rsidP="00B10E8D">
      <w:r w:rsidRPr="00FB690F">
        <w:rPr>
          <w:i/>
          <w:iCs/>
        </w:rPr>
        <w:t>Protection of Children Act 1978, c.37, s.4</w:t>
      </w:r>
      <w:r>
        <w:t xml:space="preserve">. Available at: </w:t>
      </w:r>
      <w:hyperlink r:id="rId64" w:history="1">
        <w:r w:rsidRPr="00665316">
          <w:rPr>
            <w:rStyle w:val="Hyperlink"/>
          </w:rPr>
          <w:t>https://www.legislation.gov.uk/ukpga/1978/37/section/4</w:t>
        </w:r>
      </w:hyperlink>
      <w:r>
        <w:t xml:space="preserve"> (Accessed: 12 May 2023)</w:t>
      </w:r>
    </w:p>
    <w:p w14:paraId="1270199E" w14:textId="77777777" w:rsidR="00B10E8D" w:rsidRDefault="00B10E8D" w:rsidP="00B10E8D">
      <w:r>
        <w:t xml:space="preserve">Quayle, E and Taylor, M. (2002) </w:t>
      </w:r>
      <w:r w:rsidRPr="00FB690F">
        <w:rPr>
          <w:i/>
          <w:iCs/>
        </w:rPr>
        <w:t xml:space="preserve">‘Child pornography and the Internet: Perpetuating a cycle of abuse.’ Deviant </w:t>
      </w:r>
      <w:proofErr w:type="spellStart"/>
      <w:r w:rsidRPr="00FB690F">
        <w:rPr>
          <w:i/>
          <w:iCs/>
        </w:rPr>
        <w:t>Behavior</w:t>
      </w:r>
      <w:proofErr w:type="spellEnd"/>
      <w:r w:rsidRPr="00BD7A96">
        <w:t>, 23(4), pp. 331-361</w:t>
      </w:r>
      <w:r>
        <w:t xml:space="preserve">. </w:t>
      </w:r>
      <w:r w:rsidRPr="00953A9C">
        <w:t>Available at:</w:t>
      </w:r>
      <w:r>
        <w:t xml:space="preserve"> </w:t>
      </w:r>
      <w:hyperlink r:id="rId65" w:history="1">
        <w:r w:rsidRPr="00665316">
          <w:rPr>
            <w:rStyle w:val="Hyperlink"/>
          </w:rPr>
          <w:t>https://doi.org/10.1080/01639620290086413</w:t>
        </w:r>
      </w:hyperlink>
      <w:r>
        <w:t xml:space="preserve"> (Accessed: 12 May 2023)</w:t>
      </w:r>
    </w:p>
    <w:p w14:paraId="71938695" w14:textId="77777777" w:rsidR="00B10E8D" w:rsidRDefault="00B10E8D" w:rsidP="00B10E8D">
      <w:r w:rsidRPr="00FB690F">
        <w:rPr>
          <w:i/>
          <w:iCs/>
        </w:rPr>
        <w:t xml:space="preserve">Social Services and Well-being (Wales) Act 2014. </w:t>
      </w:r>
      <w:r>
        <w:t xml:space="preserve">Available at: </w:t>
      </w:r>
      <w:hyperlink r:id="rId66" w:history="1">
        <w:r w:rsidRPr="00665316">
          <w:rPr>
            <w:rStyle w:val="Hyperlink"/>
          </w:rPr>
          <w:t>https://www.legislation.gov.uk/anaw/2014/4/contents</w:t>
        </w:r>
      </w:hyperlink>
      <w:r>
        <w:t xml:space="preserve"> (Accessed: 04 May 2023)</w:t>
      </w:r>
    </w:p>
    <w:p w14:paraId="439EE735" w14:textId="77777777" w:rsidR="00B10E8D" w:rsidRPr="00A34070" w:rsidRDefault="00B10E8D" w:rsidP="00B10E8D">
      <w:r w:rsidRPr="00786FC6">
        <w:t xml:space="preserve">Welsh Government (2021) </w:t>
      </w:r>
      <w:r w:rsidRPr="00FB690F">
        <w:rPr>
          <w:i/>
          <w:iCs/>
        </w:rPr>
        <w:t>The Wales Safeguarding Procedures for children and adults at risk of abuse and neglect.</w:t>
      </w:r>
      <w:r>
        <w:t xml:space="preserve"> Available at: </w:t>
      </w:r>
      <w:hyperlink r:id="rId67" w:history="1">
        <w:r w:rsidRPr="00665316">
          <w:rPr>
            <w:rStyle w:val="Hyperlink"/>
          </w:rPr>
          <w:t>https://safeguarding.wales/en/int-i/int-i-i1/i1-p1/</w:t>
        </w:r>
      </w:hyperlink>
      <w:r>
        <w:t xml:space="preserve"> (Accessed: 04 May 2023)</w:t>
      </w:r>
    </w:p>
    <w:p w14:paraId="07802346" w14:textId="5061C993" w:rsidR="4AF6DABA" w:rsidRPr="00F954F9" w:rsidRDefault="00B10E8D" w:rsidP="00F954F9">
      <w:r w:rsidRPr="00FB690F">
        <w:rPr>
          <w:i/>
          <w:iCs/>
        </w:rPr>
        <w:t xml:space="preserve">Youth Justice and Criminal Evidence Act 1999, c.23. </w:t>
      </w:r>
      <w:r w:rsidRPr="002450F7">
        <w:t xml:space="preserve">Available at: </w:t>
      </w:r>
      <w:hyperlink r:id="rId68" w:history="1">
        <w:r w:rsidRPr="002E72AA">
          <w:rPr>
            <w:rStyle w:val="Hyperlink"/>
          </w:rPr>
          <w:t>https://www.legislation.gov.uk/ukpga/1999/23/contents</w:t>
        </w:r>
      </w:hyperlink>
      <w:r>
        <w:t xml:space="preserve"> (Accessed: 02 May 2023)</w:t>
      </w:r>
    </w:p>
    <w:p w14:paraId="6664E868" w14:textId="0C9C4205" w:rsidR="4AF6DABA" w:rsidRDefault="4AF6DABA" w:rsidP="2F17ACDD">
      <w:pPr>
        <w:ind w:right="107"/>
        <w:rPr>
          <w:rFonts w:ascii="Arial" w:eastAsia="Arial" w:hAnsi="Arial" w:cs="Arial"/>
          <w:b/>
          <w:bCs/>
          <w:i/>
          <w:iCs/>
          <w:color w:val="000000" w:themeColor="text1"/>
          <w:sz w:val="24"/>
          <w:szCs w:val="24"/>
        </w:rPr>
      </w:pPr>
      <w:r w:rsidRPr="2F17ACDD">
        <w:rPr>
          <w:rFonts w:ascii="Arial" w:eastAsia="Arial" w:hAnsi="Arial" w:cs="Arial"/>
          <w:b/>
          <w:bCs/>
          <w:i/>
          <w:iCs/>
          <w:color w:val="000000" w:themeColor="text1"/>
          <w:sz w:val="24"/>
          <w:szCs w:val="24"/>
        </w:rPr>
        <w:t xml:space="preserve">Task 3: </w:t>
      </w:r>
      <w:r w:rsidR="77EF1F52" w:rsidRPr="2F17ACDD">
        <w:rPr>
          <w:rFonts w:ascii="Arial" w:eastAsia="Arial" w:hAnsi="Arial" w:cs="Arial"/>
          <w:b/>
          <w:bCs/>
          <w:i/>
          <w:iCs/>
          <w:color w:val="000000" w:themeColor="text1"/>
          <w:sz w:val="24"/>
          <w:szCs w:val="24"/>
        </w:rPr>
        <w:t>Interview and Custody Processes</w:t>
      </w:r>
    </w:p>
    <w:p w14:paraId="17370670" w14:textId="6704ECDB" w:rsidR="515A1CF8" w:rsidRDefault="131953EB" w:rsidP="2F17ACDD">
      <w:pPr>
        <w:rPr>
          <w:rFonts w:ascii="Arial" w:eastAsia="Arial" w:hAnsi="Arial" w:cs="Arial"/>
          <w:color w:val="000000" w:themeColor="text1"/>
          <w:sz w:val="24"/>
          <w:szCs w:val="24"/>
        </w:rPr>
      </w:pPr>
      <w:r w:rsidRPr="2F17ACDD">
        <w:rPr>
          <w:rFonts w:ascii="Arial" w:eastAsia="Arial" w:hAnsi="Arial" w:cs="Arial"/>
          <w:color w:val="000000" w:themeColor="text1"/>
          <w:sz w:val="24"/>
          <w:szCs w:val="24"/>
        </w:rPr>
        <w:t>You must choose a</w:t>
      </w:r>
      <w:r w:rsidR="2C4EA49A" w:rsidRPr="2F17ACDD">
        <w:rPr>
          <w:rFonts w:ascii="Arial" w:eastAsia="Arial" w:hAnsi="Arial" w:cs="Arial"/>
          <w:color w:val="000000" w:themeColor="text1"/>
          <w:sz w:val="24"/>
          <w:szCs w:val="24"/>
        </w:rPr>
        <w:t xml:space="preserve"> serious and complex</w:t>
      </w:r>
      <w:r w:rsidRPr="2F17ACDD">
        <w:rPr>
          <w:rFonts w:ascii="Arial" w:eastAsia="Arial" w:hAnsi="Arial" w:cs="Arial"/>
          <w:color w:val="000000" w:themeColor="text1"/>
          <w:sz w:val="24"/>
          <w:szCs w:val="24"/>
        </w:rPr>
        <w:t xml:space="preserve"> investigation in which you played a significant role with witnesses</w:t>
      </w:r>
      <w:r w:rsidR="1E611AAB" w:rsidRPr="2F17ACDD">
        <w:rPr>
          <w:rFonts w:ascii="Arial" w:eastAsia="Arial" w:hAnsi="Arial" w:cs="Arial"/>
          <w:color w:val="000000" w:themeColor="text1"/>
          <w:sz w:val="24"/>
          <w:szCs w:val="24"/>
        </w:rPr>
        <w:t xml:space="preserve">, </w:t>
      </w:r>
      <w:proofErr w:type="gramStart"/>
      <w:r w:rsidR="1E611AAB" w:rsidRPr="2F17ACDD">
        <w:rPr>
          <w:rFonts w:ascii="Arial" w:eastAsia="Arial" w:hAnsi="Arial" w:cs="Arial"/>
          <w:color w:val="000000" w:themeColor="text1"/>
          <w:sz w:val="24"/>
          <w:szCs w:val="24"/>
        </w:rPr>
        <w:t>suspects</w:t>
      </w:r>
      <w:proofErr w:type="gramEnd"/>
      <w:r w:rsidR="1E611AAB" w:rsidRPr="2F17ACDD">
        <w:rPr>
          <w:rFonts w:ascii="Arial" w:eastAsia="Arial" w:hAnsi="Arial" w:cs="Arial"/>
          <w:color w:val="000000" w:themeColor="text1"/>
          <w:sz w:val="24"/>
          <w:szCs w:val="24"/>
        </w:rPr>
        <w:t xml:space="preserve"> or victims</w:t>
      </w:r>
      <w:r w:rsidR="01B3FCC5" w:rsidRPr="2F17ACDD">
        <w:rPr>
          <w:rFonts w:ascii="Arial" w:eastAsia="Arial" w:hAnsi="Arial" w:cs="Arial"/>
          <w:color w:val="000000" w:themeColor="text1"/>
          <w:sz w:val="24"/>
          <w:szCs w:val="24"/>
        </w:rPr>
        <w:t>.</w:t>
      </w:r>
    </w:p>
    <w:tbl>
      <w:tblPr>
        <w:tblStyle w:val="TableGrid"/>
        <w:tblW w:w="0" w:type="auto"/>
        <w:tblLayout w:type="fixed"/>
        <w:tblLook w:val="06A0" w:firstRow="1" w:lastRow="0" w:firstColumn="1" w:lastColumn="0" w:noHBand="1" w:noVBand="1"/>
      </w:tblPr>
      <w:tblGrid>
        <w:gridCol w:w="9015"/>
      </w:tblGrid>
      <w:tr w:rsidR="7336895D" w14:paraId="66F0C074" w14:textId="77777777" w:rsidTr="2F17ACDD">
        <w:tc>
          <w:tcPr>
            <w:tcW w:w="9015" w:type="dxa"/>
          </w:tcPr>
          <w:p w14:paraId="5C5A628C" w14:textId="681B63CE" w:rsidR="7336895D" w:rsidRDefault="1E611AAB" w:rsidP="2F17ACDD">
            <w:pPr>
              <w:spacing w:line="259" w:lineRule="auto"/>
              <w:rPr>
                <w:rFonts w:ascii="Arial" w:eastAsia="Arial" w:hAnsi="Arial" w:cs="Arial"/>
                <w:b/>
                <w:bCs/>
                <w:color w:val="000000" w:themeColor="text1"/>
                <w:sz w:val="24"/>
                <w:szCs w:val="24"/>
              </w:rPr>
            </w:pPr>
            <w:r w:rsidRPr="2F17ACDD">
              <w:rPr>
                <w:rFonts w:ascii="Arial" w:eastAsia="Arial" w:hAnsi="Arial" w:cs="Arial"/>
                <w:b/>
                <w:bCs/>
                <w:color w:val="000000" w:themeColor="text1"/>
                <w:sz w:val="24"/>
                <w:szCs w:val="24"/>
              </w:rPr>
              <w:t>Give a brief description</w:t>
            </w:r>
            <w:r w:rsidRPr="2F17ACDD">
              <w:rPr>
                <w:rFonts w:ascii="Arial" w:eastAsia="Arial" w:hAnsi="Arial" w:cs="Arial"/>
                <w:color w:val="000000" w:themeColor="text1"/>
                <w:sz w:val="24"/>
                <w:szCs w:val="24"/>
              </w:rPr>
              <w:t xml:space="preserve"> of the investigation including social and legislative contexts and any relevant cultural, ethnicity and language issues.  </w:t>
            </w:r>
            <w:r w:rsidRPr="2F17ACDD">
              <w:rPr>
                <w:rFonts w:ascii="Arial" w:eastAsia="Arial" w:hAnsi="Arial" w:cs="Arial"/>
                <w:sz w:val="24"/>
                <w:szCs w:val="24"/>
              </w:rPr>
              <w:t xml:space="preserve"> </w:t>
            </w:r>
          </w:p>
          <w:p w14:paraId="3D2C74E4" w14:textId="37BA7A59" w:rsidR="7336895D" w:rsidRDefault="7336895D" w:rsidP="2F17ACDD">
            <w:pPr>
              <w:spacing w:line="259" w:lineRule="auto"/>
              <w:ind w:right="237"/>
              <w:jc w:val="both"/>
              <w:rPr>
                <w:rFonts w:ascii="Arial" w:eastAsia="Arial" w:hAnsi="Arial" w:cs="Arial"/>
                <w:sz w:val="24"/>
                <w:szCs w:val="24"/>
              </w:rPr>
            </w:pPr>
          </w:p>
          <w:p w14:paraId="68A4B315" w14:textId="29CD291F" w:rsidR="7336895D" w:rsidRDefault="7195713B" w:rsidP="79283025">
            <w:pPr>
              <w:rPr>
                <w:rFonts w:ascii="Arial" w:eastAsia="Arial" w:hAnsi="Arial" w:cs="Arial"/>
                <w:b/>
                <w:bCs/>
                <w:color w:val="000000" w:themeColor="text1"/>
                <w:sz w:val="24"/>
                <w:szCs w:val="24"/>
              </w:rPr>
            </w:pPr>
            <w:r w:rsidRPr="2F17ACDD">
              <w:rPr>
                <w:rFonts w:ascii="Arial" w:eastAsia="Arial" w:hAnsi="Arial" w:cs="Arial"/>
                <w:color w:val="000000" w:themeColor="text1"/>
                <w:sz w:val="24"/>
                <w:szCs w:val="24"/>
              </w:rPr>
              <w:t xml:space="preserve">Critically </w:t>
            </w:r>
            <w:r w:rsidR="4B6B79B8" w:rsidRPr="2F17ACDD">
              <w:rPr>
                <w:rFonts w:ascii="Arial" w:eastAsia="Arial" w:hAnsi="Arial" w:cs="Arial"/>
                <w:color w:val="000000" w:themeColor="text1"/>
                <w:sz w:val="24"/>
                <w:szCs w:val="24"/>
              </w:rPr>
              <w:t>evaluate</w:t>
            </w:r>
            <w:r w:rsidRPr="2F17ACDD">
              <w:rPr>
                <w:rFonts w:ascii="Arial" w:eastAsia="Arial" w:hAnsi="Arial" w:cs="Arial"/>
                <w:b/>
                <w:bCs/>
                <w:color w:val="000000" w:themeColor="text1"/>
                <w:sz w:val="24"/>
                <w:szCs w:val="24"/>
              </w:rPr>
              <w:t xml:space="preserve"> </w:t>
            </w:r>
            <w:r w:rsidRPr="2F17ACDD">
              <w:rPr>
                <w:rFonts w:ascii="Arial" w:eastAsia="Arial" w:hAnsi="Arial" w:cs="Arial"/>
                <w:color w:val="000000" w:themeColor="text1"/>
                <w:sz w:val="24"/>
                <w:szCs w:val="24"/>
              </w:rPr>
              <w:t xml:space="preserve">the interview process of witnesses and </w:t>
            </w:r>
            <w:r w:rsidR="1CD88FC1" w:rsidRPr="2F17ACDD">
              <w:rPr>
                <w:rFonts w:ascii="Arial" w:eastAsia="Arial" w:hAnsi="Arial" w:cs="Arial"/>
                <w:color w:val="000000" w:themeColor="text1"/>
                <w:sz w:val="24"/>
                <w:szCs w:val="24"/>
              </w:rPr>
              <w:t>suspects</w:t>
            </w:r>
            <w:r w:rsidRPr="2F17ACDD">
              <w:rPr>
                <w:rFonts w:ascii="Arial" w:eastAsia="Arial" w:hAnsi="Arial" w:cs="Arial"/>
                <w:color w:val="000000" w:themeColor="text1"/>
                <w:sz w:val="24"/>
                <w:szCs w:val="24"/>
              </w:rPr>
              <w:t xml:space="preserve"> and how you have </w:t>
            </w:r>
            <w:r w:rsidR="2064BCDF" w:rsidRPr="2F17ACDD">
              <w:rPr>
                <w:rFonts w:ascii="Arial" w:eastAsia="Arial" w:hAnsi="Arial" w:cs="Arial"/>
                <w:color w:val="000000" w:themeColor="text1"/>
                <w:sz w:val="24"/>
                <w:szCs w:val="24"/>
              </w:rPr>
              <w:t>gathered</w:t>
            </w:r>
            <w:r w:rsidRPr="2F17ACDD">
              <w:rPr>
                <w:rFonts w:ascii="Arial" w:eastAsia="Arial" w:hAnsi="Arial" w:cs="Arial"/>
                <w:color w:val="000000" w:themeColor="text1"/>
                <w:sz w:val="24"/>
                <w:szCs w:val="24"/>
              </w:rPr>
              <w:t xml:space="preserve"> all required information in relation to the investigation in </w:t>
            </w:r>
            <w:r w:rsidR="3B87AB52" w:rsidRPr="2F17ACDD">
              <w:rPr>
                <w:rFonts w:ascii="Arial" w:eastAsia="Arial" w:hAnsi="Arial" w:cs="Arial"/>
                <w:color w:val="000000" w:themeColor="text1"/>
                <w:sz w:val="24"/>
                <w:szCs w:val="24"/>
              </w:rPr>
              <w:t>accordance</w:t>
            </w:r>
            <w:r w:rsidRPr="2F17ACDD">
              <w:rPr>
                <w:rFonts w:ascii="Arial" w:eastAsia="Arial" w:hAnsi="Arial" w:cs="Arial"/>
                <w:color w:val="000000" w:themeColor="text1"/>
                <w:sz w:val="24"/>
                <w:szCs w:val="24"/>
              </w:rPr>
              <w:t xml:space="preserve"> with P</w:t>
            </w:r>
            <w:r w:rsidR="17E92F93" w:rsidRPr="2F17ACDD">
              <w:rPr>
                <w:rFonts w:ascii="Arial" w:eastAsia="Arial" w:hAnsi="Arial" w:cs="Arial"/>
                <w:color w:val="000000" w:themeColor="text1"/>
                <w:sz w:val="24"/>
                <w:szCs w:val="24"/>
              </w:rPr>
              <w:t xml:space="preserve">IP2 investigative standards. </w:t>
            </w:r>
            <w:r w:rsidR="62C9EDBC" w:rsidRPr="2F17ACDD">
              <w:rPr>
                <w:rFonts w:ascii="Arial" w:eastAsia="Arial" w:hAnsi="Arial" w:cs="Arial"/>
                <w:color w:val="000000" w:themeColor="text1"/>
                <w:sz w:val="24"/>
                <w:szCs w:val="24"/>
              </w:rPr>
              <w:t xml:space="preserve">(Consider generating further lines of enquiry where required). </w:t>
            </w:r>
          </w:p>
          <w:p w14:paraId="49577BB7" w14:textId="549A7B53" w:rsidR="7336895D" w:rsidRDefault="7336895D" w:rsidP="2F17ACDD">
            <w:pPr>
              <w:rPr>
                <w:rFonts w:ascii="Arial" w:eastAsia="Arial" w:hAnsi="Arial" w:cs="Arial"/>
                <w:b/>
                <w:bCs/>
                <w:color w:val="000000" w:themeColor="text1"/>
                <w:sz w:val="24"/>
                <w:szCs w:val="24"/>
              </w:rPr>
            </w:pPr>
          </w:p>
          <w:p w14:paraId="462E9563" w14:textId="6821C60C" w:rsidR="7336895D" w:rsidRDefault="39B0FD09" w:rsidP="515A1CF8">
            <w:pPr>
              <w:rPr>
                <w:rFonts w:ascii="Arial" w:eastAsia="Arial" w:hAnsi="Arial" w:cs="Arial"/>
                <w:b/>
                <w:bCs/>
                <w:color w:val="000000" w:themeColor="text1"/>
                <w:sz w:val="24"/>
                <w:szCs w:val="24"/>
              </w:rPr>
            </w:pPr>
            <w:r w:rsidRPr="2F17ACDD">
              <w:rPr>
                <w:rFonts w:ascii="Arial" w:eastAsia="Arial" w:hAnsi="Arial" w:cs="Arial"/>
                <w:color w:val="000000" w:themeColor="text1"/>
                <w:sz w:val="24"/>
                <w:szCs w:val="24"/>
              </w:rPr>
              <w:t>Reflect upon</w:t>
            </w:r>
            <w:r w:rsidRPr="2F17ACDD">
              <w:rPr>
                <w:rFonts w:ascii="Arial" w:eastAsia="Arial" w:hAnsi="Arial" w:cs="Arial"/>
                <w:b/>
                <w:bCs/>
                <w:color w:val="000000" w:themeColor="text1"/>
                <w:sz w:val="24"/>
                <w:szCs w:val="24"/>
              </w:rPr>
              <w:t xml:space="preserve"> </w:t>
            </w:r>
            <w:r w:rsidRPr="2F17ACDD">
              <w:rPr>
                <w:rFonts w:ascii="Arial" w:eastAsia="Arial" w:hAnsi="Arial" w:cs="Arial"/>
                <w:color w:val="000000" w:themeColor="text1"/>
                <w:sz w:val="24"/>
                <w:szCs w:val="24"/>
              </w:rPr>
              <w:t xml:space="preserve">your application of relevant powers to arrest and apprehend where necessary and the use of special warnings when required. </w:t>
            </w:r>
          </w:p>
          <w:p w14:paraId="07FB6129" w14:textId="0DBBEFF5" w:rsidR="7336895D" w:rsidRDefault="7336895D" w:rsidP="2F17ACDD">
            <w:pPr>
              <w:rPr>
                <w:rFonts w:ascii="Arial" w:eastAsia="Arial" w:hAnsi="Arial" w:cs="Arial"/>
                <w:b/>
                <w:bCs/>
                <w:color w:val="000000" w:themeColor="text1"/>
                <w:sz w:val="24"/>
                <w:szCs w:val="24"/>
              </w:rPr>
            </w:pPr>
          </w:p>
          <w:p w14:paraId="0896BCC9" w14:textId="5280C6BD" w:rsidR="7336895D" w:rsidRDefault="39B0FD09" w:rsidP="515A1CF8">
            <w:pPr>
              <w:rPr>
                <w:rFonts w:ascii="Arial" w:eastAsia="Arial" w:hAnsi="Arial" w:cs="Arial"/>
                <w:b/>
                <w:bCs/>
                <w:color w:val="000000" w:themeColor="text1"/>
                <w:sz w:val="24"/>
                <w:szCs w:val="24"/>
              </w:rPr>
            </w:pPr>
            <w:r w:rsidRPr="2F17ACDD">
              <w:rPr>
                <w:rFonts w:ascii="Arial" w:eastAsia="Arial" w:hAnsi="Arial" w:cs="Arial"/>
                <w:color w:val="000000" w:themeColor="text1"/>
                <w:sz w:val="24"/>
                <w:szCs w:val="24"/>
              </w:rPr>
              <w:t>Illustrate</w:t>
            </w:r>
            <w:r w:rsidRPr="2F17ACDD">
              <w:rPr>
                <w:rFonts w:ascii="Arial" w:eastAsia="Arial" w:hAnsi="Arial" w:cs="Arial"/>
                <w:b/>
                <w:bCs/>
                <w:color w:val="000000" w:themeColor="text1"/>
                <w:sz w:val="24"/>
                <w:szCs w:val="24"/>
              </w:rPr>
              <w:t xml:space="preserve"> </w:t>
            </w:r>
            <w:r w:rsidRPr="2F17ACDD">
              <w:rPr>
                <w:rFonts w:ascii="Arial" w:eastAsia="Arial" w:hAnsi="Arial" w:cs="Arial"/>
                <w:color w:val="000000" w:themeColor="text1"/>
                <w:sz w:val="24"/>
                <w:szCs w:val="24"/>
              </w:rPr>
              <w:t>how you have undertaken associated search and custody procedures to protect and safeguard the public in accordance with legalisation and policy.</w:t>
            </w:r>
          </w:p>
          <w:p w14:paraId="7EE609DB" w14:textId="6FDC2839" w:rsidR="7336895D" w:rsidRDefault="7336895D" w:rsidP="515A1CF8">
            <w:pPr>
              <w:rPr>
                <w:rFonts w:ascii="Arial" w:eastAsia="Arial" w:hAnsi="Arial" w:cs="Arial"/>
                <w:b/>
                <w:bCs/>
                <w:color w:val="000000" w:themeColor="text1"/>
                <w:sz w:val="24"/>
                <w:szCs w:val="24"/>
              </w:rPr>
            </w:pPr>
          </w:p>
          <w:p w14:paraId="7CE49826" w14:textId="5293EAD4" w:rsidR="7336895D" w:rsidRDefault="36CADCB7" w:rsidP="2F17ACDD">
            <w:pPr>
              <w:rPr>
                <w:rFonts w:ascii="Arial" w:eastAsia="Arial" w:hAnsi="Arial" w:cs="Arial"/>
                <w:color w:val="000000" w:themeColor="text1"/>
                <w:sz w:val="24"/>
                <w:szCs w:val="24"/>
              </w:rPr>
            </w:pPr>
            <w:r w:rsidRPr="2F17ACDD">
              <w:rPr>
                <w:rFonts w:ascii="Arial" w:eastAsia="Arial" w:hAnsi="Arial" w:cs="Arial"/>
                <w:color w:val="000000" w:themeColor="text1"/>
                <w:sz w:val="24"/>
                <w:szCs w:val="24"/>
              </w:rPr>
              <w:t>Analyse</w:t>
            </w:r>
            <w:r w:rsidRPr="2F17ACDD">
              <w:rPr>
                <w:rFonts w:ascii="Arial" w:eastAsia="Arial" w:hAnsi="Arial" w:cs="Arial"/>
                <w:b/>
                <w:bCs/>
                <w:color w:val="000000" w:themeColor="text1"/>
                <w:sz w:val="24"/>
                <w:szCs w:val="24"/>
              </w:rPr>
              <w:t xml:space="preserve"> </w:t>
            </w:r>
            <w:r w:rsidRPr="2F17ACDD">
              <w:rPr>
                <w:rFonts w:ascii="Arial" w:eastAsia="Arial" w:hAnsi="Arial" w:cs="Arial"/>
                <w:color w:val="000000" w:themeColor="text1"/>
                <w:sz w:val="24"/>
                <w:szCs w:val="24"/>
              </w:rPr>
              <w:t xml:space="preserve">your understanding of ethics and values of the service. </w:t>
            </w:r>
          </w:p>
          <w:p w14:paraId="32D22CF4" w14:textId="006C17EB" w:rsidR="2F17ACDD" w:rsidRDefault="2F17ACDD" w:rsidP="2F17ACDD">
            <w:pPr>
              <w:rPr>
                <w:rFonts w:ascii="Arial" w:eastAsia="Arial" w:hAnsi="Arial" w:cs="Arial"/>
                <w:color w:val="000000" w:themeColor="text1"/>
                <w:sz w:val="24"/>
                <w:szCs w:val="24"/>
              </w:rPr>
            </w:pPr>
          </w:p>
          <w:p w14:paraId="296E3AF7" w14:textId="443BB977" w:rsidR="7336895D" w:rsidRDefault="544C3B79" w:rsidP="2F17ACDD">
            <w:pPr>
              <w:ind w:right="237"/>
              <w:jc w:val="both"/>
              <w:rPr>
                <w:rFonts w:ascii="Arial" w:eastAsia="Arial" w:hAnsi="Arial" w:cs="Arial"/>
                <w:sz w:val="24"/>
                <w:szCs w:val="24"/>
              </w:rPr>
            </w:pPr>
            <w:r w:rsidRPr="2F17ACDD">
              <w:rPr>
                <w:rFonts w:ascii="Arial" w:eastAsia="Arial" w:hAnsi="Arial" w:cs="Arial"/>
                <w:b/>
                <w:bCs/>
                <w:color w:val="000000" w:themeColor="text1"/>
                <w:sz w:val="24"/>
                <w:szCs w:val="24"/>
              </w:rPr>
              <w:t xml:space="preserve">2000 words </w:t>
            </w:r>
            <w:r w:rsidRPr="2F17ACDD">
              <w:rPr>
                <w:rFonts w:ascii="Arial" w:eastAsia="Arial" w:hAnsi="Arial" w:cs="Arial"/>
                <w:i/>
                <w:iCs/>
                <w:color w:val="000000" w:themeColor="text1"/>
                <w:sz w:val="24"/>
                <w:szCs w:val="24"/>
              </w:rPr>
              <w:t>(+/- 10%: include your actual word count at the end of each section)</w:t>
            </w:r>
          </w:p>
        </w:tc>
      </w:tr>
    </w:tbl>
    <w:p w14:paraId="7C247AEB" w14:textId="3F5406C8" w:rsidR="2F17ACDD" w:rsidRDefault="2F17ACDD" w:rsidP="2F17ACDD">
      <w:pPr>
        <w:ind w:left="3600" w:right="107" w:firstLine="720"/>
        <w:jc w:val="both"/>
        <w:rPr>
          <w:rFonts w:ascii="Arial" w:eastAsia="Arial" w:hAnsi="Arial" w:cs="Arial"/>
          <w:b/>
          <w:bCs/>
          <w:color w:val="000000" w:themeColor="text1"/>
          <w:sz w:val="24"/>
          <w:szCs w:val="24"/>
        </w:rPr>
      </w:pPr>
    </w:p>
    <w:p w14:paraId="1DC3D771" w14:textId="1CBC528F" w:rsidR="00F954F9" w:rsidRDefault="00F954F9" w:rsidP="00F954F9">
      <w:pPr>
        <w:pStyle w:val="Heading1"/>
      </w:pPr>
      <w:r>
        <w:t xml:space="preserve">TASK </w:t>
      </w:r>
      <w:r>
        <w:t>3</w:t>
      </w:r>
      <w:r>
        <w:t xml:space="preserve"> ANSWER:</w:t>
      </w:r>
    </w:p>
    <w:p w14:paraId="0EA3C2C9" w14:textId="77777777" w:rsidR="003879DD" w:rsidRDefault="003879DD" w:rsidP="003879DD">
      <w:pPr>
        <w:pStyle w:val="Heading2"/>
        <w:rPr>
          <w:rFonts w:eastAsia="Arial"/>
          <w:b/>
          <w:bCs/>
        </w:rPr>
      </w:pPr>
      <w:r w:rsidRPr="00933FB8">
        <w:rPr>
          <w:rFonts w:eastAsia="Arial"/>
          <w:b/>
          <w:bCs/>
        </w:rPr>
        <w:t xml:space="preserve">Give a brief description of the investigation including social and legislative contexts and any relevant cultural, ethnicity and language issues.   </w:t>
      </w:r>
    </w:p>
    <w:p w14:paraId="3B7447A0" w14:textId="77777777" w:rsidR="003879DD" w:rsidRDefault="003879DD" w:rsidP="003879DD">
      <w:r>
        <w:t xml:space="preserve">I supervised the execution of a warrant under section 4 of the Protection of Children Act 1978. Forensic triage of devices during the warrant identified a suspect in possession of indecent images of children. </w:t>
      </w:r>
    </w:p>
    <w:p w14:paraId="76EC9E36" w14:textId="77777777" w:rsidR="003879DD" w:rsidRPr="00933FB8" w:rsidRDefault="003879DD" w:rsidP="003879DD">
      <w:r>
        <w:t>(Words 34)</w:t>
      </w:r>
    </w:p>
    <w:p w14:paraId="6E7E7CB1" w14:textId="77777777" w:rsidR="003879DD" w:rsidRDefault="003879DD" w:rsidP="003879DD">
      <w:pPr>
        <w:pStyle w:val="Heading2"/>
        <w:rPr>
          <w:rFonts w:eastAsia="Arial"/>
          <w:b/>
          <w:bCs/>
        </w:rPr>
      </w:pPr>
      <w:r w:rsidRPr="00933FB8">
        <w:rPr>
          <w:rFonts w:eastAsia="Arial"/>
          <w:b/>
          <w:bCs/>
        </w:rPr>
        <w:t xml:space="preserve">Critically evaluate the interview process of witnesses and suspects and how you have gathered all required information in relation to the investigation in accordance with PIP2 investigative standards. (Consider generating further lines of enquiry where required). </w:t>
      </w:r>
    </w:p>
    <w:p w14:paraId="058294E8" w14:textId="77777777" w:rsidR="003879DD" w:rsidRPr="00B43D6D" w:rsidRDefault="003879DD" w:rsidP="003879DD"/>
    <w:p w14:paraId="7D972C78" w14:textId="77777777" w:rsidR="003879DD" w:rsidRDefault="003879DD" w:rsidP="003879DD">
      <w:r>
        <w:t xml:space="preserve">The PEACE model provides a framework used by investigators to conduct investigative interviews of suspects or witnesses. The diagram below outlines the 5 phases of the model. </w:t>
      </w:r>
    </w:p>
    <w:p w14:paraId="2B91ED88" w14:textId="77777777" w:rsidR="003879DD" w:rsidRDefault="003879DD" w:rsidP="003879DD">
      <w:pPr>
        <w:jc w:val="center"/>
      </w:pPr>
      <w:r>
        <w:rPr>
          <w:noProof/>
        </w:rPr>
        <w:drawing>
          <wp:inline distT="0" distB="0" distL="0" distR="0" wp14:anchorId="2399294C" wp14:editId="45D216C2">
            <wp:extent cx="3565250" cy="437605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572544" cy="4385009"/>
                    </a:xfrm>
                    <a:prstGeom prst="rect">
                      <a:avLst/>
                    </a:prstGeom>
                    <a:noFill/>
                  </pic:spPr>
                </pic:pic>
              </a:graphicData>
            </a:graphic>
          </wp:inline>
        </w:drawing>
      </w:r>
    </w:p>
    <w:p w14:paraId="185250A7" w14:textId="77777777" w:rsidR="003879DD" w:rsidRDefault="003879DD" w:rsidP="003879DD">
      <w:pPr>
        <w:jc w:val="right"/>
      </w:pPr>
      <w:r>
        <w:t xml:space="preserve">(Diagram: Peace Model, COP, 2022a) </w:t>
      </w:r>
    </w:p>
    <w:p w14:paraId="28ECCCC5" w14:textId="77777777" w:rsidR="003879DD" w:rsidRDefault="003879DD" w:rsidP="003879DD">
      <w:r>
        <w:t xml:space="preserve">Achieving best evidence in interviews comes from the building rapport with the interviewee. The engage and explain element of an interview provides a valuable opportunity to set out the process of an interview and build rapport with the individual being interviewed. In line with PACE introducing the suspect to the environment and the process of the interview helps to commence rapport building. Collins and </w:t>
      </w:r>
      <w:proofErr w:type="spellStart"/>
      <w:r>
        <w:t>Carthy</w:t>
      </w:r>
      <w:proofErr w:type="spellEnd"/>
      <w:r>
        <w:t xml:space="preserve"> (2019, p.27) found some evidence to suggest that communication with a suspect can be increased by providing them with a better understanding of the interview </w:t>
      </w:r>
      <w:r w:rsidRPr="002E5D63">
        <w:t>procedure</w:t>
      </w:r>
      <w:r>
        <w:t xml:space="preserve">. </w:t>
      </w:r>
    </w:p>
    <w:p w14:paraId="1F785A97" w14:textId="77777777" w:rsidR="003879DD" w:rsidRDefault="003879DD" w:rsidP="003879DD">
      <w:r>
        <w:t>The PEACE model is designed to ensure that interviews are conducted in a fair, ethical, and effective manner. It also helps to ensure that interviews are conducted in a way that is consistent with the law and with the principles of human rights.</w:t>
      </w:r>
    </w:p>
    <w:p w14:paraId="67380F19" w14:textId="77777777" w:rsidR="003879DD" w:rsidRDefault="003879DD" w:rsidP="003879DD">
      <w:r>
        <w:t>During the interview the suspect was becoming frustrated in the interview and was becoming vague and elusive with his answers. He started to become argumentative, and it was clear the lead interviewer had lost rapport with the suspect. This is consistent with the PEACE model in which investigators are taught to build rapport during the engage and explain phase</w:t>
      </w:r>
      <w:r w:rsidRPr="00CC2CE9">
        <w:t xml:space="preserve"> (</w:t>
      </w:r>
      <w:r>
        <w:t>COP</w:t>
      </w:r>
      <w:r w:rsidRPr="00CC2CE9">
        <w:t>, 2</w:t>
      </w:r>
      <w:r>
        <w:t>022b</w:t>
      </w:r>
      <w:r w:rsidRPr="00CC2CE9">
        <w:t>).</w:t>
      </w:r>
      <w:r>
        <w:t xml:space="preserve"> Walsh and Bull (2012) argued that by maintaining the rapport through the interview you see the benefits from the information gathered. </w:t>
      </w:r>
    </w:p>
    <w:p w14:paraId="6CA80D6B" w14:textId="77777777" w:rsidR="003879DD" w:rsidRDefault="003879DD" w:rsidP="003879DD">
      <w:r>
        <w:t xml:space="preserve">Having received additional training, I was able to utilise </w:t>
      </w:r>
      <w:r w:rsidRPr="003951D3">
        <w:t xml:space="preserve">Observing Rapport Based Interpersonal Techniques </w:t>
      </w:r>
      <w:r>
        <w:t>(ORBIT) model of interviewing. Alison et al (2013) describes ORBIT as a three-part framework that measures:</w:t>
      </w:r>
    </w:p>
    <w:p w14:paraId="0617ABD3" w14:textId="77777777" w:rsidR="003879DD" w:rsidRDefault="003879DD" w:rsidP="003879DD">
      <w:pPr>
        <w:pStyle w:val="ListParagraph"/>
        <w:numPr>
          <w:ilvl w:val="0"/>
          <w:numId w:val="12"/>
        </w:numPr>
      </w:pPr>
      <w:r>
        <w:t>The use of five motivational interviewing strategies: autonomy, acceptance, adaptation, empathy, and evocation.</w:t>
      </w:r>
    </w:p>
    <w:p w14:paraId="55276B22" w14:textId="77777777" w:rsidR="003879DD" w:rsidRDefault="003879DD" w:rsidP="003879DD">
      <w:pPr>
        <w:pStyle w:val="ListParagraph"/>
        <w:numPr>
          <w:ilvl w:val="0"/>
          <w:numId w:val="12"/>
        </w:numPr>
      </w:pPr>
      <w:r>
        <w:t>The interpersonal behaviour of the interrogator and suspect along two dimensions: authoritative-passive and challenging-cooperative.</w:t>
      </w:r>
    </w:p>
    <w:p w14:paraId="6445DB01" w14:textId="77777777" w:rsidR="003879DD" w:rsidRDefault="003879DD" w:rsidP="003879DD">
      <w:pPr>
        <w:pStyle w:val="ListParagraph"/>
        <w:numPr>
          <w:ilvl w:val="0"/>
          <w:numId w:val="12"/>
        </w:numPr>
      </w:pPr>
      <w:r>
        <w:t>The amount of evidentially useful information (interview yield) provided by the suspect.</w:t>
      </w:r>
    </w:p>
    <w:p w14:paraId="66EFA587" w14:textId="77777777" w:rsidR="003879DD" w:rsidRDefault="003879DD" w:rsidP="003879DD">
      <w:r>
        <w:t>A study by Alison et al (2013)</w:t>
      </w:r>
      <w:r w:rsidRPr="0086235B">
        <w:t xml:space="preserve"> findings suggest that rapport-based interviewing techniques can be an effective way to elicit information from terrorist suspects. The study also suggests that interrogators should be careful to avoid using maladaptive interpersonal behaviour, as this can decrease the amount of information that is obtained from suspects.</w:t>
      </w:r>
    </w:p>
    <w:p w14:paraId="12AE2907" w14:textId="77777777" w:rsidR="003879DD" w:rsidRDefault="003879DD" w:rsidP="003879DD">
      <w:r>
        <w:t xml:space="preserve">By using the techniques with my suspect, I found results consistent with that of the study and I was able to illicit more information from the suspect which could be tested with the evidence acquired in the investigation. </w:t>
      </w:r>
    </w:p>
    <w:p w14:paraId="3E68A41F" w14:textId="77777777" w:rsidR="003879DD" w:rsidRDefault="003879DD" w:rsidP="003879DD">
      <w:r>
        <w:t xml:space="preserve">Whilst the PEACE routinely taught in police training, it is evident it can be formulaic when executing it. This can lead to officers “going through the motions” whilst asking questions, which inevitably leads to ‘no comment’ interviews. It raises the questions whether investigators should receive additional training around rapport-based interview techniques. </w:t>
      </w:r>
    </w:p>
    <w:p w14:paraId="4F6D040A" w14:textId="77777777" w:rsidR="003879DD" w:rsidRPr="00933FB8" w:rsidRDefault="003879DD" w:rsidP="003879DD">
      <w:r>
        <w:t>(Words 458)</w:t>
      </w:r>
    </w:p>
    <w:p w14:paraId="2440D81D" w14:textId="77777777" w:rsidR="003879DD" w:rsidRDefault="003879DD" w:rsidP="003879DD">
      <w:pPr>
        <w:pStyle w:val="Heading2"/>
        <w:rPr>
          <w:rFonts w:eastAsia="Arial"/>
          <w:b/>
          <w:bCs/>
        </w:rPr>
      </w:pPr>
      <w:r w:rsidRPr="00933FB8">
        <w:rPr>
          <w:rFonts w:eastAsia="Arial"/>
          <w:b/>
          <w:bCs/>
        </w:rPr>
        <w:t xml:space="preserve">Reflect upon your application of relevant powers to arrest and apprehend where necessary and the use of special warnings when required. </w:t>
      </w:r>
    </w:p>
    <w:p w14:paraId="66AF9A43" w14:textId="77777777" w:rsidR="003879DD" w:rsidRDefault="003879DD" w:rsidP="003879DD"/>
    <w:p w14:paraId="79BDF259" w14:textId="77777777" w:rsidR="003879DD" w:rsidRDefault="003879DD" w:rsidP="003879DD">
      <w:r>
        <w:t>PACE</w:t>
      </w:r>
      <w:r>
        <w:rPr>
          <w:i/>
          <w:iCs/>
        </w:rPr>
        <w:t xml:space="preserve"> (</w:t>
      </w:r>
      <w:r w:rsidRPr="00C04BC9">
        <w:rPr>
          <w:i/>
          <w:iCs/>
        </w:rPr>
        <w:t>Police and Criminal Evidence Act</w:t>
      </w:r>
      <w:r>
        <w:rPr>
          <w:i/>
          <w:iCs/>
        </w:rPr>
        <w:t xml:space="preserve"> 1984) </w:t>
      </w:r>
      <w:r>
        <w:t xml:space="preserve">provides the legal framework for police powers of arrest in the UK. </w:t>
      </w:r>
      <w:r w:rsidRPr="00F669FA">
        <w:t xml:space="preserve">The power of arrest is characterized by its significant level of coercion and has been the focal point of a multitude of legal </w:t>
      </w:r>
      <w:r>
        <w:t xml:space="preserve">challenges (Sanders et al, 2010, p.141). Whilst PACE codes are not law, it is essential officers show compliance with them. Disciplinary proceedings could be instigated for officer’s conduct that involves breaches of the code (Card and Jack, 2017). </w:t>
      </w:r>
    </w:p>
    <w:p w14:paraId="070743C3" w14:textId="77777777" w:rsidR="003879DD" w:rsidRDefault="003879DD" w:rsidP="003879DD">
      <w:r>
        <w:t xml:space="preserve">Section 24 of PACE (1984) authorizes a constable to arrest without a warrant a person whom they reasonably suspect to be involved in a criminal offence. </w:t>
      </w:r>
      <w:r w:rsidRPr="00E21B3B">
        <w:t>College of Policing’s Authorised Professional Practice (APP)</w:t>
      </w:r>
      <w:r>
        <w:t xml:space="preserve"> outlines that an officer must have reasonable grounds to suspect that the person is involved in the offence and reasonably believe that the arrest is necessary for one of the reasons specified in PACE (College of Policing, 2023). Section 24(5) outlines the reasons, which include but are not limited to the prevention of harm to self or others, the prevention of the person from causing loss or damage to property, and the protection of a child or vulnerable person </w:t>
      </w:r>
      <w:r w:rsidRPr="006706AB">
        <w:rPr>
          <w:i/>
          <w:iCs/>
        </w:rPr>
        <w:t>(Police and Criminal Evidence Act, 1984).</w:t>
      </w:r>
      <w:r>
        <w:t xml:space="preserve"> In this case the arrest of the suspect was necessary for the protection of a child under the care of the suspect. </w:t>
      </w:r>
    </w:p>
    <w:p w14:paraId="3CBF3408" w14:textId="77777777" w:rsidR="003879DD" w:rsidRDefault="003879DD" w:rsidP="003879DD">
      <w:r>
        <w:t xml:space="preserve">The power of arrest is a significant intrusion into an individual's liberty and must be used in a non-discriminatory and balanced manner (Law Teacher, 2021). An officer must have reasonable suspicion that the person is involved in a criminal offence, and the arrest must be necessary and proportionate to the circumstances. </w:t>
      </w:r>
      <w:r w:rsidRPr="00270FEA">
        <w:t xml:space="preserve">The notion of </w:t>
      </w:r>
      <w:r>
        <w:t>‘</w:t>
      </w:r>
      <w:r w:rsidRPr="00270FEA">
        <w:t>suspicion</w:t>
      </w:r>
      <w:r>
        <w:t>’</w:t>
      </w:r>
      <w:r w:rsidRPr="00270FEA">
        <w:t xml:space="preserve"> arises when an individual entertains the belief that the pertinent issue at hand is potentially fulfilled, beyond mere conjecture</w:t>
      </w:r>
      <w:r>
        <w:t xml:space="preserve"> (Card and English, 2017, p.40). I was satisfied an offence had occurred from the fact indecent images were located on the suspect’s device.</w:t>
      </w:r>
    </w:p>
    <w:p w14:paraId="0E3BE67C" w14:textId="77777777" w:rsidR="003879DD" w:rsidRDefault="003879DD" w:rsidP="003879DD">
      <w:r>
        <w:t xml:space="preserve">I could have considered alternative options to arrest, such as requiring the suspect to attend a voluntary interview. However, an arrest is not unlawful just because other options are available </w:t>
      </w:r>
      <w:r w:rsidRPr="009C310A">
        <w:rPr>
          <w:i/>
          <w:iCs/>
        </w:rPr>
        <w:t>(‘Holgate-Mohammed v Duke’</w:t>
      </w:r>
      <w:r>
        <w:t xml:space="preserve">, 1986). </w:t>
      </w:r>
    </w:p>
    <w:p w14:paraId="2B05D2C7" w14:textId="77777777" w:rsidR="003879DD" w:rsidRDefault="003879DD" w:rsidP="003879DD">
      <w:r>
        <w:t xml:space="preserve">However, the benefits to arrest to such as being able to impose bail conditions to protect the victim and any other vulnerable persons. It also </w:t>
      </w:r>
      <w:r w:rsidRPr="00FE0F43">
        <w:t>allow</w:t>
      </w:r>
      <w:r>
        <w:t>s</w:t>
      </w:r>
      <w:r w:rsidRPr="00FE0F43">
        <w:t xml:space="preserve"> time to pursue other lines of enquiry</w:t>
      </w:r>
      <w:r>
        <w:t xml:space="preserve"> and seek support from external agencies like child services. On this occasion it provided the opportunity for a victim to come forwards and make a disclosure of a serious sexual assault by the suspect. </w:t>
      </w:r>
    </w:p>
    <w:p w14:paraId="1973EAD2" w14:textId="77777777" w:rsidR="003879DD" w:rsidRDefault="003879DD" w:rsidP="003879DD">
      <w:r>
        <w:t>During the interview of the suspect, I decided to issue a special warning in relation to his possession of the mobile phone. This device was found to contain indecent images of children and the suspect had failed to account for them in interview. Legislation a</w:t>
      </w:r>
      <w:r w:rsidRPr="002B122C">
        <w:t>llows</w:t>
      </w:r>
      <w:r>
        <w:t xml:space="preserve"> for</w:t>
      </w:r>
      <w:r w:rsidRPr="002B122C">
        <w:t xml:space="preserve"> an inference to be drawn when a person fails or refuses to account for objects, substances, or marks found on their person or in their possession</w:t>
      </w:r>
      <w:r>
        <w:t xml:space="preserve"> </w:t>
      </w:r>
      <w:r w:rsidRPr="0097795B">
        <w:rPr>
          <w:i/>
          <w:iCs/>
        </w:rPr>
        <w:t>(Criminal Justice and Public Order Act</w:t>
      </w:r>
      <w:r>
        <w:rPr>
          <w:i/>
          <w:iCs/>
        </w:rPr>
        <w:t xml:space="preserve"> 1994)</w:t>
      </w:r>
      <w:r>
        <w:t xml:space="preserve">. </w:t>
      </w:r>
    </w:p>
    <w:p w14:paraId="0F043B8E" w14:textId="77777777" w:rsidR="003879DD" w:rsidRDefault="003879DD" w:rsidP="003879DD">
      <w:r>
        <w:t xml:space="preserve">At the start of the interview, I ensured the caution was delivered before any questioning and that it was understood </w:t>
      </w:r>
      <w:r w:rsidRPr="00690FD6">
        <w:t>(Home Office, 2019a)</w:t>
      </w:r>
      <w:r>
        <w:t xml:space="preserve">. There is no specific legislation as to the wording of a special warning. However, it should be given in a language the suspect can understand (COP, 2020). Section 10.10 of Code C of PACE (Home Office, 2019a) outlines the criteria that should be covered when issuing the special warning. Whilst there is no specific timing for the delivery of a special warning, I prefer to give the warnings at the end of interviews. This allows a clear separation of the warning from any other line of questioning. It is also important to ask a question that relates to the specific fact of importance. This case relied upon the suspect being in possession of an indecent image of a child on his mobile phone found in his possession. He had failed or refused to account for this, and appropriate directions could be made in court should he provide a reason at a later date. </w:t>
      </w:r>
    </w:p>
    <w:p w14:paraId="306D7215" w14:textId="77777777" w:rsidR="003879DD" w:rsidRPr="00933FB8" w:rsidRDefault="003879DD" w:rsidP="003879DD">
      <w:r>
        <w:t>(Words 673)</w:t>
      </w:r>
    </w:p>
    <w:p w14:paraId="71BE4BA5" w14:textId="77777777" w:rsidR="003879DD" w:rsidRDefault="003879DD" w:rsidP="003879DD">
      <w:pPr>
        <w:pStyle w:val="Heading2"/>
        <w:rPr>
          <w:rFonts w:eastAsia="Arial"/>
          <w:b/>
          <w:bCs/>
        </w:rPr>
      </w:pPr>
      <w:r w:rsidRPr="00933FB8">
        <w:rPr>
          <w:rFonts w:eastAsia="Arial"/>
          <w:b/>
          <w:bCs/>
        </w:rPr>
        <w:t>Illustrate how you have undertaken associated search and custody procedures to protect and safeguard the public in accordance with legalisation and policy.</w:t>
      </w:r>
    </w:p>
    <w:p w14:paraId="2C68E5BD" w14:textId="77777777" w:rsidR="003879DD" w:rsidRPr="00487F1D" w:rsidRDefault="003879DD" w:rsidP="003879DD"/>
    <w:p w14:paraId="4F42539C" w14:textId="77777777" w:rsidR="003879DD" w:rsidRDefault="003879DD" w:rsidP="003879DD">
      <w:r>
        <w:t xml:space="preserve">Code C of the PACE (Home Office, 2019b) provides guidelines </w:t>
      </w:r>
      <w:r w:rsidRPr="001E0917">
        <w:t>for the detention, treatment, and questioning of suspects not related to terrorism</w:t>
      </w:r>
      <w:r>
        <w:t>, with a particular emphasis on their welfare and safety. This includes not only physical health, but also mental health. T</w:t>
      </w:r>
      <w:r w:rsidRPr="00D37E7A">
        <w:t>he code covers the arrest of suspects, the recording of their detention, the provision of medical treatment, and the rights of detainees</w:t>
      </w:r>
      <w:r>
        <w:t xml:space="preserve">. The welfare of individuals under arrest on suspicion of possession of child abuse material are at a greater risk of causing self-harm (COP, 2019, p.2). </w:t>
      </w:r>
    </w:p>
    <w:p w14:paraId="3E8E5A3E" w14:textId="77777777" w:rsidR="003879DD" w:rsidRDefault="003879DD" w:rsidP="003879DD">
      <w:r>
        <w:t xml:space="preserve">Section 54 of PACE (1984) stipulates that detained individual must be searched as soon as possible after their detention and at subsequent intervals during their custody. By conducting a search of the suspect on entering custody it prevents him from being able to cause harm to himself or others or property. As per the codes of practice the search was conducted in private area of custody and by an officer of the same gender as the individual, in a way that minimizes embarrassment or caused any anxiety. Normally PACE would state a detainee could retain items of clothing. However due to the heightened risk of self-harm a custody sergeant the custody sergeant has the authority to retain items of clothing that pose a risk of self-harm which was explained to the suspect. </w:t>
      </w:r>
    </w:p>
    <w:p w14:paraId="7628DCCE" w14:textId="77777777" w:rsidR="003879DD" w:rsidRDefault="003879DD" w:rsidP="003879DD">
      <w:r>
        <w:t xml:space="preserve">In addition to physical welfare, section 9 of code C of PACE (Home Office, 2019c) also addresses mental health concerns. The act requires that individuals be considered fit to be interviewed before being questioned. This means that they must be able to understand the questions being asked and to provide answers that are accurate and reliable. If an individual is deemed unfit to be interviewed, they must be given time to recover before being questioned. The suspect had stated he was suffering from anxiety and depression. He was seen by the Health Care Professional (HCP) who passed them fit to interview. </w:t>
      </w:r>
    </w:p>
    <w:p w14:paraId="18ABB456" w14:textId="77777777" w:rsidR="003879DD" w:rsidRDefault="003879DD" w:rsidP="003879DD">
      <w:r>
        <w:t>Similarly, a custody sergeant should complete a pre-release risk assessment with a detainee to be satisfied there is no risk of self-harm. However, should the suspect present a high risk of self-harm or suicide then there are no explicit powers outside of 4 of PACE should detention no longer be authorised (COP, 2021). In this scenario other legislation would need to be considered to be able to detain the suspect on their release (</w:t>
      </w:r>
      <w:r w:rsidRPr="005F1B40">
        <w:rPr>
          <w:i/>
          <w:iCs/>
        </w:rPr>
        <w:t>Mental Health Act 1983</w:t>
      </w:r>
      <w:r>
        <w:rPr>
          <w:i/>
          <w:iCs/>
        </w:rPr>
        <w:t>)</w:t>
      </w:r>
      <w:r>
        <w:t xml:space="preserve">. </w:t>
      </w:r>
      <w:r w:rsidRPr="009C4AC2">
        <w:t>A risk assessment with the suspect is recommended by the College of Policing</w:t>
      </w:r>
      <w:r>
        <w:t xml:space="preserve"> (2019) prior to release. To aid this a</w:t>
      </w:r>
      <w:r w:rsidRPr="009C4AC2">
        <w:t xml:space="preserve"> welfare interview helps identify needs and issues for referral or support. </w:t>
      </w:r>
      <w:r>
        <w:t>Any risks identified</w:t>
      </w:r>
      <w:r w:rsidRPr="009C4AC2">
        <w:t xml:space="preserve"> are communicated to the custody sergeant</w:t>
      </w:r>
      <w:r>
        <w:t>.</w:t>
      </w:r>
      <w:r w:rsidRPr="009C4AC2">
        <w:t xml:space="preserve"> </w:t>
      </w:r>
    </w:p>
    <w:p w14:paraId="0E32177E" w14:textId="77777777" w:rsidR="003879DD" w:rsidRPr="00933FB8" w:rsidRDefault="003879DD" w:rsidP="003879DD">
      <w:r>
        <w:t>(Words 439)</w:t>
      </w:r>
    </w:p>
    <w:p w14:paraId="32BC04DB" w14:textId="77777777" w:rsidR="003879DD" w:rsidRDefault="003879DD" w:rsidP="003879DD">
      <w:pPr>
        <w:pStyle w:val="Heading2"/>
        <w:rPr>
          <w:rFonts w:eastAsia="Arial"/>
          <w:b/>
          <w:bCs/>
        </w:rPr>
      </w:pPr>
      <w:r w:rsidRPr="00933FB8">
        <w:rPr>
          <w:rFonts w:eastAsia="Arial"/>
          <w:b/>
          <w:bCs/>
        </w:rPr>
        <w:t xml:space="preserve">Analyse your understanding of ethics and values of the service. </w:t>
      </w:r>
    </w:p>
    <w:p w14:paraId="7213155B" w14:textId="77777777" w:rsidR="003879DD" w:rsidRDefault="003879DD" w:rsidP="003879DD"/>
    <w:p w14:paraId="61272F0E" w14:textId="77777777" w:rsidR="003879DD" w:rsidRDefault="003879DD" w:rsidP="003879DD">
      <w:r w:rsidRPr="005A0E34">
        <w:t xml:space="preserve">The Code of Ethics provides police officers with a framework of principles and standards that govern their decision-making in various scenarios, ranging from routine to intricate. Its objectives are to promote ethical conduct, as well as to foster trust and confidence between the public and the police force. </w:t>
      </w:r>
      <w:r w:rsidRPr="00B468F9">
        <w:t>(Home Office, 2014).</w:t>
      </w:r>
      <w:r>
        <w:t xml:space="preserve"> </w:t>
      </w:r>
    </w:p>
    <w:p w14:paraId="3745149D" w14:textId="77777777" w:rsidR="003879DD" w:rsidRDefault="003879DD" w:rsidP="003879DD">
      <w:r w:rsidRPr="00B468F9">
        <w:t>The expectations of behaviour for those working in policing are represented by these standards</w:t>
      </w:r>
      <w:r>
        <w:t>, which</w:t>
      </w:r>
      <w:r w:rsidRPr="00B468F9">
        <w:t xml:space="preserve"> are based on the Police Conduct Regulations </w:t>
      </w:r>
      <w:r>
        <w:t>(</w:t>
      </w:r>
      <w:r w:rsidRPr="00B468F9">
        <w:t>20</w:t>
      </w:r>
      <w:r>
        <w:t>08)</w:t>
      </w:r>
      <w:r w:rsidRPr="00B468F9">
        <w:t xml:space="preserve"> for police officers</w:t>
      </w:r>
      <w:r>
        <w:t xml:space="preserve">. They are </w:t>
      </w:r>
      <w:r w:rsidRPr="00B468F9">
        <w:t>reflective of what the professional body and the public anticipate</w:t>
      </w:r>
      <w:r>
        <w:t xml:space="preserve"> (Home Office, 2014, p</w:t>
      </w:r>
      <w:r w:rsidRPr="00B468F9">
        <w:t>.</w:t>
      </w:r>
      <w:r>
        <w:t xml:space="preserve">4). The </w:t>
      </w:r>
      <w:r w:rsidRPr="008F5188">
        <w:t>professional behaviour standards for police officers</w:t>
      </w:r>
      <w:r>
        <w:t xml:space="preserve"> set out in the regulations,</w:t>
      </w:r>
      <w:r w:rsidRPr="008F5188">
        <w:t xml:space="preserve"> includ</w:t>
      </w:r>
      <w:r>
        <w:t>e</w:t>
      </w:r>
      <w:r w:rsidRPr="008F5188">
        <w:t xml:space="preserve"> honesty, integrity, respect, and fairness</w:t>
      </w:r>
      <w:r>
        <w:t xml:space="preserve"> </w:t>
      </w:r>
      <w:r w:rsidRPr="00DC5DB7">
        <w:rPr>
          <w:i/>
          <w:iCs/>
        </w:rPr>
        <w:t>(</w:t>
      </w:r>
      <w:r w:rsidRPr="00B468F9">
        <w:rPr>
          <w:i/>
          <w:iCs/>
        </w:rPr>
        <w:t>The Police Conduct Regulations</w:t>
      </w:r>
      <w:r>
        <w:rPr>
          <w:i/>
          <w:iCs/>
        </w:rPr>
        <w:t>,</w:t>
      </w:r>
      <w:r w:rsidRPr="00B468F9">
        <w:rPr>
          <w:i/>
          <w:iCs/>
        </w:rPr>
        <w:t xml:space="preserve"> </w:t>
      </w:r>
      <w:r w:rsidRPr="00DC5DB7">
        <w:rPr>
          <w:i/>
          <w:iCs/>
        </w:rPr>
        <w:t>2008).</w:t>
      </w:r>
      <w:r w:rsidRPr="008F5188">
        <w:t xml:space="preserve"> </w:t>
      </w:r>
      <w:r w:rsidRPr="00DB63F3">
        <w:t xml:space="preserve">The College of Policing produced the Code of Ethics in 2014 to establish the exemplary standards of behaviour </w:t>
      </w:r>
      <w:r>
        <w:t>required</w:t>
      </w:r>
      <w:r w:rsidRPr="00DB63F3">
        <w:t xml:space="preserve">. It </w:t>
      </w:r>
      <w:r>
        <w:t>provided a</w:t>
      </w:r>
      <w:r w:rsidRPr="00DB63F3">
        <w:t xml:space="preserve"> decision-making framework </w:t>
      </w:r>
      <w:r>
        <w:t>reinforcing</w:t>
      </w:r>
      <w:r w:rsidRPr="00DB63F3">
        <w:t xml:space="preserve"> values and standards of the profession</w:t>
      </w:r>
      <w:r>
        <w:t xml:space="preserve">, whilst </w:t>
      </w:r>
      <w:r w:rsidRPr="00DB63F3">
        <w:t>encourag</w:t>
      </w:r>
      <w:r>
        <w:t>ing</w:t>
      </w:r>
      <w:r w:rsidRPr="00DB63F3">
        <w:t xml:space="preserve"> personal responsibility and professional judgement. The Code of Ethics is intended to be integrated into every aspect of policing</w:t>
      </w:r>
      <w:r>
        <w:t xml:space="preserve">, to ensure </w:t>
      </w:r>
      <w:r w:rsidRPr="00DB63F3">
        <w:t>it is not just a symbolic document</w:t>
      </w:r>
      <w:r>
        <w:t xml:space="preserve"> (COP, 2023)</w:t>
      </w:r>
      <w:r w:rsidRPr="00DB63F3">
        <w:t>.</w:t>
      </w:r>
      <w:r w:rsidRPr="00B468F9">
        <w:t xml:space="preserve"> </w:t>
      </w:r>
    </w:p>
    <w:p w14:paraId="70348D6B" w14:textId="77777777" w:rsidR="003879DD" w:rsidRDefault="003879DD" w:rsidP="003879DD">
      <w:r w:rsidRPr="007524B7">
        <w:t>Different police forces in the UK have their own set of values that guide their actions and decisions. For example, West Yorkshire Police</w:t>
      </w:r>
      <w:r>
        <w:t xml:space="preserve"> </w:t>
      </w:r>
      <w:r w:rsidRPr="007524B7">
        <w:t xml:space="preserve">has a values-based culture where officers and staff are empowered to make decisions in line with the values of the Force; ‘Fairness, </w:t>
      </w:r>
      <w:proofErr w:type="gramStart"/>
      <w:r w:rsidRPr="007524B7">
        <w:t>Integrity</w:t>
      </w:r>
      <w:proofErr w:type="gramEnd"/>
      <w:r w:rsidRPr="007524B7">
        <w:t xml:space="preserve"> and Respect</w:t>
      </w:r>
      <w:r>
        <w:t xml:space="preserve"> (West Yorkshire Police, 2015). Although similar, Dyfed Powys Police</w:t>
      </w:r>
      <w:r w:rsidRPr="008F5188">
        <w:t xml:space="preserve"> </w:t>
      </w:r>
      <w:r>
        <w:t xml:space="preserve">aims to be accountable, </w:t>
      </w:r>
      <w:proofErr w:type="gramStart"/>
      <w:r>
        <w:t>fair</w:t>
      </w:r>
      <w:proofErr w:type="gramEnd"/>
      <w:r>
        <w:t xml:space="preserve"> and selfless in its service (Dyfed Powys Police, 2023)</w:t>
      </w:r>
      <w:r w:rsidRPr="008F5188">
        <w:t>.</w:t>
      </w:r>
      <w:r>
        <w:t xml:space="preserve"> </w:t>
      </w:r>
      <w:r w:rsidRPr="008F5188">
        <w:t>The promotion of values-based police leadership is also critical to upholding ethical standards, as it is important for policing to be perceived as ethical, not just to behave ethically</w:t>
      </w:r>
      <w:r>
        <w:t xml:space="preserve"> (Adams, 2020)</w:t>
      </w:r>
      <w:r w:rsidRPr="008F5188">
        <w:t>. Police officers are expected to hold their colleagues accountable for any actions that fall below the standards of professional conduct</w:t>
      </w:r>
      <w:r>
        <w:t xml:space="preserve"> </w:t>
      </w:r>
      <w:r w:rsidRPr="00945C7F">
        <w:rPr>
          <w:i/>
          <w:iCs/>
        </w:rPr>
        <w:t>(The Police Conduct Regulations, 2008).</w:t>
      </w:r>
      <w:r>
        <w:t xml:space="preserve"> Accountability is a prevalent theme throughout Policing and there is a growing requirement for Police to be held accountable for their actions in order to maintain the public’s trust and confidence in the services they provide (</w:t>
      </w:r>
      <w:proofErr w:type="spellStart"/>
      <w:r>
        <w:t>Torrible</w:t>
      </w:r>
      <w:proofErr w:type="spellEnd"/>
      <w:r>
        <w:t xml:space="preserve">, 2022). </w:t>
      </w:r>
    </w:p>
    <w:p w14:paraId="2B223F87" w14:textId="77777777" w:rsidR="003879DD" w:rsidRDefault="003879DD" w:rsidP="003879DD">
      <w:r w:rsidRPr="008F5188">
        <w:t>The enforcement of ethics and values in the UK police service is achieved through a variety of methods</w:t>
      </w:r>
      <w:r w:rsidRPr="0077559A">
        <w:t xml:space="preserve"> </w:t>
      </w:r>
      <w:r>
        <w:t>and p</w:t>
      </w:r>
      <w:r w:rsidRPr="0077559A">
        <w:t>olice officers in the UK are held accountable for their actions through various mechanisms. Accountability is essential to ensure the police's responsiveness to the public, as British policing is based on consent</w:t>
      </w:r>
      <w:r>
        <w:t xml:space="preserve"> (Institute for Government, 2022)</w:t>
      </w:r>
      <w:r w:rsidRPr="0077559A">
        <w:t xml:space="preserve">. The Independent Office for Police Conduct (IOPC) is responsible for </w:t>
      </w:r>
      <w:r>
        <w:t>oversight of the police complaints system in England and Wales.  I</w:t>
      </w:r>
      <w:r w:rsidRPr="0077559A">
        <w:t xml:space="preserve">nvestigating </w:t>
      </w:r>
      <w:r>
        <w:t xml:space="preserve">the most serious </w:t>
      </w:r>
      <w:r w:rsidRPr="0077559A">
        <w:t>complaints against the police and ensuring that police officers are held accountable for their actions</w:t>
      </w:r>
      <w:r>
        <w:t xml:space="preserve"> (IOPC, 2020). </w:t>
      </w:r>
    </w:p>
    <w:p w14:paraId="5BEBE90B" w14:textId="77777777" w:rsidR="003879DD" w:rsidRDefault="003879DD" w:rsidP="003879DD">
      <w:r>
        <w:t xml:space="preserve">Research by </w:t>
      </w:r>
      <w:proofErr w:type="spellStart"/>
      <w:r w:rsidRPr="00050D48">
        <w:t>Mynenko</w:t>
      </w:r>
      <w:proofErr w:type="spellEnd"/>
      <w:r>
        <w:t xml:space="preserve"> and Dr </w:t>
      </w:r>
      <w:proofErr w:type="spellStart"/>
      <w:r>
        <w:t>Ditchman</w:t>
      </w:r>
      <w:proofErr w:type="spellEnd"/>
      <w:r>
        <w:t xml:space="preserve"> (2022) shows that the public trust in the Police service has been severely affected by high profile cases such as the murder of Sarah Everard by servicing police officer Wayne </w:t>
      </w:r>
      <w:proofErr w:type="spellStart"/>
      <w:r>
        <w:t>Couzens</w:t>
      </w:r>
      <w:proofErr w:type="spellEnd"/>
      <w:r>
        <w:t>. However, their findings conclude the b</w:t>
      </w:r>
      <w:r w:rsidRPr="00050D48">
        <w:t xml:space="preserve">ad actions of a </w:t>
      </w:r>
      <w:r>
        <w:t xml:space="preserve">minority </w:t>
      </w:r>
      <w:r w:rsidRPr="00050D48">
        <w:t>can heavily damage public trust in the entire police force.</w:t>
      </w:r>
      <w:r>
        <w:t xml:space="preserve"> A strategic review of policing echoes this sentiment and outlines recommendations for a new statement of mission and values for the police in England and Wales, replacing the existing mission statement set in 2011 (Police Foundation, 2022, p.77). It is clear the code of ethics should be embedded in everything the police do. The strategic police review supports this and recommends the College of Policing deeply embed the code of ethics in every part of policing, including police leadership programmes and ensure reflective practice is used to promote discussion on the impacts with decision making (Police Foundation, 2022, p.96). </w:t>
      </w:r>
    </w:p>
    <w:p w14:paraId="04584462" w14:textId="77777777" w:rsidR="003879DD" w:rsidRDefault="003879DD" w:rsidP="003879DD">
      <w:r>
        <w:t>(Words 596)</w:t>
      </w:r>
    </w:p>
    <w:p w14:paraId="494420F8" w14:textId="77777777" w:rsidR="003879DD" w:rsidRDefault="003879DD" w:rsidP="003879DD">
      <w:r>
        <w:t>(Total 2200)</w:t>
      </w:r>
    </w:p>
    <w:p w14:paraId="55B19ADE" w14:textId="77777777" w:rsidR="003879DD" w:rsidRPr="00303121" w:rsidRDefault="003879DD" w:rsidP="003879DD">
      <w:pPr>
        <w:pStyle w:val="Heading2"/>
        <w:rPr>
          <w:b/>
          <w:bCs/>
        </w:rPr>
      </w:pPr>
      <w:r w:rsidRPr="00303121">
        <w:rPr>
          <w:b/>
          <w:bCs/>
        </w:rPr>
        <w:t>References</w:t>
      </w:r>
    </w:p>
    <w:p w14:paraId="198F0926" w14:textId="77777777" w:rsidR="003879DD" w:rsidRPr="00933FB8" w:rsidRDefault="003879DD" w:rsidP="003879DD"/>
    <w:p w14:paraId="1F5EA9C2" w14:textId="77777777" w:rsidR="003879DD" w:rsidRDefault="003879DD" w:rsidP="003879DD">
      <w:r w:rsidRPr="0049686B">
        <w:rPr>
          <w:i/>
          <w:iCs/>
        </w:rPr>
        <w:t>‘Holgate-Mohammed v Duke’</w:t>
      </w:r>
      <w:r w:rsidRPr="00654C84">
        <w:t xml:space="preserve"> </w:t>
      </w:r>
      <w:r>
        <w:t>(</w:t>
      </w:r>
      <w:r w:rsidRPr="00654C84">
        <w:t>1986</w:t>
      </w:r>
      <w:r>
        <w:t xml:space="preserve">) </w:t>
      </w:r>
      <w:r w:rsidRPr="00654C84">
        <w:t>House of Lords</w:t>
      </w:r>
      <w:r>
        <w:t xml:space="preserve">, case 1054. </w:t>
      </w:r>
      <w:r w:rsidRPr="0049686B">
        <w:rPr>
          <w:i/>
          <w:iCs/>
        </w:rPr>
        <w:t>PNLD</w:t>
      </w:r>
      <w:r>
        <w:t xml:space="preserve"> [Online] Available at: </w:t>
      </w:r>
      <w:hyperlink r:id="rId70" w:history="1">
        <w:r w:rsidRPr="00547F00">
          <w:rPr>
            <w:rStyle w:val="Hyperlink"/>
          </w:rPr>
          <w:t>https://www.pnld.co.uk/members/case-law-detail/?id=75d2f995-bed5-eb11-bacb-000d3ad61986</w:t>
        </w:r>
      </w:hyperlink>
      <w:r>
        <w:t xml:space="preserve"> (Accessed: 29 March 2023)</w:t>
      </w:r>
    </w:p>
    <w:p w14:paraId="0DA33EBD" w14:textId="77777777" w:rsidR="003879DD" w:rsidRPr="0049686B" w:rsidRDefault="003879DD" w:rsidP="003879DD">
      <w:pPr>
        <w:rPr>
          <w:i/>
          <w:iCs/>
        </w:rPr>
      </w:pPr>
      <w:r>
        <w:t xml:space="preserve">Adams (2020) </w:t>
      </w:r>
      <w:r w:rsidRPr="0049686B">
        <w:rPr>
          <w:i/>
          <w:iCs/>
        </w:rPr>
        <w:t>Values-Based Police Leadership</w:t>
      </w:r>
      <w:r>
        <w:t>.</w:t>
      </w:r>
      <w:r w:rsidRPr="00F77E40">
        <w:t xml:space="preserve"> </w:t>
      </w:r>
      <w:r>
        <w:t xml:space="preserve">Available at: </w:t>
      </w:r>
      <w:hyperlink r:id="rId71" w:history="1">
        <w:r w:rsidRPr="00547F00">
          <w:rPr>
            <w:rStyle w:val="Hyperlink"/>
          </w:rPr>
          <w:t>https://www.policechiefmagazine.org/values-based-police-leadership/</w:t>
        </w:r>
      </w:hyperlink>
      <w:r>
        <w:t xml:space="preserve"> </w:t>
      </w:r>
      <w:r w:rsidRPr="009F74CC">
        <w:t>(Accessed: 30 April 2023)</w:t>
      </w:r>
    </w:p>
    <w:p w14:paraId="4AAA822C" w14:textId="77777777" w:rsidR="003879DD" w:rsidRDefault="003879DD" w:rsidP="003879DD">
      <w:r w:rsidRPr="0086235B">
        <w:t xml:space="preserve">Alison, L.J. et al. (2013) </w:t>
      </w:r>
      <w:r w:rsidRPr="0049686B">
        <w:rPr>
          <w:i/>
          <w:iCs/>
        </w:rPr>
        <w:t xml:space="preserve">‘Why Tough Tactics Fail and Rapport Gets Results: Observing Rapport-Based Interpersonal Techniques (ORBIT) to Generate Useful Information </w:t>
      </w:r>
      <w:proofErr w:type="gramStart"/>
      <w:r w:rsidRPr="0049686B">
        <w:rPr>
          <w:i/>
          <w:iCs/>
        </w:rPr>
        <w:t>From</w:t>
      </w:r>
      <w:proofErr w:type="gramEnd"/>
      <w:r w:rsidRPr="0049686B">
        <w:rPr>
          <w:i/>
          <w:iCs/>
        </w:rPr>
        <w:t xml:space="preserve"> Terrorists’, Psychology, public policy, and law</w:t>
      </w:r>
      <w:r w:rsidRPr="0086235B">
        <w:t xml:space="preserve">, 19(4), pp. 411–431. Available at: </w:t>
      </w:r>
      <w:hyperlink r:id="rId72" w:history="1">
        <w:r w:rsidRPr="00CC37DA">
          <w:rPr>
            <w:rStyle w:val="Hyperlink"/>
          </w:rPr>
          <w:t>https://doi.org/10.1037/a0034564</w:t>
        </w:r>
      </w:hyperlink>
      <w:r>
        <w:t xml:space="preserve"> (Accessed: 10 March 2023)</w:t>
      </w:r>
    </w:p>
    <w:p w14:paraId="0A509D97" w14:textId="77777777" w:rsidR="003879DD" w:rsidRDefault="003879DD" w:rsidP="003879DD">
      <w:r w:rsidRPr="009F74CC">
        <w:t>Archer,</w:t>
      </w:r>
      <w:r>
        <w:t xml:space="preserve"> B.</w:t>
      </w:r>
      <w:r w:rsidRPr="009F74CC">
        <w:t xml:space="preserve"> Ellison</w:t>
      </w:r>
      <w:r>
        <w:t>, G.</w:t>
      </w:r>
      <w:r w:rsidRPr="009F74CC">
        <w:t xml:space="preserve"> and </w:t>
      </w:r>
      <w:proofErr w:type="spellStart"/>
      <w:r w:rsidRPr="009F74CC">
        <w:t>Blockley</w:t>
      </w:r>
      <w:proofErr w:type="spellEnd"/>
      <w:r>
        <w:t>, T.</w:t>
      </w:r>
      <w:r w:rsidRPr="009F74CC">
        <w:t xml:space="preserve"> (2023) </w:t>
      </w:r>
      <w:r w:rsidRPr="0049686B">
        <w:rPr>
          <w:i/>
          <w:iCs/>
        </w:rPr>
        <w:t>Police Procedure and Evidence in the Criminal Justice System (The Professional Policing Curriculum in Practice).</w:t>
      </w:r>
      <w:r w:rsidRPr="009F74CC">
        <w:t xml:space="preserve"> St Albans: Critical Publishing</w:t>
      </w:r>
      <w:r>
        <w:t>.</w:t>
      </w:r>
      <w:r w:rsidRPr="009F74CC">
        <w:t xml:space="preserve"> Available at: </w:t>
      </w:r>
      <w:hyperlink r:id="rId73" w:history="1">
        <w:r w:rsidRPr="00CC37DA">
          <w:rPr>
            <w:rStyle w:val="Hyperlink"/>
          </w:rPr>
          <w:t>https://search-ebscohost-com.ezproxy.uwtsd.ac.uk/login.aspx?direct=true&amp;db=nlebk&amp;AN=3273314&amp;site=ehost-live</w:t>
        </w:r>
      </w:hyperlink>
      <w:r>
        <w:t xml:space="preserve"> </w:t>
      </w:r>
      <w:r w:rsidRPr="009F74CC">
        <w:t xml:space="preserve"> (Accessed: 30 April 2023)</w:t>
      </w:r>
    </w:p>
    <w:p w14:paraId="51BA67E5" w14:textId="77777777" w:rsidR="003879DD" w:rsidRDefault="003879DD" w:rsidP="003879DD">
      <w:r>
        <w:t xml:space="preserve">College of Policing (2019) </w:t>
      </w:r>
      <w:r w:rsidRPr="0049686B">
        <w:rPr>
          <w:i/>
          <w:iCs/>
        </w:rPr>
        <w:t xml:space="preserve">Managing the risk of suicide for persons under investigation for online child sexual abuse and exploitation. </w:t>
      </w:r>
      <w:r w:rsidRPr="000324D0">
        <w:t>Available at:</w:t>
      </w:r>
      <w:r w:rsidRPr="0049686B">
        <w:rPr>
          <w:i/>
          <w:iCs/>
        </w:rPr>
        <w:t xml:space="preserve"> </w:t>
      </w:r>
      <w:hyperlink r:id="rId74" w:history="1">
        <w:r w:rsidRPr="00CC37DA">
          <w:rPr>
            <w:rStyle w:val="Hyperlink"/>
          </w:rPr>
          <w:t>https://library.college.police.uk/docs/appref/Suicide-Risk-Operational-Advice-Final.pdf</w:t>
        </w:r>
      </w:hyperlink>
      <w:r>
        <w:t xml:space="preserve"> </w:t>
      </w:r>
      <w:r w:rsidRPr="009F74CC">
        <w:t>(Accessed: 30 April 2023)</w:t>
      </w:r>
    </w:p>
    <w:p w14:paraId="7730A550" w14:textId="77777777" w:rsidR="003879DD" w:rsidRDefault="003879DD" w:rsidP="003879DD">
      <w:r w:rsidRPr="002A03E7">
        <w:t>College of Policing (2021)</w:t>
      </w:r>
      <w:r w:rsidRPr="0049686B">
        <w:rPr>
          <w:i/>
          <w:iCs/>
        </w:rPr>
        <w:t xml:space="preserve"> Release from custody.</w:t>
      </w:r>
      <w:r>
        <w:t xml:space="preserve"> Available at: </w:t>
      </w:r>
      <w:hyperlink r:id="rId75" w:anchor="release-from-custody" w:history="1">
        <w:r w:rsidRPr="00CC37DA">
          <w:rPr>
            <w:rStyle w:val="Hyperlink"/>
          </w:rPr>
          <w:t>https://www.college.police.uk/app/detention-and-custody/detention-and-custody-risk-assessment#release-from-custody</w:t>
        </w:r>
      </w:hyperlink>
      <w:r>
        <w:t xml:space="preserve"> (Accessed: 10 March 2023)</w:t>
      </w:r>
    </w:p>
    <w:p w14:paraId="2042E833" w14:textId="77777777" w:rsidR="003879DD" w:rsidRDefault="003879DD" w:rsidP="003879DD">
      <w:r>
        <w:t xml:space="preserve">College of Policing (2022). Available at: </w:t>
      </w:r>
      <w:hyperlink r:id="rId76" w:anchor="special-warnings" w:history="1">
        <w:r w:rsidRPr="00CC37DA">
          <w:rPr>
            <w:rStyle w:val="Hyperlink"/>
          </w:rPr>
          <w:t>https://www.college.police.uk/app/investigation/investigative-interviewing/investigative-interviewing#special-warnings</w:t>
        </w:r>
      </w:hyperlink>
      <w:r>
        <w:t xml:space="preserve"> </w:t>
      </w:r>
      <w:r w:rsidRPr="009F74CC">
        <w:t>(Accessed: 30 April 2023)</w:t>
      </w:r>
    </w:p>
    <w:p w14:paraId="41D2A300" w14:textId="77777777" w:rsidR="003879DD" w:rsidRDefault="003879DD" w:rsidP="003879DD">
      <w:r w:rsidRPr="00335895">
        <w:t>College of Policing (</w:t>
      </w:r>
      <w:r>
        <w:t>2022a</w:t>
      </w:r>
      <w:r w:rsidRPr="00335895">
        <w:t>)</w:t>
      </w:r>
      <w:r w:rsidRPr="0049686B">
        <w:rPr>
          <w:i/>
          <w:iCs/>
        </w:rPr>
        <w:t xml:space="preserve"> Peace Model</w:t>
      </w:r>
      <w:r w:rsidRPr="0014540D">
        <w:t xml:space="preserve"> [Diagram]</w:t>
      </w:r>
      <w:r>
        <w:t xml:space="preserve">. Available at: </w:t>
      </w:r>
      <w:hyperlink r:id="rId77" w:anchor="suspect-management" w:history="1">
        <w:r w:rsidRPr="00CC37DA">
          <w:rPr>
            <w:rStyle w:val="Hyperlink"/>
          </w:rPr>
          <w:t>https://www.college.police.uk/app/investigation/investigation-process#suspect-management</w:t>
        </w:r>
      </w:hyperlink>
      <w:r>
        <w:t xml:space="preserve"> (Accessed: 10 March 2023)</w:t>
      </w:r>
    </w:p>
    <w:p w14:paraId="48C412DD" w14:textId="77777777" w:rsidR="003879DD" w:rsidRDefault="003879DD" w:rsidP="003879DD">
      <w:r>
        <w:t xml:space="preserve">College of Policing (2022b) </w:t>
      </w:r>
      <w:r w:rsidRPr="0049686B">
        <w:rPr>
          <w:i/>
          <w:iCs/>
        </w:rPr>
        <w:t xml:space="preserve">Investigative Interviewing. </w:t>
      </w:r>
      <w:r>
        <w:t xml:space="preserve">Available at: </w:t>
      </w:r>
      <w:hyperlink r:id="rId78" w:history="1">
        <w:r w:rsidRPr="00CC37DA">
          <w:rPr>
            <w:rStyle w:val="Hyperlink"/>
          </w:rPr>
          <w:t>https://www.college.police.uk/app/investigation/investigative-interviewing/investigative-interviewing</w:t>
        </w:r>
      </w:hyperlink>
      <w:r>
        <w:t xml:space="preserve"> (Accessed: 17 May 2023)</w:t>
      </w:r>
    </w:p>
    <w:p w14:paraId="2514764A" w14:textId="77777777" w:rsidR="003879DD" w:rsidRDefault="003879DD" w:rsidP="003879DD">
      <w:r>
        <w:t xml:space="preserve">College of Policing (2023) </w:t>
      </w:r>
      <w:r w:rsidRPr="0049686B">
        <w:rPr>
          <w:i/>
          <w:iCs/>
        </w:rPr>
        <w:t>Code of Ethics</w:t>
      </w:r>
      <w:r>
        <w:t xml:space="preserve">. Available at: </w:t>
      </w:r>
      <w:hyperlink r:id="rId79" w:history="1">
        <w:r w:rsidRPr="00547F00">
          <w:rPr>
            <w:rStyle w:val="Hyperlink"/>
          </w:rPr>
          <w:t>https://www.college.police.uk/ethics/code-of-ethics</w:t>
        </w:r>
      </w:hyperlink>
      <w:r>
        <w:t xml:space="preserve"> </w:t>
      </w:r>
      <w:r w:rsidRPr="009F74CC">
        <w:t>(Accessed: 30 April 2023)</w:t>
      </w:r>
    </w:p>
    <w:p w14:paraId="1D0AABBC" w14:textId="77777777" w:rsidR="003879DD" w:rsidRDefault="003879DD" w:rsidP="003879DD">
      <w:r>
        <w:t xml:space="preserve">College of Policing (2023) Response, </w:t>
      </w:r>
      <w:proofErr w:type="gramStart"/>
      <w:r>
        <w:t>arrest</w:t>
      </w:r>
      <w:proofErr w:type="gramEnd"/>
      <w:r>
        <w:t xml:space="preserve"> and detention. Available at: </w:t>
      </w:r>
      <w:hyperlink r:id="rId80" w:anchor="lawful-arrest" w:history="1">
        <w:r w:rsidRPr="00547F00">
          <w:rPr>
            <w:rStyle w:val="Hyperlink"/>
          </w:rPr>
          <w:t>https://www.college.police.uk/app/detention-and-custody/response-arrest-and-detention#lawful-arrest</w:t>
        </w:r>
      </w:hyperlink>
      <w:r>
        <w:t xml:space="preserve"> (Accessed: 29 March 2023)</w:t>
      </w:r>
    </w:p>
    <w:p w14:paraId="3D6AFD46" w14:textId="77777777" w:rsidR="003879DD" w:rsidRPr="003876E9" w:rsidRDefault="003879DD" w:rsidP="003879DD">
      <w:r w:rsidRPr="00997761">
        <w:t xml:space="preserve">Collins, K. and </w:t>
      </w:r>
      <w:proofErr w:type="spellStart"/>
      <w:r w:rsidRPr="00997761">
        <w:t>Carthy</w:t>
      </w:r>
      <w:proofErr w:type="spellEnd"/>
      <w:r w:rsidRPr="00997761">
        <w:t xml:space="preserve">, N. (2019) </w:t>
      </w:r>
      <w:r w:rsidRPr="00D25C42">
        <w:rPr>
          <w:i/>
          <w:iCs/>
        </w:rPr>
        <w:t>‘No rapport, no comment: The relationship between rapport and communication during investigative interviews with suspects’, Journal of investigative psychology and offender profiling</w:t>
      </w:r>
      <w:r w:rsidRPr="00997761">
        <w:t xml:space="preserve">, 16(1), pp. 18–31. Available at: </w:t>
      </w:r>
      <w:hyperlink r:id="rId81" w:history="1">
        <w:r w:rsidRPr="00997761">
          <w:rPr>
            <w:rStyle w:val="Hyperlink"/>
          </w:rPr>
          <w:t>https://doi.org/10.1002/jip.1517</w:t>
        </w:r>
      </w:hyperlink>
      <w:r w:rsidRPr="0049686B">
        <w:rPr>
          <w:rFonts w:ascii="Source Sans Pro" w:hAnsi="Source Sans Pro"/>
          <w:color w:val="3A3A3A"/>
          <w:sz w:val="23"/>
          <w:szCs w:val="23"/>
          <w:shd w:val="clear" w:color="auto" w:fill="FFFFFF"/>
        </w:rPr>
        <w:t xml:space="preserve"> </w:t>
      </w:r>
      <w:r>
        <w:t>(Accessed: 10 March 2023)</w:t>
      </w:r>
    </w:p>
    <w:p w14:paraId="4C834630" w14:textId="77777777" w:rsidR="003879DD" w:rsidRDefault="003879DD" w:rsidP="003879DD">
      <w:r w:rsidRPr="0049686B">
        <w:rPr>
          <w:i/>
          <w:iCs/>
        </w:rPr>
        <w:t xml:space="preserve">Criminal Justice and Public Order Act 1994, c.33, s.36. </w:t>
      </w:r>
      <w:r>
        <w:t xml:space="preserve">Available at: </w:t>
      </w:r>
      <w:hyperlink r:id="rId82" w:history="1">
        <w:r w:rsidRPr="00CC37DA">
          <w:rPr>
            <w:rStyle w:val="Hyperlink"/>
          </w:rPr>
          <w:t>https://www.legislation.gov.uk/ukpga/1994/33/section/36</w:t>
        </w:r>
      </w:hyperlink>
      <w:r>
        <w:t xml:space="preserve"> </w:t>
      </w:r>
      <w:r w:rsidRPr="009F74CC">
        <w:t>(Accessed: 30 April 2023)</w:t>
      </w:r>
    </w:p>
    <w:p w14:paraId="63287E85" w14:textId="77777777" w:rsidR="003879DD" w:rsidRPr="0049686B" w:rsidRDefault="003879DD" w:rsidP="003879DD">
      <w:pPr>
        <w:rPr>
          <w:i/>
          <w:iCs/>
        </w:rPr>
      </w:pPr>
      <w:r>
        <w:t xml:space="preserve">Dyfed Powys Police (2023) Our mission, </w:t>
      </w:r>
      <w:proofErr w:type="gramStart"/>
      <w:r>
        <w:t>vision</w:t>
      </w:r>
      <w:proofErr w:type="gramEnd"/>
      <w:r>
        <w:t xml:space="preserve"> and values. Available at: </w:t>
      </w:r>
      <w:hyperlink r:id="rId83" w:history="1">
        <w:r w:rsidRPr="00547F00">
          <w:rPr>
            <w:rStyle w:val="Hyperlink"/>
          </w:rPr>
          <w:t>https://www.dyfed-powys.police.uk/police-forces/dyfed-powys-police/areas/about-us/about-us/our-mission-vision-and-values/</w:t>
        </w:r>
      </w:hyperlink>
      <w:r>
        <w:t xml:space="preserve"> </w:t>
      </w:r>
      <w:r w:rsidRPr="009F74CC">
        <w:t>(Accessed: 30 April 2023)</w:t>
      </w:r>
    </w:p>
    <w:p w14:paraId="238AA16A" w14:textId="77777777" w:rsidR="003879DD" w:rsidRDefault="003879DD" w:rsidP="003879DD">
      <w:r w:rsidRPr="007A0086">
        <w:t>Pearson</w:t>
      </w:r>
      <w:r>
        <w:t>, G.</w:t>
      </w:r>
      <w:r w:rsidRPr="007A0086">
        <w:t xml:space="preserve"> and Rowe</w:t>
      </w:r>
      <w:r>
        <w:t>, M.</w:t>
      </w:r>
      <w:r w:rsidRPr="007A0086">
        <w:t xml:space="preserve"> (2020) </w:t>
      </w:r>
      <w:r w:rsidRPr="00D25C42">
        <w:rPr>
          <w:i/>
          <w:iCs/>
        </w:rPr>
        <w:t>Police Street Powers and Criminal Justice: Regulation and Discretion in a Time of Change</w:t>
      </w:r>
      <w:r w:rsidRPr="007A0086">
        <w:t xml:space="preserve">. Oxford: Hart Publishing. </w:t>
      </w:r>
      <w:hyperlink r:id="rId84" w:history="1">
        <w:r w:rsidRPr="002E72AA">
          <w:rPr>
            <w:rStyle w:val="Hyperlink"/>
          </w:rPr>
          <w:t>https://doi:10.5040/9781509925407</w:t>
        </w:r>
      </w:hyperlink>
      <w:r>
        <w:t xml:space="preserve"> </w:t>
      </w:r>
      <w:r w:rsidRPr="009F74CC">
        <w:t>(Accessed: 30 April 2023)</w:t>
      </w:r>
    </w:p>
    <w:p w14:paraId="185F24F8" w14:textId="77777777" w:rsidR="003879DD" w:rsidRDefault="003879DD" w:rsidP="003879DD">
      <w:r>
        <w:t xml:space="preserve">Home Office (2014) </w:t>
      </w:r>
      <w:r w:rsidRPr="0049686B">
        <w:rPr>
          <w:i/>
          <w:iCs/>
        </w:rPr>
        <w:t>Code of Ethics. A Code of Practice for the Principles and Standards of Professional Behaviour for the Policing Profession of England and Wales</w:t>
      </w:r>
      <w:r>
        <w:t>. Available at:</w:t>
      </w:r>
      <w:r w:rsidRPr="00046C52">
        <w:t xml:space="preserve"> </w:t>
      </w:r>
      <w:hyperlink r:id="rId85" w:history="1">
        <w:r w:rsidRPr="00547F00">
          <w:rPr>
            <w:rStyle w:val="Hyperlink"/>
          </w:rPr>
          <w:t>https://assets.college.police.uk/s3fs-public/2021-02/code_of_ethics.pdf</w:t>
        </w:r>
      </w:hyperlink>
      <w:r>
        <w:t xml:space="preserve"> </w:t>
      </w:r>
      <w:r w:rsidRPr="009F74CC">
        <w:t>(Accessed: 30 April 2023)</w:t>
      </w:r>
    </w:p>
    <w:p w14:paraId="151A002F" w14:textId="77777777" w:rsidR="003879DD" w:rsidRDefault="003879DD" w:rsidP="003879DD">
      <w:r w:rsidRPr="00977E6D">
        <w:t>Home Office (2019</w:t>
      </w:r>
      <w:r>
        <w:t>a</w:t>
      </w:r>
      <w:r w:rsidRPr="00977E6D">
        <w:t>)</w:t>
      </w:r>
      <w:r>
        <w:t xml:space="preserve">, </w:t>
      </w:r>
      <w:r w:rsidRPr="0049686B">
        <w:rPr>
          <w:i/>
          <w:iCs/>
        </w:rPr>
        <w:t>Police and Criminal Evidence Act, Code C</w:t>
      </w:r>
      <w:r>
        <w:t xml:space="preserve">. </w:t>
      </w:r>
      <w:r w:rsidRPr="00977E6D">
        <w:t xml:space="preserve">Available at: </w:t>
      </w:r>
      <w:hyperlink r:id="rId86" w:anchor="bookmark30" w:history="1">
        <w:r w:rsidRPr="00CC37DA">
          <w:rPr>
            <w:rStyle w:val="Hyperlink"/>
          </w:rPr>
          <w:t>https://www.gov.uk/government/publications/pace-code-c-2019/pace-code-c-2019-accessible#bookmark30</w:t>
        </w:r>
      </w:hyperlink>
      <w:r>
        <w:t xml:space="preserve"> </w:t>
      </w:r>
      <w:r w:rsidRPr="009F74CC">
        <w:t>(Accessed: 30 April 2023)</w:t>
      </w:r>
    </w:p>
    <w:p w14:paraId="2185C67F" w14:textId="77777777" w:rsidR="003879DD" w:rsidRDefault="003879DD" w:rsidP="003879DD">
      <w:r>
        <w:t xml:space="preserve">Home Office (2019b) </w:t>
      </w:r>
      <w:r w:rsidRPr="0049686B">
        <w:rPr>
          <w:i/>
          <w:iCs/>
        </w:rPr>
        <w:t>Police and Criminal Evidence Act, Code C</w:t>
      </w:r>
      <w:r>
        <w:t xml:space="preserve">. Available at: </w:t>
      </w:r>
      <w:hyperlink r:id="rId87" w:anchor="police-and-criminal-evidence-act-1984-pace-code-c" w:history="1">
        <w:r w:rsidRPr="00CC37DA">
          <w:rPr>
            <w:rStyle w:val="Hyperlink"/>
          </w:rPr>
          <w:t>https://www.gov.uk/government/publications/pace-code-c-2019/pace-code-c-2019-accessible#police-and-criminal-evidence-act-1984-pace-code-c</w:t>
        </w:r>
      </w:hyperlink>
      <w:r>
        <w:t xml:space="preserve"> </w:t>
      </w:r>
      <w:r w:rsidRPr="009F74CC">
        <w:t xml:space="preserve">(Accessed: </w:t>
      </w:r>
      <w:r>
        <w:t>28</w:t>
      </w:r>
      <w:r w:rsidRPr="009F74CC">
        <w:t xml:space="preserve"> April 2023)</w:t>
      </w:r>
    </w:p>
    <w:p w14:paraId="241CAB30" w14:textId="77777777" w:rsidR="003879DD" w:rsidRDefault="003879DD" w:rsidP="003879DD">
      <w:r>
        <w:t xml:space="preserve">Home Office (2019c) </w:t>
      </w:r>
      <w:r w:rsidRPr="0049686B">
        <w:rPr>
          <w:i/>
          <w:iCs/>
        </w:rPr>
        <w:t>Police and Criminal Evidence Act, Code C, s.9</w:t>
      </w:r>
      <w:r>
        <w:t xml:space="preserve">. Available at: </w:t>
      </w:r>
      <w:hyperlink r:id="rId88" w:anchor="care-and-treatment-of-detained-persons" w:history="1">
        <w:r w:rsidRPr="00CC37DA">
          <w:rPr>
            <w:rStyle w:val="Hyperlink"/>
          </w:rPr>
          <w:t>https://www.gov.uk/government/publications/pace-code-c-2019/pace-code-c-2019-accessible#care-and-treatment-of-detained-persons</w:t>
        </w:r>
      </w:hyperlink>
      <w:r>
        <w:t xml:space="preserve"> </w:t>
      </w:r>
      <w:r w:rsidRPr="009F74CC">
        <w:t xml:space="preserve">(Accessed: </w:t>
      </w:r>
      <w:r>
        <w:t xml:space="preserve">28 </w:t>
      </w:r>
      <w:r w:rsidRPr="009F74CC">
        <w:t>April 2023)</w:t>
      </w:r>
    </w:p>
    <w:p w14:paraId="7AE01AFD" w14:textId="77777777" w:rsidR="003879DD" w:rsidRDefault="003879DD" w:rsidP="003879DD">
      <w:r>
        <w:t xml:space="preserve">Independent Office for Police Conduct (2020) </w:t>
      </w:r>
      <w:r w:rsidRPr="0049686B">
        <w:rPr>
          <w:i/>
          <w:iCs/>
        </w:rPr>
        <w:t>Who we are.</w:t>
      </w:r>
      <w:r>
        <w:t xml:space="preserve"> Available at: </w:t>
      </w:r>
      <w:hyperlink r:id="rId89" w:history="1">
        <w:r w:rsidRPr="00547F00">
          <w:rPr>
            <w:rStyle w:val="Hyperlink"/>
          </w:rPr>
          <w:t>https://www.policeconduct.gov.uk/who-we-are</w:t>
        </w:r>
      </w:hyperlink>
      <w:r>
        <w:t xml:space="preserve"> </w:t>
      </w:r>
      <w:r w:rsidRPr="009F74CC">
        <w:t xml:space="preserve">(Accessed: </w:t>
      </w:r>
      <w:r>
        <w:t>29</w:t>
      </w:r>
      <w:r w:rsidRPr="009F74CC">
        <w:t xml:space="preserve"> April 2023)</w:t>
      </w:r>
    </w:p>
    <w:p w14:paraId="027851DA" w14:textId="77777777" w:rsidR="003879DD" w:rsidRDefault="003879DD" w:rsidP="003879DD">
      <w:r w:rsidRPr="00EC3477">
        <w:t xml:space="preserve">Institute For Government </w:t>
      </w:r>
      <w:r>
        <w:t>(</w:t>
      </w:r>
      <w:r w:rsidRPr="00EC3477">
        <w:t>2022</w:t>
      </w:r>
      <w:r>
        <w:t xml:space="preserve">) Available at: </w:t>
      </w:r>
      <w:hyperlink r:id="rId90" w:history="1">
        <w:r w:rsidRPr="00547F00">
          <w:rPr>
            <w:rStyle w:val="Hyperlink"/>
          </w:rPr>
          <w:t>https://www.instituteforgovernment.org.uk/article/explainer/police-accountability</w:t>
        </w:r>
      </w:hyperlink>
      <w:r>
        <w:t xml:space="preserve"> </w:t>
      </w:r>
      <w:r w:rsidRPr="009F74CC">
        <w:t xml:space="preserve">(Accessed: </w:t>
      </w:r>
      <w:r>
        <w:t>29</w:t>
      </w:r>
      <w:r w:rsidRPr="009F74CC">
        <w:t xml:space="preserve"> April 2023)</w:t>
      </w:r>
    </w:p>
    <w:p w14:paraId="5CE8C813" w14:textId="77777777" w:rsidR="003879DD" w:rsidRPr="0049686B" w:rsidRDefault="003879DD" w:rsidP="003879DD">
      <w:pPr>
        <w:rPr>
          <w:i/>
          <w:iCs/>
        </w:rPr>
      </w:pPr>
      <w:proofErr w:type="spellStart"/>
      <w:r w:rsidRPr="009F1B97">
        <w:t>Mynenko</w:t>
      </w:r>
      <w:proofErr w:type="spellEnd"/>
      <w:r>
        <w:t>, K.D.</w:t>
      </w:r>
      <w:r w:rsidRPr="009F1B97">
        <w:t xml:space="preserve"> and </w:t>
      </w:r>
      <w:proofErr w:type="spellStart"/>
      <w:r w:rsidRPr="009F1B97">
        <w:t>Ditcham</w:t>
      </w:r>
      <w:proofErr w:type="spellEnd"/>
      <w:r>
        <w:t>, K.</w:t>
      </w:r>
      <w:r w:rsidRPr="0049686B">
        <w:rPr>
          <w:i/>
          <w:iCs/>
        </w:rPr>
        <w:t xml:space="preserve"> </w:t>
      </w:r>
      <w:r w:rsidRPr="009F1B97">
        <w:t>(2022)</w:t>
      </w:r>
      <w:r w:rsidRPr="0049686B">
        <w:rPr>
          <w:i/>
          <w:iCs/>
        </w:rPr>
        <w:t xml:space="preserve"> Public Confidence in the Police: A New Low for the Service </w:t>
      </w:r>
      <w:r>
        <w:t xml:space="preserve">Available at: </w:t>
      </w:r>
      <w:hyperlink r:id="rId91" w:history="1">
        <w:r w:rsidRPr="00547F00">
          <w:rPr>
            <w:rStyle w:val="Hyperlink"/>
          </w:rPr>
          <w:t>https://www.rusi.org/explore-our-research/publications/commentary/public-confidence-police-new-low-service</w:t>
        </w:r>
      </w:hyperlink>
      <w:r>
        <w:t xml:space="preserve"> </w:t>
      </w:r>
      <w:r w:rsidRPr="009F74CC">
        <w:t xml:space="preserve">(Accessed: </w:t>
      </w:r>
      <w:r>
        <w:t>28</w:t>
      </w:r>
      <w:r w:rsidRPr="009F74CC">
        <w:t xml:space="preserve"> April 2023)</w:t>
      </w:r>
    </w:p>
    <w:p w14:paraId="69505D5D" w14:textId="77777777" w:rsidR="003879DD" w:rsidRPr="0049686B" w:rsidRDefault="003879DD" w:rsidP="003879DD">
      <w:pPr>
        <w:rPr>
          <w:i/>
          <w:iCs/>
        </w:rPr>
      </w:pPr>
      <w:r w:rsidRPr="005D713D">
        <w:t>Law Teacher (2021)</w:t>
      </w:r>
      <w:r>
        <w:t xml:space="preserve"> </w:t>
      </w:r>
      <w:r w:rsidRPr="0049686B">
        <w:rPr>
          <w:i/>
          <w:iCs/>
        </w:rPr>
        <w:t xml:space="preserve">Police Powers of Arrest within PACE. </w:t>
      </w:r>
      <w:r w:rsidRPr="005D713D">
        <w:t>Available</w:t>
      </w:r>
      <w:r>
        <w:t xml:space="preserve"> at: </w:t>
      </w:r>
      <w:hyperlink r:id="rId92" w:history="1">
        <w:r w:rsidRPr="0049686B">
          <w:rPr>
            <w:rStyle w:val="Hyperlink"/>
            <w:i/>
            <w:iCs/>
          </w:rPr>
          <w:t>https://www.lawteacher.net/free-law-essays/public-law/police-powers-of-arrest-law-essays.php?vref=1</w:t>
        </w:r>
      </w:hyperlink>
      <w:r w:rsidRPr="0049686B">
        <w:rPr>
          <w:i/>
          <w:iCs/>
        </w:rPr>
        <w:t xml:space="preserve"> </w:t>
      </w:r>
      <w:r w:rsidRPr="005D713D">
        <w:t xml:space="preserve">(Accessed: </w:t>
      </w:r>
      <w:r>
        <w:t>12</w:t>
      </w:r>
      <w:r w:rsidRPr="005D713D">
        <w:t xml:space="preserve"> </w:t>
      </w:r>
      <w:r>
        <w:t>March</w:t>
      </w:r>
      <w:r w:rsidRPr="005D713D">
        <w:t xml:space="preserve"> 2023)</w:t>
      </w:r>
    </w:p>
    <w:p w14:paraId="4B1AAF2C" w14:textId="77777777" w:rsidR="003879DD" w:rsidRDefault="003879DD" w:rsidP="003879DD">
      <w:r w:rsidRPr="0049686B">
        <w:rPr>
          <w:i/>
          <w:iCs/>
        </w:rPr>
        <w:t>Mental Health Act 1983, c.20.</w:t>
      </w:r>
      <w:r>
        <w:t xml:space="preserve"> Available at: </w:t>
      </w:r>
      <w:hyperlink r:id="rId93" w:history="1">
        <w:r w:rsidRPr="00CC37DA">
          <w:rPr>
            <w:rStyle w:val="Hyperlink"/>
          </w:rPr>
          <w:t>https://www.legislation.gov.uk/ukpga/1983/20/contents</w:t>
        </w:r>
      </w:hyperlink>
      <w:r>
        <w:t xml:space="preserve"> (Accessed: 10 March 2023)</w:t>
      </w:r>
    </w:p>
    <w:p w14:paraId="59BF0486" w14:textId="77777777" w:rsidR="003879DD" w:rsidRDefault="003879DD" w:rsidP="003879DD">
      <w:r w:rsidRPr="0049686B">
        <w:rPr>
          <w:i/>
          <w:iCs/>
        </w:rPr>
        <w:t>Police and Criminal Evidence Act 1984, c.60, s.54</w:t>
      </w:r>
      <w:r>
        <w:t xml:space="preserve">. Available at: </w:t>
      </w:r>
      <w:hyperlink r:id="rId94" w:history="1">
        <w:r w:rsidRPr="00CC37DA">
          <w:rPr>
            <w:rStyle w:val="Hyperlink"/>
          </w:rPr>
          <w:t>https://www.legislation.gov.uk/ukpga/1984/60/section/54</w:t>
        </w:r>
      </w:hyperlink>
      <w:r>
        <w:t xml:space="preserve"> </w:t>
      </w:r>
      <w:r w:rsidRPr="009F74CC">
        <w:t xml:space="preserve">(Accessed: </w:t>
      </w:r>
      <w:r>
        <w:t>10 March</w:t>
      </w:r>
      <w:r w:rsidRPr="009F74CC">
        <w:t xml:space="preserve"> 2023)</w:t>
      </w:r>
    </w:p>
    <w:p w14:paraId="101D64D8" w14:textId="77777777" w:rsidR="003879DD" w:rsidRPr="0049686B" w:rsidRDefault="003879DD" w:rsidP="003879DD">
      <w:pPr>
        <w:rPr>
          <w:i/>
          <w:iCs/>
        </w:rPr>
      </w:pPr>
      <w:r w:rsidRPr="0049686B">
        <w:rPr>
          <w:i/>
          <w:iCs/>
        </w:rPr>
        <w:t xml:space="preserve">Police and Criminal Evidence Act, 1984, C.60, S.24, </w:t>
      </w:r>
      <w:r>
        <w:t xml:space="preserve">Available at: </w:t>
      </w:r>
      <w:hyperlink r:id="rId95" w:history="1">
        <w:r w:rsidRPr="00547F00">
          <w:rPr>
            <w:rStyle w:val="Hyperlink"/>
          </w:rPr>
          <w:t>https://www.legislation.gov.uk/ukpga/1984/60/section/24</w:t>
        </w:r>
      </w:hyperlink>
      <w:r>
        <w:t xml:space="preserve"> (Accessed: 10 March 2023)</w:t>
      </w:r>
    </w:p>
    <w:p w14:paraId="52B275FA" w14:textId="77777777" w:rsidR="003879DD" w:rsidRDefault="003879DD" w:rsidP="003879DD">
      <w:r w:rsidRPr="0049686B">
        <w:rPr>
          <w:i/>
          <w:iCs/>
        </w:rPr>
        <w:t xml:space="preserve">Police and Criminal Evidence Act, 1984, c.60. </w:t>
      </w:r>
      <w:r w:rsidRPr="006A2A2B">
        <w:t>Available at</w:t>
      </w:r>
      <w:r>
        <w:t xml:space="preserve">: </w:t>
      </w:r>
      <w:hyperlink r:id="rId96" w:history="1">
        <w:r w:rsidRPr="00547F00">
          <w:rPr>
            <w:rStyle w:val="Hyperlink"/>
          </w:rPr>
          <w:t>https://www.legislation.gov.uk/ukpga/1984/60/introduction</w:t>
        </w:r>
      </w:hyperlink>
      <w:r>
        <w:t xml:space="preserve"> (Accessed: 17 May 2023)</w:t>
      </w:r>
    </w:p>
    <w:p w14:paraId="2364EAEA" w14:textId="77777777" w:rsidR="003879DD" w:rsidRPr="0049686B" w:rsidRDefault="003879DD" w:rsidP="003879DD">
      <w:pPr>
        <w:rPr>
          <w:i/>
          <w:iCs/>
        </w:rPr>
      </w:pPr>
      <w:r>
        <w:t xml:space="preserve">Police Foundation (2022) </w:t>
      </w:r>
      <w:r w:rsidRPr="0049686B">
        <w:rPr>
          <w:i/>
          <w:iCs/>
        </w:rPr>
        <w:t xml:space="preserve">A NEW MODE OF PROTECTION: Redesigning policing and public safety for the 21st century. </w:t>
      </w:r>
      <w:r>
        <w:t xml:space="preserve">Available at: </w:t>
      </w:r>
      <w:hyperlink r:id="rId97" w:history="1">
        <w:r w:rsidRPr="00547F00">
          <w:rPr>
            <w:rStyle w:val="Hyperlink"/>
          </w:rPr>
          <w:t>https://www.policingreview.org.uk/wp-content/uploads/srpew_final_report.pdf</w:t>
        </w:r>
      </w:hyperlink>
      <w:r>
        <w:t xml:space="preserve"> </w:t>
      </w:r>
      <w:r w:rsidRPr="009F74CC">
        <w:t>(Accessed: 30 April 2023)</w:t>
      </w:r>
    </w:p>
    <w:p w14:paraId="7194C67B" w14:textId="77777777" w:rsidR="003879DD" w:rsidRPr="0049686B" w:rsidRDefault="003879DD" w:rsidP="003879DD">
      <w:pPr>
        <w:rPr>
          <w:i/>
          <w:iCs/>
        </w:rPr>
      </w:pPr>
      <w:r w:rsidRPr="00A538F8">
        <w:t>Card</w:t>
      </w:r>
      <w:r>
        <w:t>, R.</w:t>
      </w:r>
      <w:r w:rsidRPr="00A538F8">
        <w:t xml:space="preserve"> and English</w:t>
      </w:r>
      <w:r>
        <w:t>, J.</w:t>
      </w:r>
      <w:r w:rsidRPr="00A538F8">
        <w:t xml:space="preserve"> (2017)</w:t>
      </w:r>
      <w:r w:rsidRPr="0049686B">
        <w:rPr>
          <w:i/>
          <w:iCs/>
        </w:rPr>
        <w:t xml:space="preserve"> Police Law. </w:t>
      </w:r>
      <w:r w:rsidRPr="00755395">
        <w:t>Oxford: OUP Oxford</w:t>
      </w:r>
      <w:r w:rsidRPr="0049686B">
        <w:rPr>
          <w:i/>
          <w:iCs/>
        </w:rPr>
        <w:t xml:space="preserve">. </w:t>
      </w:r>
      <w:r w:rsidRPr="00A538F8">
        <w:t>Available at:</w:t>
      </w:r>
      <w:r w:rsidRPr="0049686B">
        <w:rPr>
          <w:i/>
          <w:iCs/>
        </w:rPr>
        <w:t xml:space="preserve"> </w:t>
      </w:r>
      <w:hyperlink r:id="rId98" w:history="1">
        <w:r w:rsidRPr="0049686B">
          <w:rPr>
            <w:rStyle w:val="Hyperlink"/>
            <w:i/>
            <w:iCs/>
          </w:rPr>
          <w:t>https://search-ebscohost-com.ezproxy.uwtsd.ac.uk/login.aspx?direct=true&amp;db=nlebk&amp;AN=2126348&amp;site=ehost-live</w:t>
        </w:r>
      </w:hyperlink>
      <w:r w:rsidRPr="0049686B">
        <w:rPr>
          <w:i/>
          <w:iCs/>
        </w:rPr>
        <w:t xml:space="preserve"> </w:t>
      </w:r>
      <w:r w:rsidRPr="00A538F8">
        <w:t xml:space="preserve">(Accessed: </w:t>
      </w:r>
      <w:r>
        <w:t>15</w:t>
      </w:r>
      <w:r w:rsidRPr="00A538F8">
        <w:t xml:space="preserve"> March 2023)</w:t>
      </w:r>
    </w:p>
    <w:p w14:paraId="738F54B7" w14:textId="77777777" w:rsidR="003879DD" w:rsidRDefault="003879DD" w:rsidP="003879DD">
      <w:r w:rsidRPr="00221B8A">
        <w:t xml:space="preserve">Sanders, A. et al. (2010) </w:t>
      </w:r>
      <w:r w:rsidRPr="00755395">
        <w:rPr>
          <w:i/>
          <w:iCs/>
        </w:rPr>
        <w:t xml:space="preserve">Criminal </w:t>
      </w:r>
      <w:r>
        <w:rPr>
          <w:i/>
          <w:iCs/>
        </w:rPr>
        <w:t>J</w:t>
      </w:r>
      <w:r w:rsidRPr="00755395">
        <w:rPr>
          <w:i/>
          <w:iCs/>
        </w:rPr>
        <w:t>ustice.</w:t>
      </w:r>
      <w:r w:rsidRPr="00221B8A">
        <w:t xml:space="preserve"> 4</w:t>
      </w:r>
      <w:r w:rsidRPr="00755395">
        <w:rPr>
          <w:vertAlign w:val="superscript"/>
        </w:rPr>
        <w:t>th</w:t>
      </w:r>
      <w:r w:rsidRPr="00221B8A">
        <w:t xml:space="preserve"> </w:t>
      </w:r>
      <w:proofErr w:type="spellStart"/>
      <w:r w:rsidRPr="00221B8A">
        <w:t>ed</w:t>
      </w:r>
      <w:r>
        <w:t>n</w:t>
      </w:r>
      <w:proofErr w:type="spellEnd"/>
      <w:r w:rsidRPr="00221B8A">
        <w:t>. New York: Oxford University Press, USA.</w:t>
      </w:r>
    </w:p>
    <w:p w14:paraId="5CB1F062" w14:textId="77777777" w:rsidR="003879DD" w:rsidRPr="0049686B" w:rsidRDefault="003879DD" w:rsidP="003879DD">
      <w:pPr>
        <w:rPr>
          <w:i/>
          <w:iCs/>
        </w:rPr>
      </w:pPr>
      <w:r w:rsidRPr="0049686B">
        <w:rPr>
          <w:i/>
          <w:iCs/>
        </w:rPr>
        <w:t xml:space="preserve">The Police Conduct Regulations 2008 </w:t>
      </w:r>
      <w:r w:rsidRPr="00220DF4">
        <w:t>(SI 2008</w:t>
      </w:r>
      <w:r>
        <w:t>/ 2864).</w:t>
      </w:r>
      <w:r w:rsidRPr="00220DF4">
        <w:t xml:space="preserve"> </w:t>
      </w:r>
      <w:r>
        <w:t xml:space="preserve">Available at: </w:t>
      </w:r>
      <w:hyperlink r:id="rId99" w:history="1">
        <w:r w:rsidRPr="00547F00">
          <w:rPr>
            <w:rStyle w:val="Hyperlink"/>
          </w:rPr>
          <w:t>https://www.legislation.gov.uk/uksi/2008/2864/contents/made</w:t>
        </w:r>
      </w:hyperlink>
      <w:r>
        <w:t xml:space="preserve"> </w:t>
      </w:r>
      <w:r w:rsidRPr="009F74CC">
        <w:t xml:space="preserve">(Accessed: </w:t>
      </w:r>
      <w:r>
        <w:t xml:space="preserve">27 </w:t>
      </w:r>
      <w:r w:rsidRPr="009F74CC">
        <w:t>April 2023)</w:t>
      </w:r>
    </w:p>
    <w:p w14:paraId="315FBBD7" w14:textId="77777777" w:rsidR="003879DD" w:rsidRPr="0049686B" w:rsidRDefault="003879DD" w:rsidP="003879DD">
      <w:pPr>
        <w:rPr>
          <w:i/>
          <w:iCs/>
        </w:rPr>
      </w:pPr>
      <w:proofErr w:type="spellStart"/>
      <w:r>
        <w:t>Torrible</w:t>
      </w:r>
      <w:proofErr w:type="spellEnd"/>
      <w:r>
        <w:t xml:space="preserve"> (2022) </w:t>
      </w:r>
      <w:r w:rsidRPr="0049686B">
        <w:rPr>
          <w:i/>
          <w:iCs/>
        </w:rPr>
        <w:t xml:space="preserve">Why the police in England and Wales must do more than just learn lessons. </w:t>
      </w:r>
      <w:r>
        <w:t xml:space="preserve">Available at: </w:t>
      </w:r>
      <w:hyperlink r:id="rId100" w:history="1">
        <w:r w:rsidRPr="00547F00">
          <w:rPr>
            <w:rStyle w:val="Hyperlink"/>
          </w:rPr>
          <w:t>https://theconversation.com/why-the-police-in-england-and-wales-must-do-more-than-just-learn-lessons-179052</w:t>
        </w:r>
      </w:hyperlink>
      <w:r>
        <w:t xml:space="preserve"> </w:t>
      </w:r>
      <w:r w:rsidRPr="009F74CC">
        <w:t>(Accessed: 30 April 2023)</w:t>
      </w:r>
    </w:p>
    <w:p w14:paraId="40B5F196" w14:textId="77777777" w:rsidR="003879DD" w:rsidRDefault="003879DD" w:rsidP="003879DD">
      <w:r w:rsidRPr="000B78F5">
        <w:t xml:space="preserve">Walsh, D. and Bull, R. (2012) </w:t>
      </w:r>
      <w:r w:rsidRPr="00555C4A">
        <w:rPr>
          <w:i/>
          <w:iCs/>
        </w:rPr>
        <w:t>‘Examining Rapport in Investigative Interviews with Suspects: Does its Building and Maintenance Work?’, Journal of police and criminal psychology</w:t>
      </w:r>
      <w:r w:rsidRPr="000B78F5">
        <w:t xml:space="preserve">, 27(1), pp. 73–84. Available at: </w:t>
      </w:r>
      <w:hyperlink r:id="rId101" w:history="1">
        <w:r w:rsidRPr="00CC37DA">
          <w:rPr>
            <w:rStyle w:val="Hyperlink"/>
          </w:rPr>
          <w:t>https://doi.org/10.1007/s11896-011-9087-x</w:t>
        </w:r>
      </w:hyperlink>
      <w:r>
        <w:t xml:space="preserve"> </w:t>
      </w:r>
      <w:r w:rsidRPr="009F74CC">
        <w:t xml:space="preserve">(Accessed: </w:t>
      </w:r>
      <w:r>
        <w:t>01 May</w:t>
      </w:r>
      <w:r w:rsidRPr="009F74CC">
        <w:t xml:space="preserve"> 2023)</w:t>
      </w:r>
    </w:p>
    <w:p w14:paraId="15F2C6DD" w14:textId="1F01D01A" w:rsidR="00F954F9" w:rsidRDefault="003879DD" w:rsidP="003879DD">
      <w:pPr>
        <w:ind w:right="107"/>
        <w:rPr>
          <w:rFonts w:ascii="Arial" w:eastAsia="Arial" w:hAnsi="Arial" w:cs="Arial"/>
          <w:b/>
          <w:bCs/>
          <w:color w:val="000000" w:themeColor="text1"/>
          <w:sz w:val="24"/>
          <w:szCs w:val="24"/>
        </w:rPr>
      </w:pPr>
      <w:r>
        <w:t xml:space="preserve">West Yorkshire Police (2015) </w:t>
      </w:r>
      <w:r w:rsidRPr="00555C4A">
        <w:rPr>
          <w:i/>
          <w:iCs/>
        </w:rPr>
        <w:t>Our Values.</w:t>
      </w:r>
      <w:r>
        <w:t xml:space="preserve"> Available at: </w:t>
      </w:r>
      <w:hyperlink r:id="rId102" w:history="1">
        <w:r w:rsidRPr="00547F00">
          <w:rPr>
            <w:rStyle w:val="Hyperlink"/>
          </w:rPr>
          <w:t>https://www.westyorkshire.police.uk/about-us/our-standards/our-standards/our-values</w:t>
        </w:r>
      </w:hyperlink>
      <w:r>
        <w:t xml:space="preserve"> </w:t>
      </w:r>
      <w:r w:rsidRPr="009F74CC">
        <w:t>(Accessed: 30 April 2023)</w:t>
      </w:r>
    </w:p>
    <w:p w14:paraId="798286C5" w14:textId="19397D7A" w:rsidR="2C28128D" w:rsidRDefault="2C28128D" w:rsidP="2F17ACDD">
      <w:pPr>
        <w:ind w:right="107"/>
        <w:jc w:val="both"/>
        <w:rPr>
          <w:rFonts w:ascii="Arial" w:eastAsia="Arial" w:hAnsi="Arial" w:cs="Arial"/>
          <w:b/>
          <w:bCs/>
          <w:i/>
          <w:iCs/>
          <w:color w:val="000000" w:themeColor="text1"/>
          <w:sz w:val="24"/>
          <w:szCs w:val="24"/>
        </w:rPr>
      </w:pPr>
      <w:r w:rsidRPr="2F17ACDD">
        <w:rPr>
          <w:rFonts w:ascii="Arial" w:eastAsia="Arial" w:hAnsi="Arial" w:cs="Arial"/>
          <w:b/>
          <w:bCs/>
          <w:i/>
          <w:iCs/>
          <w:color w:val="000000" w:themeColor="text1"/>
          <w:sz w:val="24"/>
          <w:szCs w:val="24"/>
        </w:rPr>
        <w:t xml:space="preserve">Task 4: </w:t>
      </w:r>
      <w:r w:rsidR="62C030DE" w:rsidRPr="2F17ACDD">
        <w:rPr>
          <w:rFonts w:ascii="Arial" w:eastAsia="Arial" w:hAnsi="Arial" w:cs="Arial"/>
          <w:b/>
          <w:bCs/>
          <w:i/>
          <w:iCs/>
          <w:color w:val="000000" w:themeColor="text1"/>
          <w:sz w:val="24"/>
          <w:szCs w:val="24"/>
        </w:rPr>
        <w:t>Investigation documentation processes</w:t>
      </w:r>
    </w:p>
    <w:p w14:paraId="043F77C6" w14:textId="1A09E684" w:rsidR="727E3A7D" w:rsidRDefault="62F55F56" w:rsidP="2F17ACDD">
      <w:pPr>
        <w:rPr>
          <w:rFonts w:ascii="Arial" w:eastAsia="Arial" w:hAnsi="Arial" w:cs="Arial"/>
          <w:color w:val="000000" w:themeColor="text1"/>
          <w:sz w:val="24"/>
          <w:szCs w:val="24"/>
        </w:rPr>
      </w:pPr>
      <w:r w:rsidRPr="2F17ACDD">
        <w:rPr>
          <w:rFonts w:ascii="Arial" w:eastAsia="Arial" w:hAnsi="Arial" w:cs="Arial"/>
          <w:color w:val="000000" w:themeColor="text1"/>
          <w:sz w:val="24"/>
          <w:szCs w:val="24"/>
        </w:rPr>
        <w:t xml:space="preserve">You must choose an investigation in which you played a significant role and reflect upon how you completed </w:t>
      </w:r>
      <w:r w:rsidR="1BCE5E2F" w:rsidRPr="2F17ACDD">
        <w:rPr>
          <w:rFonts w:ascii="Arial" w:eastAsia="Arial" w:hAnsi="Arial" w:cs="Arial"/>
          <w:color w:val="000000" w:themeColor="text1"/>
          <w:sz w:val="24"/>
          <w:szCs w:val="24"/>
        </w:rPr>
        <w:t xml:space="preserve">relevant documentation in relation to the investigation. </w:t>
      </w:r>
      <w:r w:rsidRPr="2F17ACDD">
        <w:rPr>
          <w:rFonts w:ascii="Arial" w:eastAsia="Arial" w:hAnsi="Arial" w:cs="Arial"/>
          <w:color w:val="000000" w:themeColor="text1"/>
          <w:sz w:val="24"/>
          <w:szCs w:val="24"/>
        </w:rPr>
        <w:t xml:space="preserve"> </w:t>
      </w:r>
    </w:p>
    <w:tbl>
      <w:tblPr>
        <w:tblStyle w:val="TableGrid"/>
        <w:tblW w:w="0" w:type="auto"/>
        <w:tblLayout w:type="fixed"/>
        <w:tblLook w:val="06A0" w:firstRow="1" w:lastRow="0" w:firstColumn="1" w:lastColumn="0" w:noHBand="1" w:noVBand="1"/>
      </w:tblPr>
      <w:tblGrid>
        <w:gridCol w:w="9015"/>
      </w:tblGrid>
      <w:tr w:rsidR="7336895D" w14:paraId="2EA4F0B4" w14:textId="77777777" w:rsidTr="2F17ACDD">
        <w:tc>
          <w:tcPr>
            <w:tcW w:w="9015" w:type="dxa"/>
          </w:tcPr>
          <w:p w14:paraId="7A93F489" w14:textId="7BC461DC" w:rsidR="7336895D" w:rsidRDefault="7336895D" w:rsidP="7336895D">
            <w:pPr>
              <w:rPr>
                <w:rFonts w:ascii="Arial" w:eastAsia="Arial" w:hAnsi="Arial" w:cs="Arial"/>
                <w:b/>
                <w:bCs/>
                <w:color w:val="000000" w:themeColor="text1"/>
                <w:sz w:val="24"/>
                <w:szCs w:val="24"/>
              </w:rPr>
            </w:pPr>
          </w:p>
          <w:p w14:paraId="1C3A3649" w14:textId="760D530E" w:rsidR="7336895D" w:rsidRDefault="71E6567F" w:rsidP="515A1CF8">
            <w:pPr>
              <w:rPr>
                <w:rFonts w:ascii="Arial" w:eastAsia="Arial" w:hAnsi="Arial" w:cs="Arial"/>
                <w:sz w:val="24"/>
                <w:szCs w:val="24"/>
              </w:rPr>
            </w:pPr>
            <w:r w:rsidRPr="515A1CF8">
              <w:rPr>
                <w:rFonts w:ascii="Arial" w:eastAsia="Arial" w:hAnsi="Arial" w:cs="Arial"/>
                <w:b/>
                <w:bCs/>
                <w:color w:val="000000" w:themeColor="text1"/>
                <w:sz w:val="24"/>
                <w:szCs w:val="24"/>
              </w:rPr>
              <w:t>Give a brief description</w:t>
            </w:r>
            <w:r w:rsidRPr="515A1CF8">
              <w:rPr>
                <w:rFonts w:ascii="Arial" w:eastAsia="Arial" w:hAnsi="Arial" w:cs="Arial"/>
                <w:color w:val="000000" w:themeColor="text1"/>
                <w:sz w:val="24"/>
                <w:szCs w:val="24"/>
              </w:rPr>
              <w:t xml:space="preserve"> of the investigation including social and legislative contexts and any relevant cultural, ethnicity and language issues</w:t>
            </w:r>
          </w:p>
          <w:p w14:paraId="5F57507B" w14:textId="0E8132B1" w:rsidR="7336895D" w:rsidRDefault="7336895D" w:rsidP="515A1CF8">
            <w:pPr>
              <w:rPr>
                <w:rFonts w:ascii="Arial" w:eastAsia="Arial" w:hAnsi="Arial" w:cs="Arial"/>
                <w:b/>
                <w:bCs/>
                <w:color w:val="000000" w:themeColor="text1"/>
                <w:sz w:val="24"/>
                <w:szCs w:val="24"/>
              </w:rPr>
            </w:pPr>
          </w:p>
          <w:p w14:paraId="6B21309E" w14:textId="4874545E" w:rsidR="7336895D" w:rsidRDefault="24035274" w:rsidP="515A1CF8">
            <w:pPr>
              <w:rPr>
                <w:rFonts w:ascii="Arial" w:eastAsia="Arial" w:hAnsi="Arial" w:cs="Arial"/>
                <w:color w:val="000000" w:themeColor="text1"/>
                <w:sz w:val="24"/>
                <w:szCs w:val="24"/>
              </w:rPr>
            </w:pPr>
            <w:r w:rsidRPr="2F17ACDD">
              <w:rPr>
                <w:rFonts w:ascii="Arial" w:eastAsia="Arial" w:hAnsi="Arial" w:cs="Arial"/>
                <w:color w:val="000000" w:themeColor="text1"/>
                <w:sz w:val="24"/>
                <w:szCs w:val="24"/>
              </w:rPr>
              <w:t xml:space="preserve">Consider and reflect upon how you analysed, </w:t>
            </w:r>
            <w:proofErr w:type="gramStart"/>
            <w:r w:rsidRPr="2F17ACDD">
              <w:rPr>
                <w:rFonts w:ascii="Arial" w:eastAsia="Arial" w:hAnsi="Arial" w:cs="Arial"/>
                <w:color w:val="000000" w:themeColor="text1"/>
                <w:sz w:val="24"/>
                <w:szCs w:val="24"/>
              </w:rPr>
              <w:t>assessed</w:t>
            </w:r>
            <w:proofErr w:type="gramEnd"/>
            <w:r w:rsidRPr="2F17ACDD">
              <w:rPr>
                <w:rFonts w:ascii="Arial" w:eastAsia="Arial" w:hAnsi="Arial" w:cs="Arial"/>
                <w:color w:val="000000" w:themeColor="text1"/>
                <w:sz w:val="24"/>
                <w:szCs w:val="24"/>
              </w:rPr>
              <w:t xml:space="preserve"> and eva</w:t>
            </w:r>
            <w:r w:rsidR="796C5F38" w:rsidRPr="2F17ACDD">
              <w:rPr>
                <w:rFonts w:ascii="Arial" w:eastAsia="Arial" w:hAnsi="Arial" w:cs="Arial"/>
                <w:color w:val="000000" w:themeColor="text1"/>
                <w:sz w:val="24"/>
                <w:szCs w:val="24"/>
              </w:rPr>
              <w:t>luated</w:t>
            </w:r>
            <w:r w:rsidRPr="2F17ACDD">
              <w:rPr>
                <w:rFonts w:ascii="Arial" w:eastAsia="Arial" w:hAnsi="Arial" w:cs="Arial"/>
                <w:color w:val="000000" w:themeColor="text1"/>
                <w:sz w:val="24"/>
                <w:szCs w:val="24"/>
              </w:rPr>
              <w:t xml:space="preserve"> material generated by the investigation to identify offenders. </w:t>
            </w:r>
          </w:p>
          <w:p w14:paraId="1AD5BD42" w14:textId="6FB07CD9" w:rsidR="7336895D" w:rsidRDefault="7336895D" w:rsidP="515A1CF8">
            <w:pPr>
              <w:rPr>
                <w:rFonts w:ascii="Arial" w:eastAsia="Arial" w:hAnsi="Arial" w:cs="Arial"/>
                <w:b/>
                <w:bCs/>
                <w:color w:val="000000" w:themeColor="text1"/>
                <w:sz w:val="24"/>
                <w:szCs w:val="24"/>
              </w:rPr>
            </w:pPr>
          </w:p>
          <w:p w14:paraId="0C5A1992" w14:textId="41443326" w:rsidR="7336895D" w:rsidRDefault="378EC49D" w:rsidP="79283025">
            <w:pPr>
              <w:rPr>
                <w:rFonts w:ascii="Arial" w:eastAsia="Arial" w:hAnsi="Arial" w:cs="Arial"/>
                <w:color w:val="000000" w:themeColor="text1"/>
                <w:sz w:val="24"/>
                <w:szCs w:val="24"/>
              </w:rPr>
            </w:pPr>
            <w:r w:rsidRPr="2F17ACDD">
              <w:rPr>
                <w:rFonts w:ascii="Arial" w:eastAsia="Arial" w:hAnsi="Arial" w:cs="Arial"/>
                <w:color w:val="000000" w:themeColor="text1"/>
                <w:sz w:val="24"/>
                <w:szCs w:val="24"/>
              </w:rPr>
              <w:t>Illustrate</w:t>
            </w:r>
            <w:r w:rsidR="5CF57445" w:rsidRPr="2F17ACDD">
              <w:rPr>
                <w:rFonts w:ascii="Arial" w:eastAsia="Arial" w:hAnsi="Arial" w:cs="Arial"/>
                <w:b/>
                <w:bCs/>
                <w:i/>
                <w:iCs/>
                <w:color w:val="000000" w:themeColor="text1"/>
                <w:sz w:val="24"/>
                <w:szCs w:val="24"/>
              </w:rPr>
              <w:t xml:space="preserve"> </w:t>
            </w:r>
            <w:r w:rsidR="5CF57445" w:rsidRPr="2F17ACDD">
              <w:rPr>
                <w:rFonts w:ascii="Arial" w:eastAsia="Arial" w:hAnsi="Arial" w:cs="Arial"/>
                <w:color w:val="000000" w:themeColor="text1"/>
                <w:sz w:val="24"/>
                <w:szCs w:val="24"/>
              </w:rPr>
              <w:t xml:space="preserve">how you have </w:t>
            </w:r>
            <w:r w:rsidR="223C72C6" w:rsidRPr="2F17ACDD">
              <w:rPr>
                <w:rFonts w:ascii="Arial" w:eastAsia="Arial" w:hAnsi="Arial" w:cs="Arial"/>
                <w:color w:val="000000" w:themeColor="text1"/>
                <w:sz w:val="24"/>
                <w:szCs w:val="24"/>
              </w:rPr>
              <w:t>ensured</w:t>
            </w:r>
            <w:r w:rsidR="5CF57445" w:rsidRPr="2F17ACDD">
              <w:rPr>
                <w:rFonts w:ascii="Arial" w:eastAsia="Arial" w:hAnsi="Arial" w:cs="Arial"/>
                <w:color w:val="000000" w:themeColor="text1"/>
                <w:sz w:val="24"/>
                <w:szCs w:val="24"/>
              </w:rPr>
              <w:t xml:space="preserve"> all material, including exhibits generated were seized, </w:t>
            </w:r>
            <w:proofErr w:type="gramStart"/>
            <w:r w:rsidR="5CF57445" w:rsidRPr="2F17ACDD">
              <w:rPr>
                <w:rFonts w:ascii="Arial" w:eastAsia="Arial" w:hAnsi="Arial" w:cs="Arial"/>
                <w:color w:val="000000" w:themeColor="text1"/>
                <w:sz w:val="24"/>
                <w:szCs w:val="24"/>
              </w:rPr>
              <w:t>examined</w:t>
            </w:r>
            <w:proofErr w:type="gramEnd"/>
            <w:r w:rsidR="5CF57445" w:rsidRPr="2F17ACDD">
              <w:rPr>
                <w:rFonts w:ascii="Arial" w:eastAsia="Arial" w:hAnsi="Arial" w:cs="Arial"/>
                <w:color w:val="000000" w:themeColor="text1"/>
                <w:sz w:val="24"/>
                <w:szCs w:val="24"/>
              </w:rPr>
              <w:t xml:space="preserve"> and retained in </w:t>
            </w:r>
            <w:r w:rsidR="6DCD363F" w:rsidRPr="2F17ACDD">
              <w:rPr>
                <w:rFonts w:ascii="Arial" w:eastAsia="Arial" w:hAnsi="Arial" w:cs="Arial"/>
                <w:color w:val="000000" w:themeColor="text1"/>
                <w:sz w:val="24"/>
                <w:szCs w:val="24"/>
              </w:rPr>
              <w:t>accordance</w:t>
            </w:r>
            <w:r w:rsidR="5CF57445" w:rsidRPr="2F17ACDD">
              <w:rPr>
                <w:rFonts w:ascii="Arial" w:eastAsia="Arial" w:hAnsi="Arial" w:cs="Arial"/>
                <w:color w:val="000000" w:themeColor="text1"/>
                <w:sz w:val="24"/>
                <w:szCs w:val="24"/>
              </w:rPr>
              <w:t xml:space="preserve"> with </w:t>
            </w:r>
            <w:r w:rsidR="25B7CE95" w:rsidRPr="2F17ACDD">
              <w:rPr>
                <w:rFonts w:ascii="Arial" w:eastAsia="Arial" w:hAnsi="Arial" w:cs="Arial"/>
                <w:color w:val="000000" w:themeColor="text1"/>
                <w:sz w:val="24"/>
                <w:szCs w:val="24"/>
              </w:rPr>
              <w:t>legalisation</w:t>
            </w:r>
            <w:r w:rsidR="5CF57445" w:rsidRPr="2F17ACDD">
              <w:rPr>
                <w:rFonts w:ascii="Arial" w:eastAsia="Arial" w:hAnsi="Arial" w:cs="Arial"/>
                <w:color w:val="000000" w:themeColor="text1"/>
                <w:sz w:val="24"/>
                <w:szCs w:val="24"/>
              </w:rPr>
              <w:t xml:space="preserve"> and policy where neces</w:t>
            </w:r>
            <w:r w:rsidR="1EA4B145" w:rsidRPr="2F17ACDD">
              <w:rPr>
                <w:rFonts w:ascii="Arial" w:eastAsia="Arial" w:hAnsi="Arial" w:cs="Arial"/>
                <w:color w:val="000000" w:themeColor="text1"/>
                <w:sz w:val="24"/>
                <w:szCs w:val="24"/>
              </w:rPr>
              <w:t>sary</w:t>
            </w:r>
            <w:r w:rsidR="1161A79E" w:rsidRPr="2F17ACDD">
              <w:rPr>
                <w:rFonts w:ascii="Arial" w:eastAsia="Arial" w:hAnsi="Arial" w:cs="Arial"/>
                <w:color w:val="000000" w:themeColor="text1"/>
                <w:sz w:val="24"/>
                <w:szCs w:val="24"/>
              </w:rPr>
              <w:t xml:space="preserve"> (e.g., compliance with CPIA, PACE). </w:t>
            </w:r>
          </w:p>
          <w:p w14:paraId="0CE4EFFF" w14:textId="01396730" w:rsidR="7336895D" w:rsidRDefault="7336895D" w:rsidP="515A1CF8">
            <w:pPr>
              <w:rPr>
                <w:rFonts w:ascii="Arial" w:eastAsia="Arial" w:hAnsi="Arial" w:cs="Arial"/>
                <w:color w:val="000000" w:themeColor="text1"/>
                <w:sz w:val="24"/>
                <w:szCs w:val="24"/>
              </w:rPr>
            </w:pPr>
          </w:p>
          <w:p w14:paraId="7CB0C751" w14:textId="3927968D" w:rsidR="7336895D" w:rsidRDefault="376F5DDD" w:rsidP="515A1CF8">
            <w:pPr>
              <w:rPr>
                <w:rFonts w:ascii="Arial" w:eastAsia="Arial" w:hAnsi="Arial" w:cs="Arial"/>
                <w:color w:val="000000" w:themeColor="text1"/>
                <w:sz w:val="24"/>
                <w:szCs w:val="24"/>
              </w:rPr>
            </w:pPr>
            <w:r w:rsidRPr="2F17ACDD">
              <w:rPr>
                <w:rFonts w:ascii="Arial" w:eastAsia="Arial" w:hAnsi="Arial" w:cs="Arial"/>
                <w:color w:val="000000" w:themeColor="text1"/>
                <w:sz w:val="24"/>
                <w:szCs w:val="24"/>
              </w:rPr>
              <w:t>Evaluate</w:t>
            </w:r>
            <w:r w:rsidR="31143131" w:rsidRPr="2F17ACDD">
              <w:rPr>
                <w:rFonts w:ascii="Arial" w:eastAsia="Arial" w:hAnsi="Arial" w:cs="Arial"/>
                <w:color w:val="000000" w:themeColor="text1"/>
                <w:sz w:val="24"/>
                <w:szCs w:val="24"/>
              </w:rPr>
              <w:t xml:space="preserve"> </w:t>
            </w:r>
            <w:r w:rsidR="58F07DB9" w:rsidRPr="2F17ACDD">
              <w:rPr>
                <w:rFonts w:ascii="Arial" w:eastAsia="Arial" w:hAnsi="Arial" w:cs="Arial"/>
                <w:color w:val="000000" w:themeColor="text1"/>
                <w:sz w:val="24"/>
                <w:szCs w:val="24"/>
              </w:rPr>
              <w:t>how you</w:t>
            </w:r>
            <w:r w:rsidR="31143131" w:rsidRPr="2F17ACDD">
              <w:rPr>
                <w:rFonts w:ascii="Arial" w:eastAsia="Arial" w:hAnsi="Arial" w:cs="Arial"/>
                <w:color w:val="000000" w:themeColor="text1"/>
                <w:sz w:val="24"/>
                <w:szCs w:val="24"/>
              </w:rPr>
              <w:t xml:space="preserve"> </w:t>
            </w:r>
            <w:r w:rsidR="2C817043" w:rsidRPr="2F17ACDD">
              <w:rPr>
                <w:rFonts w:ascii="Arial" w:eastAsia="Arial" w:hAnsi="Arial" w:cs="Arial"/>
                <w:color w:val="000000" w:themeColor="text1"/>
                <w:sz w:val="24"/>
                <w:szCs w:val="24"/>
              </w:rPr>
              <w:t>preprepared</w:t>
            </w:r>
            <w:r w:rsidR="1B19800C" w:rsidRPr="2F17ACDD">
              <w:rPr>
                <w:rFonts w:ascii="Arial" w:eastAsia="Arial" w:hAnsi="Arial" w:cs="Arial"/>
                <w:color w:val="000000" w:themeColor="text1"/>
                <w:sz w:val="24"/>
                <w:szCs w:val="24"/>
              </w:rPr>
              <w:t xml:space="preserve"> report</w:t>
            </w:r>
            <w:r w:rsidR="1CDF7B3F" w:rsidRPr="2F17ACDD">
              <w:rPr>
                <w:rFonts w:ascii="Arial" w:eastAsia="Arial" w:hAnsi="Arial" w:cs="Arial"/>
                <w:color w:val="000000" w:themeColor="text1"/>
                <w:sz w:val="24"/>
                <w:szCs w:val="24"/>
              </w:rPr>
              <w:t>s</w:t>
            </w:r>
            <w:r w:rsidR="1B19800C" w:rsidRPr="2F17ACDD">
              <w:rPr>
                <w:rFonts w:ascii="Arial" w:eastAsia="Arial" w:hAnsi="Arial" w:cs="Arial"/>
                <w:color w:val="000000" w:themeColor="text1"/>
                <w:sz w:val="24"/>
                <w:szCs w:val="24"/>
              </w:rPr>
              <w:t xml:space="preserve"> </w:t>
            </w:r>
            <w:r w:rsidR="7D6F839B" w:rsidRPr="2F17ACDD">
              <w:rPr>
                <w:rFonts w:ascii="Arial" w:eastAsia="Arial" w:hAnsi="Arial" w:cs="Arial"/>
                <w:color w:val="000000" w:themeColor="text1"/>
                <w:sz w:val="24"/>
                <w:szCs w:val="24"/>
              </w:rPr>
              <w:t>detailing</w:t>
            </w:r>
            <w:r w:rsidR="31143131" w:rsidRPr="2F17ACDD">
              <w:rPr>
                <w:rFonts w:ascii="Arial" w:eastAsia="Arial" w:hAnsi="Arial" w:cs="Arial"/>
                <w:color w:val="000000" w:themeColor="text1"/>
                <w:sz w:val="24"/>
                <w:szCs w:val="24"/>
              </w:rPr>
              <w:t xml:space="preserve"> the </w:t>
            </w:r>
            <w:r w:rsidR="4EB2EBD6" w:rsidRPr="2F17ACDD">
              <w:rPr>
                <w:rFonts w:ascii="Arial" w:eastAsia="Arial" w:hAnsi="Arial" w:cs="Arial"/>
                <w:color w:val="000000" w:themeColor="text1"/>
                <w:sz w:val="24"/>
                <w:szCs w:val="24"/>
              </w:rPr>
              <w:t>investigation</w:t>
            </w:r>
            <w:r w:rsidR="31143131" w:rsidRPr="2F17ACDD">
              <w:rPr>
                <w:rFonts w:ascii="Arial" w:eastAsia="Arial" w:hAnsi="Arial" w:cs="Arial"/>
                <w:color w:val="000000" w:themeColor="text1"/>
                <w:sz w:val="24"/>
                <w:szCs w:val="24"/>
              </w:rPr>
              <w:t xml:space="preserve"> and</w:t>
            </w:r>
            <w:r w:rsidR="2765B99A" w:rsidRPr="2F17ACDD">
              <w:rPr>
                <w:rFonts w:ascii="Arial" w:eastAsia="Arial" w:hAnsi="Arial" w:cs="Arial"/>
                <w:color w:val="000000" w:themeColor="text1"/>
                <w:sz w:val="24"/>
                <w:szCs w:val="24"/>
              </w:rPr>
              <w:t xml:space="preserve"> the management of</w:t>
            </w:r>
            <w:r w:rsidR="31143131" w:rsidRPr="2F17ACDD">
              <w:rPr>
                <w:rFonts w:ascii="Arial" w:eastAsia="Arial" w:hAnsi="Arial" w:cs="Arial"/>
                <w:color w:val="000000" w:themeColor="text1"/>
                <w:sz w:val="24"/>
                <w:szCs w:val="24"/>
              </w:rPr>
              <w:t xml:space="preserve"> case files. Examine how you have conducted disclosure with best</w:t>
            </w:r>
            <w:r w:rsidR="2464EBBD" w:rsidRPr="2F17ACDD">
              <w:rPr>
                <w:rFonts w:ascii="Arial" w:eastAsia="Arial" w:hAnsi="Arial" w:cs="Arial"/>
                <w:color w:val="000000" w:themeColor="text1"/>
                <w:sz w:val="24"/>
                <w:szCs w:val="24"/>
              </w:rPr>
              <w:t xml:space="preserve"> practice procedures</w:t>
            </w:r>
            <w:r w:rsidR="31143131" w:rsidRPr="2F17ACDD">
              <w:rPr>
                <w:rFonts w:ascii="Arial" w:eastAsia="Arial" w:hAnsi="Arial" w:cs="Arial"/>
                <w:color w:val="000000" w:themeColor="text1"/>
                <w:sz w:val="24"/>
                <w:szCs w:val="24"/>
              </w:rPr>
              <w:t xml:space="preserve"> </w:t>
            </w:r>
            <w:r w:rsidR="2BD1B6F3" w:rsidRPr="2F17ACDD">
              <w:rPr>
                <w:rFonts w:ascii="Arial" w:eastAsia="Arial" w:hAnsi="Arial" w:cs="Arial"/>
                <w:color w:val="000000" w:themeColor="text1"/>
                <w:sz w:val="24"/>
                <w:szCs w:val="24"/>
              </w:rPr>
              <w:t xml:space="preserve">while creating an accurate audit trail. </w:t>
            </w:r>
          </w:p>
          <w:p w14:paraId="1D905E98" w14:textId="477F651F" w:rsidR="2F17ACDD" w:rsidRDefault="2F17ACDD" w:rsidP="2F17ACDD">
            <w:pPr>
              <w:rPr>
                <w:rFonts w:ascii="Arial" w:eastAsia="Arial" w:hAnsi="Arial" w:cs="Arial"/>
                <w:color w:val="000000" w:themeColor="text1"/>
                <w:sz w:val="24"/>
                <w:szCs w:val="24"/>
              </w:rPr>
            </w:pPr>
          </w:p>
          <w:p w14:paraId="3D7DFF00" w14:textId="438686A8" w:rsidR="7336895D" w:rsidRDefault="69D1D01D" w:rsidP="2F17ACDD">
            <w:pPr>
              <w:rPr>
                <w:rFonts w:ascii="Arial" w:eastAsia="Arial" w:hAnsi="Arial" w:cs="Arial"/>
                <w:sz w:val="24"/>
                <w:szCs w:val="24"/>
              </w:rPr>
            </w:pPr>
            <w:r w:rsidRPr="2F17ACDD">
              <w:rPr>
                <w:rFonts w:ascii="Arial" w:eastAsia="Arial" w:hAnsi="Arial" w:cs="Arial"/>
                <w:b/>
                <w:bCs/>
                <w:color w:val="000000" w:themeColor="text1"/>
                <w:sz w:val="24"/>
                <w:szCs w:val="24"/>
              </w:rPr>
              <w:t xml:space="preserve">2000 words </w:t>
            </w:r>
            <w:r w:rsidRPr="2F17ACDD">
              <w:rPr>
                <w:rFonts w:ascii="Arial" w:eastAsia="Arial" w:hAnsi="Arial" w:cs="Arial"/>
                <w:i/>
                <w:iCs/>
                <w:color w:val="000000" w:themeColor="text1"/>
                <w:sz w:val="24"/>
                <w:szCs w:val="24"/>
              </w:rPr>
              <w:t>(+/- 10%: include your actual word count at the end of each section)</w:t>
            </w:r>
          </w:p>
        </w:tc>
      </w:tr>
    </w:tbl>
    <w:p w14:paraId="0AE44038" w14:textId="13685317" w:rsidR="00B277FE" w:rsidRDefault="00B277FE" w:rsidP="00B277FE">
      <w:pPr>
        <w:pStyle w:val="Heading1"/>
      </w:pPr>
      <w:r>
        <w:t xml:space="preserve">TASK </w:t>
      </w:r>
      <w:r>
        <w:t>4</w:t>
      </w:r>
      <w:r>
        <w:t xml:space="preserve"> ANSWER:</w:t>
      </w:r>
    </w:p>
    <w:p w14:paraId="5856FDFA" w14:textId="77777777" w:rsidR="00F6619C" w:rsidRDefault="00F6619C" w:rsidP="00F6619C">
      <w:pPr>
        <w:pStyle w:val="Heading2"/>
        <w:rPr>
          <w:rFonts w:eastAsia="Arial"/>
          <w:b/>
          <w:bCs/>
        </w:rPr>
      </w:pPr>
      <w:r w:rsidRPr="00F5123B">
        <w:rPr>
          <w:rFonts w:eastAsia="Arial"/>
          <w:b/>
          <w:bCs/>
        </w:rPr>
        <w:t>Give a brief description of the investigation including social and legislative contexts and any relevant cultural, ethnicity and language issues</w:t>
      </w:r>
    </w:p>
    <w:p w14:paraId="1C5A3C49" w14:textId="77777777" w:rsidR="00F6619C" w:rsidRDefault="00F6619C" w:rsidP="00F6619C">
      <w:r>
        <w:t>I</w:t>
      </w:r>
      <w:r w:rsidRPr="002839AE">
        <w:t xml:space="preserve"> led </w:t>
      </w:r>
      <w:r>
        <w:t>the complex</w:t>
      </w:r>
      <w:r w:rsidRPr="002839AE">
        <w:t xml:space="preserve"> investigation </w:t>
      </w:r>
      <w:r>
        <w:t>into an individual</w:t>
      </w:r>
      <w:r w:rsidRPr="002839AE">
        <w:t xml:space="preserve">, identified as being a vendor on a Dark Web Marketplace. </w:t>
      </w:r>
      <w:r>
        <w:t>Over</w:t>
      </w:r>
      <w:r w:rsidRPr="002839AE">
        <w:t xml:space="preserve"> £1.5 million worth of </w:t>
      </w:r>
      <w:r>
        <w:t xml:space="preserve">cryptocurrency </w:t>
      </w:r>
      <w:r w:rsidRPr="002839AE">
        <w:t>assets</w:t>
      </w:r>
      <w:r>
        <w:t xml:space="preserve"> were identified as proceeds of crime that were acquired </w:t>
      </w:r>
      <w:r w:rsidRPr="002839AE">
        <w:t>through illegal sales</w:t>
      </w:r>
      <w:r>
        <w:t xml:space="preserve">, </w:t>
      </w:r>
      <w:r w:rsidRPr="002839AE">
        <w:t>leading to his arrest for money laundering</w:t>
      </w:r>
      <w:r>
        <w:t xml:space="preserve">, </w:t>
      </w:r>
      <w:proofErr w:type="gramStart"/>
      <w:r w:rsidRPr="002839AE">
        <w:t>fraud</w:t>
      </w:r>
      <w:proofErr w:type="gramEnd"/>
      <w:r w:rsidRPr="002839AE">
        <w:t xml:space="preserve"> and drug supply offences. The main challenges were the application of the correct seizure powers and communicating the technical aspects of the investigations to colleagues and non-specialist departments in order to ensure the correct application of police powers and legislation.</w:t>
      </w:r>
    </w:p>
    <w:p w14:paraId="4CC7758A" w14:textId="77777777" w:rsidR="00F6619C" w:rsidRPr="00F5123B" w:rsidRDefault="00F6619C" w:rsidP="00F6619C">
      <w:r>
        <w:t>(Words 85)</w:t>
      </w:r>
    </w:p>
    <w:p w14:paraId="1AF511BE" w14:textId="77777777" w:rsidR="00F6619C" w:rsidRDefault="00F6619C" w:rsidP="00F6619C">
      <w:pPr>
        <w:pStyle w:val="Heading2"/>
        <w:rPr>
          <w:rFonts w:eastAsia="Arial"/>
          <w:b/>
          <w:bCs/>
        </w:rPr>
      </w:pPr>
      <w:r w:rsidRPr="00F5123B">
        <w:rPr>
          <w:rFonts w:eastAsia="Arial"/>
          <w:b/>
          <w:bCs/>
        </w:rPr>
        <w:t xml:space="preserve">Consider and reflect upon how you analysed, </w:t>
      </w:r>
      <w:proofErr w:type="gramStart"/>
      <w:r w:rsidRPr="00F5123B">
        <w:rPr>
          <w:rFonts w:eastAsia="Arial"/>
          <w:b/>
          <w:bCs/>
        </w:rPr>
        <w:t>assessed</w:t>
      </w:r>
      <w:proofErr w:type="gramEnd"/>
      <w:r w:rsidRPr="00F5123B">
        <w:rPr>
          <w:rFonts w:eastAsia="Arial"/>
          <w:b/>
          <w:bCs/>
        </w:rPr>
        <w:t xml:space="preserve"> and evaluated material generated by the investigation to identify offenders. </w:t>
      </w:r>
    </w:p>
    <w:p w14:paraId="46B65AFF" w14:textId="77777777" w:rsidR="00F6619C" w:rsidRDefault="00F6619C" w:rsidP="00F6619C"/>
    <w:p w14:paraId="5CCDD295" w14:textId="77777777" w:rsidR="00F6619C" w:rsidRDefault="00F6619C" w:rsidP="00F6619C">
      <w:r>
        <w:t>Usin</w:t>
      </w:r>
      <w:r w:rsidRPr="00321F10">
        <w:t xml:space="preserve">g </w:t>
      </w:r>
      <w:r>
        <w:t xml:space="preserve">the Gibbs Reflective Cycle (1988) promoted by the COP (2017) and following the 5 phases (Description, Feelings, Evaluation/Analysis, Conclusions and Actions), I can reflect on my management of the material I gathered during the investigation. </w:t>
      </w:r>
    </w:p>
    <w:p w14:paraId="5F14982F" w14:textId="77777777" w:rsidR="00F6619C" w:rsidRDefault="00F6619C" w:rsidP="00F6619C">
      <w:r>
        <w:t>CPIA (</w:t>
      </w:r>
      <w:r w:rsidRPr="006E14DC">
        <w:rPr>
          <w:i/>
          <w:iCs/>
        </w:rPr>
        <w:t>Criminal Procedures and Investigations Act 199</w:t>
      </w:r>
      <w:r>
        <w:rPr>
          <w:i/>
          <w:iCs/>
        </w:rPr>
        <w:t xml:space="preserve">9) </w:t>
      </w:r>
      <w:r>
        <w:t xml:space="preserve">outlines the duties of an investigator to follow all reasonable lines of enquiry as well as a duty to record, retain and reveal to the prosecutor material obtained during the course of a criminal investigation. The investigation produced substantial amounts of data from various sources and in different formats. This data required analysis to determine its relevancy on the investigation and conversion into a readable format, so that it could be understood and correlated against other data sets. The evidence consisted of cryptocurrency payments, cryptography keys and encrypted data. Data was also acquired from various electronic service providers and external agencies (NCA and FBI). </w:t>
      </w:r>
    </w:p>
    <w:p w14:paraId="341F3F28" w14:textId="77777777" w:rsidR="00F6619C" w:rsidRDefault="00F6619C" w:rsidP="00F6619C">
      <w:r>
        <w:t xml:space="preserve">I initially felt overwhelmed by the complexity of the investigation and the sheer volume of data acquired. I was worried the data sets were going to be too vast and complicated to manage. I also feared that I may not be able to extract and convey the key evidence from the data.  </w:t>
      </w:r>
    </w:p>
    <w:p w14:paraId="2DC6B394" w14:textId="77777777" w:rsidR="00F6619C" w:rsidRDefault="00F6619C" w:rsidP="00F6619C">
      <w:r>
        <w:t>Applying an investigative mindset allowed me to develop and test case theories. By examining the clues, it allows for inferences to be drawn about the actions and motives of the suspect (</w:t>
      </w:r>
      <w:r w:rsidRPr="00835F95">
        <w:t>Stainton</w:t>
      </w:r>
      <w:r>
        <w:t xml:space="preserve"> et al, 2022). It was difficult however not to allow bias to creep into the investigation. I had identified a suspect and was working backwards to associate him with the offending dark web vendor account. The effects of cognitive biases on forensic investigations have been acknowledged by expert bodies in the field of forensics and has resulted in the development of strategies to mitigate bias and provide training to relevant sections of the Criminal Justice System (Houses of Parliament, 2015, p.5) Hypothesis generation was a method used to help me investigate the cryptocurrency transactional data I was investigating. It is very easy to get lost in transactions on the blockchain due to the inherent anonymity of the technology. I used various hypothesis in order to help me prove or disprove the attribution or motivation of the suspect for key transactions in the investigations (College of Policing, 2020).</w:t>
      </w:r>
    </w:p>
    <w:p w14:paraId="3AE40AA2" w14:textId="77777777" w:rsidR="00F6619C" w:rsidRDefault="00F6619C" w:rsidP="00F6619C">
      <w:r>
        <w:t>By focusing my enquiries through the development of working hypothesis and the setting of clear and specific parameters, I was able to develop realistic and achievable objectives and lines of enquiry (College of Policing, 2020). This aided me in targeting the acquisition of data from passive data enquires, such as the request to cryptocurrency exchanges. These exchanges were providing large amounts of data per person and without directed enquires there would be too much data to analyse.</w:t>
      </w:r>
    </w:p>
    <w:p w14:paraId="5978C8D5" w14:textId="77777777" w:rsidR="00F6619C" w:rsidRDefault="00F6619C" w:rsidP="00F6619C">
      <w:r>
        <w:t xml:space="preserve">Extracting key identifiers from forensic examination of the suspect devices also helped to direct my enquiries to specific cryptocurrency platforms I was believed the suspect was using. This technique was critical to the investigation and provided an innovative method to identify passwords in order to exploit encryption deployed by the suspect, which subsequently aided the seizure of over £1 million of cryptocurrency identified as proceeds of crime. </w:t>
      </w:r>
      <w:r w:rsidRPr="00622C6B">
        <w:t>As criminal activities evolve, the technology, investigative techniques and efficiency of investigations must also advance</w:t>
      </w:r>
      <w:r>
        <w:t xml:space="preserve"> (O’Neill, 2018, p.150)</w:t>
      </w:r>
      <w:r w:rsidRPr="00622C6B">
        <w:t>.</w:t>
      </w:r>
      <w:r>
        <w:t xml:space="preserve"> </w:t>
      </w:r>
    </w:p>
    <w:p w14:paraId="09BD875F" w14:textId="77777777" w:rsidR="00F6619C" w:rsidRDefault="00F6619C" w:rsidP="00F6619C">
      <w:r>
        <w:t>I will aim to focus on sharing my knowledge and skills with other practitioners in digital investigations, as well as campaigning for the upskilling of staff to provide expert analysis and an increase in awareness for front-line officers. Police</w:t>
      </w:r>
      <w:r w:rsidRPr="00563957">
        <w:t xml:space="preserve"> now rely on analysing </w:t>
      </w:r>
      <w:r>
        <w:t xml:space="preserve">cryptocurrency </w:t>
      </w:r>
      <w:r w:rsidRPr="00563957">
        <w:t xml:space="preserve">transactions as a crucial method for investigating various criminal activities. This technique, referred to as tracking and tracing payment flows, allows </w:t>
      </w:r>
      <w:r>
        <w:t>us</w:t>
      </w:r>
      <w:r w:rsidRPr="00563957">
        <w:t xml:space="preserve"> to uncover illicit actions facilitated by the anonymous nature of cryptocurrencies</w:t>
      </w:r>
      <w:r>
        <w:t xml:space="preserve"> (</w:t>
      </w:r>
      <w:proofErr w:type="spellStart"/>
      <w:r w:rsidRPr="00091833">
        <w:t>Fröwis</w:t>
      </w:r>
      <w:proofErr w:type="spellEnd"/>
      <w:r>
        <w:t xml:space="preserve"> et al, 2022). It is essential that i</w:t>
      </w:r>
      <w:r w:rsidRPr="00B05011">
        <w:t xml:space="preserve">nvestigators and experts </w:t>
      </w:r>
      <w:r>
        <w:t xml:space="preserve">who perform analysis of cryptocurrency payments </w:t>
      </w:r>
      <w:r w:rsidRPr="00B05011">
        <w:t xml:space="preserve">and digital evidence in criminal proceedings </w:t>
      </w:r>
      <w:r>
        <w:t>are</w:t>
      </w:r>
      <w:r w:rsidRPr="00B05011">
        <w:t xml:space="preserve"> qualified to use those methods (Casey, 2011)</w:t>
      </w:r>
      <w:r>
        <w:t>. The qualifications, relevant experience and accreditation are essential for fulfilling the obligations of an expert as per legislation (</w:t>
      </w:r>
      <w:r w:rsidRPr="00816BAF">
        <w:rPr>
          <w:i/>
          <w:iCs/>
        </w:rPr>
        <w:t>Criminal Procedure Rules 20</w:t>
      </w:r>
      <w:r>
        <w:rPr>
          <w:i/>
          <w:iCs/>
        </w:rPr>
        <w:t>20</w:t>
      </w:r>
      <w:r w:rsidRPr="00816BAF">
        <w:rPr>
          <w:i/>
          <w:iCs/>
        </w:rPr>
        <w:t>).</w:t>
      </w:r>
      <w:r>
        <w:t xml:space="preserve"> A think tank report has highlighted the need for training in digital forensics, for all practitioners in the criminal justice system following unrealistic expectations (The Police Foundation, 2021). </w:t>
      </w:r>
    </w:p>
    <w:p w14:paraId="46FF01E1" w14:textId="77777777" w:rsidR="00F6619C" w:rsidRPr="00F5123B" w:rsidRDefault="00F6619C" w:rsidP="00F6619C">
      <w:r>
        <w:t>(Words 698)</w:t>
      </w:r>
    </w:p>
    <w:p w14:paraId="3FF801AF" w14:textId="77777777" w:rsidR="00F6619C" w:rsidRDefault="00F6619C" w:rsidP="00F6619C">
      <w:pPr>
        <w:pStyle w:val="Heading2"/>
        <w:rPr>
          <w:rFonts w:eastAsia="Arial"/>
          <w:b/>
          <w:bCs/>
        </w:rPr>
      </w:pPr>
      <w:r w:rsidRPr="00F5123B">
        <w:rPr>
          <w:rFonts w:eastAsia="Arial"/>
          <w:b/>
          <w:bCs/>
        </w:rPr>
        <w:t>Illustrate</w:t>
      </w:r>
      <w:r w:rsidRPr="00F5123B">
        <w:rPr>
          <w:rFonts w:eastAsia="Arial"/>
          <w:b/>
          <w:bCs/>
          <w:i/>
          <w:iCs/>
        </w:rPr>
        <w:t xml:space="preserve"> </w:t>
      </w:r>
      <w:r w:rsidRPr="00F5123B">
        <w:rPr>
          <w:rFonts w:eastAsia="Arial"/>
          <w:b/>
          <w:bCs/>
        </w:rPr>
        <w:t xml:space="preserve">how you have ensured all material, including exhibits generated were seized, </w:t>
      </w:r>
      <w:proofErr w:type="gramStart"/>
      <w:r w:rsidRPr="00F5123B">
        <w:rPr>
          <w:rFonts w:eastAsia="Arial"/>
          <w:b/>
          <w:bCs/>
        </w:rPr>
        <w:t>examined</w:t>
      </w:r>
      <w:proofErr w:type="gramEnd"/>
      <w:r w:rsidRPr="00F5123B">
        <w:rPr>
          <w:rFonts w:eastAsia="Arial"/>
          <w:b/>
          <w:bCs/>
        </w:rPr>
        <w:t xml:space="preserve"> and retained in accordance with legalisation and policy where necessary (e.g., compliance with CPIA, PACE). </w:t>
      </w:r>
    </w:p>
    <w:p w14:paraId="28657476" w14:textId="77777777" w:rsidR="00F6619C" w:rsidRDefault="00F6619C" w:rsidP="00F6619C"/>
    <w:p w14:paraId="57319D32" w14:textId="77777777" w:rsidR="00F6619C" w:rsidRDefault="00F6619C" w:rsidP="00F6619C">
      <w:r>
        <w:t xml:space="preserve">Paragraph 2.1 of the </w:t>
      </w:r>
      <w:r w:rsidRPr="000D68F6">
        <w:t xml:space="preserve">CPIA </w:t>
      </w:r>
      <w:r>
        <w:t xml:space="preserve">code of practice </w:t>
      </w:r>
      <w:r w:rsidRPr="000D68F6">
        <w:rPr>
          <w:i/>
          <w:iCs/>
        </w:rPr>
        <w:t>(Criminal Procedures and Investigations Act 1996</w:t>
      </w:r>
      <w:r>
        <w:rPr>
          <w:i/>
          <w:iCs/>
        </w:rPr>
        <w:t>),</w:t>
      </w:r>
      <w:r w:rsidRPr="00C800A5">
        <w:t xml:space="preserve"> </w:t>
      </w:r>
      <w:r>
        <w:t xml:space="preserve">states that any material, whether it be information or physical objects, that is acquired during a criminal investigation and may have significance to the investigation is referred to as ‘material’. Material can be considered relevant to an investigation if it seems to have some connection to the offence being investigated or the circumstances surrounding that investigation. The relevancy of that material is determined by the by the investigator, the officer in charge of the investigation, or the disclosure officer. However, if the material has no potential impact on the case, it is considered irrelevant. </w:t>
      </w:r>
    </w:p>
    <w:p w14:paraId="25686833" w14:textId="77777777" w:rsidR="00F6619C" w:rsidRDefault="00F6619C" w:rsidP="00F6619C">
      <w:r>
        <w:t xml:space="preserve">An investigator's objective is to collect as much material as possible, regardless of its form, that is relevant to the offence. However, the quantity of material that can be used as evidence in court may decrease as the investigation progresses, despite the police's initial accumulation of a large amount of material (College of Policing, 2013). The College of Policing APP (2013) goes on to describe the different formats of material generated and includes both tangible and intangible objects. Examples provided of common material formats include statements, documents, reports, physical objects, fingerprints, images, and audio or video recordings. </w:t>
      </w:r>
    </w:p>
    <w:p w14:paraId="3172289F" w14:textId="77777777" w:rsidR="00F6619C" w:rsidRDefault="00F6619C" w:rsidP="00F6619C">
      <w:r>
        <w:t xml:space="preserve">Even if they are not directly involved in the crime, computers, mobile phones, and networks are considered extensions of any crime scene and can provide a digital dimension to any criminal investigation (Casey, 2011, p.227). The acquisition of digital evidence in this investigation was essential to proving or disproving the suspect’s involvement of the laundering of criminal proceeds, namely the cryptocurrency Bitcoin. It was pivotal to the investigation to consider opportunities to capturing any material that may provide evidence.  </w:t>
      </w:r>
    </w:p>
    <w:p w14:paraId="038D292B" w14:textId="77777777" w:rsidR="00F6619C" w:rsidRDefault="00F6619C" w:rsidP="00F6619C">
      <w:r>
        <w:t>For evidence to be admissible in criminal proceedings it must be seized lawfully. I considered powers under PACE to seize material relevant to the investigation. Section 32 provides a power to search a person following their arrest for items related to any offence. The power can be extended to enter and search any property for items relating to the offence if arrested for an indicatable offence. (</w:t>
      </w:r>
      <w:r w:rsidRPr="003D76D8">
        <w:rPr>
          <w:i/>
          <w:iCs/>
        </w:rPr>
        <w:t>Police and Criminal Evidence Act 1984</w:t>
      </w:r>
      <w:r>
        <w:t xml:space="preserve">). For this power to be effective a person must be under arrest and is limited to the </w:t>
      </w:r>
      <w:r w:rsidRPr="003C6CA6">
        <w:t>person</w:t>
      </w:r>
      <w:r>
        <w:t>; with no extension</w:t>
      </w:r>
      <w:r w:rsidRPr="003C6CA6">
        <w:t xml:space="preserve"> to their property or possessions </w:t>
      </w:r>
      <w:r>
        <w:t>(Clark, 2006). Its use would restrict my ability to secure material if the suspect wasn’t present or he was arrested at a location other than his home address. In contrast Section 18(1) of PACE (</w:t>
      </w:r>
      <w:r w:rsidRPr="00367A7E">
        <w:rPr>
          <w:i/>
          <w:iCs/>
        </w:rPr>
        <w:t>Police and Criminal Evidence Act 1984</w:t>
      </w:r>
      <w:r>
        <w:t xml:space="preserve">) provides a broader scope of seizure, including a power of entry and search following the arrest of a person for an indictable offence. It allows for the search of any premises occupied or controlled by the person where an officer has reasonable grounds to suspect there that evidence of that offence or like offences may be found on the premises. However, like section 32, it relies on the arrest of a person, and the authority of a rank equivalent to an inspector. </w:t>
      </w:r>
    </w:p>
    <w:p w14:paraId="5970FC16" w14:textId="77777777" w:rsidR="00F6619C" w:rsidRDefault="00F6619C" w:rsidP="00F6619C">
      <w:r>
        <w:t xml:space="preserve">In these circumstances a warrant under section 8 of PACE (1984) provided a better solution to enter the suspect property and seize evidence. In the absence of time constraints, there was greater latitude to search and secure relevant material. We were able to gain effective entry to the property, with an element of surprise in an attempt to catch the suspect in the act of laundering cryptocurrency. By considering powers of entry and search, I was able to maximise the opportunity to secure material that could subsequently become evidence in the investigation. </w:t>
      </w:r>
    </w:p>
    <w:p w14:paraId="5E83AAF0" w14:textId="77777777" w:rsidR="00F6619C" w:rsidRDefault="00F6619C" w:rsidP="00F6619C">
      <w:r>
        <w:t xml:space="preserve">A major consideration during was the use of covert powers to monitor the transactions of the suspect on the blockchain. The suspect was actively laundering cryptocurrency he had obfuscated prior to seizure. With the added support of private technology providers like </w:t>
      </w:r>
      <w:proofErr w:type="spellStart"/>
      <w:r>
        <w:t>Chainalysis</w:t>
      </w:r>
      <w:proofErr w:type="spellEnd"/>
      <w:r>
        <w:t>, police are acquiring relevant training and tools in order to track and trace cryptocurrency transactions. These tools help law enforcement across the world de-anonymise blockchain transactions (</w:t>
      </w:r>
      <w:proofErr w:type="spellStart"/>
      <w:r>
        <w:t>Chainalysis</w:t>
      </w:r>
      <w:proofErr w:type="spellEnd"/>
      <w:r>
        <w:t xml:space="preserve">, 2022). By utilising this tool there is an argument that transactions on the blockchain are no longer anonymous, and it would likely result in the private information about a person. </w:t>
      </w:r>
    </w:p>
    <w:p w14:paraId="7C4195F2" w14:textId="77777777" w:rsidR="00F6619C" w:rsidRDefault="00F6619C" w:rsidP="00F6619C">
      <w:r>
        <w:t xml:space="preserve">Directed surveillance is defined in section 26(2) of the </w:t>
      </w:r>
      <w:r w:rsidRPr="002B268D">
        <w:rPr>
          <w:i/>
          <w:iCs/>
        </w:rPr>
        <w:t>Regulation of Investigatory Powers Act 2000</w:t>
      </w:r>
      <w:r>
        <w:t xml:space="preserve"> (RIPA) as a type of surveillance that is covert but not intrusive, carried out for the purposes of a specific investigation or operation related to the preventing or detecting of crime, and likely to result in the obtaining of private information about a person or persons. This was carefully considered with the senior investigating officer (SIO). The conclusion was that the use of the tool did not provide specific private information about an individual and only provided a gateway to identify services from which data could be acquired, under relevant legislation. Therefore, a directed surveillance authority (DSA) was not acquired in this investigation. </w:t>
      </w:r>
    </w:p>
    <w:p w14:paraId="7B22602B" w14:textId="77777777" w:rsidR="00F6619C" w:rsidRDefault="00F6619C" w:rsidP="00F6619C">
      <w:r>
        <w:t xml:space="preserve">The use of DSAs in similar investigations is likely to cause debate in the future, around their application and the admissibility of evidence acquired as a result. Legislation dictates that for evidence to be admissible in </w:t>
      </w:r>
      <w:r w:rsidRPr="000D2AAE">
        <w:t xml:space="preserve">court, it must be relevant, properly obtained, and credible. Ultimately, it is up to the judge to determine whether evidence is admissible or not </w:t>
      </w:r>
      <w:r>
        <w:t xml:space="preserve">(College of Policing, 2023). Section 76 of PACE (1984) </w:t>
      </w:r>
      <w:r w:rsidRPr="00A74CEA">
        <w:t xml:space="preserve">provides the court with </w:t>
      </w:r>
      <w:r>
        <w:t xml:space="preserve">the </w:t>
      </w:r>
      <w:r w:rsidRPr="00A74CEA">
        <w:t>discretion to exclude evidence that would otherwise be admissible against a defendant on the basis that it would be unfair to adduce it</w:t>
      </w:r>
      <w:r>
        <w:t xml:space="preserve">, </w:t>
      </w:r>
      <w:r w:rsidRPr="00690A73">
        <w:t>provid</w:t>
      </w:r>
      <w:r>
        <w:t>ing</w:t>
      </w:r>
      <w:r w:rsidRPr="00690A73">
        <w:t xml:space="preserve"> a safeguard against the use of evidence that is unfairly obtained or used in criminal proceedings</w:t>
      </w:r>
      <w:r w:rsidRPr="00A74CEA">
        <w:t xml:space="preserve">. </w:t>
      </w:r>
    </w:p>
    <w:p w14:paraId="70D04A2E" w14:textId="77777777" w:rsidR="00F6619C" w:rsidRDefault="00F6619C" w:rsidP="00F6619C">
      <w:r>
        <w:t>(Words 927)</w:t>
      </w:r>
    </w:p>
    <w:p w14:paraId="01BAAA98" w14:textId="77777777" w:rsidR="00F6619C" w:rsidRDefault="00F6619C" w:rsidP="00F6619C">
      <w:pPr>
        <w:pStyle w:val="Heading2"/>
        <w:rPr>
          <w:rFonts w:eastAsia="Arial"/>
          <w:b/>
          <w:bCs/>
        </w:rPr>
      </w:pPr>
      <w:r w:rsidRPr="00F5123B">
        <w:rPr>
          <w:rFonts w:eastAsia="Arial"/>
          <w:b/>
          <w:bCs/>
        </w:rPr>
        <w:t xml:space="preserve">Evaluate how you preprepared reports detailing the investigation and the management of case files. Examine how you have conducted disclosure with best practice procedures while creating an accurate audit trail. </w:t>
      </w:r>
    </w:p>
    <w:p w14:paraId="712F41A3" w14:textId="77777777" w:rsidR="00F6619C" w:rsidRDefault="00F6619C" w:rsidP="00F6619C"/>
    <w:p w14:paraId="3CF601CE" w14:textId="77777777" w:rsidR="00F6619C" w:rsidRDefault="00F6619C" w:rsidP="00F6619C">
      <w:r>
        <w:t>The Attorney General's Guidelines on Disclosure (Home Office, 2022) provide high-level principles that should be followed when the disclosure regime is applied throughout England and Wales. The guidelines are issued by the Attorney General for investigators, prosecutors, and defence practitioners on the application of the disclosure regime contained the codes of practice (</w:t>
      </w:r>
      <w:r w:rsidRPr="008E2E0F">
        <w:t>Ministry of Justice, 2020</w:t>
      </w:r>
      <w:r>
        <w:t xml:space="preserve">). The guidelines are intended to operate alongside the Judicial Protocol on the Disclosure of Unused Material in Criminal Cases. </w:t>
      </w:r>
    </w:p>
    <w:p w14:paraId="44B0027E" w14:textId="77777777" w:rsidR="00F6619C" w:rsidRDefault="00F6619C" w:rsidP="00F6619C">
      <w:r>
        <w:t xml:space="preserve">From the very start of the investigation, I recorded my investigative strategy, including hypothesis and subsequent lines of enquiries and their results. I also meticulously documented all material obtained during the investigation. </w:t>
      </w:r>
      <w:r w:rsidRPr="00F72C94">
        <w:t>Th</w:t>
      </w:r>
      <w:r>
        <w:t>e</w:t>
      </w:r>
      <w:r w:rsidRPr="00F72C94">
        <w:t xml:space="preserve"> obligation </w:t>
      </w:r>
      <w:r>
        <w:t>of disclosure commences from the outset of an investigation</w:t>
      </w:r>
      <w:r w:rsidRPr="00F72C94">
        <w:t xml:space="preserve">, and the police must conduct a comprehensive investigation, manage all collected material correctly, and pursue all reasonable lines of inquiry, regardless of whether they point towards or away from any suspect. </w:t>
      </w:r>
      <w:r>
        <w:t xml:space="preserve">(CPS, 2022). </w:t>
      </w:r>
    </w:p>
    <w:p w14:paraId="2F5C80A1" w14:textId="77777777" w:rsidR="00F6619C" w:rsidRDefault="00F6619C" w:rsidP="00F6619C">
      <w:r>
        <w:t xml:space="preserve">During the investigation suspects may offer a defence to an allegation. This can be in the form of a defence case statement is submitted to the prosecution in Crown Court cases and in some Magistrates’ Court cases, which sets out the defence to the allegations and can point the prosecution to other lines of enquiry (CPS, 2022). In this case the suspect claimed he was cryptocurrency trader. Documenting all of my enquires and the results enabled me to be able to review all of my investigation actions and material gathered during the course of the investigation. From this I could prove or disprove the defence, identify any further lines of enquiry, and ascertain if there was any material that undermined the prosecution case or supported the defence. Proper disclosure is vital for a fair trial, but the criminal justice system has “struggled to get it right.” (Guardian, 2021). </w:t>
      </w:r>
    </w:p>
    <w:p w14:paraId="0ABF66B3" w14:textId="77777777" w:rsidR="00F6619C" w:rsidRDefault="00F6619C" w:rsidP="00F6619C">
      <w:r>
        <w:t xml:space="preserve">The Crown Prosecution Service (CPS) has launched a National Disclosure Improvement Plan with the National Police Chiefs' Council (NPCC) to address issues of disclosure in criminal investigations. The plan focusses on capacity, capability, leadership, partnership, and governance (CPS, 2018). Capacity was a key issue of disclosure during this investigation. There was a substantial volume of digital evidence, in various formats or a varying degree of technicality. To overcome this, legislation allowed me to appoint a disclosure officer to manage the volume of digital data in the investigation (CPS, 2021). </w:t>
      </w:r>
    </w:p>
    <w:p w14:paraId="6BD39C12" w14:textId="77777777" w:rsidR="00F6619C" w:rsidRDefault="00F6619C" w:rsidP="00F6619C">
      <w:r>
        <w:t xml:space="preserve">I created multiple technical reports, documenting evidence of key cryptocurrency transactions. This type of evidence is very much in its infancy in the Criminal Justice System. Therefore, despite seeking expert support from the NCA Major Crime Investigative Support (NCA, 2017), I was unable to find an expert to instruct in the case. However, with sufficient knowledge and experience in a field, it is possible to be considered an expert (Immigration Enforcement, 2020, p.15). Part 19 of the Criminal Procedures Rule (2020) outlines the duty and obligations of an expert witness to the court including what must be include with any report produced. </w:t>
      </w:r>
    </w:p>
    <w:p w14:paraId="30173D79" w14:textId="77777777" w:rsidR="00F6619C" w:rsidRDefault="00F6619C" w:rsidP="00F6619C">
      <w:r>
        <w:t>(Words 490)</w:t>
      </w:r>
    </w:p>
    <w:p w14:paraId="069E2A32" w14:textId="77777777" w:rsidR="00F6619C" w:rsidRDefault="00F6619C" w:rsidP="00F6619C">
      <w:r>
        <w:t>(Total Words 2200)</w:t>
      </w:r>
    </w:p>
    <w:p w14:paraId="7CC56E77" w14:textId="77777777" w:rsidR="00F6619C" w:rsidRPr="00303121" w:rsidRDefault="00F6619C" w:rsidP="00F6619C">
      <w:pPr>
        <w:pStyle w:val="Heading2"/>
        <w:rPr>
          <w:b/>
          <w:bCs/>
        </w:rPr>
      </w:pPr>
      <w:r w:rsidRPr="00303121">
        <w:rPr>
          <w:b/>
          <w:bCs/>
        </w:rPr>
        <w:t>References</w:t>
      </w:r>
    </w:p>
    <w:p w14:paraId="3D2BD52D" w14:textId="77777777" w:rsidR="00F6619C" w:rsidRPr="00F5123B" w:rsidRDefault="00F6619C" w:rsidP="00F6619C"/>
    <w:p w14:paraId="559DE242" w14:textId="77777777" w:rsidR="00F6619C" w:rsidRDefault="00F6619C" w:rsidP="00F6619C">
      <w:r w:rsidRPr="004E5647">
        <w:t>Casey</w:t>
      </w:r>
      <w:r>
        <w:t>, E.</w:t>
      </w:r>
      <w:r w:rsidRPr="004E5647">
        <w:t xml:space="preserve"> (2011) </w:t>
      </w:r>
      <w:r w:rsidRPr="0069122D">
        <w:rPr>
          <w:i/>
          <w:iCs/>
        </w:rPr>
        <w:t xml:space="preserve">Digital Evidence and Computer Crime: Forensic Science, Computers, and the Internet. </w:t>
      </w:r>
      <w:r w:rsidRPr="004E5647">
        <w:t xml:space="preserve">Amsterdam: Academic Press. Available at: </w:t>
      </w:r>
      <w:hyperlink r:id="rId103" w:history="1">
        <w:r w:rsidRPr="00D21A40">
          <w:rPr>
            <w:rStyle w:val="Hyperlink"/>
          </w:rPr>
          <w:t>https://search-ebscohost-com.ezproxy.uwtsd.ac.uk/login.aspx?direct=true&amp;db=nlebk&amp;AN=364520&amp;site=ehost-live</w:t>
        </w:r>
      </w:hyperlink>
      <w:r>
        <w:t xml:space="preserve"> </w:t>
      </w:r>
      <w:r w:rsidRPr="004E5647">
        <w:t>(Accessed: 8 May 2023)</w:t>
      </w:r>
    </w:p>
    <w:p w14:paraId="24FDDFAF" w14:textId="77777777" w:rsidR="00F6619C" w:rsidRDefault="00F6619C" w:rsidP="00F6619C">
      <w:proofErr w:type="spellStart"/>
      <w:r>
        <w:t>Chainalysis</w:t>
      </w:r>
      <w:proofErr w:type="spellEnd"/>
      <w:r>
        <w:t xml:space="preserve"> (2022), </w:t>
      </w:r>
      <w:proofErr w:type="spellStart"/>
      <w:r w:rsidRPr="0069122D">
        <w:rPr>
          <w:i/>
          <w:iCs/>
        </w:rPr>
        <w:t>Chainalysis</w:t>
      </w:r>
      <w:proofErr w:type="spellEnd"/>
      <w:r w:rsidRPr="0069122D">
        <w:rPr>
          <w:i/>
          <w:iCs/>
        </w:rPr>
        <w:t xml:space="preserve"> </w:t>
      </w:r>
      <w:proofErr w:type="gramStart"/>
      <w:r w:rsidRPr="0069122D">
        <w:rPr>
          <w:i/>
          <w:iCs/>
        </w:rPr>
        <w:t>In</w:t>
      </w:r>
      <w:proofErr w:type="gramEnd"/>
      <w:r w:rsidRPr="0069122D">
        <w:rPr>
          <w:i/>
          <w:iCs/>
        </w:rPr>
        <w:t xml:space="preserve"> Action: How FBI Investigators Traced </w:t>
      </w:r>
      <w:proofErr w:type="spellStart"/>
      <w:r w:rsidRPr="0069122D">
        <w:rPr>
          <w:i/>
          <w:iCs/>
        </w:rPr>
        <w:t>DarkSide’s</w:t>
      </w:r>
      <w:proofErr w:type="spellEnd"/>
      <w:r w:rsidRPr="0069122D">
        <w:rPr>
          <w:i/>
          <w:iCs/>
        </w:rPr>
        <w:t xml:space="preserve"> Funds Following the Colonial Pipeline Ransomware Attack. </w:t>
      </w:r>
      <w:r>
        <w:t xml:space="preserve">Available at: </w:t>
      </w:r>
      <w:hyperlink r:id="rId104" w:history="1">
        <w:r w:rsidRPr="002E72AA">
          <w:rPr>
            <w:rStyle w:val="Hyperlink"/>
          </w:rPr>
          <w:t>https://blog.chainalysis.com/reports/darkside-colonial-pipeline-ransomware-seizure-case-study/</w:t>
        </w:r>
      </w:hyperlink>
      <w:r>
        <w:t xml:space="preserve"> (Accessed: 01 May 2023)</w:t>
      </w:r>
    </w:p>
    <w:p w14:paraId="3A7B1105" w14:textId="77777777" w:rsidR="00F6619C" w:rsidRDefault="00F6619C" w:rsidP="00F6619C">
      <w:r>
        <w:t xml:space="preserve">College of Policing (2013) </w:t>
      </w:r>
      <w:r w:rsidRPr="0069122D">
        <w:rPr>
          <w:i/>
          <w:iCs/>
        </w:rPr>
        <w:t>Investigation Process.</w:t>
      </w:r>
      <w:r w:rsidRPr="007F395A">
        <w:t xml:space="preserve"> </w:t>
      </w:r>
      <w:r>
        <w:t xml:space="preserve">Available at: </w:t>
      </w:r>
      <w:hyperlink r:id="rId105" w:anchor="material" w:history="1">
        <w:r w:rsidRPr="00D21A40">
          <w:rPr>
            <w:rStyle w:val="Hyperlink"/>
          </w:rPr>
          <w:t>https://www.college.police.uk/app/investigation/investigation-process#material</w:t>
        </w:r>
      </w:hyperlink>
      <w:r>
        <w:t xml:space="preserve"> (Accessed: 01 May 2023)</w:t>
      </w:r>
    </w:p>
    <w:p w14:paraId="1E48BB7E" w14:textId="77777777" w:rsidR="00F6619C" w:rsidRDefault="00F6619C" w:rsidP="00F6619C">
      <w:r>
        <w:t xml:space="preserve">College of Policing (2017) </w:t>
      </w:r>
      <w:r w:rsidRPr="0069122D">
        <w:rPr>
          <w:i/>
          <w:iCs/>
        </w:rPr>
        <w:t xml:space="preserve">Resources for reflective practice. </w:t>
      </w:r>
      <w:r>
        <w:t xml:space="preserve">Available at: </w:t>
      </w:r>
      <w:hyperlink r:id="rId106" w:history="1">
        <w:r w:rsidRPr="00547F00">
          <w:rPr>
            <w:rStyle w:val="Hyperlink"/>
          </w:rPr>
          <w:t>https://assets.college.police.uk/s3fs-public/2020-11/Resources_for_reflective_practice_v1_0.pdf</w:t>
        </w:r>
      </w:hyperlink>
      <w:r>
        <w:t xml:space="preserve"> (Accessed: 25 April 2023).</w:t>
      </w:r>
    </w:p>
    <w:p w14:paraId="674D9FF8" w14:textId="77777777" w:rsidR="00F6619C" w:rsidRDefault="00F6619C" w:rsidP="00F6619C">
      <w:r>
        <w:t xml:space="preserve">College of Policing (2020) </w:t>
      </w:r>
      <w:r w:rsidRPr="0069122D">
        <w:rPr>
          <w:i/>
          <w:iCs/>
        </w:rPr>
        <w:t>Analytical Techniques</w:t>
      </w:r>
      <w:r>
        <w:t xml:space="preserve">. Available at: </w:t>
      </w:r>
      <w:hyperlink r:id="rId107" w:anchor="hypothesis-generation" w:history="1">
        <w:r w:rsidRPr="002E72AA">
          <w:rPr>
            <w:rStyle w:val="Hyperlink"/>
          </w:rPr>
          <w:t>https://www.college.police.uk/app/intelligence-management/analysis/analytical-techniques#hypothesis-generation</w:t>
        </w:r>
      </w:hyperlink>
      <w:r>
        <w:t xml:space="preserve"> (Accessed: 30 April 2023)</w:t>
      </w:r>
    </w:p>
    <w:p w14:paraId="27FEED13" w14:textId="77777777" w:rsidR="00F6619C" w:rsidRDefault="00F6619C" w:rsidP="00F6619C">
      <w:r>
        <w:t xml:space="preserve">College of Policing (2022) </w:t>
      </w:r>
      <w:r w:rsidRPr="0069122D">
        <w:rPr>
          <w:i/>
          <w:iCs/>
        </w:rPr>
        <w:t>Passive Data Generators.</w:t>
      </w:r>
      <w:r>
        <w:t xml:space="preserve"> Available at: </w:t>
      </w:r>
      <w:hyperlink r:id="rId108" w:anchor="setting-objectives" w:history="1">
        <w:r w:rsidRPr="002E72AA">
          <w:rPr>
            <w:rStyle w:val="Hyperlink"/>
          </w:rPr>
          <w:t>https://www.college.police.uk/app/investigation/investigative-strategies/passive-data-generators#setting-objectives</w:t>
        </w:r>
      </w:hyperlink>
      <w:r>
        <w:t xml:space="preserve"> (Accessed: 29 April 2023)</w:t>
      </w:r>
    </w:p>
    <w:p w14:paraId="79D9AEAA" w14:textId="77777777" w:rsidR="00F6619C" w:rsidRDefault="00F6619C" w:rsidP="00F6619C">
      <w:r>
        <w:t xml:space="preserve">College of Policing (2023) </w:t>
      </w:r>
      <w:r w:rsidRPr="0069122D">
        <w:rPr>
          <w:i/>
          <w:iCs/>
        </w:rPr>
        <w:t>Investigation Introduction</w:t>
      </w:r>
      <w:r>
        <w:t xml:space="preserve">. Available at: </w:t>
      </w:r>
      <w:hyperlink r:id="rId109" w:anchor="evidence" w:history="1">
        <w:r w:rsidRPr="002E72AA">
          <w:rPr>
            <w:rStyle w:val="Hyperlink"/>
          </w:rPr>
          <w:t>https://www.college.police.uk/app/investigation/investigation-introduction#evidence</w:t>
        </w:r>
      </w:hyperlink>
      <w:r>
        <w:t xml:space="preserve"> (Accessed: 06 May 2023)</w:t>
      </w:r>
    </w:p>
    <w:p w14:paraId="2F0EBBE0" w14:textId="77777777" w:rsidR="00F6619C" w:rsidRDefault="00F6619C" w:rsidP="00F6619C">
      <w:r w:rsidRPr="0069122D">
        <w:rPr>
          <w:i/>
          <w:iCs/>
        </w:rPr>
        <w:t>Criminal Procedure and Investigations Act 1996, c.25.</w:t>
      </w:r>
      <w:r>
        <w:t xml:space="preserve"> Available at: </w:t>
      </w:r>
      <w:hyperlink r:id="rId110" w:history="1">
        <w:r w:rsidRPr="00D21A40">
          <w:rPr>
            <w:rStyle w:val="Hyperlink"/>
          </w:rPr>
          <w:t>https://www.legislation.gov.uk/ukpga/1996/25/contents</w:t>
        </w:r>
      </w:hyperlink>
      <w:r>
        <w:t xml:space="preserve"> (Accessed: 01 May 2023)</w:t>
      </w:r>
    </w:p>
    <w:p w14:paraId="634A4DA0" w14:textId="77777777" w:rsidR="00F6619C" w:rsidRDefault="00F6619C" w:rsidP="00F6619C">
      <w:r w:rsidRPr="00C647AC">
        <w:rPr>
          <w:i/>
          <w:iCs/>
        </w:rPr>
        <w:t>Criminal Procedure Rules 2020</w:t>
      </w:r>
      <w:r>
        <w:t xml:space="preserve">, (SI 2020/759). Available at: </w:t>
      </w:r>
      <w:hyperlink r:id="rId111" w:history="1">
        <w:r w:rsidRPr="002E72AA">
          <w:rPr>
            <w:rStyle w:val="Hyperlink"/>
          </w:rPr>
          <w:t>https://www.legislation.gov.uk/uksi/2020/759/part/19</w:t>
        </w:r>
      </w:hyperlink>
      <w:r>
        <w:t xml:space="preserve"> (Accessed: 14 May 2023)</w:t>
      </w:r>
    </w:p>
    <w:p w14:paraId="3490D761" w14:textId="77777777" w:rsidR="00F6619C" w:rsidRDefault="00F6619C" w:rsidP="00F6619C">
      <w:r>
        <w:t xml:space="preserve">Crown Prosecution Service (2018) </w:t>
      </w:r>
      <w:r w:rsidRPr="0069122D">
        <w:rPr>
          <w:i/>
          <w:iCs/>
        </w:rPr>
        <w:t>National Disclosure Improvement Plan</w:t>
      </w:r>
      <w:r>
        <w:t>. Available at:</w:t>
      </w:r>
      <w:r w:rsidRPr="00582590">
        <w:t xml:space="preserve"> </w:t>
      </w:r>
      <w:hyperlink r:id="rId112" w:history="1">
        <w:r w:rsidRPr="00D21A40">
          <w:rPr>
            <w:rStyle w:val="Hyperlink"/>
          </w:rPr>
          <w:t>https://www.cps.gov.uk/sites/default/files/documents/publications/National-Disclosure-Improvement-Plan-May-2018.pdf</w:t>
        </w:r>
      </w:hyperlink>
      <w:r>
        <w:t xml:space="preserve"> </w:t>
      </w:r>
      <w:r w:rsidRPr="004E5647">
        <w:t>(Accessed: 8 May 2023)</w:t>
      </w:r>
    </w:p>
    <w:p w14:paraId="33A37F6D" w14:textId="77777777" w:rsidR="00F6619C" w:rsidRDefault="00F6619C" w:rsidP="00F6619C">
      <w:r>
        <w:t xml:space="preserve">Crown Prosecution Service (2021) </w:t>
      </w:r>
      <w:r w:rsidRPr="0069122D">
        <w:rPr>
          <w:i/>
          <w:iCs/>
        </w:rPr>
        <w:t xml:space="preserve">Disclosure Manual: Chapter 3 - Roles and Responsibilities. </w:t>
      </w:r>
      <w:r>
        <w:t xml:space="preserve">Available at: </w:t>
      </w:r>
      <w:hyperlink r:id="rId113" w:history="1">
        <w:r w:rsidRPr="002E72AA">
          <w:rPr>
            <w:rStyle w:val="Hyperlink"/>
          </w:rPr>
          <w:t>https://www.cps.gov.uk/legal-guidance/disclosure-manual-chapter-3-roles-and-responsibilities</w:t>
        </w:r>
      </w:hyperlink>
      <w:r>
        <w:t xml:space="preserve"> (Accessed: 03 May 2023)</w:t>
      </w:r>
    </w:p>
    <w:p w14:paraId="225C549D" w14:textId="77777777" w:rsidR="00F6619C" w:rsidRDefault="00F6619C" w:rsidP="00F6619C">
      <w:r>
        <w:t xml:space="preserve">Crown Prosecution Service (2022) </w:t>
      </w:r>
      <w:r w:rsidRPr="0069122D">
        <w:rPr>
          <w:i/>
          <w:iCs/>
        </w:rPr>
        <w:t>Disclosure</w:t>
      </w:r>
      <w:r>
        <w:t xml:space="preserve">. Available at: </w:t>
      </w:r>
      <w:hyperlink r:id="rId114" w:history="1">
        <w:r w:rsidRPr="00D21A40">
          <w:rPr>
            <w:rStyle w:val="Hyperlink"/>
          </w:rPr>
          <w:t>https://www.cps.gov.uk/about-cps/disclosure</w:t>
        </w:r>
      </w:hyperlink>
      <w:r>
        <w:t xml:space="preserve"> </w:t>
      </w:r>
      <w:r w:rsidRPr="004E5647">
        <w:t>(Accessed: 8 May 2023)</w:t>
      </w:r>
    </w:p>
    <w:p w14:paraId="4B26C09C" w14:textId="77777777" w:rsidR="00F6619C" w:rsidRDefault="00F6619C" w:rsidP="00F6619C">
      <w:proofErr w:type="spellStart"/>
      <w:r>
        <w:t>Fröwis</w:t>
      </w:r>
      <w:proofErr w:type="spellEnd"/>
      <w:r>
        <w:t>, M. et al (2022) ‘</w:t>
      </w:r>
      <w:r w:rsidRPr="000F4C91">
        <w:rPr>
          <w:i/>
          <w:iCs/>
        </w:rPr>
        <w:t>Safeguarding the evidential value of forensic cryptocurrency investigations</w:t>
      </w:r>
      <w:r>
        <w:rPr>
          <w:i/>
          <w:iCs/>
        </w:rPr>
        <w:t>’</w:t>
      </w:r>
      <w:r w:rsidRPr="000F4C91">
        <w:rPr>
          <w:i/>
          <w:iCs/>
        </w:rPr>
        <w:t>, Forensic Science International: Digital Investigation</w:t>
      </w:r>
      <w:r>
        <w:t xml:space="preserve">, 33. Available at: </w:t>
      </w:r>
      <w:hyperlink r:id="rId115" w:history="1">
        <w:r w:rsidRPr="002E72AA">
          <w:rPr>
            <w:rStyle w:val="Hyperlink"/>
          </w:rPr>
          <w:t>https://doi.org/10.1016/j.fsidi.2019.200902</w:t>
        </w:r>
      </w:hyperlink>
      <w:r>
        <w:t xml:space="preserve"> (Accessed: 23 April 2023)</w:t>
      </w:r>
    </w:p>
    <w:p w14:paraId="28B7F5A4" w14:textId="77777777" w:rsidR="00F6619C" w:rsidRDefault="00F6619C" w:rsidP="00F6619C">
      <w:r w:rsidRPr="003D6FE3">
        <w:t>Gibbs, G.</w:t>
      </w:r>
      <w:r>
        <w:t xml:space="preserve"> (</w:t>
      </w:r>
      <w:r w:rsidRPr="003D6FE3">
        <w:t>1988</w:t>
      </w:r>
      <w:r>
        <w:t>)</w:t>
      </w:r>
      <w:r w:rsidRPr="003D6FE3">
        <w:t xml:space="preserve"> Learning by doing: A guide to teaching and learning methods. </w:t>
      </w:r>
      <w:r>
        <w:t xml:space="preserve">London: </w:t>
      </w:r>
      <w:r w:rsidRPr="003D6FE3">
        <w:t>Further Education Unit.</w:t>
      </w:r>
    </w:p>
    <w:p w14:paraId="34576DAB" w14:textId="77777777" w:rsidR="00F6619C" w:rsidRDefault="00F6619C" w:rsidP="00F6619C">
      <w:r>
        <w:t xml:space="preserve">Home Office (2022) </w:t>
      </w:r>
      <w:r w:rsidRPr="0069122D">
        <w:rPr>
          <w:i/>
          <w:iCs/>
        </w:rPr>
        <w:t>Attorney General’s Guidelines on Disclosure.</w:t>
      </w:r>
      <w:r>
        <w:t xml:space="preserve"> Available at: </w:t>
      </w:r>
      <w:hyperlink r:id="rId116" w:history="1">
        <w:r w:rsidRPr="00D21A40">
          <w:rPr>
            <w:rStyle w:val="Hyperlink"/>
          </w:rPr>
          <w:t>https://www.gov.uk/government/publications/attorney-generals-guidelines-on-disclosure</w:t>
        </w:r>
      </w:hyperlink>
      <w:r>
        <w:t xml:space="preserve"> </w:t>
      </w:r>
      <w:r w:rsidRPr="004E5647">
        <w:t>(Accessed: 8 May 2023)</w:t>
      </w:r>
    </w:p>
    <w:p w14:paraId="191711D7" w14:textId="77777777" w:rsidR="00F6619C" w:rsidRDefault="00F6619C" w:rsidP="00F6619C">
      <w:r>
        <w:t xml:space="preserve">Houses of Parliament (2015) </w:t>
      </w:r>
      <w:r w:rsidRPr="0069122D">
        <w:rPr>
          <w:i/>
          <w:iCs/>
        </w:rPr>
        <w:t xml:space="preserve">Unintentional Bias in Forensic Investigation. </w:t>
      </w:r>
      <w:r w:rsidRPr="000A28B5">
        <w:t xml:space="preserve">Available at: </w:t>
      </w:r>
      <w:hyperlink r:id="rId117" w:history="1">
        <w:r w:rsidRPr="002E72AA">
          <w:rPr>
            <w:rStyle w:val="Hyperlink"/>
          </w:rPr>
          <w:t>https://researchbriefings.files.parliament.uk/documents/POST-PB-0015/POST-PB-0015.pdf</w:t>
        </w:r>
      </w:hyperlink>
      <w:r>
        <w:t xml:space="preserve"> (Accessed: 03 May 2023)</w:t>
      </w:r>
    </w:p>
    <w:p w14:paraId="25141AFB" w14:textId="77777777" w:rsidR="00F6619C" w:rsidRDefault="00F6619C" w:rsidP="00F6619C">
      <w:r>
        <w:t xml:space="preserve">Immigration Enforcement (2020) Evidence in Criminal Investigations. Available at: </w:t>
      </w:r>
      <w:hyperlink r:id="rId118" w:history="1">
        <w:r w:rsidRPr="002E72AA">
          <w:rPr>
            <w:rStyle w:val="Hyperlink"/>
          </w:rPr>
          <w:t>https://assets.publishing.service.gov.uk/government/uploads/system/uploads/attachment_data/file/919630/evidence-in-criminal-investigations-v5.0.pdf</w:t>
        </w:r>
      </w:hyperlink>
      <w:r>
        <w:t xml:space="preserve"> (Accessed: 09 May 2023)</w:t>
      </w:r>
    </w:p>
    <w:p w14:paraId="0F5BD9AA" w14:textId="77777777" w:rsidR="00F6619C" w:rsidRDefault="00F6619C" w:rsidP="00F6619C">
      <w:r w:rsidRPr="008E2E0F">
        <w:t>Ministry of Justice (2020)</w:t>
      </w:r>
      <w:r w:rsidRPr="0069122D">
        <w:rPr>
          <w:i/>
          <w:iCs/>
        </w:rPr>
        <w:t xml:space="preserve"> Criminal Procedure and Investigations Act 1996 (section 23(1)) Code of Practice.</w:t>
      </w:r>
      <w:r>
        <w:t xml:space="preserve"> Available at: </w:t>
      </w:r>
      <w:hyperlink r:id="rId119" w:history="1">
        <w:r w:rsidRPr="00D21A40">
          <w:rPr>
            <w:rStyle w:val="Hyperlink"/>
          </w:rPr>
          <w:t>https://www.gov.uk/government/publications/criminal-procedure-and-investigations-act-1996-section-231-code-of-practice</w:t>
        </w:r>
      </w:hyperlink>
      <w:r>
        <w:t xml:space="preserve"> </w:t>
      </w:r>
      <w:r w:rsidRPr="004E5647">
        <w:t>(Accessed: 8 May 2023)</w:t>
      </w:r>
    </w:p>
    <w:p w14:paraId="51BA175D" w14:textId="77777777" w:rsidR="00F6619C" w:rsidRDefault="00F6619C" w:rsidP="00F6619C">
      <w:r>
        <w:t xml:space="preserve">National Crime Agency (2017) </w:t>
      </w:r>
      <w:r w:rsidRPr="0069122D">
        <w:rPr>
          <w:i/>
          <w:iCs/>
        </w:rPr>
        <w:t>Major crime investigative support</w:t>
      </w:r>
      <w:r>
        <w:t xml:space="preserve">. Available at: </w:t>
      </w:r>
      <w:hyperlink r:id="rId120" w:history="1">
        <w:r w:rsidRPr="002E72AA">
          <w:rPr>
            <w:rStyle w:val="Hyperlink"/>
          </w:rPr>
          <w:t>https://nationalcrimeagency.gov.uk/index.php?option=com_content&amp;view=article&amp;id=128&amp;catid=85&amp;Itemid=475</w:t>
        </w:r>
      </w:hyperlink>
      <w:r>
        <w:t xml:space="preserve"> (Accessed: 14 May 2023)</w:t>
      </w:r>
    </w:p>
    <w:p w14:paraId="6B1F24FF" w14:textId="77777777" w:rsidR="00F6619C" w:rsidRDefault="00F6619C" w:rsidP="00F6619C">
      <w:r w:rsidRPr="00622C6B">
        <w:t xml:space="preserve">O’Neill, M. (2018) </w:t>
      </w:r>
      <w:r w:rsidRPr="0069122D">
        <w:rPr>
          <w:i/>
          <w:iCs/>
        </w:rPr>
        <w:t>Key challenges in criminal investigation</w:t>
      </w:r>
      <w:r w:rsidRPr="00622C6B">
        <w:t>. Bristol: Policy Press</w:t>
      </w:r>
      <w:r>
        <w:t xml:space="preserve">. </w:t>
      </w:r>
    </w:p>
    <w:p w14:paraId="24DB3F27" w14:textId="77777777" w:rsidR="00F6619C" w:rsidRDefault="00F6619C" w:rsidP="00F6619C">
      <w:r w:rsidRPr="0069122D">
        <w:rPr>
          <w:i/>
          <w:iCs/>
        </w:rPr>
        <w:t>Police and Criminal Evidence Act 1984, c.</w:t>
      </w:r>
      <w:r>
        <w:t xml:space="preserve">60, </w:t>
      </w:r>
      <w:r w:rsidRPr="0069122D">
        <w:rPr>
          <w:i/>
          <w:iCs/>
        </w:rPr>
        <w:t xml:space="preserve">s.18. </w:t>
      </w:r>
      <w:r>
        <w:t xml:space="preserve">Available at: </w:t>
      </w:r>
      <w:hyperlink r:id="rId121" w:history="1">
        <w:r w:rsidRPr="00D21A40">
          <w:rPr>
            <w:rStyle w:val="Hyperlink"/>
          </w:rPr>
          <w:t>https://www.legislation.gov.uk/ukpga/1984/60/section/18</w:t>
        </w:r>
      </w:hyperlink>
      <w:r>
        <w:t xml:space="preserve"> (Accessed: 01 May 2023)</w:t>
      </w:r>
    </w:p>
    <w:p w14:paraId="0A128008" w14:textId="77777777" w:rsidR="00F6619C" w:rsidRDefault="00F6619C" w:rsidP="00F6619C">
      <w:r w:rsidRPr="0069122D">
        <w:rPr>
          <w:i/>
          <w:iCs/>
        </w:rPr>
        <w:t>Police and Criminal Evidence Act 1984, c.</w:t>
      </w:r>
      <w:r>
        <w:t xml:space="preserve">60, </w:t>
      </w:r>
      <w:r w:rsidRPr="0069122D">
        <w:rPr>
          <w:i/>
          <w:iCs/>
        </w:rPr>
        <w:t xml:space="preserve">s.32. </w:t>
      </w:r>
      <w:r>
        <w:t>Available at:</w:t>
      </w:r>
      <w:r w:rsidRPr="000A0DF4">
        <w:t xml:space="preserve"> </w:t>
      </w:r>
      <w:hyperlink r:id="rId122" w:history="1">
        <w:r w:rsidRPr="00D21A40">
          <w:rPr>
            <w:rStyle w:val="Hyperlink"/>
          </w:rPr>
          <w:t>https://www.legislation.gov.uk/ukpga/1984/60/section/32</w:t>
        </w:r>
      </w:hyperlink>
      <w:r>
        <w:t xml:space="preserve"> (Accessed: 01 May 2023)</w:t>
      </w:r>
    </w:p>
    <w:p w14:paraId="02C6639D" w14:textId="77777777" w:rsidR="00F6619C" w:rsidRDefault="00F6619C" w:rsidP="00F6619C">
      <w:r w:rsidRPr="0069122D">
        <w:rPr>
          <w:i/>
          <w:iCs/>
        </w:rPr>
        <w:t>Police and Criminal Evidence Act 1984, c.60, s.78.</w:t>
      </w:r>
      <w:r>
        <w:t xml:space="preserve"> Available at: </w:t>
      </w:r>
      <w:hyperlink r:id="rId123" w:history="1">
        <w:r w:rsidRPr="002E72AA">
          <w:rPr>
            <w:rStyle w:val="Hyperlink"/>
          </w:rPr>
          <w:t>https://www.legislation.gov.uk/ukpga/1984/60/section/78</w:t>
        </w:r>
      </w:hyperlink>
      <w:r>
        <w:t xml:space="preserve"> (Accessed: 03 May 2023)</w:t>
      </w:r>
    </w:p>
    <w:p w14:paraId="0FE83410" w14:textId="77777777" w:rsidR="00F6619C" w:rsidRPr="0016357F" w:rsidRDefault="00F6619C" w:rsidP="00F6619C">
      <w:r w:rsidRPr="0069122D">
        <w:rPr>
          <w:i/>
          <w:iCs/>
        </w:rPr>
        <w:t xml:space="preserve">Police and Criminal Evidence Act 1984, c.60, s.8. </w:t>
      </w:r>
      <w:r>
        <w:t xml:space="preserve">Available at: </w:t>
      </w:r>
      <w:hyperlink r:id="rId124" w:history="1">
        <w:r w:rsidRPr="00D21A40">
          <w:rPr>
            <w:rStyle w:val="Hyperlink"/>
          </w:rPr>
          <w:t>https://www.legislation.gov.uk/ukpga/1984/60/section/8</w:t>
        </w:r>
      </w:hyperlink>
      <w:r>
        <w:t xml:space="preserve"> (Accessed: 01 May 2023)</w:t>
      </w:r>
    </w:p>
    <w:p w14:paraId="5A21FBDE" w14:textId="77777777" w:rsidR="00F6619C" w:rsidRDefault="00F6619C" w:rsidP="00F6619C">
      <w:r w:rsidRPr="00BD59F0">
        <w:rPr>
          <w:i/>
          <w:iCs/>
        </w:rPr>
        <w:t>Proceeds of Crime Act 2002,</w:t>
      </w:r>
      <w:r>
        <w:rPr>
          <w:i/>
          <w:iCs/>
        </w:rPr>
        <w:t xml:space="preserve"> c.29,</w:t>
      </w:r>
      <w:r w:rsidRPr="00BD59F0">
        <w:rPr>
          <w:i/>
          <w:iCs/>
        </w:rPr>
        <w:t xml:space="preserve"> </w:t>
      </w:r>
      <w:r>
        <w:rPr>
          <w:i/>
          <w:iCs/>
        </w:rPr>
        <w:t>s</w:t>
      </w:r>
      <w:r w:rsidRPr="00BD59F0">
        <w:rPr>
          <w:i/>
          <w:iCs/>
        </w:rPr>
        <w:t>.327</w:t>
      </w:r>
      <w:r>
        <w:rPr>
          <w:i/>
          <w:iCs/>
        </w:rPr>
        <w:t xml:space="preserve">. </w:t>
      </w:r>
      <w:r w:rsidRPr="007813CD">
        <w:t xml:space="preserve">Available at: </w:t>
      </w:r>
      <w:hyperlink r:id="rId125" w:history="1">
        <w:r w:rsidRPr="007813CD">
          <w:rPr>
            <w:rStyle w:val="Hyperlink"/>
          </w:rPr>
          <w:t>https://www.legislation.gov.uk/ukpga/2002/29/contents</w:t>
        </w:r>
      </w:hyperlink>
      <w:r w:rsidRPr="007813CD">
        <w:t xml:space="preserve"> </w:t>
      </w:r>
      <w:r>
        <w:t>(Accessed: 25 April 2023)</w:t>
      </w:r>
    </w:p>
    <w:p w14:paraId="64C84B03" w14:textId="77777777" w:rsidR="00F6619C" w:rsidRDefault="00F6619C" w:rsidP="00F6619C">
      <w:r w:rsidRPr="00835F95">
        <w:t>Stainton,</w:t>
      </w:r>
      <w:r>
        <w:t xml:space="preserve"> I.</w:t>
      </w:r>
      <w:r w:rsidRPr="00835F95">
        <w:t xml:space="preserve"> </w:t>
      </w:r>
      <w:r>
        <w:t>et al</w:t>
      </w:r>
      <w:r w:rsidRPr="00835F95">
        <w:t xml:space="preserve"> </w:t>
      </w:r>
      <w:r>
        <w:t>(</w:t>
      </w:r>
      <w:r w:rsidRPr="00835F95">
        <w:t>2022</w:t>
      </w:r>
      <w:r>
        <w:t>)</w:t>
      </w:r>
      <w:r w:rsidRPr="00835F95">
        <w:t xml:space="preserve"> </w:t>
      </w:r>
      <w:r w:rsidRPr="0069122D">
        <w:rPr>
          <w:i/>
          <w:iCs/>
        </w:rPr>
        <w:t>Criminal Investigation, Professional Policing Curriculum in Practice</w:t>
      </w:r>
      <w:r w:rsidRPr="00835F95">
        <w:t>, Critical Publishing, St Albans</w:t>
      </w:r>
      <w:r>
        <w:t xml:space="preserve">. Available at: </w:t>
      </w:r>
      <w:hyperlink r:id="rId126" w:history="1">
        <w:r w:rsidRPr="00547F00">
          <w:rPr>
            <w:rStyle w:val="Hyperlink"/>
          </w:rPr>
          <w:t>https://search-ebscohost-com.ezproxy.uwtsd.ac.uk/login.aspx?direct=true&amp;db=nlebk&amp;AN=3273308&amp;site=ehost-live</w:t>
        </w:r>
      </w:hyperlink>
      <w:r>
        <w:t xml:space="preserve"> (Accessed: 28 April 2023)</w:t>
      </w:r>
    </w:p>
    <w:p w14:paraId="72F2AA59" w14:textId="77777777" w:rsidR="00F6619C" w:rsidRDefault="00F6619C" w:rsidP="00F6619C">
      <w:r>
        <w:t xml:space="preserve">The Guardian (2021) </w:t>
      </w:r>
      <w:r w:rsidRPr="0069122D">
        <w:rPr>
          <w:i/>
          <w:iCs/>
        </w:rPr>
        <w:t xml:space="preserve">Courts ‘are close to collapse over police disclosure </w:t>
      </w:r>
      <w:proofErr w:type="gramStart"/>
      <w:r w:rsidRPr="0069122D">
        <w:rPr>
          <w:i/>
          <w:iCs/>
        </w:rPr>
        <w:t>failures’</w:t>
      </w:r>
      <w:proofErr w:type="gramEnd"/>
      <w:r w:rsidRPr="0069122D">
        <w:rPr>
          <w:i/>
          <w:iCs/>
        </w:rPr>
        <w:t xml:space="preserve">. </w:t>
      </w:r>
      <w:r>
        <w:t xml:space="preserve">Available at: </w:t>
      </w:r>
      <w:hyperlink r:id="rId127" w:history="1">
        <w:r w:rsidRPr="00D21A40">
          <w:rPr>
            <w:rStyle w:val="Hyperlink"/>
          </w:rPr>
          <w:t>https://www.theguardian.com/law/2021/oct/31/courts-are-close-to-collapse-over-police-disclosure-failures</w:t>
        </w:r>
      </w:hyperlink>
      <w:r>
        <w:t xml:space="preserve"> </w:t>
      </w:r>
      <w:r w:rsidRPr="004E5647">
        <w:t>(Accessed: 8 May 2023)</w:t>
      </w:r>
    </w:p>
    <w:p w14:paraId="5D869687" w14:textId="627E06A0" w:rsidR="7336895D" w:rsidRDefault="00F6619C" w:rsidP="00F6619C">
      <w:pPr>
        <w:ind w:right="237"/>
        <w:jc w:val="both"/>
        <w:rPr>
          <w:rFonts w:ascii="Arial" w:eastAsia="Arial" w:hAnsi="Arial" w:cs="Arial"/>
          <w:color w:val="000000" w:themeColor="text1"/>
          <w:sz w:val="24"/>
          <w:szCs w:val="24"/>
        </w:rPr>
      </w:pPr>
      <w:r w:rsidRPr="00326493">
        <w:t>The Police Foundation (2021)</w:t>
      </w:r>
      <w:r>
        <w:t xml:space="preserve"> </w:t>
      </w:r>
      <w:r w:rsidRPr="0069122D">
        <w:rPr>
          <w:i/>
          <w:iCs/>
        </w:rPr>
        <w:t xml:space="preserve">UNLEASHING THE VALUE OF DIGITAL FORENSICS. </w:t>
      </w:r>
      <w:r>
        <w:t xml:space="preserve">Available at: </w:t>
      </w:r>
      <w:hyperlink r:id="rId128" w:history="1">
        <w:r w:rsidRPr="002E72AA">
          <w:rPr>
            <w:rStyle w:val="Hyperlink"/>
          </w:rPr>
          <w:t>https://www.police-foundation.org.uk/2017/wp-content/uploads/2010/10/value_of_digital_forensics.pdf</w:t>
        </w:r>
      </w:hyperlink>
      <w:r>
        <w:t xml:space="preserve"> (Accessed: 04 May 2023)</w:t>
      </w:r>
    </w:p>
    <w:p w14:paraId="4D2AFA6A" w14:textId="5E93E324" w:rsidR="2F17ACDD" w:rsidRDefault="2F17ACDD" w:rsidP="2F17ACDD">
      <w:pPr>
        <w:ind w:right="237"/>
        <w:jc w:val="both"/>
        <w:rPr>
          <w:rFonts w:ascii="Arial" w:eastAsia="Arial" w:hAnsi="Arial" w:cs="Arial"/>
          <w:color w:val="000000" w:themeColor="text1"/>
          <w:sz w:val="24"/>
          <w:szCs w:val="24"/>
        </w:rPr>
      </w:pPr>
    </w:p>
    <w:p w14:paraId="5F6C8741" w14:textId="76D5D74F" w:rsidR="2F17ACDD" w:rsidRDefault="2F17ACDD" w:rsidP="2F17ACDD">
      <w:pPr>
        <w:ind w:right="237"/>
        <w:jc w:val="both"/>
        <w:rPr>
          <w:rFonts w:ascii="Arial" w:eastAsia="Arial" w:hAnsi="Arial" w:cs="Arial"/>
          <w:color w:val="000000" w:themeColor="text1"/>
          <w:sz w:val="24"/>
          <w:szCs w:val="24"/>
        </w:rPr>
      </w:pPr>
    </w:p>
    <w:p w14:paraId="3999A614" w14:textId="62EAC357" w:rsidR="00965385" w:rsidRDefault="00965385" w:rsidP="2F17ACDD">
      <w:pPr>
        <w:ind w:right="237"/>
        <w:jc w:val="both"/>
        <w:rPr>
          <w:rFonts w:ascii="Arial" w:eastAsia="Arial" w:hAnsi="Arial" w:cs="Arial"/>
          <w:color w:val="000000" w:themeColor="text1"/>
          <w:sz w:val="24"/>
          <w:szCs w:val="24"/>
        </w:rPr>
      </w:pPr>
    </w:p>
    <w:p w14:paraId="0A253E2D" w14:textId="2E959DF1" w:rsidR="7336895D" w:rsidRDefault="3A5EB7B5" w:rsidP="2F17ACDD">
      <w:pPr>
        <w:ind w:right="107"/>
        <w:jc w:val="both"/>
        <w:rPr>
          <w:rFonts w:ascii="Arial" w:eastAsia="Arial" w:hAnsi="Arial" w:cs="Arial"/>
          <w:i/>
          <w:iCs/>
          <w:color w:val="000000" w:themeColor="text1"/>
          <w:sz w:val="24"/>
          <w:szCs w:val="24"/>
        </w:rPr>
      </w:pPr>
      <w:r w:rsidRPr="2F17ACDD">
        <w:rPr>
          <w:rFonts w:ascii="Arial" w:eastAsia="Arial" w:hAnsi="Arial" w:cs="Arial"/>
          <w:b/>
          <w:bCs/>
          <w:i/>
          <w:iCs/>
          <w:color w:val="000000" w:themeColor="text1"/>
          <w:sz w:val="24"/>
          <w:szCs w:val="24"/>
        </w:rPr>
        <w:t>Task 5</w:t>
      </w:r>
      <w:r w:rsidR="4C6CB4DE" w:rsidRPr="2F17ACDD">
        <w:rPr>
          <w:rFonts w:ascii="Arial" w:eastAsia="Arial" w:hAnsi="Arial" w:cs="Arial"/>
          <w:b/>
          <w:bCs/>
          <w:i/>
          <w:iCs/>
          <w:color w:val="000000" w:themeColor="text1"/>
          <w:sz w:val="24"/>
          <w:szCs w:val="24"/>
        </w:rPr>
        <w:t xml:space="preserve">: </w:t>
      </w:r>
      <w:r w:rsidRPr="2F17ACDD">
        <w:rPr>
          <w:rFonts w:ascii="Arial" w:eastAsia="Arial" w:hAnsi="Arial" w:cs="Arial"/>
          <w:b/>
          <w:bCs/>
          <w:i/>
          <w:iCs/>
          <w:color w:val="000000" w:themeColor="text1"/>
          <w:sz w:val="24"/>
          <w:szCs w:val="24"/>
        </w:rPr>
        <w:t>Personal Development Plan (PDP)</w:t>
      </w:r>
    </w:p>
    <w:p w14:paraId="24ED1ABE" w14:textId="30C130EE" w:rsidR="69B3A30A" w:rsidRDefault="3A5EB7B5" w:rsidP="69B3A30A">
      <w:pPr>
        <w:ind w:right="107"/>
        <w:jc w:val="both"/>
        <w:rPr>
          <w:rFonts w:ascii="Arial" w:eastAsia="Arial" w:hAnsi="Arial" w:cs="Arial"/>
          <w:color w:val="000000" w:themeColor="text1"/>
          <w:sz w:val="24"/>
          <w:szCs w:val="24"/>
        </w:rPr>
      </w:pPr>
      <w:r w:rsidRPr="2F17ACDD">
        <w:rPr>
          <w:rFonts w:ascii="Arial" w:eastAsia="Arial" w:hAnsi="Arial" w:cs="Arial"/>
          <w:b/>
          <w:bCs/>
          <w:color w:val="000000" w:themeColor="text1"/>
          <w:sz w:val="24"/>
          <w:szCs w:val="24"/>
        </w:rPr>
        <w:t xml:space="preserve">As part of your reflective process, please use this table to aid you in identifying the next steps for development. </w:t>
      </w:r>
    </w:p>
    <w:p w14:paraId="233F7648" w14:textId="2581BFB6" w:rsidR="3A5EB7B5" w:rsidRDefault="49E3DD73" w:rsidP="2F17ACDD">
      <w:pPr>
        <w:ind w:right="10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F</w:t>
      </w:r>
      <w:r w:rsidR="3C41B539" w:rsidRPr="2F17ACDD">
        <w:rPr>
          <w:rFonts w:ascii="Arial" w:eastAsia="Arial" w:hAnsi="Arial" w:cs="Arial"/>
          <w:color w:val="000000" w:themeColor="text1"/>
          <w:sz w:val="24"/>
          <w:szCs w:val="24"/>
        </w:rPr>
        <w:t>ormulate and implement a personal study programme to further enhance the development of your professional police practice. A template has been added for an ‘Individual Learning Plan’ that you can use for this task.  </w:t>
      </w:r>
    </w:p>
    <w:p w14:paraId="1D9B8E8A" w14:textId="695C877C" w:rsidR="3A5EB7B5" w:rsidRDefault="3C41B539" w:rsidP="69B3A30A">
      <w:pPr>
        <w:ind w:right="225"/>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This should then be used to target future development need. </w:t>
      </w:r>
    </w:p>
    <w:p w14:paraId="1C5A6F35" w14:textId="0FE940AF" w:rsidR="00965385" w:rsidRDefault="3A5EB7B5" w:rsidP="2F17ACDD">
      <w:pPr>
        <w:ind w:right="10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u w:val="single"/>
        </w:rPr>
        <w:t>This is equivalent to 2000 words</w:t>
      </w:r>
      <w:r w:rsidRPr="2F17ACDD">
        <w:rPr>
          <w:rFonts w:ascii="Arial" w:eastAsia="Arial" w:hAnsi="Arial" w:cs="Arial"/>
          <w:color w:val="000000" w:themeColor="text1"/>
          <w:sz w:val="24"/>
          <w:szCs w:val="24"/>
        </w:rPr>
        <w:t xml:space="preserve"> towards the overall wordcount, please note this is not the actual number of words used in completing the table, the count reflects the thought and research behind it</w:t>
      </w:r>
    </w:p>
    <w:p w14:paraId="556BDB18" w14:textId="44991FC0" w:rsidR="2F17ACDD" w:rsidRDefault="2F17ACDD" w:rsidP="2F17ACDD">
      <w:pPr>
        <w:jc w:val="center"/>
        <w:rPr>
          <w:rFonts w:ascii="Arial" w:eastAsia="Arial" w:hAnsi="Arial" w:cs="Arial"/>
          <w:b/>
          <w:bCs/>
          <w:color w:val="000000" w:themeColor="text1"/>
          <w:u w:val="single"/>
        </w:rPr>
      </w:pPr>
    </w:p>
    <w:p w14:paraId="3C8AF230" w14:textId="4EE02922" w:rsidR="7336895D" w:rsidRDefault="4E6D1421" w:rsidP="2F17ACDD">
      <w:pPr>
        <w:jc w:val="center"/>
        <w:rPr>
          <w:rFonts w:ascii="Arial" w:eastAsia="Arial" w:hAnsi="Arial" w:cs="Arial"/>
          <w:sz w:val="24"/>
          <w:szCs w:val="24"/>
          <w:u w:val="single"/>
        </w:rPr>
      </w:pPr>
      <w:r w:rsidRPr="2F17ACDD">
        <w:rPr>
          <w:rFonts w:ascii="Arial" w:eastAsia="Arial" w:hAnsi="Arial" w:cs="Arial"/>
          <w:b/>
          <w:bCs/>
          <w:color w:val="000000" w:themeColor="text1"/>
          <w:u w:val="single"/>
        </w:rPr>
        <w:t xml:space="preserve">Knowledge, </w:t>
      </w:r>
      <w:proofErr w:type="gramStart"/>
      <w:r w:rsidRPr="2F17ACDD">
        <w:rPr>
          <w:rFonts w:ascii="Arial" w:eastAsia="Arial" w:hAnsi="Arial" w:cs="Arial"/>
          <w:b/>
          <w:bCs/>
          <w:color w:val="000000" w:themeColor="text1"/>
          <w:u w:val="single"/>
        </w:rPr>
        <w:t>Skills</w:t>
      </w:r>
      <w:proofErr w:type="gramEnd"/>
      <w:r w:rsidRPr="2F17ACDD">
        <w:rPr>
          <w:rFonts w:ascii="Arial" w:eastAsia="Arial" w:hAnsi="Arial" w:cs="Arial"/>
          <w:b/>
          <w:bCs/>
          <w:color w:val="000000" w:themeColor="text1"/>
          <w:u w:val="single"/>
        </w:rPr>
        <w:t xml:space="preserve"> and Experience Assessment</w:t>
      </w:r>
      <w:r w:rsidRPr="2F17ACDD">
        <w:rPr>
          <w:rFonts w:ascii="Arial" w:eastAsia="Arial" w:hAnsi="Arial" w:cs="Arial"/>
          <w:color w:val="000000" w:themeColor="text1"/>
          <w:u w:val="single"/>
        </w:rPr>
        <w:t> </w:t>
      </w:r>
    </w:p>
    <w:p w14:paraId="71960A1E" w14:textId="3DCF88C8" w:rsidR="7336895D" w:rsidRDefault="7336895D" w:rsidP="69B3A30A">
      <w:pPr>
        <w:ind w:right="107"/>
        <w:jc w:val="both"/>
        <w:rPr>
          <w:rFonts w:ascii="Arial" w:eastAsia="Arial" w:hAnsi="Arial" w:cs="Arial"/>
          <w:color w:val="000000" w:themeColor="text1"/>
          <w:sz w:val="24"/>
          <w:szCs w:val="24"/>
        </w:rPr>
      </w:pPr>
    </w:p>
    <w:tbl>
      <w:tblPr>
        <w:tblW w:w="9030" w:type="dxa"/>
        <w:tblInd w:w="-150" w:type="dxa"/>
        <w:tblLayout w:type="fixed"/>
        <w:tblLook w:val="04A0" w:firstRow="1" w:lastRow="0" w:firstColumn="1" w:lastColumn="0" w:noHBand="0" w:noVBand="1"/>
      </w:tblPr>
      <w:tblGrid>
        <w:gridCol w:w="1890"/>
        <w:gridCol w:w="855"/>
        <w:gridCol w:w="795"/>
        <w:gridCol w:w="840"/>
        <w:gridCol w:w="705"/>
        <w:gridCol w:w="855"/>
        <w:gridCol w:w="765"/>
        <w:gridCol w:w="2325"/>
      </w:tblGrid>
      <w:tr w:rsidR="69B3A30A" w14:paraId="500F4D86" w14:textId="77777777" w:rsidTr="00433289">
        <w:tc>
          <w:tcPr>
            <w:tcW w:w="1890" w:type="dxa"/>
            <w:tcBorders>
              <w:top w:val="single" w:sz="6" w:space="0" w:color="auto"/>
              <w:left w:val="single" w:sz="6" w:space="0" w:color="auto"/>
              <w:bottom w:val="single" w:sz="6" w:space="0" w:color="auto"/>
              <w:right w:val="single" w:sz="6" w:space="0" w:color="auto"/>
            </w:tcBorders>
            <w:shd w:val="clear" w:color="auto" w:fill="5B9BD5" w:themeFill="accent5"/>
          </w:tcPr>
          <w:p w14:paraId="02D0D3FB" w14:textId="0154C997"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c>
          <w:tcPr>
            <w:tcW w:w="2490" w:type="dxa"/>
            <w:gridSpan w:val="3"/>
            <w:tcBorders>
              <w:top w:val="single" w:sz="6" w:space="0" w:color="auto"/>
              <w:left w:val="single" w:sz="6" w:space="0" w:color="auto"/>
              <w:bottom w:val="single" w:sz="6" w:space="0" w:color="auto"/>
              <w:right w:val="single" w:sz="6" w:space="0" w:color="auto"/>
            </w:tcBorders>
            <w:shd w:val="clear" w:color="auto" w:fill="5B9BD5" w:themeFill="accent5"/>
          </w:tcPr>
          <w:p w14:paraId="46F4249D" w14:textId="750A60F9" w:rsidR="69B3A30A" w:rsidRDefault="0B71B5B3" w:rsidP="2793C622">
            <w:pPr>
              <w:rPr>
                <w:rFonts w:ascii="Arial" w:eastAsia="Arial" w:hAnsi="Arial" w:cs="Arial"/>
                <w:b/>
                <w:bCs/>
                <w:color w:val="000000" w:themeColor="text1"/>
                <w:highlight w:val="yellow"/>
              </w:rPr>
            </w:pPr>
            <w:r w:rsidRPr="2793C622">
              <w:rPr>
                <w:rFonts w:ascii="Arial" w:eastAsia="Arial" w:hAnsi="Arial" w:cs="Arial"/>
                <w:b/>
                <w:bCs/>
                <w:color w:val="000000" w:themeColor="text1"/>
                <w:highlight w:val="yellow"/>
              </w:rPr>
              <w:t>Current level</w:t>
            </w:r>
          </w:p>
        </w:tc>
        <w:tc>
          <w:tcPr>
            <w:tcW w:w="2325" w:type="dxa"/>
            <w:gridSpan w:val="3"/>
            <w:tcBorders>
              <w:top w:val="single" w:sz="6" w:space="0" w:color="auto"/>
              <w:left w:val="nil"/>
              <w:bottom w:val="single" w:sz="6" w:space="0" w:color="auto"/>
              <w:right w:val="single" w:sz="6" w:space="0" w:color="auto"/>
            </w:tcBorders>
            <w:shd w:val="clear" w:color="auto" w:fill="5B9BD5" w:themeFill="accent5"/>
          </w:tcPr>
          <w:p w14:paraId="27848548" w14:textId="27B16091" w:rsidR="69B3A30A" w:rsidRDefault="0DFF38BA" w:rsidP="1FD2736D">
            <w:pPr>
              <w:rPr>
                <w:rFonts w:ascii="Arial" w:eastAsia="Arial" w:hAnsi="Arial" w:cs="Arial"/>
                <w:b/>
                <w:bCs/>
                <w:color w:val="000000" w:themeColor="text1"/>
              </w:rPr>
            </w:pPr>
            <w:r w:rsidRPr="1FD2736D">
              <w:rPr>
                <w:rFonts w:ascii="Arial" w:eastAsia="Arial" w:hAnsi="Arial" w:cs="Arial"/>
                <w:b/>
                <w:bCs/>
                <w:color w:val="000000" w:themeColor="text1"/>
              </w:rPr>
              <w:t>RATING </w:t>
            </w:r>
            <w:r w:rsidR="63FA7F95" w:rsidRPr="1FD2736D">
              <w:rPr>
                <w:rFonts w:ascii="Arial" w:eastAsia="Arial" w:hAnsi="Arial" w:cs="Arial"/>
                <w:b/>
                <w:bCs/>
                <w:color w:val="000000" w:themeColor="text1"/>
              </w:rPr>
              <w:t>- next 6</w:t>
            </w:r>
            <w:r w:rsidR="0136CB53" w:rsidRPr="1FD2736D">
              <w:rPr>
                <w:rFonts w:ascii="Arial" w:eastAsia="Arial" w:hAnsi="Arial" w:cs="Arial"/>
                <w:b/>
                <w:bCs/>
                <w:color w:val="000000" w:themeColor="text1"/>
              </w:rPr>
              <w:t xml:space="preserve"> to </w:t>
            </w:r>
            <w:r w:rsidR="63FA7F95" w:rsidRPr="1FD2736D">
              <w:rPr>
                <w:rFonts w:ascii="Arial" w:eastAsia="Arial" w:hAnsi="Arial" w:cs="Arial"/>
                <w:b/>
                <w:bCs/>
                <w:color w:val="000000" w:themeColor="text1"/>
              </w:rPr>
              <w:t>12mths</w:t>
            </w:r>
          </w:p>
        </w:tc>
        <w:tc>
          <w:tcPr>
            <w:tcW w:w="2325" w:type="dxa"/>
            <w:tcBorders>
              <w:top w:val="single" w:sz="6" w:space="0" w:color="auto"/>
              <w:left w:val="nil"/>
              <w:bottom w:val="single" w:sz="6" w:space="0" w:color="auto"/>
              <w:right w:val="single" w:sz="6" w:space="0" w:color="auto"/>
            </w:tcBorders>
            <w:shd w:val="clear" w:color="auto" w:fill="5B9BD5" w:themeFill="accent5"/>
          </w:tcPr>
          <w:p w14:paraId="2BE8FF50" w14:textId="36D6ED8A" w:rsidR="69B3A30A" w:rsidRDefault="4D6E6E2B" w:rsidP="69B3A30A">
            <w:pPr>
              <w:rPr>
                <w:rFonts w:ascii="Arial" w:eastAsia="Arial" w:hAnsi="Arial" w:cs="Arial"/>
                <w:color w:val="000000" w:themeColor="text1"/>
              </w:rPr>
            </w:pPr>
            <w:r w:rsidRPr="2F17ACDD">
              <w:rPr>
                <w:rFonts w:ascii="Arial" w:eastAsia="Arial" w:hAnsi="Arial" w:cs="Arial"/>
                <w:b/>
                <w:bCs/>
                <w:color w:val="000000" w:themeColor="text1"/>
              </w:rPr>
              <w:t>DEVELOPMENT NEED</w:t>
            </w:r>
            <w:r w:rsidRPr="2F17ACDD">
              <w:rPr>
                <w:rFonts w:ascii="Arial" w:eastAsia="Arial" w:hAnsi="Arial" w:cs="Arial"/>
                <w:color w:val="000000" w:themeColor="text1"/>
              </w:rPr>
              <w:t> </w:t>
            </w:r>
            <w:r w:rsidR="6ACDE762" w:rsidRPr="2F17ACDD">
              <w:rPr>
                <w:rFonts w:ascii="Arial" w:eastAsia="Arial" w:hAnsi="Arial" w:cs="Arial"/>
                <w:b/>
                <w:bCs/>
                <w:color w:val="000000" w:themeColor="text1"/>
              </w:rPr>
              <w:t>IDENTIFIED</w:t>
            </w:r>
          </w:p>
          <w:p w14:paraId="66D1EB09" w14:textId="36C58A06"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r>
      <w:tr w:rsidR="69B3A30A" w14:paraId="1D5C4F5E" w14:textId="77777777" w:rsidTr="00433289">
        <w:trPr>
          <w:trHeight w:val="915"/>
        </w:trPr>
        <w:tc>
          <w:tcPr>
            <w:tcW w:w="1890" w:type="dxa"/>
            <w:tcBorders>
              <w:top w:val="single" w:sz="6" w:space="0" w:color="auto"/>
              <w:left w:val="single" w:sz="6" w:space="0" w:color="auto"/>
              <w:bottom w:val="single" w:sz="6" w:space="0" w:color="auto"/>
              <w:right w:val="single" w:sz="6" w:space="0" w:color="auto"/>
            </w:tcBorders>
          </w:tcPr>
          <w:p w14:paraId="2DDF9F59" w14:textId="18FC2904" w:rsidR="69B3A30A" w:rsidRPr="00433289" w:rsidRDefault="4D6E6E2B" w:rsidP="69B3A30A">
            <w:pPr>
              <w:rPr>
                <w:rFonts w:ascii="Arial" w:eastAsia="Arial" w:hAnsi="Arial" w:cs="Arial"/>
                <w:b/>
                <w:bCs/>
                <w:color w:val="000000" w:themeColor="text1"/>
              </w:rPr>
            </w:pPr>
            <w:r w:rsidRPr="2F17ACDD">
              <w:rPr>
                <w:rFonts w:ascii="Arial" w:eastAsia="Arial" w:hAnsi="Arial" w:cs="Arial"/>
                <w:b/>
                <w:bCs/>
                <w:color w:val="000000" w:themeColor="text1"/>
              </w:rPr>
              <w:t>KNOWLEDGE</w:t>
            </w:r>
            <w:r w:rsidR="00433289">
              <w:rPr>
                <w:rFonts w:ascii="Arial" w:eastAsia="Arial" w:hAnsi="Arial" w:cs="Arial"/>
                <w:b/>
                <w:bCs/>
                <w:color w:val="000000" w:themeColor="text1"/>
              </w:rPr>
              <w:t xml:space="preserve"> &amp;</w:t>
            </w:r>
            <w:r w:rsidRPr="00433289">
              <w:rPr>
                <w:rFonts w:ascii="Arial" w:eastAsia="Arial" w:hAnsi="Arial" w:cs="Arial"/>
                <w:b/>
                <w:bCs/>
                <w:color w:val="000000" w:themeColor="text1"/>
              </w:rPr>
              <w:t> </w:t>
            </w:r>
            <w:r w:rsidR="00433289" w:rsidRPr="00433289">
              <w:rPr>
                <w:rFonts w:ascii="Arial" w:eastAsia="Arial" w:hAnsi="Arial" w:cs="Arial"/>
                <w:b/>
                <w:bCs/>
                <w:color w:val="000000" w:themeColor="text1"/>
              </w:rPr>
              <w:t>E</w:t>
            </w:r>
            <w:r w:rsidR="00433289">
              <w:rPr>
                <w:rFonts w:ascii="Arial" w:eastAsia="Arial" w:hAnsi="Arial" w:cs="Arial"/>
                <w:b/>
                <w:bCs/>
                <w:color w:val="000000" w:themeColor="text1"/>
              </w:rPr>
              <w:t>XPERIENCE</w:t>
            </w:r>
          </w:p>
          <w:p w14:paraId="48F613F4" w14:textId="48C06CAA" w:rsidR="00EC491A" w:rsidRDefault="006170DE" w:rsidP="69B3A30A">
            <w:pPr>
              <w:rPr>
                <w:rFonts w:ascii="Arial" w:eastAsia="Arial" w:hAnsi="Arial" w:cs="Arial"/>
                <w:color w:val="000000" w:themeColor="text1"/>
              </w:rPr>
            </w:pPr>
            <w:r w:rsidRPr="008C245F">
              <w:rPr>
                <w:rFonts w:ascii="Arial" w:eastAsia="Arial" w:hAnsi="Arial" w:cs="Arial"/>
                <w:color w:val="000000" w:themeColor="text1"/>
                <w:sz w:val="18"/>
                <w:szCs w:val="18"/>
              </w:rPr>
              <w:t xml:space="preserve">My knowledge and experience around </w:t>
            </w:r>
            <w:r w:rsidR="00A21CEE" w:rsidRPr="008C245F">
              <w:rPr>
                <w:rFonts w:ascii="Arial" w:eastAsia="Arial" w:hAnsi="Arial" w:cs="Arial"/>
                <w:color w:val="000000" w:themeColor="text1"/>
                <w:sz w:val="18"/>
                <w:szCs w:val="18"/>
              </w:rPr>
              <w:t>case file builds requires improvement</w:t>
            </w:r>
            <w:r w:rsidR="00EE2F46" w:rsidRPr="008C245F">
              <w:rPr>
                <w:rFonts w:ascii="Arial" w:eastAsia="Arial" w:hAnsi="Arial" w:cs="Arial"/>
                <w:color w:val="000000" w:themeColor="text1"/>
                <w:sz w:val="18"/>
                <w:szCs w:val="18"/>
              </w:rPr>
              <w:t xml:space="preserve"> and practical experience at a supervisory level. </w:t>
            </w:r>
            <w:r w:rsidR="00B73A43" w:rsidRPr="008C245F">
              <w:rPr>
                <w:rFonts w:ascii="Arial" w:eastAsia="Arial" w:hAnsi="Arial" w:cs="Arial"/>
                <w:color w:val="000000" w:themeColor="text1"/>
                <w:sz w:val="18"/>
                <w:szCs w:val="18"/>
              </w:rPr>
              <w:t>When working in Thames Valley I had excellent knowledge and experience in case file preparation. However, since transferring to Dyfed Powys Police in 2017, I</w:t>
            </w:r>
            <w:r w:rsidR="00B73A43">
              <w:rPr>
                <w:rFonts w:ascii="Arial" w:eastAsia="Arial" w:hAnsi="Arial" w:cs="Arial"/>
                <w:color w:val="000000" w:themeColor="text1"/>
              </w:rPr>
              <w:t xml:space="preserve"> </w:t>
            </w:r>
            <w:r w:rsidR="00B73A43" w:rsidRPr="008C245F">
              <w:rPr>
                <w:rFonts w:ascii="Arial" w:eastAsia="Arial" w:hAnsi="Arial" w:cs="Arial"/>
                <w:color w:val="000000" w:themeColor="text1"/>
                <w:sz w:val="18"/>
                <w:szCs w:val="18"/>
              </w:rPr>
              <w:t xml:space="preserve">have not had the requirement in my role </w:t>
            </w:r>
            <w:r w:rsidR="0089207E" w:rsidRPr="008C245F">
              <w:rPr>
                <w:rFonts w:ascii="Arial" w:eastAsia="Arial" w:hAnsi="Arial" w:cs="Arial"/>
                <w:color w:val="000000" w:themeColor="text1"/>
                <w:sz w:val="18"/>
                <w:szCs w:val="18"/>
              </w:rPr>
              <w:t>to undertake that task. This has led to me</w:t>
            </w:r>
            <w:r w:rsidR="008C245F" w:rsidRPr="008C245F">
              <w:rPr>
                <w:rFonts w:ascii="Arial" w:eastAsia="Arial" w:hAnsi="Arial" w:cs="Arial"/>
                <w:color w:val="000000" w:themeColor="text1"/>
                <w:sz w:val="18"/>
                <w:szCs w:val="18"/>
              </w:rPr>
              <w:t xml:space="preserve"> becoming</w:t>
            </w:r>
            <w:r w:rsidR="0089207E" w:rsidRPr="008C245F">
              <w:rPr>
                <w:rFonts w:ascii="Arial" w:eastAsia="Arial" w:hAnsi="Arial" w:cs="Arial"/>
                <w:color w:val="000000" w:themeColor="text1"/>
                <w:sz w:val="18"/>
                <w:szCs w:val="18"/>
              </w:rPr>
              <w:t xml:space="preserve"> deskilled in the </w:t>
            </w:r>
            <w:r w:rsidR="008C245F" w:rsidRPr="008C245F">
              <w:rPr>
                <w:rFonts w:ascii="Arial" w:eastAsia="Arial" w:hAnsi="Arial" w:cs="Arial"/>
                <w:color w:val="000000" w:themeColor="text1"/>
                <w:sz w:val="18"/>
                <w:szCs w:val="18"/>
              </w:rPr>
              <w:t>processes and having limited knowledge in the internal processes of Dyfed Powys Police.</w:t>
            </w:r>
            <w:r w:rsidR="008C245F">
              <w:rPr>
                <w:rFonts w:ascii="Arial" w:eastAsia="Arial" w:hAnsi="Arial" w:cs="Arial"/>
                <w:color w:val="000000" w:themeColor="text1"/>
              </w:rPr>
              <w:t xml:space="preserve"> </w:t>
            </w:r>
          </w:p>
        </w:tc>
        <w:tc>
          <w:tcPr>
            <w:tcW w:w="855" w:type="dxa"/>
            <w:tcBorders>
              <w:top w:val="single" w:sz="6" w:space="0" w:color="auto"/>
              <w:left w:val="single" w:sz="6" w:space="0" w:color="auto"/>
              <w:bottom w:val="single" w:sz="6" w:space="0" w:color="auto"/>
              <w:right w:val="single" w:sz="6" w:space="0" w:color="auto"/>
            </w:tcBorders>
          </w:tcPr>
          <w:p w14:paraId="59159199" w14:textId="3E1B8AE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448D47A9" w14:textId="59964695" w:rsidR="69B3A30A" w:rsidRPr="00965385" w:rsidRDefault="69B3A30A" w:rsidP="69B3A30A">
            <w:pPr>
              <w:rPr>
                <w:rFonts w:ascii="Arial" w:eastAsia="Arial" w:hAnsi="Arial" w:cs="Arial"/>
                <w:color w:val="000000" w:themeColor="text1"/>
                <w:sz w:val="20"/>
                <w:szCs w:val="20"/>
              </w:rPr>
            </w:pPr>
            <w:r w:rsidRPr="00EE2F46">
              <w:rPr>
                <w:rFonts w:ascii="Arial" w:eastAsia="Arial" w:hAnsi="Arial" w:cs="Arial"/>
                <w:color w:val="000000" w:themeColor="text1"/>
                <w:sz w:val="20"/>
                <w:szCs w:val="20"/>
                <w:highlight w:val="yellow"/>
              </w:rPr>
              <w:t>1-4</w:t>
            </w:r>
            <w:r w:rsidRPr="00965385">
              <w:rPr>
                <w:rFonts w:ascii="Arial" w:eastAsia="Arial" w:hAnsi="Arial" w:cs="Arial"/>
                <w:color w:val="000000" w:themeColor="text1"/>
                <w:sz w:val="20"/>
                <w:szCs w:val="20"/>
              </w:rPr>
              <w:t> </w:t>
            </w:r>
          </w:p>
        </w:tc>
        <w:tc>
          <w:tcPr>
            <w:tcW w:w="795" w:type="dxa"/>
            <w:tcBorders>
              <w:top w:val="nil"/>
              <w:left w:val="single" w:sz="6" w:space="0" w:color="auto"/>
              <w:bottom w:val="single" w:sz="6" w:space="0" w:color="auto"/>
              <w:right w:val="single" w:sz="6" w:space="0" w:color="auto"/>
            </w:tcBorders>
          </w:tcPr>
          <w:p w14:paraId="4D0DF0A9" w14:textId="6538B45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7058453A" w14:textId="4BC4DE4E" w:rsidR="69B3A30A" w:rsidRPr="00EE2F46" w:rsidRDefault="69B3A30A" w:rsidP="69B3A30A">
            <w:pPr>
              <w:rPr>
                <w:rFonts w:ascii="Arial" w:eastAsia="Arial" w:hAnsi="Arial" w:cs="Arial"/>
                <w:strike/>
                <w:color w:val="000000" w:themeColor="text1"/>
                <w:sz w:val="20"/>
                <w:szCs w:val="20"/>
              </w:rPr>
            </w:pPr>
            <w:r w:rsidRPr="00EE2F46">
              <w:rPr>
                <w:rFonts w:ascii="Arial" w:eastAsia="Arial" w:hAnsi="Arial" w:cs="Arial"/>
                <w:strike/>
                <w:color w:val="000000" w:themeColor="text1"/>
                <w:sz w:val="20"/>
                <w:szCs w:val="20"/>
              </w:rPr>
              <w:t>5-7 </w:t>
            </w:r>
          </w:p>
        </w:tc>
        <w:tc>
          <w:tcPr>
            <w:tcW w:w="840" w:type="dxa"/>
            <w:tcBorders>
              <w:top w:val="nil"/>
              <w:left w:val="single" w:sz="6" w:space="0" w:color="auto"/>
              <w:bottom w:val="single" w:sz="6" w:space="0" w:color="auto"/>
              <w:right w:val="single" w:sz="6" w:space="0" w:color="auto"/>
            </w:tcBorders>
          </w:tcPr>
          <w:p w14:paraId="3FA22AD9" w14:textId="14FB74FC"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1F419609" w14:textId="754F2B67" w:rsidR="69B3A30A" w:rsidRPr="00EE2F46" w:rsidRDefault="69B3A30A" w:rsidP="69B3A30A">
            <w:pPr>
              <w:rPr>
                <w:rFonts w:ascii="Arial" w:eastAsia="Arial" w:hAnsi="Arial" w:cs="Arial"/>
                <w:strike/>
                <w:color w:val="000000" w:themeColor="text1"/>
                <w:sz w:val="20"/>
                <w:szCs w:val="20"/>
              </w:rPr>
            </w:pPr>
            <w:r w:rsidRPr="00EE2F46">
              <w:rPr>
                <w:rFonts w:ascii="Arial" w:eastAsia="Arial" w:hAnsi="Arial" w:cs="Arial"/>
                <w:strike/>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14ABE5EC" w14:textId="4271045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0B79785A" w14:textId="265A531E" w:rsidR="69B3A30A" w:rsidRPr="00EE2F46" w:rsidRDefault="69B3A30A" w:rsidP="69B3A30A">
            <w:pPr>
              <w:rPr>
                <w:rFonts w:ascii="Arial" w:eastAsia="Arial" w:hAnsi="Arial" w:cs="Arial"/>
                <w:strike/>
                <w:color w:val="000000" w:themeColor="text1"/>
                <w:sz w:val="20"/>
                <w:szCs w:val="20"/>
              </w:rPr>
            </w:pPr>
            <w:r w:rsidRPr="00EE2F46">
              <w:rPr>
                <w:rFonts w:ascii="Arial" w:eastAsia="Arial" w:hAnsi="Arial" w:cs="Arial"/>
                <w:strike/>
                <w:color w:val="000000" w:themeColor="text1"/>
                <w:sz w:val="20"/>
                <w:szCs w:val="20"/>
              </w:rPr>
              <w:t>1-4 </w:t>
            </w:r>
          </w:p>
        </w:tc>
        <w:tc>
          <w:tcPr>
            <w:tcW w:w="855" w:type="dxa"/>
            <w:tcBorders>
              <w:top w:val="nil"/>
              <w:left w:val="single" w:sz="6" w:space="0" w:color="auto"/>
              <w:bottom w:val="single" w:sz="6" w:space="0" w:color="auto"/>
              <w:right w:val="single" w:sz="6" w:space="0" w:color="auto"/>
            </w:tcBorders>
          </w:tcPr>
          <w:p w14:paraId="6D0C49D5" w14:textId="7EBE074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393E2C5C" w14:textId="2183F999" w:rsidR="69B3A30A" w:rsidRPr="00965385" w:rsidRDefault="69B3A30A" w:rsidP="69B3A30A">
            <w:pPr>
              <w:rPr>
                <w:rFonts w:ascii="Arial" w:eastAsia="Arial" w:hAnsi="Arial" w:cs="Arial"/>
                <w:color w:val="000000" w:themeColor="text1"/>
                <w:sz w:val="20"/>
                <w:szCs w:val="20"/>
              </w:rPr>
            </w:pPr>
            <w:r w:rsidRPr="00EE2F46">
              <w:rPr>
                <w:rFonts w:ascii="Arial" w:eastAsia="Arial" w:hAnsi="Arial" w:cs="Arial"/>
                <w:color w:val="000000" w:themeColor="text1"/>
                <w:sz w:val="20"/>
                <w:szCs w:val="20"/>
                <w:highlight w:val="yellow"/>
              </w:rPr>
              <w:t>5-7</w:t>
            </w:r>
            <w:r w:rsidRPr="00965385">
              <w:rPr>
                <w:rFonts w:ascii="Arial" w:eastAsia="Arial" w:hAnsi="Arial" w:cs="Arial"/>
                <w:color w:val="000000" w:themeColor="text1"/>
                <w:sz w:val="20"/>
                <w:szCs w:val="20"/>
              </w:rPr>
              <w:t> </w:t>
            </w:r>
          </w:p>
        </w:tc>
        <w:tc>
          <w:tcPr>
            <w:tcW w:w="765" w:type="dxa"/>
            <w:tcBorders>
              <w:top w:val="nil"/>
              <w:left w:val="single" w:sz="6" w:space="0" w:color="auto"/>
              <w:bottom w:val="single" w:sz="6" w:space="0" w:color="auto"/>
              <w:right w:val="single" w:sz="6" w:space="0" w:color="auto"/>
            </w:tcBorders>
          </w:tcPr>
          <w:p w14:paraId="4865524F" w14:textId="466BD1BA"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35AECBD8" w14:textId="533068DC" w:rsidR="69B3A30A" w:rsidRPr="00EE2F46" w:rsidRDefault="69B3A30A" w:rsidP="69B3A30A">
            <w:pPr>
              <w:rPr>
                <w:rFonts w:ascii="Arial" w:eastAsia="Arial" w:hAnsi="Arial" w:cs="Arial"/>
                <w:strike/>
                <w:color w:val="000000" w:themeColor="text1"/>
                <w:sz w:val="20"/>
                <w:szCs w:val="20"/>
              </w:rPr>
            </w:pPr>
            <w:r w:rsidRPr="00EE2F46">
              <w:rPr>
                <w:rFonts w:ascii="Arial" w:eastAsia="Arial" w:hAnsi="Arial" w:cs="Arial"/>
                <w:strike/>
                <w:color w:val="000000" w:themeColor="text1"/>
                <w:sz w:val="20"/>
                <w:szCs w:val="20"/>
              </w:rPr>
              <w:t>8-10 </w:t>
            </w:r>
          </w:p>
        </w:tc>
        <w:tc>
          <w:tcPr>
            <w:tcW w:w="2325" w:type="dxa"/>
            <w:tcBorders>
              <w:top w:val="single" w:sz="6" w:space="0" w:color="auto"/>
              <w:left w:val="single" w:sz="6" w:space="0" w:color="auto"/>
              <w:bottom w:val="single" w:sz="6" w:space="0" w:color="auto"/>
              <w:right w:val="single" w:sz="6" w:space="0" w:color="auto"/>
            </w:tcBorders>
          </w:tcPr>
          <w:p w14:paraId="676F72C7" w14:textId="77777777" w:rsidR="00D055CC" w:rsidRDefault="00D055CC" w:rsidP="69B3A30A">
            <w:pPr>
              <w:rPr>
                <w:rFonts w:ascii="Arial" w:eastAsia="Arial" w:hAnsi="Arial" w:cs="Arial"/>
                <w:color w:val="000000" w:themeColor="text1"/>
                <w:sz w:val="18"/>
                <w:szCs w:val="18"/>
              </w:rPr>
            </w:pPr>
          </w:p>
          <w:p w14:paraId="6D12BCA7" w14:textId="7E2B8A8E" w:rsidR="69B3A30A" w:rsidRPr="008C245F" w:rsidRDefault="007A32AA" w:rsidP="69B3A30A">
            <w:pPr>
              <w:rPr>
                <w:rFonts w:ascii="Arial" w:eastAsia="Arial" w:hAnsi="Arial" w:cs="Arial"/>
                <w:color w:val="000000" w:themeColor="text1"/>
                <w:sz w:val="18"/>
                <w:szCs w:val="18"/>
              </w:rPr>
            </w:pPr>
            <w:r w:rsidRPr="008C245F">
              <w:rPr>
                <w:rFonts w:ascii="Arial" w:eastAsia="Arial" w:hAnsi="Arial" w:cs="Arial"/>
                <w:color w:val="000000" w:themeColor="text1"/>
                <w:sz w:val="18"/>
                <w:szCs w:val="18"/>
              </w:rPr>
              <w:t xml:space="preserve">By improving my knowledge and experience in this area it will allow to manage the case file builds. Whilst this isn’t a requirement for POLIT at this time it is a future area </w:t>
            </w:r>
            <w:r w:rsidR="00170890" w:rsidRPr="008C245F">
              <w:rPr>
                <w:rFonts w:ascii="Arial" w:eastAsia="Arial" w:hAnsi="Arial" w:cs="Arial"/>
                <w:color w:val="000000" w:themeColor="text1"/>
                <w:sz w:val="18"/>
                <w:szCs w:val="18"/>
              </w:rPr>
              <w:t xml:space="preserve">of business I will seek for the unit encompass as part of its service delivery. </w:t>
            </w:r>
          </w:p>
          <w:p w14:paraId="122DF602" w14:textId="1E013C71" w:rsidR="008C245F" w:rsidRDefault="008C245F" w:rsidP="69B3A30A">
            <w:pPr>
              <w:rPr>
                <w:rFonts w:ascii="Arial" w:eastAsia="Arial" w:hAnsi="Arial" w:cs="Arial"/>
                <w:color w:val="000000" w:themeColor="text1"/>
                <w:sz w:val="18"/>
                <w:szCs w:val="18"/>
              </w:rPr>
            </w:pPr>
            <w:r w:rsidRPr="008C245F">
              <w:rPr>
                <w:rFonts w:ascii="Arial" w:eastAsia="Arial" w:hAnsi="Arial" w:cs="Arial"/>
                <w:color w:val="000000" w:themeColor="text1"/>
                <w:sz w:val="18"/>
                <w:szCs w:val="18"/>
              </w:rPr>
              <w:t xml:space="preserve">To enhance my knowledge and experience I will: </w:t>
            </w:r>
          </w:p>
          <w:p w14:paraId="6AE83676" w14:textId="136440C0" w:rsidR="008C245F" w:rsidRDefault="00FE0B33" w:rsidP="00FE0B33">
            <w:pPr>
              <w:pStyle w:val="ListParagraph"/>
              <w:numPr>
                <w:ilvl w:val="0"/>
                <w:numId w:val="10"/>
              </w:numPr>
              <w:rPr>
                <w:rFonts w:ascii="Arial" w:eastAsia="Arial" w:hAnsi="Arial" w:cs="Arial"/>
                <w:color w:val="000000" w:themeColor="text1"/>
                <w:sz w:val="18"/>
                <w:szCs w:val="18"/>
              </w:rPr>
            </w:pPr>
            <w:r>
              <w:rPr>
                <w:rFonts w:ascii="Arial" w:eastAsia="Arial" w:hAnsi="Arial" w:cs="Arial"/>
                <w:color w:val="000000" w:themeColor="text1"/>
                <w:sz w:val="18"/>
                <w:szCs w:val="18"/>
              </w:rPr>
              <w:t xml:space="preserve">Request peer support from the case progression unit. </w:t>
            </w:r>
          </w:p>
          <w:p w14:paraId="0BD7A7CE" w14:textId="77777777" w:rsidR="0083163B" w:rsidRDefault="00716C5E" w:rsidP="00716C5E">
            <w:pPr>
              <w:pStyle w:val="ListParagraph"/>
              <w:numPr>
                <w:ilvl w:val="0"/>
                <w:numId w:val="10"/>
              </w:numPr>
              <w:rPr>
                <w:rFonts w:ascii="Arial" w:eastAsia="Arial" w:hAnsi="Arial" w:cs="Arial"/>
                <w:color w:val="000000" w:themeColor="text1"/>
                <w:sz w:val="18"/>
                <w:szCs w:val="18"/>
              </w:rPr>
            </w:pPr>
            <w:r>
              <w:rPr>
                <w:rFonts w:ascii="Arial" w:eastAsia="Arial" w:hAnsi="Arial" w:cs="Arial"/>
                <w:color w:val="000000" w:themeColor="text1"/>
                <w:sz w:val="18"/>
                <w:szCs w:val="18"/>
              </w:rPr>
              <w:t>Review case file builds for complex investigations</w:t>
            </w:r>
            <w:r w:rsidR="0083163B">
              <w:rPr>
                <w:rFonts w:ascii="Arial" w:eastAsia="Arial" w:hAnsi="Arial" w:cs="Arial"/>
                <w:color w:val="000000" w:themeColor="text1"/>
                <w:sz w:val="18"/>
                <w:szCs w:val="18"/>
              </w:rPr>
              <w:t xml:space="preserve">. </w:t>
            </w:r>
          </w:p>
          <w:p w14:paraId="49FECC04" w14:textId="1C1FFC2C" w:rsidR="0098279B" w:rsidRPr="0083163B" w:rsidRDefault="0083163B" w:rsidP="0083163B">
            <w:pPr>
              <w:pStyle w:val="ListParagraph"/>
              <w:numPr>
                <w:ilvl w:val="0"/>
                <w:numId w:val="10"/>
              </w:numPr>
              <w:rPr>
                <w:rFonts w:ascii="Arial" w:eastAsia="Arial" w:hAnsi="Arial" w:cs="Arial"/>
                <w:color w:val="000000" w:themeColor="text1"/>
                <w:sz w:val="18"/>
                <w:szCs w:val="18"/>
              </w:rPr>
            </w:pPr>
            <w:r>
              <w:rPr>
                <w:rFonts w:ascii="Arial" w:eastAsia="Arial" w:hAnsi="Arial" w:cs="Arial"/>
                <w:color w:val="000000" w:themeColor="text1"/>
                <w:sz w:val="18"/>
                <w:szCs w:val="18"/>
              </w:rPr>
              <w:t xml:space="preserve">Undertake self-study and research the current national file standards. Include research on the preparation of </w:t>
            </w:r>
            <w:r w:rsidR="001C2838">
              <w:rPr>
                <w:rFonts w:ascii="Arial" w:eastAsia="Arial" w:hAnsi="Arial" w:cs="Arial"/>
                <w:color w:val="000000" w:themeColor="text1"/>
                <w:sz w:val="18"/>
                <w:szCs w:val="18"/>
              </w:rPr>
              <w:t xml:space="preserve">GAP and </w:t>
            </w:r>
            <w:r w:rsidR="005F3CB0">
              <w:rPr>
                <w:rFonts w:ascii="Arial" w:eastAsia="Arial" w:hAnsi="Arial" w:cs="Arial"/>
                <w:color w:val="000000" w:themeColor="text1"/>
                <w:sz w:val="18"/>
                <w:szCs w:val="18"/>
              </w:rPr>
              <w:t>NG</w:t>
            </w:r>
            <w:r w:rsidR="001C2838">
              <w:rPr>
                <w:rFonts w:ascii="Arial" w:eastAsia="Arial" w:hAnsi="Arial" w:cs="Arial"/>
                <w:color w:val="000000" w:themeColor="text1"/>
                <w:sz w:val="18"/>
                <w:szCs w:val="18"/>
              </w:rPr>
              <w:t>AP file</w:t>
            </w:r>
            <w:r>
              <w:rPr>
                <w:rFonts w:ascii="Arial" w:eastAsia="Arial" w:hAnsi="Arial" w:cs="Arial"/>
                <w:color w:val="000000" w:themeColor="text1"/>
                <w:sz w:val="18"/>
                <w:szCs w:val="18"/>
              </w:rPr>
              <w:t>s</w:t>
            </w:r>
            <w:r w:rsidR="005F3CB0">
              <w:rPr>
                <w:rFonts w:ascii="Arial" w:eastAsia="Arial" w:hAnsi="Arial" w:cs="Arial"/>
                <w:color w:val="000000" w:themeColor="text1"/>
                <w:sz w:val="18"/>
                <w:szCs w:val="18"/>
              </w:rPr>
              <w:t>, better case management timescales,</w:t>
            </w:r>
            <w:r w:rsidR="00254A12">
              <w:rPr>
                <w:rFonts w:ascii="Arial" w:eastAsia="Arial" w:hAnsi="Arial" w:cs="Arial"/>
                <w:color w:val="000000" w:themeColor="text1"/>
                <w:sz w:val="18"/>
                <w:szCs w:val="18"/>
              </w:rPr>
              <w:t xml:space="preserve"> </w:t>
            </w:r>
            <w:r>
              <w:rPr>
                <w:rFonts w:ascii="Arial" w:eastAsia="Arial" w:hAnsi="Arial" w:cs="Arial"/>
                <w:color w:val="000000" w:themeColor="text1"/>
                <w:sz w:val="18"/>
                <w:szCs w:val="18"/>
              </w:rPr>
              <w:t xml:space="preserve">pre charge advice processes, </w:t>
            </w:r>
            <w:r w:rsidR="003C0AFB">
              <w:rPr>
                <w:rFonts w:ascii="Arial" w:eastAsia="Arial" w:hAnsi="Arial" w:cs="Arial"/>
                <w:color w:val="000000" w:themeColor="text1"/>
                <w:sz w:val="18"/>
                <w:szCs w:val="18"/>
              </w:rPr>
              <w:t>disclosure,</w:t>
            </w:r>
            <w:r>
              <w:rPr>
                <w:rFonts w:ascii="Arial" w:eastAsia="Arial" w:hAnsi="Arial" w:cs="Arial"/>
                <w:color w:val="000000" w:themeColor="text1"/>
                <w:sz w:val="18"/>
                <w:szCs w:val="18"/>
              </w:rPr>
              <w:t xml:space="preserve"> and </w:t>
            </w:r>
            <w:r w:rsidR="003C0AFB">
              <w:rPr>
                <w:rFonts w:ascii="Arial" w:eastAsia="Arial" w:hAnsi="Arial" w:cs="Arial"/>
                <w:color w:val="000000" w:themeColor="text1"/>
                <w:sz w:val="18"/>
                <w:szCs w:val="18"/>
              </w:rPr>
              <w:t xml:space="preserve">file quality management. </w:t>
            </w:r>
          </w:p>
          <w:p w14:paraId="1E2D2696" w14:textId="686A4638" w:rsidR="008C245F" w:rsidRPr="00F33885" w:rsidRDefault="00F33885" w:rsidP="008C245F">
            <w:pPr>
              <w:pStyle w:val="ListParagraph"/>
              <w:numPr>
                <w:ilvl w:val="0"/>
                <w:numId w:val="10"/>
              </w:numPr>
              <w:rPr>
                <w:rFonts w:ascii="Arial" w:eastAsia="Arial" w:hAnsi="Arial" w:cs="Arial"/>
                <w:color w:val="000000" w:themeColor="text1"/>
                <w:sz w:val="18"/>
                <w:szCs w:val="18"/>
              </w:rPr>
            </w:pPr>
            <w:r>
              <w:rPr>
                <w:rFonts w:ascii="Arial" w:eastAsia="Arial" w:hAnsi="Arial" w:cs="Arial"/>
                <w:color w:val="000000" w:themeColor="text1"/>
                <w:sz w:val="18"/>
                <w:szCs w:val="18"/>
              </w:rPr>
              <w:t xml:space="preserve">Start to take ownership for case file preparation on a trial basis within the unit. This will provide practical exposure to completing and supervising case file builds. </w:t>
            </w:r>
          </w:p>
        </w:tc>
      </w:tr>
      <w:tr w:rsidR="69B3A30A" w14:paraId="2D764C6B" w14:textId="77777777" w:rsidTr="00433289">
        <w:trPr>
          <w:trHeight w:val="1095"/>
        </w:trPr>
        <w:tc>
          <w:tcPr>
            <w:tcW w:w="1890" w:type="dxa"/>
            <w:tcBorders>
              <w:top w:val="single" w:sz="6" w:space="0" w:color="auto"/>
              <w:left w:val="single" w:sz="6" w:space="0" w:color="auto"/>
              <w:bottom w:val="single" w:sz="6" w:space="0" w:color="auto"/>
              <w:right w:val="single" w:sz="6" w:space="0" w:color="auto"/>
            </w:tcBorders>
          </w:tcPr>
          <w:p w14:paraId="5092EBD0" w14:textId="3026E3FD"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SKILLS </w:t>
            </w:r>
            <w:r w:rsidR="00D037DB">
              <w:rPr>
                <w:rFonts w:ascii="Arial" w:eastAsia="Arial" w:hAnsi="Arial" w:cs="Arial"/>
                <w:b/>
                <w:bCs/>
                <w:color w:val="000000" w:themeColor="text1"/>
              </w:rPr>
              <w:t>&amp; KNOWLEDGE</w:t>
            </w:r>
          </w:p>
          <w:p w14:paraId="296A7BD7" w14:textId="45B460BD" w:rsidR="69B3A30A" w:rsidRDefault="001E07A7" w:rsidP="2F17ACDD">
            <w:pPr>
              <w:rPr>
                <w:rFonts w:ascii="Arial" w:eastAsia="Arial" w:hAnsi="Arial" w:cs="Arial"/>
                <w:b/>
                <w:bCs/>
                <w:color w:val="000000" w:themeColor="text1"/>
              </w:rPr>
            </w:pPr>
            <w:r w:rsidRPr="003830A4">
              <w:rPr>
                <w:rFonts w:ascii="Arial" w:eastAsia="Arial" w:hAnsi="Arial" w:cs="Arial"/>
                <w:color w:val="000000" w:themeColor="text1"/>
                <w:sz w:val="18"/>
                <w:szCs w:val="18"/>
              </w:rPr>
              <w:t xml:space="preserve">I am currently a trained RFPS technician and have experience of completing a number of </w:t>
            </w:r>
            <w:r w:rsidR="009A0381">
              <w:rPr>
                <w:rFonts w:ascii="Arial" w:eastAsia="Arial" w:hAnsi="Arial" w:cs="Arial"/>
                <w:color w:val="000000" w:themeColor="text1"/>
                <w:sz w:val="18"/>
                <w:szCs w:val="18"/>
              </w:rPr>
              <w:t xml:space="preserve">RF surveys and evidential cell site analysis reports for a range of complex investigations. </w:t>
            </w:r>
            <w:r w:rsidR="00AD7D77">
              <w:rPr>
                <w:rFonts w:ascii="Arial" w:eastAsia="Arial" w:hAnsi="Arial" w:cs="Arial"/>
                <w:color w:val="000000" w:themeColor="text1"/>
                <w:sz w:val="18"/>
                <w:szCs w:val="18"/>
              </w:rPr>
              <w:t xml:space="preserve">However, </w:t>
            </w:r>
            <w:r w:rsidR="00A11530">
              <w:rPr>
                <w:rFonts w:ascii="Arial" w:eastAsia="Arial" w:hAnsi="Arial" w:cs="Arial"/>
                <w:color w:val="000000" w:themeColor="text1"/>
                <w:sz w:val="18"/>
                <w:szCs w:val="18"/>
              </w:rPr>
              <w:t>as a lead RFPS technician I will be supervising less experience</w:t>
            </w:r>
            <w:r w:rsidR="002B44CF">
              <w:rPr>
                <w:rFonts w:ascii="Arial" w:eastAsia="Arial" w:hAnsi="Arial" w:cs="Arial"/>
                <w:color w:val="000000" w:themeColor="text1"/>
                <w:sz w:val="18"/>
                <w:szCs w:val="18"/>
              </w:rPr>
              <w:t>d</w:t>
            </w:r>
            <w:r w:rsidR="00A11530">
              <w:rPr>
                <w:rFonts w:ascii="Arial" w:eastAsia="Arial" w:hAnsi="Arial" w:cs="Arial"/>
                <w:color w:val="000000" w:themeColor="text1"/>
                <w:sz w:val="18"/>
                <w:szCs w:val="18"/>
              </w:rPr>
              <w:t xml:space="preserve"> technicians, completing </w:t>
            </w:r>
            <w:r w:rsidR="00E15C4A">
              <w:rPr>
                <w:rFonts w:ascii="Arial" w:eastAsia="Arial" w:hAnsi="Arial" w:cs="Arial"/>
                <w:color w:val="000000" w:themeColor="text1"/>
                <w:sz w:val="18"/>
                <w:szCs w:val="18"/>
              </w:rPr>
              <w:t xml:space="preserve">peer reviews of evidential </w:t>
            </w:r>
            <w:proofErr w:type="gramStart"/>
            <w:r w:rsidR="00E15C4A">
              <w:rPr>
                <w:rFonts w:ascii="Arial" w:eastAsia="Arial" w:hAnsi="Arial" w:cs="Arial"/>
                <w:color w:val="000000" w:themeColor="text1"/>
                <w:sz w:val="18"/>
                <w:szCs w:val="18"/>
              </w:rPr>
              <w:t>reports</w:t>
            </w:r>
            <w:proofErr w:type="gramEnd"/>
            <w:r w:rsidR="00E15C4A">
              <w:rPr>
                <w:rFonts w:ascii="Arial" w:eastAsia="Arial" w:hAnsi="Arial" w:cs="Arial"/>
                <w:color w:val="000000" w:themeColor="text1"/>
                <w:sz w:val="18"/>
                <w:szCs w:val="18"/>
              </w:rPr>
              <w:t xml:space="preserve"> and overseeing the ISO accreditation for RFPS. I am also expected to </w:t>
            </w:r>
            <w:r w:rsidR="00AD7D77">
              <w:rPr>
                <w:rFonts w:ascii="Arial" w:eastAsia="Arial" w:hAnsi="Arial" w:cs="Arial"/>
                <w:color w:val="000000" w:themeColor="text1"/>
                <w:sz w:val="18"/>
                <w:szCs w:val="18"/>
              </w:rPr>
              <w:t xml:space="preserve">maintain </w:t>
            </w:r>
            <w:r w:rsidR="00E15C4A">
              <w:rPr>
                <w:rFonts w:ascii="Arial" w:eastAsia="Arial" w:hAnsi="Arial" w:cs="Arial"/>
                <w:color w:val="000000" w:themeColor="text1"/>
                <w:sz w:val="18"/>
                <w:szCs w:val="18"/>
              </w:rPr>
              <w:t xml:space="preserve">annual </w:t>
            </w:r>
            <w:r w:rsidR="00AD7D77">
              <w:rPr>
                <w:rFonts w:ascii="Arial" w:eastAsia="Arial" w:hAnsi="Arial" w:cs="Arial"/>
                <w:color w:val="000000" w:themeColor="text1"/>
                <w:sz w:val="18"/>
                <w:szCs w:val="18"/>
              </w:rPr>
              <w:t>CPD in this technical field and</w:t>
            </w:r>
            <w:r w:rsidR="00911C51">
              <w:rPr>
                <w:rFonts w:ascii="Arial" w:eastAsia="Arial" w:hAnsi="Arial" w:cs="Arial"/>
                <w:color w:val="000000" w:themeColor="text1"/>
                <w:sz w:val="18"/>
                <w:szCs w:val="18"/>
              </w:rPr>
              <w:t xml:space="preserve"> keep my skill set concurrent with the evol</w:t>
            </w:r>
            <w:r w:rsidR="00926D53">
              <w:rPr>
                <w:rFonts w:ascii="Arial" w:eastAsia="Arial" w:hAnsi="Arial" w:cs="Arial"/>
                <w:color w:val="000000" w:themeColor="text1"/>
                <w:sz w:val="18"/>
                <w:szCs w:val="18"/>
              </w:rPr>
              <w:t>ution of</w:t>
            </w:r>
            <w:r w:rsidR="00A11530">
              <w:rPr>
                <w:rFonts w:ascii="Arial" w:eastAsia="Arial" w:hAnsi="Arial" w:cs="Arial"/>
                <w:color w:val="000000" w:themeColor="text1"/>
                <w:sz w:val="18"/>
                <w:szCs w:val="18"/>
              </w:rPr>
              <w:t xml:space="preserve"> RF technology in particular the implementation of 5G technology and phasing out of redundant 3G</w:t>
            </w:r>
            <w:r w:rsidR="00641CB7">
              <w:rPr>
                <w:rFonts w:ascii="Arial" w:eastAsia="Arial" w:hAnsi="Arial" w:cs="Arial"/>
                <w:color w:val="000000" w:themeColor="text1"/>
                <w:sz w:val="18"/>
                <w:szCs w:val="18"/>
              </w:rPr>
              <w:t>.</w:t>
            </w:r>
            <w:r w:rsidR="00A11530">
              <w:rPr>
                <w:rFonts w:ascii="Arial" w:eastAsia="Arial" w:hAnsi="Arial" w:cs="Arial"/>
                <w:color w:val="000000" w:themeColor="text1"/>
                <w:sz w:val="18"/>
                <w:szCs w:val="18"/>
              </w:rPr>
              <w:t xml:space="preserve"> </w:t>
            </w:r>
            <w:r w:rsidR="002B44CF">
              <w:rPr>
                <w:rFonts w:ascii="Arial" w:eastAsia="Arial" w:hAnsi="Arial" w:cs="Arial"/>
                <w:color w:val="000000" w:themeColor="text1"/>
                <w:sz w:val="18"/>
                <w:szCs w:val="18"/>
              </w:rPr>
              <w:t xml:space="preserve">Due to the Covid pandemic I have </w:t>
            </w:r>
            <w:r w:rsidR="004E44C2">
              <w:rPr>
                <w:rFonts w:ascii="Arial" w:eastAsia="Arial" w:hAnsi="Arial" w:cs="Arial"/>
                <w:color w:val="000000" w:themeColor="text1"/>
                <w:sz w:val="18"/>
                <w:szCs w:val="18"/>
              </w:rPr>
              <w:t xml:space="preserve">had the opportunity to increase my training in this field to attain a higher level of expertise. </w:t>
            </w:r>
            <w:r w:rsidR="00641CB7">
              <w:rPr>
                <w:rFonts w:ascii="Arial" w:eastAsia="Arial" w:hAnsi="Arial" w:cs="Arial"/>
                <w:color w:val="000000" w:themeColor="text1"/>
                <w:sz w:val="18"/>
                <w:szCs w:val="18"/>
              </w:rPr>
              <w:t xml:space="preserve"> </w:t>
            </w:r>
          </w:p>
        </w:tc>
        <w:tc>
          <w:tcPr>
            <w:tcW w:w="855" w:type="dxa"/>
            <w:tcBorders>
              <w:top w:val="single" w:sz="6" w:space="0" w:color="auto"/>
              <w:left w:val="single" w:sz="6" w:space="0" w:color="auto"/>
              <w:bottom w:val="single" w:sz="6" w:space="0" w:color="auto"/>
              <w:right w:val="single" w:sz="6" w:space="0" w:color="auto"/>
            </w:tcBorders>
          </w:tcPr>
          <w:p w14:paraId="20BCFD79" w14:textId="2A8C50D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6822E41D" w14:textId="7A048238" w:rsidR="69B3A30A" w:rsidRPr="001E07A7" w:rsidRDefault="69B3A30A" w:rsidP="69B3A30A">
            <w:pPr>
              <w:rPr>
                <w:rFonts w:ascii="Arial" w:eastAsia="Arial" w:hAnsi="Arial" w:cs="Arial"/>
                <w:strike/>
                <w:color w:val="000000" w:themeColor="text1"/>
                <w:sz w:val="20"/>
                <w:szCs w:val="20"/>
              </w:rPr>
            </w:pPr>
            <w:r w:rsidRPr="001E07A7">
              <w:rPr>
                <w:rFonts w:ascii="Arial" w:eastAsia="Arial" w:hAnsi="Arial" w:cs="Arial"/>
                <w:strike/>
                <w:color w:val="000000" w:themeColor="text1"/>
                <w:sz w:val="20"/>
                <w:szCs w:val="20"/>
              </w:rPr>
              <w:t>1-4 </w:t>
            </w:r>
          </w:p>
        </w:tc>
        <w:tc>
          <w:tcPr>
            <w:tcW w:w="795" w:type="dxa"/>
            <w:tcBorders>
              <w:top w:val="single" w:sz="6" w:space="0" w:color="auto"/>
              <w:left w:val="single" w:sz="6" w:space="0" w:color="auto"/>
              <w:bottom w:val="single" w:sz="6" w:space="0" w:color="auto"/>
              <w:right w:val="single" w:sz="6" w:space="0" w:color="auto"/>
            </w:tcBorders>
          </w:tcPr>
          <w:p w14:paraId="19FD361F" w14:textId="3C573F8C"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442E6BEE" w14:textId="3AC53E59" w:rsidR="69B3A30A" w:rsidRPr="00965385" w:rsidRDefault="69B3A30A" w:rsidP="69B3A30A">
            <w:pPr>
              <w:rPr>
                <w:rFonts w:ascii="Arial" w:eastAsia="Arial" w:hAnsi="Arial" w:cs="Arial"/>
                <w:color w:val="000000" w:themeColor="text1"/>
                <w:sz w:val="20"/>
                <w:szCs w:val="20"/>
              </w:rPr>
            </w:pPr>
            <w:r w:rsidRPr="001E07A7">
              <w:rPr>
                <w:rFonts w:ascii="Arial" w:eastAsia="Arial" w:hAnsi="Arial" w:cs="Arial"/>
                <w:color w:val="000000" w:themeColor="text1"/>
                <w:sz w:val="20"/>
                <w:szCs w:val="20"/>
                <w:highlight w:val="yellow"/>
              </w:rPr>
              <w:t>5-7</w:t>
            </w:r>
            <w:r w:rsidRPr="00965385">
              <w:rPr>
                <w:rFonts w:ascii="Arial" w:eastAsia="Arial" w:hAnsi="Arial" w:cs="Arial"/>
                <w:color w:val="000000" w:themeColor="text1"/>
                <w:sz w:val="20"/>
                <w:szCs w:val="20"/>
              </w:rPr>
              <w:t> </w:t>
            </w:r>
          </w:p>
        </w:tc>
        <w:tc>
          <w:tcPr>
            <w:tcW w:w="840" w:type="dxa"/>
            <w:tcBorders>
              <w:top w:val="single" w:sz="6" w:space="0" w:color="auto"/>
              <w:left w:val="single" w:sz="6" w:space="0" w:color="auto"/>
              <w:bottom w:val="single" w:sz="6" w:space="0" w:color="auto"/>
              <w:right w:val="single" w:sz="6" w:space="0" w:color="auto"/>
            </w:tcBorders>
          </w:tcPr>
          <w:p w14:paraId="0D6BFA72" w14:textId="1E2393FA"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2C1255DB" w14:textId="1314F343" w:rsidR="69B3A30A" w:rsidRPr="001E07A7" w:rsidRDefault="69B3A30A" w:rsidP="69B3A30A">
            <w:pPr>
              <w:rPr>
                <w:rFonts w:ascii="Arial" w:eastAsia="Arial" w:hAnsi="Arial" w:cs="Arial"/>
                <w:strike/>
                <w:color w:val="000000" w:themeColor="text1"/>
                <w:sz w:val="20"/>
                <w:szCs w:val="20"/>
              </w:rPr>
            </w:pPr>
            <w:r w:rsidRPr="001E07A7">
              <w:rPr>
                <w:rFonts w:ascii="Arial" w:eastAsia="Arial" w:hAnsi="Arial" w:cs="Arial"/>
                <w:strike/>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546778DF" w14:textId="431E877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7C13AE98" w14:textId="144B6B66" w:rsidR="69B3A30A" w:rsidRPr="001E07A7" w:rsidRDefault="69B3A30A" w:rsidP="69B3A30A">
            <w:pPr>
              <w:rPr>
                <w:rFonts w:ascii="Arial" w:eastAsia="Arial" w:hAnsi="Arial" w:cs="Arial"/>
                <w:strike/>
                <w:color w:val="000000" w:themeColor="text1"/>
                <w:sz w:val="20"/>
                <w:szCs w:val="20"/>
              </w:rPr>
            </w:pPr>
            <w:r w:rsidRPr="001E07A7">
              <w:rPr>
                <w:rFonts w:ascii="Arial" w:eastAsia="Arial" w:hAnsi="Arial" w:cs="Arial"/>
                <w:strike/>
                <w:color w:val="000000" w:themeColor="text1"/>
                <w:sz w:val="20"/>
                <w:szCs w:val="20"/>
              </w:rPr>
              <w:t>1-4 </w:t>
            </w:r>
          </w:p>
        </w:tc>
        <w:tc>
          <w:tcPr>
            <w:tcW w:w="855" w:type="dxa"/>
            <w:tcBorders>
              <w:top w:val="single" w:sz="6" w:space="0" w:color="auto"/>
              <w:left w:val="single" w:sz="6" w:space="0" w:color="auto"/>
              <w:bottom w:val="single" w:sz="6" w:space="0" w:color="auto"/>
              <w:right w:val="single" w:sz="6" w:space="0" w:color="auto"/>
            </w:tcBorders>
          </w:tcPr>
          <w:p w14:paraId="0B45D89C" w14:textId="1AA76628"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39CBA4A9" w14:textId="65B776AE" w:rsidR="69B3A30A" w:rsidRPr="001E07A7" w:rsidRDefault="69B3A30A" w:rsidP="69B3A30A">
            <w:pPr>
              <w:rPr>
                <w:rFonts w:ascii="Arial" w:eastAsia="Arial" w:hAnsi="Arial" w:cs="Arial"/>
                <w:strike/>
                <w:color w:val="000000" w:themeColor="text1"/>
                <w:sz w:val="20"/>
                <w:szCs w:val="20"/>
              </w:rPr>
            </w:pPr>
            <w:r w:rsidRPr="001E07A7">
              <w:rPr>
                <w:rFonts w:ascii="Arial" w:eastAsia="Arial" w:hAnsi="Arial" w:cs="Arial"/>
                <w:strike/>
                <w:color w:val="000000" w:themeColor="text1"/>
                <w:sz w:val="20"/>
                <w:szCs w:val="20"/>
              </w:rPr>
              <w:t>5-7 </w:t>
            </w:r>
          </w:p>
        </w:tc>
        <w:tc>
          <w:tcPr>
            <w:tcW w:w="765" w:type="dxa"/>
            <w:tcBorders>
              <w:top w:val="single" w:sz="6" w:space="0" w:color="auto"/>
              <w:left w:val="single" w:sz="6" w:space="0" w:color="auto"/>
              <w:bottom w:val="single" w:sz="6" w:space="0" w:color="auto"/>
              <w:right w:val="single" w:sz="6" w:space="0" w:color="auto"/>
            </w:tcBorders>
          </w:tcPr>
          <w:p w14:paraId="74DD0F6D" w14:textId="66764C10"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214CED32" w14:textId="0BAB0AEB" w:rsidR="69B3A30A" w:rsidRPr="00965385" w:rsidRDefault="69B3A30A" w:rsidP="69B3A30A">
            <w:pPr>
              <w:rPr>
                <w:rFonts w:ascii="Arial" w:eastAsia="Arial" w:hAnsi="Arial" w:cs="Arial"/>
                <w:color w:val="000000" w:themeColor="text1"/>
                <w:sz w:val="20"/>
                <w:szCs w:val="20"/>
              </w:rPr>
            </w:pPr>
            <w:r w:rsidRPr="001E07A7">
              <w:rPr>
                <w:rFonts w:ascii="Arial" w:eastAsia="Arial" w:hAnsi="Arial" w:cs="Arial"/>
                <w:color w:val="000000" w:themeColor="text1"/>
                <w:sz w:val="20"/>
                <w:szCs w:val="20"/>
                <w:highlight w:val="yellow"/>
              </w:rPr>
              <w:t>8-10</w:t>
            </w:r>
            <w:r w:rsidRPr="00965385">
              <w:rPr>
                <w:rFonts w:ascii="Arial" w:eastAsia="Arial" w:hAnsi="Arial" w:cs="Arial"/>
                <w:color w:val="000000" w:themeColor="text1"/>
                <w:sz w:val="20"/>
                <w:szCs w:val="20"/>
              </w:rPr>
              <w:t> </w:t>
            </w:r>
          </w:p>
        </w:tc>
        <w:tc>
          <w:tcPr>
            <w:tcW w:w="2325" w:type="dxa"/>
            <w:tcBorders>
              <w:top w:val="single" w:sz="6" w:space="0" w:color="auto"/>
              <w:left w:val="single" w:sz="6" w:space="0" w:color="auto"/>
              <w:bottom w:val="single" w:sz="6" w:space="0" w:color="auto"/>
              <w:right w:val="single" w:sz="6" w:space="0" w:color="auto"/>
            </w:tcBorders>
          </w:tcPr>
          <w:p w14:paraId="492A7DDE" w14:textId="77777777" w:rsidR="00D055CC" w:rsidRDefault="00D055CC" w:rsidP="00604404">
            <w:pPr>
              <w:rPr>
                <w:rFonts w:ascii="Arial" w:eastAsia="Arial" w:hAnsi="Arial" w:cs="Arial"/>
                <w:color w:val="000000" w:themeColor="text1"/>
                <w:sz w:val="18"/>
                <w:szCs w:val="18"/>
              </w:rPr>
            </w:pPr>
          </w:p>
          <w:p w14:paraId="6EC49F46" w14:textId="77777777" w:rsidR="008A12CB" w:rsidRDefault="00604404" w:rsidP="00604404">
            <w:pPr>
              <w:rPr>
                <w:rFonts w:ascii="Arial" w:eastAsia="Arial" w:hAnsi="Arial" w:cs="Arial"/>
                <w:color w:val="000000" w:themeColor="text1"/>
                <w:sz w:val="18"/>
                <w:szCs w:val="18"/>
              </w:rPr>
            </w:pPr>
            <w:r>
              <w:rPr>
                <w:rFonts w:ascii="Arial" w:eastAsia="Arial" w:hAnsi="Arial" w:cs="Arial"/>
                <w:color w:val="000000" w:themeColor="text1"/>
                <w:sz w:val="18"/>
                <w:szCs w:val="18"/>
              </w:rPr>
              <w:t>By</w:t>
            </w:r>
            <w:r w:rsidR="005C69A6">
              <w:rPr>
                <w:rFonts w:ascii="Arial" w:eastAsia="Arial" w:hAnsi="Arial" w:cs="Arial"/>
                <w:color w:val="000000" w:themeColor="text1"/>
                <w:sz w:val="18"/>
                <w:szCs w:val="18"/>
              </w:rPr>
              <w:t xml:space="preserve"> completing </w:t>
            </w:r>
            <w:r>
              <w:rPr>
                <w:rFonts w:ascii="Arial" w:eastAsia="Arial" w:hAnsi="Arial" w:cs="Arial"/>
                <w:color w:val="000000" w:themeColor="text1"/>
                <w:sz w:val="18"/>
                <w:szCs w:val="18"/>
              </w:rPr>
              <w:t xml:space="preserve">and passing the </w:t>
            </w:r>
            <w:r w:rsidR="009F6B7D" w:rsidRPr="00604404">
              <w:rPr>
                <w:rFonts w:ascii="Arial" w:eastAsia="Arial" w:hAnsi="Arial" w:cs="Arial"/>
                <w:color w:val="000000" w:themeColor="text1"/>
                <w:sz w:val="18"/>
                <w:szCs w:val="18"/>
              </w:rPr>
              <w:t>RFP</w:t>
            </w:r>
            <w:r>
              <w:rPr>
                <w:rFonts w:ascii="Arial" w:eastAsia="Arial" w:hAnsi="Arial" w:cs="Arial"/>
                <w:color w:val="000000" w:themeColor="text1"/>
                <w:sz w:val="18"/>
                <w:szCs w:val="18"/>
              </w:rPr>
              <w:t>S</w:t>
            </w:r>
            <w:r w:rsidRPr="00604404">
              <w:rPr>
                <w:rFonts w:ascii="Arial" w:eastAsia="Arial" w:hAnsi="Arial" w:cs="Arial"/>
                <w:color w:val="000000" w:themeColor="text1"/>
                <w:sz w:val="18"/>
                <w:szCs w:val="18"/>
              </w:rPr>
              <w:t xml:space="preserve"> Practitioner &amp; Assessment</w:t>
            </w:r>
            <w:r>
              <w:rPr>
                <w:rFonts w:ascii="Arial" w:eastAsia="Arial" w:hAnsi="Arial" w:cs="Arial"/>
                <w:color w:val="000000" w:themeColor="text1"/>
                <w:sz w:val="18"/>
                <w:szCs w:val="18"/>
              </w:rPr>
              <w:t xml:space="preserve"> I will be able increase my knowledge and </w:t>
            </w:r>
            <w:r w:rsidR="008A12CB">
              <w:rPr>
                <w:rFonts w:ascii="Arial" w:eastAsia="Arial" w:hAnsi="Arial" w:cs="Arial"/>
                <w:color w:val="000000" w:themeColor="text1"/>
                <w:sz w:val="18"/>
                <w:szCs w:val="18"/>
              </w:rPr>
              <w:t xml:space="preserve">practical </w:t>
            </w:r>
            <w:r>
              <w:rPr>
                <w:rFonts w:ascii="Arial" w:eastAsia="Arial" w:hAnsi="Arial" w:cs="Arial"/>
                <w:color w:val="000000" w:themeColor="text1"/>
                <w:sz w:val="18"/>
                <w:szCs w:val="18"/>
              </w:rPr>
              <w:t xml:space="preserve">skills </w:t>
            </w:r>
            <w:r w:rsidR="008A12CB">
              <w:rPr>
                <w:rFonts w:ascii="Arial" w:eastAsia="Arial" w:hAnsi="Arial" w:cs="Arial"/>
                <w:color w:val="000000" w:themeColor="text1"/>
                <w:sz w:val="18"/>
                <w:szCs w:val="18"/>
              </w:rPr>
              <w:t xml:space="preserve">in the conducting </w:t>
            </w:r>
            <w:r w:rsidR="005C69A6">
              <w:rPr>
                <w:rFonts w:ascii="Arial" w:eastAsia="Arial" w:hAnsi="Arial" w:cs="Arial"/>
                <w:color w:val="000000" w:themeColor="text1"/>
                <w:sz w:val="18"/>
                <w:szCs w:val="18"/>
              </w:rPr>
              <w:t>RF surveys and provid</w:t>
            </w:r>
            <w:r w:rsidR="008A12CB">
              <w:rPr>
                <w:rFonts w:ascii="Arial" w:eastAsia="Arial" w:hAnsi="Arial" w:cs="Arial"/>
                <w:color w:val="000000" w:themeColor="text1"/>
                <w:sz w:val="18"/>
                <w:szCs w:val="18"/>
              </w:rPr>
              <w:t>ing</w:t>
            </w:r>
            <w:r w:rsidR="005C69A6">
              <w:rPr>
                <w:rFonts w:ascii="Arial" w:eastAsia="Arial" w:hAnsi="Arial" w:cs="Arial"/>
                <w:color w:val="000000" w:themeColor="text1"/>
                <w:sz w:val="18"/>
                <w:szCs w:val="18"/>
              </w:rPr>
              <w:t xml:space="preserve"> evidential</w:t>
            </w:r>
            <w:r w:rsidR="0082038F">
              <w:rPr>
                <w:rFonts w:ascii="Arial" w:eastAsia="Arial" w:hAnsi="Arial" w:cs="Arial"/>
                <w:color w:val="000000" w:themeColor="text1"/>
                <w:sz w:val="18"/>
                <w:szCs w:val="18"/>
              </w:rPr>
              <w:t xml:space="preserve"> to a higher level of expertise. This will </w:t>
            </w:r>
            <w:r w:rsidR="00634A90">
              <w:rPr>
                <w:rFonts w:ascii="Arial" w:eastAsia="Arial" w:hAnsi="Arial" w:cs="Arial"/>
                <w:color w:val="000000" w:themeColor="text1"/>
                <w:sz w:val="18"/>
                <w:szCs w:val="18"/>
              </w:rPr>
              <w:t>improve</w:t>
            </w:r>
            <w:r w:rsidR="0082038F">
              <w:rPr>
                <w:rFonts w:ascii="Arial" w:eastAsia="Arial" w:hAnsi="Arial" w:cs="Arial"/>
                <w:color w:val="000000" w:themeColor="text1"/>
                <w:sz w:val="18"/>
                <w:szCs w:val="18"/>
              </w:rPr>
              <w:t xml:space="preserve"> the quality of the technical evidence I can provide where cell site analysis is a key aspect of an investigation. It will also add </w:t>
            </w:r>
            <w:r w:rsidR="00634A90">
              <w:rPr>
                <w:rFonts w:ascii="Arial" w:eastAsia="Arial" w:hAnsi="Arial" w:cs="Arial"/>
                <w:color w:val="000000" w:themeColor="text1"/>
                <w:sz w:val="18"/>
                <w:szCs w:val="18"/>
              </w:rPr>
              <w:t>professionalism</w:t>
            </w:r>
            <w:r w:rsidR="0082038F">
              <w:rPr>
                <w:rFonts w:ascii="Arial" w:eastAsia="Arial" w:hAnsi="Arial" w:cs="Arial"/>
                <w:color w:val="000000" w:themeColor="text1"/>
                <w:sz w:val="18"/>
                <w:szCs w:val="18"/>
              </w:rPr>
              <w:t xml:space="preserve"> and </w:t>
            </w:r>
            <w:r w:rsidR="00634A90">
              <w:rPr>
                <w:rFonts w:ascii="Arial" w:eastAsia="Arial" w:hAnsi="Arial" w:cs="Arial"/>
                <w:color w:val="000000" w:themeColor="text1"/>
                <w:sz w:val="18"/>
                <w:szCs w:val="18"/>
              </w:rPr>
              <w:t>credibility to the skills that I have acquired.</w:t>
            </w:r>
          </w:p>
          <w:p w14:paraId="02BD4685" w14:textId="16617D44" w:rsidR="69B3A30A" w:rsidRDefault="008A12CB" w:rsidP="00604404">
            <w:pPr>
              <w:rPr>
                <w:rFonts w:ascii="Arial" w:eastAsia="Arial" w:hAnsi="Arial" w:cs="Arial"/>
                <w:color w:val="000000" w:themeColor="text1"/>
              </w:rPr>
            </w:pPr>
            <w:r>
              <w:rPr>
                <w:rFonts w:ascii="Arial" w:eastAsia="Arial" w:hAnsi="Arial" w:cs="Arial"/>
                <w:color w:val="000000" w:themeColor="text1"/>
                <w:sz w:val="18"/>
                <w:szCs w:val="18"/>
              </w:rPr>
              <w:t>This greater level of skill</w:t>
            </w:r>
            <w:r w:rsidR="00D037DB">
              <w:rPr>
                <w:rFonts w:ascii="Arial" w:eastAsia="Arial" w:hAnsi="Arial" w:cs="Arial"/>
                <w:color w:val="000000" w:themeColor="text1"/>
                <w:sz w:val="18"/>
                <w:szCs w:val="18"/>
              </w:rPr>
              <w:t xml:space="preserve"> and knowledge will allow to fulfil the role of a technical lead for the organisation, providing support and quality assurance to surveys and analysis completed by other technicians. It will also provide me with </w:t>
            </w:r>
            <w:r w:rsidR="00507F5F">
              <w:rPr>
                <w:rFonts w:ascii="Arial" w:eastAsia="Arial" w:hAnsi="Arial" w:cs="Arial"/>
                <w:color w:val="000000" w:themeColor="text1"/>
                <w:sz w:val="18"/>
                <w:szCs w:val="18"/>
              </w:rPr>
              <w:t xml:space="preserve">a sufficient level of expertise to be able to oversee the ISO accreditation process for RFPS, so the organisation can meet </w:t>
            </w:r>
            <w:r w:rsidR="00443A23">
              <w:rPr>
                <w:rFonts w:ascii="Arial" w:eastAsia="Arial" w:hAnsi="Arial" w:cs="Arial"/>
                <w:color w:val="000000" w:themeColor="text1"/>
                <w:sz w:val="18"/>
                <w:szCs w:val="18"/>
              </w:rPr>
              <w:t xml:space="preserve">national standards. </w:t>
            </w:r>
            <w:r w:rsidR="00507F5F">
              <w:rPr>
                <w:rFonts w:ascii="Arial" w:eastAsia="Arial" w:hAnsi="Arial" w:cs="Arial"/>
                <w:color w:val="000000" w:themeColor="text1"/>
                <w:sz w:val="18"/>
                <w:szCs w:val="18"/>
              </w:rPr>
              <w:t xml:space="preserve">  </w:t>
            </w:r>
          </w:p>
        </w:tc>
      </w:tr>
      <w:tr w:rsidR="69B3A30A" w14:paraId="1602AB4D" w14:textId="77777777" w:rsidTr="00433289">
        <w:tc>
          <w:tcPr>
            <w:tcW w:w="1890" w:type="dxa"/>
            <w:tcBorders>
              <w:top w:val="single" w:sz="6" w:space="0" w:color="auto"/>
              <w:left w:val="single" w:sz="6" w:space="0" w:color="auto"/>
              <w:bottom w:val="single" w:sz="6" w:space="0" w:color="auto"/>
              <w:right w:val="single" w:sz="6" w:space="0" w:color="auto"/>
            </w:tcBorders>
          </w:tcPr>
          <w:p w14:paraId="16961DB5" w14:textId="16915CCF" w:rsidR="69B3A30A" w:rsidRDefault="69B3A30A" w:rsidP="69B3A30A">
            <w:pPr>
              <w:rPr>
                <w:rFonts w:ascii="Arial" w:eastAsia="Arial" w:hAnsi="Arial" w:cs="Arial"/>
                <w:color w:val="000000" w:themeColor="text1"/>
              </w:rPr>
            </w:pPr>
            <w:r w:rsidRPr="69B3A30A">
              <w:rPr>
                <w:rFonts w:ascii="Arial" w:eastAsia="Arial" w:hAnsi="Arial" w:cs="Arial"/>
                <w:b/>
                <w:bCs/>
                <w:color w:val="000000" w:themeColor="text1"/>
              </w:rPr>
              <w:t>EXPERIENCE </w:t>
            </w:r>
          </w:p>
          <w:p w14:paraId="3EEF2DD1" w14:textId="21D9AFBB" w:rsidR="69B3A30A" w:rsidRDefault="009A0E00" w:rsidP="2F17ACDD">
            <w:pPr>
              <w:rPr>
                <w:rFonts w:ascii="Arial" w:eastAsia="Arial" w:hAnsi="Arial" w:cs="Arial"/>
                <w:b/>
                <w:bCs/>
                <w:color w:val="000000" w:themeColor="text1"/>
              </w:rPr>
            </w:pPr>
            <w:r>
              <w:rPr>
                <w:rFonts w:ascii="Arial" w:eastAsia="Arial" w:hAnsi="Arial" w:cs="Arial"/>
                <w:b/>
                <w:bCs/>
                <w:color w:val="000000" w:themeColor="text1"/>
              </w:rPr>
              <w:t>N/A</w:t>
            </w:r>
          </w:p>
          <w:p w14:paraId="19DEF14E" w14:textId="5BD8FF7A" w:rsidR="69B3A30A" w:rsidRDefault="69B3A30A" w:rsidP="69B3A30A">
            <w:pPr>
              <w:rPr>
                <w:rFonts w:ascii="Arial" w:eastAsia="Arial" w:hAnsi="Arial" w:cs="Arial"/>
                <w:color w:val="000000" w:themeColor="text1"/>
              </w:rPr>
            </w:pPr>
          </w:p>
        </w:tc>
        <w:tc>
          <w:tcPr>
            <w:tcW w:w="855" w:type="dxa"/>
            <w:tcBorders>
              <w:top w:val="single" w:sz="6" w:space="0" w:color="auto"/>
              <w:left w:val="single" w:sz="6" w:space="0" w:color="auto"/>
              <w:bottom w:val="single" w:sz="6" w:space="0" w:color="auto"/>
              <w:right w:val="single" w:sz="6" w:space="0" w:color="auto"/>
            </w:tcBorders>
          </w:tcPr>
          <w:p w14:paraId="7CC02F10" w14:textId="3FF9E308"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7F980E03" w14:textId="2241AD42"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795" w:type="dxa"/>
            <w:tcBorders>
              <w:top w:val="single" w:sz="6" w:space="0" w:color="auto"/>
              <w:left w:val="single" w:sz="6" w:space="0" w:color="auto"/>
              <w:bottom w:val="single" w:sz="6" w:space="0" w:color="auto"/>
              <w:right w:val="single" w:sz="6" w:space="0" w:color="auto"/>
            </w:tcBorders>
          </w:tcPr>
          <w:p w14:paraId="55DA1534" w14:textId="3BCFD76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2D218451" w14:textId="62BA3DED"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840" w:type="dxa"/>
            <w:tcBorders>
              <w:top w:val="single" w:sz="6" w:space="0" w:color="auto"/>
              <w:left w:val="single" w:sz="6" w:space="0" w:color="auto"/>
              <w:bottom w:val="single" w:sz="6" w:space="0" w:color="auto"/>
              <w:right w:val="single" w:sz="6" w:space="0" w:color="auto"/>
            </w:tcBorders>
          </w:tcPr>
          <w:p w14:paraId="7BEBD130" w14:textId="04C5F825"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6B02F38A" w14:textId="1781738A"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705" w:type="dxa"/>
            <w:tcBorders>
              <w:top w:val="single" w:sz="6" w:space="0" w:color="auto"/>
              <w:left w:val="single" w:sz="6" w:space="0" w:color="auto"/>
              <w:bottom w:val="single" w:sz="6" w:space="0" w:color="auto"/>
              <w:right w:val="single" w:sz="6" w:space="0" w:color="auto"/>
            </w:tcBorders>
          </w:tcPr>
          <w:p w14:paraId="2CE7EC86" w14:textId="03847A4F"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Low </w:t>
            </w:r>
          </w:p>
          <w:p w14:paraId="56486F0D" w14:textId="28C000E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1-4 </w:t>
            </w:r>
          </w:p>
        </w:tc>
        <w:tc>
          <w:tcPr>
            <w:tcW w:w="855" w:type="dxa"/>
            <w:tcBorders>
              <w:top w:val="single" w:sz="6" w:space="0" w:color="auto"/>
              <w:left w:val="single" w:sz="6" w:space="0" w:color="auto"/>
              <w:bottom w:val="single" w:sz="6" w:space="0" w:color="auto"/>
              <w:right w:val="single" w:sz="6" w:space="0" w:color="auto"/>
            </w:tcBorders>
          </w:tcPr>
          <w:p w14:paraId="4A4760E4" w14:textId="0C3100C3"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Med </w:t>
            </w:r>
          </w:p>
          <w:p w14:paraId="553E8CC1" w14:textId="70611BE1"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5-7 </w:t>
            </w:r>
          </w:p>
        </w:tc>
        <w:tc>
          <w:tcPr>
            <w:tcW w:w="765" w:type="dxa"/>
            <w:tcBorders>
              <w:top w:val="single" w:sz="6" w:space="0" w:color="auto"/>
              <w:left w:val="single" w:sz="6" w:space="0" w:color="auto"/>
              <w:bottom w:val="single" w:sz="6" w:space="0" w:color="auto"/>
              <w:right w:val="single" w:sz="6" w:space="0" w:color="auto"/>
            </w:tcBorders>
          </w:tcPr>
          <w:p w14:paraId="25E2791F" w14:textId="69324924"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High </w:t>
            </w:r>
          </w:p>
          <w:p w14:paraId="0E0F6DB0" w14:textId="3F35C749" w:rsidR="69B3A30A" w:rsidRPr="00965385" w:rsidRDefault="69B3A30A" w:rsidP="69B3A30A">
            <w:pPr>
              <w:rPr>
                <w:rFonts w:ascii="Arial" w:eastAsia="Arial" w:hAnsi="Arial" w:cs="Arial"/>
                <w:color w:val="000000" w:themeColor="text1"/>
                <w:sz w:val="20"/>
                <w:szCs w:val="20"/>
              </w:rPr>
            </w:pPr>
            <w:r w:rsidRPr="00965385">
              <w:rPr>
                <w:rFonts w:ascii="Arial" w:eastAsia="Arial" w:hAnsi="Arial" w:cs="Arial"/>
                <w:color w:val="000000" w:themeColor="text1"/>
                <w:sz w:val="20"/>
                <w:szCs w:val="20"/>
              </w:rPr>
              <w:t>8-10 </w:t>
            </w:r>
          </w:p>
        </w:tc>
        <w:tc>
          <w:tcPr>
            <w:tcW w:w="2325" w:type="dxa"/>
            <w:tcBorders>
              <w:top w:val="single" w:sz="6" w:space="0" w:color="auto"/>
              <w:left w:val="single" w:sz="6" w:space="0" w:color="auto"/>
              <w:bottom w:val="single" w:sz="6" w:space="0" w:color="auto"/>
              <w:right w:val="single" w:sz="6" w:space="0" w:color="auto"/>
            </w:tcBorders>
          </w:tcPr>
          <w:p w14:paraId="00FC4667" w14:textId="04007D97" w:rsidR="69B3A30A" w:rsidRDefault="69B3A30A" w:rsidP="69B3A30A">
            <w:pPr>
              <w:rPr>
                <w:rFonts w:ascii="Arial" w:eastAsia="Arial" w:hAnsi="Arial" w:cs="Arial"/>
                <w:color w:val="000000" w:themeColor="text1"/>
              </w:rPr>
            </w:pPr>
            <w:r w:rsidRPr="69B3A30A">
              <w:rPr>
                <w:rFonts w:ascii="Arial" w:eastAsia="Arial" w:hAnsi="Arial" w:cs="Arial"/>
                <w:color w:val="000000" w:themeColor="text1"/>
              </w:rPr>
              <w:t> </w:t>
            </w:r>
          </w:p>
        </w:tc>
      </w:tr>
    </w:tbl>
    <w:p w14:paraId="053211CB" w14:textId="73134137" w:rsidR="1F9D89F6" w:rsidRDefault="1F9D89F6" w:rsidP="7336895D">
      <w:pPr>
        <w:spacing w:before="240" w:after="60"/>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Bibliography</w:t>
      </w:r>
    </w:p>
    <w:p w14:paraId="3D3A3146" w14:textId="58A1E893" w:rsidR="1F9D89F6" w:rsidRDefault="1F9D89F6" w:rsidP="7336895D">
      <w:pPr>
        <w:spacing w:before="240" w:after="60"/>
        <w:ind w:right="237"/>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The bibliography should only include sources referenced within the workbook using the Harvard referencing system. Information about referencing in written assignments and how to avoid plagiarism can be found on Moodle</w:t>
      </w:r>
      <w:r w:rsidR="79E7F474" w:rsidRPr="2F17ACDD">
        <w:rPr>
          <w:rFonts w:ascii="Arial" w:eastAsia="Arial" w:hAnsi="Arial" w:cs="Arial"/>
          <w:color w:val="000000" w:themeColor="text1"/>
          <w:sz w:val="24"/>
          <w:szCs w:val="24"/>
        </w:rPr>
        <w:t xml:space="preserve"> and will be provided within your lesson</w:t>
      </w:r>
      <w:r w:rsidRPr="2F17ACDD">
        <w:rPr>
          <w:rFonts w:ascii="Arial" w:eastAsia="Arial" w:hAnsi="Arial" w:cs="Arial"/>
          <w:color w:val="000000" w:themeColor="text1"/>
          <w:sz w:val="24"/>
          <w:szCs w:val="24"/>
        </w:rPr>
        <w:t>. It is important that you are aware of the importance of ensuring that the work submitted is your original work.</w:t>
      </w:r>
    </w:p>
    <w:p w14:paraId="145AB031" w14:textId="6D8EFCEF" w:rsidR="7336895D" w:rsidRDefault="3C360A0F" w:rsidP="7336895D">
      <w:pPr>
        <w:spacing w:before="240" w:after="60"/>
        <w:ind w:right="237"/>
        <w:jc w:val="both"/>
        <w:rPr>
          <w:rFonts w:ascii="Arial" w:eastAsia="Arial" w:hAnsi="Arial" w:cs="Arial"/>
          <w:color w:val="000000" w:themeColor="text1"/>
          <w:sz w:val="24"/>
          <w:szCs w:val="24"/>
        </w:rPr>
      </w:pPr>
      <w:r w:rsidRPr="2793C622">
        <w:rPr>
          <w:rFonts w:ascii="Arial" w:eastAsia="Arial" w:hAnsi="Arial" w:cs="Arial"/>
          <w:color w:val="000000" w:themeColor="text1"/>
          <w:sz w:val="24"/>
          <w:szCs w:val="24"/>
          <w:highlight w:val="yellow"/>
        </w:rPr>
        <w:t>If you are unsure</w:t>
      </w:r>
      <w:r w:rsidR="2F0A9433" w:rsidRPr="2793C622">
        <w:rPr>
          <w:rFonts w:ascii="Arial" w:eastAsia="Arial" w:hAnsi="Arial" w:cs="Arial"/>
          <w:color w:val="000000" w:themeColor="text1"/>
          <w:sz w:val="24"/>
          <w:szCs w:val="24"/>
          <w:highlight w:val="yellow"/>
        </w:rPr>
        <w:t>,</w:t>
      </w:r>
      <w:r w:rsidRPr="2793C622">
        <w:rPr>
          <w:rFonts w:ascii="Arial" w:eastAsia="Arial" w:hAnsi="Arial" w:cs="Arial"/>
          <w:color w:val="000000" w:themeColor="text1"/>
          <w:sz w:val="24"/>
          <w:szCs w:val="24"/>
          <w:highlight w:val="yellow"/>
        </w:rPr>
        <w:t xml:space="preserve"> it is important that you seek guidance</w:t>
      </w:r>
      <w:r w:rsidRPr="2793C622">
        <w:rPr>
          <w:rFonts w:ascii="Arial" w:eastAsia="Arial" w:hAnsi="Arial" w:cs="Arial"/>
          <w:color w:val="000000" w:themeColor="text1"/>
          <w:sz w:val="24"/>
          <w:szCs w:val="24"/>
        </w:rPr>
        <w:t>.</w:t>
      </w:r>
    </w:p>
    <w:p w14:paraId="105B141E" w14:textId="771B07D7" w:rsidR="2723F8F5" w:rsidRDefault="2723F8F5" w:rsidP="7336895D">
      <w:pPr>
        <w:spacing w:before="240" w:after="60"/>
        <w:ind w:right="237"/>
        <w:jc w:val="both"/>
        <w:rPr>
          <w:rFonts w:ascii="Arial" w:eastAsia="Arial" w:hAnsi="Arial" w:cs="Arial"/>
          <w:b/>
          <w:bCs/>
          <w:color w:val="000000" w:themeColor="text1"/>
          <w:sz w:val="24"/>
          <w:szCs w:val="24"/>
        </w:rPr>
      </w:pPr>
      <w:r w:rsidRPr="7336895D">
        <w:rPr>
          <w:rFonts w:ascii="Arial" w:eastAsia="Arial" w:hAnsi="Arial" w:cs="Arial"/>
          <w:b/>
          <w:bCs/>
          <w:color w:val="000000" w:themeColor="text1"/>
          <w:sz w:val="24"/>
          <w:szCs w:val="24"/>
        </w:rPr>
        <w:t xml:space="preserve">Harvard Refencing Guide Link: </w:t>
      </w:r>
    </w:p>
    <w:p w14:paraId="56A8BDE9" w14:textId="220662A3" w:rsidR="2723F8F5" w:rsidRDefault="00140EE7" w:rsidP="7336895D">
      <w:pPr>
        <w:spacing w:before="240" w:after="60"/>
        <w:ind w:right="237"/>
        <w:jc w:val="both"/>
        <w:rPr>
          <w:rFonts w:ascii="Arial" w:eastAsia="Arial" w:hAnsi="Arial" w:cs="Arial"/>
          <w:sz w:val="24"/>
          <w:szCs w:val="24"/>
        </w:rPr>
      </w:pPr>
      <w:hyperlink r:id="rId129">
        <w:r w:rsidR="2723F8F5" w:rsidRPr="7336895D">
          <w:rPr>
            <w:rStyle w:val="Hyperlink"/>
            <w:rFonts w:ascii="Calibri" w:eastAsia="Calibri" w:hAnsi="Calibri" w:cs="Calibri"/>
            <w:sz w:val="24"/>
            <w:szCs w:val="24"/>
          </w:rPr>
          <w:t>https://moodle.uwtsd.ac.uk/pluginfile.php/324905/mod_resource/content/1/Harvard%20Referencing%20GUide.pdf</w:t>
        </w:r>
      </w:hyperlink>
    </w:p>
    <w:p w14:paraId="21FE9DC3" w14:textId="25B5535F" w:rsidR="7336895D" w:rsidRDefault="7336895D" w:rsidP="7336895D">
      <w:pPr>
        <w:spacing w:before="240" w:after="60"/>
        <w:ind w:right="237"/>
        <w:jc w:val="both"/>
        <w:rPr>
          <w:rFonts w:ascii="Arial" w:eastAsia="Arial" w:hAnsi="Arial" w:cs="Arial"/>
          <w:color w:val="000000" w:themeColor="text1"/>
          <w:sz w:val="24"/>
          <w:szCs w:val="24"/>
        </w:rPr>
      </w:pPr>
    </w:p>
    <w:p w14:paraId="14E5F5D8" w14:textId="33C45B11" w:rsidR="7336895D" w:rsidRDefault="7336895D" w:rsidP="7336895D">
      <w:pPr>
        <w:spacing w:before="240" w:after="60"/>
        <w:ind w:right="237"/>
        <w:jc w:val="both"/>
        <w:rPr>
          <w:rFonts w:ascii="Arial" w:eastAsia="Arial" w:hAnsi="Arial" w:cs="Arial"/>
          <w:color w:val="000000" w:themeColor="text1"/>
          <w:sz w:val="24"/>
          <w:szCs w:val="24"/>
        </w:rPr>
      </w:pPr>
    </w:p>
    <w:p w14:paraId="2060306B" w14:textId="3D4725E9" w:rsidR="79039CE6" w:rsidRDefault="79039CE6" w:rsidP="7336895D">
      <w:pPr>
        <w:jc w:val="both"/>
        <w:rPr>
          <w:rFonts w:ascii="Arial" w:eastAsia="Arial" w:hAnsi="Arial" w:cs="Arial"/>
          <w:color w:val="000000" w:themeColor="text1"/>
          <w:sz w:val="24"/>
          <w:szCs w:val="24"/>
        </w:rPr>
      </w:pPr>
      <w:r w:rsidRPr="2F17ACDD">
        <w:rPr>
          <w:rFonts w:ascii="Arial" w:eastAsia="Arial" w:hAnsi="Arial" w:cs="Arial"/>
          <w:color w:val="000000" w:themeColor="text1"/>
          <w:sz w:val="24"/>
          <w:szCs w:val="24"/>
        </w:rPr>
        <w:t xml:space="preserve">Signed:  </w:t>
      </w:r>
      <w:r w:rsidR="00800760">
        <w:rPr>
          <w:rFonts w:ascii="Arial" w:eastAsia="Arial" w:hAnsi="Arial" w:cs="Arial"/>
          <w:color w:val="000000" w:themeColor="text1"/>
          <w:sz w:val="24"/>
          <w:szCs w:val="24"/>
        </w:rPr>
        <w:t xml:space="preserve">Stuart McLaren     </w:t>
      </w:r>
      <w:proofErr w:type="gramStart"/>
      <w:r w:rsidR="00800760">
        <w:rPr>
          <w:rFonts w:ascii="Arial" w:eastAsia="Arial" w:hAnsi="Arial" w:cs="Arial"/>
          <w:color w:val="000000" w:themeColor="text1"/>
          <w:sz w:val="24"/>
          <w:szCs w:val="24"/>
        </w:rPr>
        <w:t xml:space="preserve">  </w:t>
      </w:r>
      <w:r w:rsidRPr="2F17ACDD">
        <w:rPr>
          <w:rFonts w:ascii="Arial" w:eastAsia="Arial" w:hAnsi="Arial" w:cs="Arial"/>
          <w:color w:val="000000" w:themeColor="text1"/>
          <w:sz w:val="24"/>
          <w:szCs w:val="24"/>
        </w:rPr>
        <w:t xml:space="preserve"> (</w:t>
      </w:r>
      <w:proofErr w:type="gramEnd"/>
      <w:r w:rsidR="3E38363E" w:rsidRPr="2F17ACDD">
        <w:rPr>
          <w:rFonts w:ascii="Arial" w:eastAsia="Arial" w:hAnsi="Arial" w:cs="Arial"/>
          <w:color w:val="000000" w:themeColor="text1"/>
          <w:sz w:val="24"/>
          <w:szCs w:val="24"/>
        </w:rPr>
        <w:t>Student</w:t>
      </w:r>
      <w:r w:rsidRPr="2F17ACDD">
        <w:rPr>
          <w:rFonts w:ascii="Arial" w:eastAsia="Arial" w:hAnsi="Arial" w:cs="Arial"/>
          <w:color w:val="000000" w:themeColor="text1"/>
          <w:sz w:val="24"/>
          <w:szCs w:val="24"/>
        </w:rPr>
        <w:t xml:space="preserve">, </w:t>
      </w:r>
      <w:r w:rsidRPr="2F17ACDD">
        <w:rPr>
          <w:rFonts w:ascii="Arial" w:eastAsia="Arial" w:hAnsi="Arial" w:cs="Arial"/>
          <w:i/>
          <w:iCs/>
          <w:color w:val="000000" w:themeColor="text1"/>
          <w:sz w:val="20"/>
          <w:szCs w:val="20"/>
        </w:rPr>
        <w:t>Electronic signature or type name</w:t>
      </w:r>
      <w:r w:rsidRPr="2F17ACDD">
        <w:rPr>
          <w:rFonts w:ascii="Arial" w:eastAsia="Arial" w:hAnsi="Arial" w:cs="Arial"/>
          <w:color w:val="000000" w:themeColor="text1"/>
          <w:sz w:val="24"/>
          <w:szCs w:val="24"/>
        </w:rPr>
        <w:t>)</w:t>
      </w:r>
    </w:p>
    <w:p w14:paraId="322F025C" w14:textId="2696901F"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6A357483" w14:textId="0BE96441"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Date: </w:t>
      </w:r>
      <w:r w:rsidR="00800760">
        <w:rPr>
          <w:rFonts w:ascii="Arial" w:eastAsia="Arial" w:hAnsi="Arial" w:cs="Arial"/>
          <w:color w:val="000000" w:themeColor="text1"/>
          <w:sz w:val="24"/>
          <w:szCs w:val="24"/>
        </w:rPr>
        <w:t>19/05/2023</w:t>
      </w:r>
    </w:p>
    <w:p w14:paraId="1CCC12FB" w14:textId="37BB132A" w:rsidR="7336895D" w:rsidRDefault="7336895D" w:rsidP="7336895D">
      <w:pPr>
        <w:rPr>
          <w:rFonts w:ascii="Arial" w:eastAsia="Arial" w:hAnsi="Arial" w:cs="Arial"/>
          <w:b/>
          <w:bCs/>
          <w:color w:val="000000" w:themeColor="text1"/>
          <w:sz w:val="24"/>
          <w:szCs w:val="24"/>
        </w:rPr>
      </w:pPr>
    </w:p>
    <w:p w14:paraId="61D357BB" w14:textId="2C0401C6" w:rsidR="7336895D" w:rsidRDefault="7336895D" w:rsidP="7336895D">
      <w:pPr>
        <w:rPr>
          <w:rFonts w:ascii="Arial" w:eastAsia="Arial" w:hAnsi="Arial" w:cs="Arial"/>
          <w:b/>
          <w:bCs/>
          <w:sz w:val="28"/>
          <w:szCs w:val="28"/>
        </w:rPr>
      </w:pPr>
    </w:p>
    <w:sectPr w:rsidR="7336895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54B40"/>
    <w:multiLevelType w:val="hybridMultilevel"/>
    <w:tmpl w:val="1E502670"/>
    <w:lvl w:ilvl="0" w:tplc="EC02ADA2">
      <w:start w:val="1"/>
      <w:numFmt w:val="bullet"/>
      <w:lvlText w:val=""/>
      <w:lvlJc w:val="left"/>
      <w:pPr>
        <w:ind w:left="720" w:hanging="360"/>
      </w:pPr>
      <w:rPr>
        <w:rFonts w:ascii="Symbol" w:hAnsi="Symbol" w:hint="default"/>
      </w:rPr>
    </w:lvl>
    <w:lvl w:ilvl="1" w:tplc="D5E6908E">
      <w:start w:val="1"/>
      <w:numFmt w:val="bullet"/>
      <w:lvlText w:val="o"/>
      <w:lvlJc w:val="left"/>
      <w:pPr>
        <w:ind w:left="1440" w:hanging="360"/>
      </w:pPr>
      <w:rPr>
        <w:rFonts w:ascii="Courier New" w:hAnsi="Courier New" w:hint="default"/>
      </w:rPr>
    </w:lvl>
    <w:lvl w:ilvl="2" w:tplc="32987B3A">
      <w:start w:val="1"/>
      <w:numFmt w:val="bullet"/>
      <w:lvlText w:val=""/>
      <w:lvlJc w:val="left"/>
      <w:pPr>
        <w:ind w:left="2160" w:hanging="360"/>
      </w:pPr>
      <w:rPr>
        <w:rFonts w:ascii="Wingdings" w:hAnsi="Wingdings" w:hint="default"/>
      </w:rPr>
    </w:lvl>
    <w:lvl w:ilvl="3" w:tplc="D1380B62">
      <w:start w:val="1"/>
      <w:numFmt w:val="bullet"/>
      <w:lvlText w:val=""/>
      <w:lvlJc w:val="left"/>
      <w:pPr>
        <w:ind w:left="2880" w:hanging="360"/>
      </w:pPr>
      <w:rPr>
        <w:rFonts w:ascii="Symbol" w:hAnsi="Symbol" w:hint="default"/>
      </w:rPr>
    </w:lvl>
    <w:lvl w:ilvl="4" w:tplc="FD6A8D76">
      <w:start w:val="1"/>
      <w:numFmt w:val="bullet"/>
      <w:lvlText w:val="o"/>
      <w:lvlJc w:val="left"/>
      <w:pPr>
        <w:ind w:left="3600" w:hanging="360"/>
      </w:pPr>
      <w:rPr>
        <w:rFonts w:ascii="Courier New" w:hAnsi="Courier New" w:hint="default"/>
      </w:rPr>
    </w:lvl>
    <w:lvl w:ilvl="5" w:tplc="4F5845FE">
      <w:start w:val="1"/>
      <w:numFmt w:val="bullet"/>
      <w:lvlText w:val=""/>
      <w:lvlJc w:val="left"/>
      <w:pPr>
        <w:ind w:left="4320" w:hanging="360"/>
      </w:pPr>
      <w:rPr>
        <w:rFonts w:ascii="Wingdings" w:hAnsi="Wingdings" w:hint="default"/>
      </w:rPr>
    </w:lvl>
    <w:lvl w:ilvl="6" w:tplc="6F4C4ACE">
      <w:start w:val="1"/>
      <w:numFmt w:val="bullet"/>
      <w:lvlText w:val=""/>
      <w:lvlJc w:val="left"/>
      <w:pPr>
        <w:ind w:left="5040" w:hanging="360"/>
      </w:pPr>
      <w:rPr>
        <w:rFonts w:ascii="Symbol" w:hAnsi="Symbol" w:hint="default"/>
      </w:rPr>
    </w:lvl>
    <w:lvl w:ilvl="7" w:tplc="56B602C6">
      <w:start w:val="1"/>
      <w:numFmt w:val="bullet"/>
      <w:lvlText w:val="o"/>
      <w:lvlJc w:val="left"/>
      <w:pPr>
        <w:ind w:left="5760" w:hanging="360"/>
      </w:pPr>
      <w:rPr>
        <w:rFonts w:ascii="Courier New" w:hAnsi="Courier New" w:hint="default"/>
      </w:rPr>
    </w:lvl>
    <w:lvl w:ilvl="8" w:tplc="C2B2D3A2">
      <w:start w:val="1"/>
      <w:numFmt w:val="bullet"/>
      <w:lvlText w:val=""/>
      <w:lvlJc w:val="left"/>
      <w:pPr>
        <w:ind w:left="6480" w:hanging="360"/>
      </w:pPr>
      <w:rPr>
        <w:rFonts w:ascii="Wingdings" w:hAnsi="Wingdings" w:hint="default"/>
      </w:rPr>
    </w:lvl>
  </w:abstractNum>
  <w:abstractNum w:abstractNumId="1" w15:restartNumberingAfterBreak="0">
    <w:nsid w:val="1CFC33CB"/>
    <w:multiLevelType w:val="hybridMultilevel"/>
    <w:tmpl w:val="5A68D282"/>
    <w:lvl w:ilvl="0" w:tplc="74AC65C6">
      <w:start w:val="1"/>
      <w:numFmt w:val="decimal"/>
      <w:lvlText w:val="%1."/>
      <w:lvlJc w:val="left"/>
      <w:pPr>
        <w:ind w:left="720" w:hanging="360"/>
      </w:pPr>
    </w:lvl>
    <w:lvl w:ilvl="1" w:tplc="BB16C16E">
      <w:start w:val="1"/>
      <w:numFmt w:val="lowerLetter"/>
      <w:lvlText w:val="%2."/>
      <w:lvlJc w:val="left"/>
      <w:pPr>
        <w:ind w:left="1440" w:hanging="360"/>
      </w:pPr>
    </w:lvl>
    <w:lvl w:ilvl="2" w:tplc="1BFAC68A">
      <w:start w:val="1"/>
      <w:numFmt w:val="lowerRoman"/>
      <w:lvlText w:val="%3."/>
      <w:lvlJc w:val="right"/>
      <w:pPr>
        <w:ind w:left="2160" w:hanging="180"/>
      </w:pPr>
    </w:lvl>
    <w:lvl w:ilvl="3" w:tplc="4FB09A50">
      <w:start w:val="1"/>
      <w:numFmt w:val="decimal"/>
      <w:lvlText w:val="%4."/>
      <w:lvlJc w:val="left"/>
      <w:pPr>
        <w:ind w:left="2880" w:hanging="360"/>
      </w:pPr>
    </w:lvl>
    <w:lvl w:ilvl="4" w:tplc="553EAE7E">
      <w:start w:val="1"/>
      <w:numFmt w:val="lowerLetter"/>
      <w:lvlText w:val="%5."/>
      <w:lvlJc w:val="left"/>
      <w:pPr>
        <w:ind w:left="3600" w:hanging="360"/>
      </w:pPr>
    </w:lvl>
    <w:lvl w:ilvl="5" w:tplc="86249820">
      <w:start w:val="1"/>
      <w:numFmt w:val="lowerRoman"/>
      <w:lvlText w:val="%6."/>
      <w:lvlJc w:val="right"/>
      <w:pPr>
        <w:ind w:left="4320" w:hanging="180"/>
      </w:pPr>
    </w:lvl>
    <w:lvl w:ilvl="6" w:tplc="B3FA0E74">
      <w:start w:val="1"/>
      <w:numFmt w:val="decimal"/>
      <w:lvlText w:val="%7."/>
      <w:lvlJc w:val="left"/>
      <w:pPr>
        <w:ind w:left="5040" w:hanging="360"/>
      </w:pPr>
    </w:lvl>
    <w:lvl w:ilvl="7" w:tplc="C74A086C">
      <w:start w:val="1"/>
      <w:numFmt w:val="lowerLetter"/>
      <w:lvlText w:val="%8."/>
      <w:lvlJc w:val="left"/>
      <w:pPr>
        <w:ind w:left="5760" w:hanging="360"/>
      </w:pPr>
    </w:lvl>
    <w:lvl w:ilvl="8" w:tplc="6D5C0176">
      <w:start w:val="1"/>
      <w:numFmt w:val="lowerRoman"/>
      <w:lvlText w:val="%9."/>
      <w:lvlJc w:val="right"/>
      <w:pPr>
        <w:ind w:left="6480" w:hanging="180"/>
      </w:pPr>
    </w:lvl>
  </w:abstractNum>
  <w:abstractNum w:abstractNumId="2" w15:restartNumberingAfterBreak="0">
    <w:nsid w:val="35B92917"/>
    <w:multiLevelType w:val="hybridMultilevel"/>
    <w:tmpl w:val="2F542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01E6C"/>
    <w:multiLevelType w:val="hybridMultilevel"/>
    <w:tmpl w:val="BBBE0406"/>
    <w:lvl w:ilvl="0" w:tplc="A99C661C">
      <w:start w:val="1"/>
      <w:numFmt w:val="bullet"/>
      <w:lvlText w:val=""/>
      <w:lvlJc w:val="left"/>
      <w:pPr>
        <w:ind w:left="720" w:hanging="360"/>
      </w:pPr>
      <w:rPr>
        <w:rFonts w:ascii="Symbol" w:hAnsi="Symbol" w:hint="default"/>
      </w:rPr>
    </w:lvl>
    <w:lvl w:ilvl="1" w:tplc="A996777E">
      <w:start w:val="1"/>
      <w:numFmt w:val="bullet"/>
      <w:lvlText w:val="o"/>
      <w:lvlJc w:val="left"/>
      <w:pPr>
        <w:ind w:left="1440" w:hanging="360"/>
      </w:pPr>
      <w:rPr>
        <w:rFonts w:ascii="Courier New" w:hAnsi="Courier New" w:hint="default"/>
      </w:rPr>
    </w:lvl>
    <w:lvl w:ilvl="2" w:tplc="7EDA0B1E">
      <w:start w:val="1"/>
      <w:numFmt w:val="bullet"/>
      <w:lvlText w:val=""/>
      <w:lvlJc w:val="left"/>
      <w:pPr>
        <w:ind w:left="2160" w:hanging="360"/>
      </w:pPr>
      <w:rPr>
        <w:rFonts w:ascii="Wingdings" w:hAnsi="Wingdings" w:hint="default"/>
      </w:rPr>
    </w:lvl>
    <w:lvl w:ilvl="3" w:tplc="FFEA6F6E">
      <w:start w:val="1"/>
      <w:numFmt w:val="bullet"/>
      <w:lvlText w:val=""/>
      <w:lvlJc w:val="left"/>
      <w:pPr>
        <w:ind w:left="2880" w:hanging="360"/>
      </w:pPr>
      <w:rPr>
        <w:rFonts w:ascii="Symbol" w:hAnsi="Symbol" w:hint="default"/>
      </w:rPr>
    </w:lvl>
    <w:lvl w:ilvl="4" w:tplc="5AC4A364">
      <w:start w:val="1"/>
      <w:numFmt w:val="bullet"/>
      <w:lvlText w:val="o"/>
      <w:lvlJc w:val="left"/>
      <w:pPr>
        <w:ind w:left="3600" w:hanging="360"/>
      </w:pPr>
      <w:rPr>
        <w:rFonts w:ascii="Courier New" w:hAnsi="Courier New" w:hint="default"/>
      </w:rPr>
    </w:lvl>
    <w:lvl w:ilvl="5" w:tplc="AC605BF0">
      <w:start w:val="1"/>
      <w:numFmt w:val="bullet"/>
      <w:lvlText w:val=""/>
      <w:lvlJc w:val="left"/>
      <w:pPr>
        <w:ind w:left="4320" w:hanging="360"/>
      </w:pPr>
      <w:rPr>
        <w:rFonts w:ascii="Wingdings" w:hAnsi="Wingdings" w:hint="default"/>
      </w:rPr>
    </w:lvl>
    <w:lvl w:ilvl="6" w:tplc="995022AC">
      <w:start w:val="1"/>
      <w:numFmt w:val="bullet"/>
      <w:lvlText w:val=""/>
      <w:lvlJc w:val="left"/>
      <w:pPr>
        <w:ind w:left="5040" w:hanging="360"/>
      </w:pPr>
      <w:rPr>
        <w:rFonts w:ascii="Symbol" w:hAnsi="Symbol" w:hint="default"/>
      </w:rPr>
    </w:lvl>
    <w:lvl w:ilvl="7" w:tplc="62224DE4">
      <w:start w:val="1"/>
      <w:numFmt w:val="bullet"/>
      <w:lvlText w:val="o"/>
      <w:lvlJc w:val="left"/>
      <w:pPr>
        <w:ind w:left="5760" w:hanging="360"/>
      </w:pPr>
      <w:rPr>
        <w:rFonts w:ascii="Courier New" w:hAnsi="Courier New" w:hint="default"/>
      </w:rPr>
    </w:lvl>
    <w:lvl w:ilvl="8" w:tplc="AB3C9300">
      <w:start w:val="1"/>
      <w:numFmt w:val="bullet"/>
      <w:lvlText w:val=""/>
      <w:lvlJc w:val="left"/>
      <w:pPr>
        <w:ind w:left="6480" w:hanging="360"/>
      </w:pPr>
      <w:rPr>
        <w:rFonts w:ascii="Wingdings" w:hAnsi="Wingdings" w:hint="default"/>
      </w:rPr>
    </w:lvl>
  </w:abstractNum>
  <w:abstractNum w:abstractNumId="4" w15:restartNumberingAfterBreak="0">
    <w:nsid w:val="41761BC1"/>
    <w:multiLevelType w:val="hybridMultilevel"/>
    <w:tmpl w:val="F2426236"/>
    <w:lvl w:ilvl="0" w:tplc="20328062">
      <w:start w:val="1"/>
      <w:numFmt w:val="bullet"/>
      <w:lvlText w:val=""/>
      <w:lvlJc w:val="left"/>
      <w:pPr>
        <w:ind w:left="720" w:hanging="360"/>
      </w:pPr>
      <w:rPr>
        <w:rFonts w:ascii="Symbol" w:hAnsi="Symbol" w:hint="default"/>
      </w:rPr>
    </w:lvl>
    <w:lvl w:ilvl="1" w:tplc="9796BF00">
      <w:start w:val="1"/>
      <w:numFmt w:val="bullet"/>
      <w:lvlText w:val="o"/>
      <w:lvlJc w:val="left"/>
      <w:pPr>
        <w:ind w:left="1440" w:hanging="360"/>
      </w:pPr>
      <w:rPr>
        <w:rFonts w:ascii="Courier New" w:hAnsi="Courier New" w:hint="default"/>
      </w:rPr>
    </w:lvl>
    <w:lvl w:ilvl="2" w:tplc="E3FE30C0">
      <w:start w:val="1"/>
      <w:numFmt w:val="bullet"/>
      <w:lvlText w:val=""/>
      <w:lvlJc w:val="left"/>
      <w:pPr>
        <w:ind w:left="2160" w:hanging="360"/>
      </w:pPr>
      <w:rPr>
        <w:rFonts w:ascii="Wingdings" w:hAnsi="Wingdings" w:hint="default"/>
      </w:rPr>
    </w:lvl>
    <w:lvl w:ilvl="3" w:tplc="88B8715A">
      <w:start w:val="1"/>
      <w:numFmt w:val="bullet"/>
      <w:lvlText w:val=""/>
      <w:lvlJc w:val="left"/>
      <w:pPr>
        <w:ind w:left="2880" w:hanging="360"/>
      </w:pPr>
      <w:rPr>
        <w:rFonts w:ascii="Symbol" w:hAnsi="Symbol" w:hint="default"/>
      </w:rPr>
    </w:lvl>
    <w:lvl w:ilvl="4" w:tplc="150CDA48">
      <w:start w:val="1"/>
      <w:numFmt w:val="bullet"/>
      <w:lvlText w:val="o"/>
      <w:lvlJc w:val="left"/>
      <w:pPr>
        <w:ind w:left="3600" w:hanging="360"/>
      </w:pPr>
      <w:rPr>
        <w:rFonts w:ascii="Courier New" w:hAnsi="Courier New" w:hint="default"/>
      </w:rPr>
    </w:lvl>
    <w:lvl w:ilvl="5" w:tplc="AA983038">
      <w:start w:val="1"/>
      <w:numFmt w:val="bullet"/>
      <w:lvlText w:val=""/>
      <w:lvlJc w:val="left"/>
      <w:pPr>
        <w:ind w:left="4320" w:hanging="360"/>
      </w:pPr>
      <w:rPr>
        <w:rFonts w:ascii="Wingdings" w:hAnsi="Wingdings" w:hint="default"/>
      </w:rPr>
    </w:lvl>
    <w:lvl w:ilvl="6" w:tplc="35FC761A">
      <w:start w:val="1"/>
      <w:numFmt w:val="bullet"/>
      <w:lvlText w:val=""/>
      <w:lvlJc w:val="left"/>
      <w:pPr>
        <w:ind w:left="5040" w:hanging="360"/>
      </w:pPr>
      <w:rPr>
        <w:rFonts w:ascii="Symbol" w:hAnsi="Symbol" w:hint="default"/>
      </w:rPr>
    </w:lvl>
    <w:lvl w:ilvl="7" w:tplc="6722E56E">
      <w:start w:val="1"/>
      <w:numFmt w:val="bullet"/>
      <w:lvlText w:val="o"/>
      <w:lvlJc w:val="left"/>
      <w:pPr>
        <w:ind w:left="5760" w:hanging="360"/>
      </w:pPr>
      <w:rPr>
        <w:rFonts w:ascii="Courier New" w:hAnsi="Courier New" w:hint="default"/>
      </w:rPr>
    </w:lvl>
    <w:lvl w:ilvl="8" w:tplc="2CE2291A">
      <w:start w:val="1"/>
      <w:numFmt w:val="bullet"/>
      <w:lvlText w:val=""/>
      <w:lvlJc w:val="left"/>
      <w:pPr>
        <w:ind w:left="6480" w:hanging="360"/>
      </w:pPr>
      <w:rPr>
        <w:rFonts w:ascii="Wingdings" w:hAnsi="Wingdings" w:hint="default"/>
      </w:rPr>
    </w:lvl>
  </w:abstractNum>
  <w:abstractNum w:abstractNumId="5" w15:restartNumberingAfterBreak="0">
    <w:nsid w:val="4B1D4E0A"/>
    <w:multiLevelType w:val="hybridMultilevel"/>
    <w:tmpl w:val="51F812FC"/>
    <w:lvl w:ilvl="0" w:tplc="ABB84964">
      <w:start w:val="1"/>
      <w:numFmt w:val="bullet"/>
      <w:lvlText w:val=""/>
      <w:lvlJc w:val="left"/>
      <w:pPr>
        <w:ind w:left="720" w:hanging="360"/>
      </w:pPr>
      <w:rPr>
        <w:rFonts w:ascii="Symbol" w:hAnsi="Symbol" w:hint="default"/>
      </w:rPr>
    </w:lvl>
    <w:lvl w:ilvl="1" w:tplc="F4169BC0">
      <w:start w:val="1"/>
      <w:numFmt w:val="bullet"/>
      <w:lvlText w:val="o"/>
      <w:lvlJc w:val="left"/>
      <w:pPr>
        <w:ind w:left="1440" w:hanging="360"/>
      </w:pPr>
      <w:rPr>
        <w:rFonts w:ascii="Courier New" w:hAnsi="Courier New" w:hint="default"/>
      </w:rPr>
    </w:lvl>
    <w:lvl w:ilvl="2" w:tplc="9E5A485C">
      <w:start w:val="1"/>
      <w:numFmt w:val="bullet"/>
      <w:lvlText w:val=""/>
      <w:lvlJc w:val="left"/>
      <w:pPr>
        <w:ind w:left="2160" w:hanging="360"/>
      </w:pPr>
      <w:rPr>
        <w:rFonts w:ascii="Wingdings" w:hAnsi="Wingdings" w:hint="default"/>
      </w:rPr>
    </w:lvl>
    <w:lvl w:ilvl="3" w:tplc="55EE0194">
      <w:start w:val="1"/>
      <w:numFmt w:val="bullet"/>
      <w:lvlText w:val=""/>
      <w:lvlJc w:val="left"/>
      <w:pPr>
        <w:ind w:left="2880" w:hanging="360"/>
      </w:pPr>
      <w:rPr>
        <w:rFonts w:ascii="Symbol" w:hAnsi="Symbol" w:hint="default"/>
      </w:rPr>
    </w:lvl>
    <w:lvl w:ilvl="4" w:tplc="C1AC993E">
      <w:start w:val="1"/>
      <w:numFmt w:val="bullet"/>
      <w:lvlText w:val="o"/>
      <w:lvlJc w:val="left"/>
      <w:pPr>
        <w:ind w:left="3600" w:hanging="360"/>
      </w:pPr>
      <w:rPr>
        <w:rFonts w:ascii="Courier New" w:hAnsi="Courier New" w:hint="default"/>
      </w:rPr>
    </w:lvl>
    <w:lvl w:ilvl="5" w:tplc="5F8CF5A4">
      <w:start w:val="1"/>
      <w:numFmt w:val="bullet"/>
      <w:lvlText w:val=""/>
      <w:lvlJc w:val="left"/>
      <w:pPr>
        <w:ind w:left="4320" w:hanging="360"/>
      </w:pPr>
      <w:rPr>
        <w:rFonts w:ascii="Wingdings" w:hAnsi="Wingdings" w:hint="default"/>
      </w:rPr>
    </w:lvl>
    <w:lvl w:ilvl="6" w:tplc="358466B4">
      <w:start w:val="1"/>
      <w:numFmt w:val="bullet"/>
      <w:lvlText w:val=""/>
      <w:lvlJc w:val="left"/>
      <w:pPr>
        <w:ind w:left="5040" w:hanging="360"/>
      </w:pPr>
      <w:rPr>
        <w:rFonts w:ascii="Symbol" w:hAnsi="Symbol" w:hint="default"/>
      </w:rPr>
    </w:lvl>
    <w:lvl w:ilvl="7" w:tplc="92A40ED6">
      <w:start w:val="1"/>
      <w:numFmt w:val="bullet"/>
      <w:lvlText w:val="o"/>
      <w:lvlJc w:val="left"/>
      <w:pPr>
        <w:ind w:left="5760" w:hanging="360"/>
      </w:pPr>
      <w:rPr>
        <w:rFonts w:ascii="Courier New" w:hAnsi="Courier New" w:hint="default"/>
      </w:rPr>
    </w:lvl>
    <w:lvl w:ilvl="8" w:tplc="99FE3D0C">
      <w:start w:val="1"/>
      <w:numFmt w:val="bullet"/>
      <w:lvlText w:val=""/>
      <w:lvlJc w:val="left"/>
      <w:pPr>
        <w:ind w:left="6480" w:hanging="360"/>
      </w:pPr>
      <w:rPr>
        <w:rFonts w:ascii="Wingdings" w:hAnsi="Wingdings" w:hint="default"/>
      </w:rPr>
    </w:lvl>
  </w:abstractNum>
  <w:abstractNum w:abstractNumId="6" w15:restartNumberingAfterBreak="0">
    <w:nsid w:val="55293EAD"/>
    <w:multiLevelType w:val="hybridMultilevel"/>
    <w:tmpl w:val="7A7A218E"/>
    <w:lvl w:ilvl="0" w:tplc="B06C9410">
      <w:start w:val="1"/>
      <w:numFmt w:val="bullet"/>
      <w:lvlText w:val=""/>
      <w:lvlJc w:val="left"/>
      <w:pPr>
        <w:ind w:left="720" w:hanging="360"/>
      </w:pPr>
      <w:rPr>
        <w:rFonts w:ascii="Symbol" w:hAnsi="Symbol" w:hint="default"/>
      </w:rPr>
    </w:lvl>
    <w:lvl w:ilvl="1" w:tplc="9DBEF7D6">
      <w:start w:val="1"/>
      <w:numFmt w:val="bullet"/>
      <w:lvlText w:val="o"/>
      <w:lvlJc w:val="left"/>
      <w:pPr>
        <w:ind w:left="1440" w:hanging="360"/>
      </w:pPr>
      <w:rPr>
        <w:rFonts w:ascii="Courier New" w:hAnsi="Courier New" w:hint="default"/>
      </w:rPr>
    </w:lvl>
    <w:lvl w:ilvl="2" w:tplc="6E729404">
      <w:start w:val="1"/>
      <w:numFmt w:val="bullet"/>
      <w:lvlText w:val=""/>
      <w:lvlJc w:val="left"/>
      <w:pPr>
        <w:ind w:left="2160" w:hanging="360"/>
      </w:pPr>
      <w:rPr>
        <w:rFonts w:ascii="Wingdings" w:hAnsi="Wingdings" w:hint="default"/>
      </w:rPr>
    </w:lvl>
    <w:lvl w:ilvl="3" w:tplc="E9C246CE">
      <w:start w:val="1"/>
      <w:numFmt w:val="bullet"/>
      <w:lvlText w:val=""/>
      <w:lvlJc w:val="left"/>
      <w:pPr>
        <w:ind w:left="2880" w:hanging="360"/>
      </w:pPr>
      <w:rPr>
        <w:rFonts w:ascii="Symbol" w:hAnsi="Symbol" w:hint="default"/>
      </w:rPr>
    </w:lvl>
    <w:lvl w:ilvl="4" w:tplc="B0D67076">
      <w:start w:val="1"/>
      <w:numFmt w:val="bullet"/>
      <w:lvlText w:val="o"/>
      <w:lvlJc w:val="left"/>
      <w:pPr>
        <w:ind w:left="3600" w:hanging="360"/>
      </w:pPr>
      <w:rPr>
        <w:rFonts w:ascii="Courier New" w:hAnsi="Courier New" w:hint="default"/>
      </w:rPr>
    </w:lvl>
    <w:lvl w:ilvl="5" w:tplc="FDCE8B32">
      <w:start w:val="1"/>
      <w:numFmt w:val="bullet"/>
      <w:lvlText w:val=""/>
      <w:lvlJc w:val="left"/>
      <w:pPr>
        <w:ind w:left="4320" w:hanging="360"/>
      </w:pPr>
      <w:rPr>
        <w:rFonts w:ascii="Wingdings" w:hAnsi="Wingdings" w:hint="default"/>
      </w:rPr>
    </w:lvl>
    <w:lvl w:ilvl="6" w:tplc="974CD5E4">
      <w:start w:val="1"/>
      <w:numFmt w:val="bullet"/>
      <w:lvlText w:val=""/>
      <w:lvlJc w:val="left"/>
      <w:pPr>
        <w:ind w:left="5040" w:hanging="360"/>
      </w:pPr>
      <w:rPr>
        <w:rFonts w:ascii="Symbol" w:hAnsi="Symbol" w:hint="default"/>
      </w:rPr>
    </w:lvl>
    <w:lvl w:ilvl="7" w:tplc="24542340">
      <w:start w:val="1"/>
      <w:numFmt w:val="bullet"/>
      <w:lvlText w:val="o"/>
      <w:lvlJc w:val="left"/>
      <w:pPr>
        <w:ind w:left="5760" w:hanging="360"/>
      </w:pPr>
      <w:rPr>
        <w:rFonts w:ascii="Courier New" w:hAnsi="Courier New" w:hint="default"/>
      </w:rPr>
    </w:lvl>
    <w:lvl w:ilvl="8" w:tplc="A71C8B78">
      <w:start w:val="1"/>
      <w:numFmt w:val="bullet"/>
      <w:lvlText w:val=""/>
      <w:lvlJc w:val="left"/>
      <w:pPr>
        <w:ind w:left="6480" w:hanging="360"/>
      </w:pPr>
      <w:rPr>
        <w:rFonts w:ascii="Wingdings" w:hAnsi="Wingdings" w:hint="default"/>
      </w:rPr>
    </w:lvl>
  </w:abstractNum>
  <w:abstractNum w:abstractNumId="7" w15:restartNumberingAfterBreak="0">
    <w:nsid w:val="59846ACD"/>
    <w:multiLevelType w:val="hybridMultilevel"/>
    <w:tmpl w:val="1C66E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385ED4"/>
    <w:multiLevelType w:val="hybridMultilevel"/>
    <w:tmpl w:val="4DAE78EA"/>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5B5F0EFA"/>
    <w:multiLevelType w:val="hybridMultilevel"/>
    <w:tmpl w:val="960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DA4A9E"/>
    <w:multiLevelType w:val="hybridMultilevel"/>
    <w:tmpl w:val="491E9B58"/>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7E043FF5"/>
    <w:multiLevelType w:val="hybridMultilevel"/>
    <w:tmpl w:val="C3C8677C"/>
    <w:lvl w:ilvl="0" w:tplc="57EA2F0A">
      <w:start w:val="1"/>
      <w:numFmt w:val="bullet"/>
      <w:lvlText w:val="●"/>
      <w:lvlJc w:val="left"/>
      <w:pPr>
        <w:ind w:left="720" w:hanging="360"/>
      </w:pPr>
      <w:rPr>
        <w:rFonts w:ascii="Noto Sans Symbols" w:hAnsi="Noto Sans Symbols" w:hint="default"/>
      </w:rPr>
    </w:lvl>
    <w:lvl w:ilvl="1" w:tplc="0C4889B4">
      <w:start w:val="1"/>
      <w:numFmt w:val="bullet"/>
      <w:lvlText w:val="o"/>
      <w:lvlJc w:val="left"/>
      <w:pPr>
        <w:ind w:left="1440" w:hanging="360"/>
      </w:pPr>
      <w:rPr>
        <w:rFonts w:ascii="Courier New" w:hAnsi="Courier New" w:hint="default"/>
      </w:rPr>
    </w:lvl>
    <w:lvl w:ilvl="2" w:tplc="4B903C62">
      <w:start w:val="1"/>
      <w:numFmt w:val="bullet"/>
      <w:lvlText w:val=""/>
      <w:lvlJc w:val="left"/>
      <w:pPr>
        <w:ind w:left="2160" w:hanging="360"/>
      </w:pPr>
      <w:rPr>
        <w:rFonts w:ascii="Wingdings" w:hAnsi="Wingdings" w:hint="default"/>
      </w:rPr>
    </w:lvl>
    <w:lvl w:ilvl="3" w:tplc="D7F0A6F8">
      <w:start w:val="1"/>
      <w:numFmt w:val="bullet"/>
      <w:lvlText w:val=""/>
      <w:lvlJc w:val="left"/>
      <w:pPr>
        <w:ind w:left="2880" w:hanging="360"/>
      </w:pPr>
      <w:rPr>
        <w:rFonts w:ascii="Symbol" w:hAnsi="Symbol" w:hint="default"/>
      </w:rPr>
    </w:lvl>
    <w:lvl w:ilvl="4" w:tplc="1E586918">
      <w:start w:val="1"/>
      <w:numFmt w:val="bullet"/>
      <w:lvlText w:val="o"/>
      <w:lvlJc w:val="left"/>
      <w:pPr>
        <w:ind w:left="3600" w:hanging="360"/>
      </w:pPr>
      <w:rPr>
        <w:rFonts w:ascii="Courier New" w:hAnsi="Courier New" w:hint="default"/>
      </w:rPr>
    </w:lvl>
    <w:lvl w:ilvl="5" w:tplc="30FA3322">
      <w:start w:val="1"/>
      <w:numFmt w:val="bullet"/>
      <w:lvlText w:val=""/>
      <w:lvlJc w:val="left"/>
      <w:pPr>
        <w:ind w:left="4320" w:hanging="360"/>
      </w:pPr>
      <w:rPr>
        <w:rFonts w:ascii="Wingdings" w:hAnsi="Wingdings" w:hint="default"/>
      </w:rPr>
    </w:lvl>
    <w:lvl w:ilvl="6" w:tplc="EA4E363A">
      <w:start w:val="1"/>
      <w:numFmt w:val="bullet"/>
      <w:lvlText w:val=""/>
      <w:lvlJc w:val="left"/>
      <w:pPr>
        <w:ind w:left="5040" w:hanging="360"/>
      </w:pPr>
      <w:rPr>
        <w:rFonts w:ascii="Symbol" w:hAnsi="Symbol" w:hint="default"/>
      </w:rPr>
    </w:lvl>
    <w:lvl w:ilvl="7" w:tplc="DFCC3B8C">
      <w:start w:val="1"/>
      <w:numFmt w:val="bullet"/>
      <w:lvlText w:val="o"/>
      <w:lvlJc w:val="left"/>
      <w:pPr>
        <w:ind w:left="5760" w:hanging="360"/>
      </w:pPr>
      <w:rPr>
        <w:rFonts w:ascii="Courier New" w:hAnsi="Courier New" w:hint="default"/>
      </w:rPr>
    </w:lvl>
    <w:lvl w:ilvl="8" w:tplc="EFBE1096">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1"/>
  </w:num>
  <w:num w:numId="4">
    <w:abstractNumId w:val="6"/>
  </w:num>
  <w:num w:numId="5">
    <w:abstractNumId w:val="0"/>
  </w:num>
  <w:num w:numId="6">
    <w:abstractNumId w:val="4"/>
  </w:num>
  <w:num w:numId="7">
    <w:abstractNumId w:val="1"/>
  </w:num>
  <w:num w:numId="8">
    <w:abstractNumId w:val="2"/>
  </w:num>
  <w:num w:numId="9">
    <w:abstractNumId w:val="9"/>
  </w:num>
  <w:num w:numId="10">
    <w:abstractNumId w:val="10"/>
  </w:num>
  <w:num w:numId="11">
    <w:abstractNumId w:val="8"/>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0A0FEB"/>
    <w:rsid w:val="00140EE7"/>
    <w:rsid w:val="00170890"/>
    <w:rsid w:val="001B7CC9"/>
    <w:rsid w:val="001C2838"/>
    <w:rsid w:val="001E07A7"/>
    <w:rsid w:val="002274B4"/>
    <w:rsid w:val="00254A12"/>
    <w:rsid w:val="002729A2"/>
    <w:rsid w:val="002B44CF"/>
    <w:rsid w:val="003830A4"/>
    <w:rsid w:val="003879DD"/>
    <w:rsid w:val="003C0AFB"/>
    <w:rsid w:val="00433289"/>
    <w:rsid w:val="00443A23"/>
    <w:rsid w:val="004C7050"/>
    <w:rsid w:val="004E44C2"/>
    <w:rsid w:val="00507F5F"/>
    <w:rsid w:val="005C69A6"/>
    <w:rsid w:val="005F02C8"/>
    <w:rsid w:val="005F3CB0"/>
    <w:rsid w:val="00604404"/>
    <w:rsid w:val="006170DE"/>
    <w:rsid w:val="00627B9C"/>
    <w:rsid w:val="00634A90"/>
    <w:rsid w:val="00641CB7"/>
    <w:rsid w:val="00716C5E"/>
    <w:rsid w:val="00720EDF"/>
    <w:rsid w:val="00725E1D"/>
    <w:rsid w:val="007A32AA"/>
    <w:rsid w:val="007B2DF2"/>
    <w:rsid w:val="007F6ED0"/>
    <w:rsid w:val="00800760"/>
    <w:rsid w:val="0082038F"/>
    <w:rsid w:val="0083163B"/>
    <w:rsid w:val="00831A92"/>
    <w:rsid w:val="00871106"/>
    <w:rsid w:val="0089207E"/>
    <w:rsid w:val="008A12CB"/>
    <w:rsid w:val="008C245F"/>
    <w:rsid w:val="008D2F30"/>
    <w:rsid w:val="00911C51"/>
    <w:rsid w:val="00913D04"/>
    <w:rsid w:val="009175A6"/>
    <w:rsid w:val="00926D53"/>
    <w:rsid w:val="00965385"/>
    <w:rsid w:val="0098279B"/>
    <w:rsid w:val="009A0381"/>
    <w:rsid w:val="009A0E00"/>
    <w:rsid w:val="009F06D3"/>
    <w:rsid w:val="009F6B7D"/>
    <w:rsid w:val="00A11530"/>
    <w:rsid w:val="00A21CEE"/>
    <w:rsid w:val="00AD7D77"/>
    <w:rsid w:val="00B10E8D"/>
    <w:rsid w:val="00B277FE"/>
    <w:rsid w:val="00B73A43"/>
    <w:rsid w:val="00CA1672"/>
    <w:rsid w:val="00CC1EB7"/>
    <w:rsid w:val="00D037DB"/>
    <w:rsid w:val="00D055CC"/>
    <w:rsid w:val="00D46667"/>
    <w:rsid w:val="00D64C30"/>
    <w:rsid w:val="00D8137B"/>
    <w:rsid w:val="00DB7A8B"/>
    <w:rsid w:val="00DF753B"/>
    <w:rsid w:val="00E15C4A"/>
    <w:rsid w:val="00EC491A"/>
    <w:rsid w:val="00EC7044"/>
    <w:rsid w:val="00ED6C75"/>
    <w:rsid w:val="00EE2F46"/>
    <w:rsid w:val="00F33885"/>
    <w:rsid w:val="00F6619C"/>
    <w:rsid w:val="00F66D13"/>
    <w:rsid w:val="00F954F9"/>
    <w:rsid w:val="00FE0B33"/>
    <w:rsid w:val="010A2EC9"/>
    <w:rsid w:val="0136CB53"/>
    <w:rsid w:val="01533711"/>
    <w:rsid w:val="0164F6A5"/>
    <w:rsid w:val="01A923D8"/>
    <w:rsid w:val="01B3FCC5"/>
    <w:rsid w:val="01CB2635"/>
    <w:rsid w:val="021C0392"/>
    <w:rsid w:val="0234B5BF"/>
    <w:rsid w:val="0282740F"/>
    <w:rsid w:val="02F7C53E"/>
    <w:rsid w:val="0361198B"/>
    <w:rsid w:val="03F28E3E"/>
    <w:rsid w:val="044F70D2"/>
    <w:rsid w:val="04898A5B"/>
    <w:rsid w:val="05278E14"/>
    <w:rsid w:val="06BF2D3F"/>
    <w:rsid w:val="06D6C6C7"/>
    <w:rsid w:val="0720D680"/>
    <w:rsid w:val="072EA6D4"/>
    <w:rsid w:val="07A0291E"/>
    <w:rsid w:val="07AC996B"/>
    <w:rsid w:val="07B8FE6B"/>
    <w:rsid w:val="07BFD4EB"/>
    <w:rsid w:val="07F1D9CE"/>
    <w:rsid w:val="083FF0AB"/>
    <w:rsid w:val="09514B01"/>
    <w:rsid w:val="0981EBD8"/>
    <w:rsid w:val="0984B8F7"/>
    <w:rsid w:val="09D70C1D"/>
    <w:rsid w:val="0A027A66"/>
    <w:rsid w:val="0A04C9C0"/>
    <w:rsid w:val="0A18EE86"/>
    <w:rsid w:val="0A772BB1"/>
    <w:rsid w:val="0A7F7C2A"/>
    <w:rsid w:val="0AAAFA2B"/>
    <w:rsid w:val="0ADE4D50"/>
    <w:rsid w:val="0B281E6C"/>
    <w:rsid w:val="0B71B5B3"/>
    <w:rsid w:val="0C3EB9E8"/>
    <w:rsid w:val="0C5C9C3E"/>
    <w:rsid w:val="0C8C6F8E"/>
    <w:rsid w:val="0CAA7532"/>
    <w:rsid w:val="0D2E6EC3"/>
    <w:rsid w:val="0DFF38BA"/>
    <w:rsid w:val="0E25CFC3"/>
    <w:rsid w:val="0E2F166F"/>
    <w:rsid w:val="0E8B2F99"/>
    <w:rsid w:val="0EC9CDDE"/>
    <w:rsid w:val="0ECA3F24"/>
    <w:rsid w:val="0F5177FA"/>
    <w:rsid w:val="0F88331D"/>
    <w:rsid w:val="103F1B9A"/>
    <w:rsid w:val="10812014"/>
    <w:rsid w:val="109CCF78"/>
    <w:rsid w:val="10F2D127"/>
    <w:rsid w:val="11059299"/>
    <w:rsid w:val="1131B43F"/>
    <w:rsid w:val="11557C5A"/>
    <w:rsid w:val="115D7085"/>
    <w:rsid w:val="1161A79E"/>
    <w:rsid w:val="1166B731"/>
    <w:rsid w:val="11893571"/>
    <w:rsid w:val="12084B12"/>
    <w:rsid w:val="12F55137"/>
    <w:rsid w:val="1307522D"/>
    <w:rsid w:val="131353C9"/>
    <w:rsid w:val="131953EB"/>
    <w:rsid w:val="13BA565E"/>
    <w:rsid w:val="141362C1"/>
    <w:rsid w:val="149FDD07"/>
    <w:rsid w:val="14A065ED"/>
    <w:rsid w:val="14C76B9E"/>
    <w:rsid w:val="150D59F0"/>
    <w:rsid w:val="15A75648"/>
    <w:rsid w:val="15C742EA"/>
    <w:rsid w:val="16052562"/>
    <w:rsid w:val="165D14E1"/>
    <w:rsid w:val="165D77C9"/>
    <w:rsid w:val="16633BFF"/>
    <w:rsid w:val="16A5B1FE"/>
    <w:rsid w:val="174F78FE"/>
    <w:rsid w:val="17DF5312"/>
    <w:rsid w:val="17E316E4"/>
    <w:rsid w:val="17E92F93"/>
    <w:rsid w:val="181D3C55"/>
    <w:rsid w:val="18332301"/>
    <w:rsid w:val="18AD1EC8"/>
    <w:rsid w:val="19A118D1"/>
    <w:rsid w:val="19A4CD8C"/>
    <w:rsid w:val="1A56100D"/>
    <w:rsid w:val="1A74271E"/>
    <w:rsid w:val="1AEF81B5"/>
    <w:rsid w:val="1B0A8F4D"/>
    <w:rsid w:val="1B19800C"/>
    <w:rsid w:val="1B1D84C5"/>
    <w:rsid w:val="1B3FFD0B"/>
    <w:rsid w:val="1BAF70B6"/>
    <w:rsid w:val="1BCE5E2F"/>
    <w:rsid w:val="1BF96E37"/>
    <w:rsid w:val="1C8B2FA4"/>
    <w:rsid w:val="1CD88FC1"/>
    <w:rsid w:val="1CDF7B3F"/>
    <w:rsid w:val="1D389B3A"/>
    <w:rsid w:val="1E060C39"/>
    <w:rsid w:val="1E611AAB"/>
    <w:rsid w:val="1EA4B145"/>
    <w:rsid w:val="1EBEE606"/>
    <w:rsid w:val="1EC85EE7"/>
    <w:rsid w:val="1ECDA5BD"/>
    <w:rsid w:val="1EE71178"/>
    <w:rsid w:val="1F18DDCE"/>
    <w:rsid w:val="1F8731CE"/>
    <w:rsid w:val="1F9D89F6"/>
    <w:rsid w:val="1FD2736D"/>
    <w:rsid w:val="2003F727"/>
    <w:rsid w:val="200B16CF"/>
    <w:rsid w:val="20387707"/>
    <w:rsid w:val="204F25C1"/>
    <w:rsid w:val="20571347"/>
    <w:rsid w:val="2064BCDF"/>
    <w:rsid w:val="20A6415A"/>
    <w:rsid w:val="216BA024"/>
    <w:rsid w:val="2173DA8E"/>
    <w:rsid w:val="217741BD"/>
    <w:rsid w:val="21E64008"/>
    <w:rsid w:val="2228C033"/>
    <w:rsid w:val="223C72C6"/>
    <w:rsid w:val="2258075B"/>
    <w:rsid w:val="22989878"/>
    <w:rsid w:val="232D13EF"/>
    <w:rsid w:val="233552EC"/>
    <w:rsid w:val="23733B1E"/>
    <w:rsid w:val="23895639"/>
    <w:rsid w:val="23CC4803"/>
    <w:rsid w:val="23DBD5C3"/>
    <w:rsid w:val="24035274"/>
    <w:rsid w:val="241B4BAD"/>
    <w:rsid w:val="2430E229"/>
    <w:rsid w:val="2464EBBD"/>
    <w:rsid w:val="246D6816"/>
    <w:rsid w:val="2493FC28"/>
    <w:rsid w:val="24C4670B"/>
    <w:rsid w:val="25B7CE95"/>
    <w:rsid w:val="26A2D76F"/>
    <w:rsid w:val="26AADBE0"/>
    <w:rsid w:val="2723F8F5"/>
    <w:rsid w:val="2765B99A"/>
    <w:rsid w:val="2779F53D"/>
    <w:rsid w:val="2793C622"/>
    <w:rsid w:val="27CB5295"/>
    <w:rsid w:val="27E11FF8"/>
    <w:rsid w:val="287F9B8F"/>
    <w:rsid w:val="28AD8EB8"/>
    <w:rsid w:val="28C5F2AD"/>
    <w:rsid w:val="298DE12D"/>
    <w:rsid w:val="2A3F2DD6"/>
    <w:rsid w:val="2A40186D"/>
    <w:rsid w:val="2A9E9C60"/>
    <w:rsid w:val="2AFF0D61"/>
    <w:rsid w:val="2B494B0C"/>
    <w:rsid w:val="2BD1B6F3"/>
    <w:rsid w:val="2C079DB7"/>
    <w:rsid w:val="2C28128D"/>
    <w:rsid w:val="2C446312"/>
    <w:rsid w:val="2C4EA49A"/>
    <w:rsid w:val="2C817043"/>
    <w:rsid w:val="2CC49DA2"/>
    <w:rsid w:val="2D77689E"/>
    <w:rsid w:val="2D77B92F"/>
    <w:rsid w:val="2D7CBB53"/>
    <w:rsid w:val="2DDDA3BD"/>
    <w:rsid w:val="2E0DA12F"/>
    <w:rsid w:val="2F0A9433"/>
    <w:rsid w:val="2F17ACDD"/>
    <w:rsid w:val="2F24BDC2"/>
    <w:rsid w:val="2F670A26"/>
    <w:rsid w:val="2FAF6BDD"/>
    <w:rsid w:val="300B6FD0"/>
    <w:rsid w:val="304A670B"/>
    <w:rsid w:val="30540EB4"/>
    <w:rsid w:val="310F6DD3"/>
    <w:rsid w:val="31143131"/>
    <w:rsid w:val="318CC896"/>
    <w:rsid w:val="31EFDF15"/>
    <w:rsid w:val="320B9728"/>
    <w:rsid w:val="32433627"/>
    <w:rsid w:val="3246B245"/>
    <w:rsid w:val="338C23AF"/>
    <w:rsid w:val="33DF0688"/>
    <w:rsid w:val="33F0415F"/>
    <w:rsid w:val="34327D67"/>
    <w:rsid w:val="34D73CD2"/>
    <w:rsid w:val="3522A4A6"/>
    <w:rsid w:val="3539A481"/>
    <w:rsid w:val="360EEAD4"/>
    <w:rsid w:val="36799ADB"/>
    <w:rsid w:val="36A04A2A"/>
    <w:rsid w:val="36CADCB7"/>
    <w:rsid w:val="36ED0FD5"/>
    <w:rsid w:val="36F6C8F2"/>
    <w:rsid w:val="3715F650"/>
    <w:rsid w:val="374C56F6"/>
    <w:rsid w:val="376F5DDD"/>
    <w:rsid w:val="378EC49D"/>
    <w:rsid w:val="3801623A"/>
    <w:rsid w:val="381A191D"/>
    <w:rsid w:val="387848F6"/>
    <w:rsid w:val="38929953"/>
    <w:rsid w:val="389DACDF"/>
    <w:rsid w:val="38B277AB"/>
    <w:rsid w:val="38C67CA9"/>
    <w:rsid w:val="39AE2EC9"/>
    <w:rsid w:val="39B0FD09"/>
    <w:rsid w:val="3A008DF2"/>
    <w:rsid w:val="3A0E2F25"/>
    <w:rsid w:val="3A5EB7B5"/>
    <w:rsid w:val="3A8DA724"/>
    <w:rsid w:val="3AA9AC71"/>
    <w:rsid w:val="3B430F43"/>
    <w:rsid w:val="3B7DE923"/>
    <w:rsid w:val="3B87AB52"/>
    <w:rsid w:val="3BC963D9"/>
    <w:rsid w:val="3BD54DA1"/>
    <w:rsid w:val="3BEA186D"/>
    <w:rsid w:val="3C0340CA"/>
    <w:rsid w:val="3C066E21"/>
    <w:rsid w:val="3C2C005B"/>
    <w:rsid w:val="3C360A0F"/>
    <w:rsid w:val="3C41B539"/>
    <w:rsid w:val="3CC35C0F"/>
    <w:rsid w:val="3D95CA7F"/>
    <w:rsid w:val="3E2D6ABE"/>
    <w:rsid w:val="3E38363E"/>
    <w:rsid w:val="3EBD2789"/>
    <w:rsid w:val="3F637696"/>
    <w:rsid w:val="3FD20A6C"/>
    <w:rsid w:val="4064BF3B"/>
    <w:rsid w:val="408C7892"/>
    <w:rsid w:val="40BD8990"/>
    <w:rsid w:val="41186E84"/>
    <w:rsid w:val="4118EDF5"/>
    <w:rsid w:val="414D9CBA"/>
    <w:rsid w:val="4186055D"/>
    <w:rsid w:val="41A9A5A7"/>
    <w:rsid w:val="41B31C81"/>
    <w:rsid w:val="41C55181"/>
    <w:rsid w:val="420602DF"/>
    <w:rsid w:val="42895FE0"/>
    <w:rsid w:val="42A23346"/>
    <w:rsid w:val="43AD6644"/>
    <w:rsid w:val="43BA3C9D"/>
    <w:rsid w:val="43D73861"/>
    <w:rsid w:val="43DD8830"/>
    <w:rsid w:val="440D8E47"/>
    <w:rsid w:val="4529D914"/>
    <w:rsid w:val="45E69AE2"/>
    <w:rsid w:val="45F832B6"/>
    <w:rsid w:val="4633F64A"/>
    <w:rsid w:val="46F6B78B"/>
    <w:rsid w:val="47AD346D"/>
    <w:rsid w:val="47C3B256"/>
    <w:rsid w:val="47D29FAA"/>
    <w:rsid w:val="4872B6C5"/>
    <w:rsid w:val="48754463"/>
    <w:rsid w:val="487939DB"/>
    <w:rsid w:val="487D31E9"/>
    <w:rsid w:val="48A186CC"/>
    <w:rsid w:val="48E74597"/>
    <w:rsid w:val="48EFF644"/>
    <w:rsid w:val="48F98F71"/>
    <w:rsid w:val="493C9ADF"/>
    <w:rsid w:val="4953F3A6"/>
    <w:rsid w:val="498DEB93"/>
    <w:rsid w:val="49C54495"/>
    <w:rsid w:val="49E3DD73"/>
    <w:rsid w:val="49E421DA"/>
    <w:rsid w:val="4A6B6A86"/>
    <w:rsid w:val="4AF6DABA"/>
    <w:rsid w:val="4B6B79B8"/>
    <w:rsid w:val="4C55797E"/>
    <w:rsid w:val="4C6CB4DE"/>
    <w:rsid w:val="4C7DB9DB"/>
    <w:rsid w:val="4CA337CE"/>
    <w:rsid w:val="4CAD43B7"/>
    <w:rsid w:val="4CCE85BA"/>
    <w:rsid w:val="4CE3309A"/>
    <w:rsid w:val="4D1E61E7"/>
    <w:rsid w:val="4D50A30C"/>
    <w:rsid w:val="4D6E6E2B"/>
    <w:rsid w:val="4E184253"/>
    <w:rsid w:val="4E28ED14"/>
    <w:rsid w:val="4E56C8D6"/>
    <w:rsid w:val="4E6D1421"/>
    <w:rsid w:val="4E703491"/>
    <w:rsid w:val="4E806944"/>
    <w:rsid w:val="4E99B54F"/>
    <w:rsid w:val="4EB2EBD6"/>
    <w:rsid w:val="4EB5FE6F"/>
    <w:rsid w:val="4EC2FFF9"/>
    <w:rsid w:val="4F8D1A40"/>
    <w:rsid w:val="503DF1C9"/>
    <w:rsid w:val="508843CE"/>
    <w:rsid w:val="510FC244"/>
    <w:rsid w:val="513C9229"/>
    <w:rsid w:val="515A1CF8"/>
    <w:rsid w:val="51A77BE0"/>
    <w:rsid w:val="51CBC66B"/>
    <w:rsid w:val="51D3E347"/>
    <w:rsid w:val="522A5F24"/>
    <w:rsid w:val="525605B4"/>
    <w:rsid w:val="525CCFD5"/>
    <w:rsid w:val="5267DC2E"/>
    <w:rsid w:val="52849861"/>
    <w:rsid w:val="52AB92A5"/>
    <w:rsid w:val="52F08452"/>
    <w:rsid w:val="53354D85"/>
    <w:rsid w:val="53548F4B"/>
    <w:rsid w:val="53CB7794"/>
    <w:rsid w:val="54212D63"/>
    <w:rsid w:val="5432A24F"/>
    <w:rsid w:val="54342F8B"/>
    <w:rsid w:val="5439B245"/>
    <w:rsid w:val="544C3B79"/>
    <w:rsid w:val="54552390"/>
    <w:rsid w:val="546C361F"/>
    <w:rsid w:val="54FD727C"/>
    <w:rsid w:val="55676C9F"/>
    <w:rsid w:val="55913D77"/>
    <w:rsid w:val="559F7691"/>
    <w:rsid w:val="55B9A6C8"/>
    <w:rsid w:val="55CF82B9"/>
    <w:rsid w:val="567D5FFD"/>
    <w:rsid w:val="5680BDF0"/>
    <w:rsid w:val="56CF73C9"/>
    <w:rsid w:val="57031856"/>
    <w:rsid w:val="571AFF25"/>
    <w:rsid w:val="57715307"/>
    <w:rsid w:val="577D7031"/>
    <w:rsid w:val="57CA3262"/>
    <w:rsid w:val="582FDB51"/>
    <w:rsid w:val="585E7543"/>
    <w:rsid w:val="587461C1"/>
    <w:rsid w:val="58E32A6B"/>
    <w:rsid w:val="58F07DB9"/>
    <w:rsid w:val="59255165"/>
    <w:rsid w:val="59B60E66"/>
    <w:rsid w:val="5A18F88D"/>
    <w:rsid w:val="5A230DF6"/>
    <w:rsid w:val="5AD504FB"/>
    <w:rsid w:val="5B2B94AB"/>
    <w:rsid w:val="5B3306FD"/>
    <w:rsid w:val="5CACBAB9"/>
    <w:rsid w:val="5CF57445"/>
    <w:rsid w:val="5D0A22F4"/>
    <w:rsid w:val="5D33369F"/>
    <w:rsid w:val="5DECB1B5"/>
    <w:rsid w:val="5E6D5126"/>
    <w:rsid w:val="5E96BD51"/>
    <w:rsid w:val="5FC6C293"/>
    <w:rsid w:val="5FDD7E47"/>
    <w:rsid w:val="603AFBA3"/>
    <w:rsid w:val="606AD761"/>
    <w:rsid w:val="60C9073A"/>
    <w:rsid w:val="613E6880"/>
    <w:rsid w:val="6211F24A"/>
    <w:rsid w:val="62B30B4E"/>
    <w:rsid w:val="62C030DE"/>
    <w:rsid w:val="62C9EDBC"/>
    <w:rsid w:val="62F55F56"/>
    <w:rsid w:val="63AFFE02"/>
    <w:rsid w:val="63BD137B"/>
    <w:rsid w:val="63CCC5AE"/>
    <w:rsid w:val="63FA7F95"/>
    <w:rsid w:val="6400A7FC"/>
    <w:rsid w:val="644F48EE"/>
    <w:rsid w:val="6494EADD"/>
    <w:rsid w:val="64E031E7"/>
    <w:rsid w:val="6503FA02"/>
    <w:rsid w:val="65DB04A3"/>
    <w:rsid w:val="66A7BE8E"/>
    <w:rsid w:val="66ED9369"/>
    <w:rsid w:val="6808E2AE"/>
    <w:rsid w:val="6812DDAA"/>
    <w:rsid w:val="683F5C35"/>
    <w:rsid w:val="68438EEF"/>
    <w:rsid w:val="689A1BFD"/>
    <w:rsid w:val="68DC06A5"/>
    <w:rsid w:val="6907D537"/>
    <w:rsid w:val="69394861"/>
    <w:rsid w:val="69A3C906"/>
    <w:rsid w:val="69B3A30A"/>
    <w:rsid w:val="69D1D01D"/>
    <w:rsid w:val="69EB98EF"/>
    <w:rsid w:val="6A77D706"/>
    <w:rsid w:val="6ACDE762"/>
    <w:rsid w:val="6B858D63"/>
    <w:rsid w:val="6C21A084"/>
    <w:rsid w:val="6D0F0BE7"/>
    <w:rsid w:val="6DA71254"/>
    <w:rsid w:val="6DCD363F"/>
    <w:rsid w:val="6DDB465A"/>
    <w:rsid w:val="6E27A6BC"/>
    <w:rsid w:val="6E2CCFAB"/>
    <w:rsid w:val="6E5A9DBE"/>
    <w:rsid w:val="7046ACA9"/>
    <w:rsid w:val="70ADF34D"/>
    <w:rsid w:val="70CB6077"/>
    <w:rsid w:val="7195713B"/>
    <w:rsid w:val="71E6567F"/>
    <w:rsid w:val="71F4CEE7"/>
    <w:rsid w:val="727E3A7D"/>
    <w:rsid w:val="72D45FEC"/>
    <w:rsid w:val="7314DBE2"/>
    <w:rsid w:val="7336895D"/>
    <w:rsid w:val="73697B2C"/>
    <w:rsid w:val="74C7EEBA"/>
    <w:rsid w:val="74F38385"/>
    <w:rsid w:val="75054B8D"/>
    <w:rsid w:val="757097C1"/>
    <w:rsid w:val="75DFBB0C"/>
    <w:rsid w:val="75F08F63"/>
    <w:rsid w:val="75F82496"/>
    <w:rsid w:val="75FCAC8D"/>
    <w:rsid w:val="7635A431"/>
    <w:rsid w:val="7692D3B5"/>
    <w:rsid w:val="76A11BEE"/>
    <w:rsid w:val="76EFEBAD"/>
    <w:rsid w:val="77459558"/>
    <w:rsid w:val="77690043"/>
    <w:rsid w:val="77C57D27"/>
    <w:rsid w:val="77EF1F52"/>
    <w:rsid w:val="78354AC2"/>
    <w:rsid w:val="7851BE8E"/>
    <w:rsid w:val="78979F44"/>
    <w:rsid w:val="790095D8"/>
    <w:rsid w:val="79039CE6"/>
    <w:rsid w:val="79283025"/>
    <w:rsid w:val="7964D7A3"/>
    <w:rsid w:val="796C5F38"/>
    <w:rsid w:val="79C6599A"/>
    <w:rsid w:val="79E7F474"/>
    <w:rsid w:val="79F85039"/>
    <w:rsid w:val="7A04BE13"/>
    <w:rsid w:val="7A7659B0"/>
    <w:rsid w:val="7AA3C833"/>
    <w:rsid w:val="7AB9772B"/>
    <w:rsid w:val="7AD01DB0"/>
    <w:rsid w:val="7B11F144"/>
    <w:rsid w:val="7B648FD0"/>
    <w:rsid w:val="7B6605B0"/>
    <w:rsid w:val="7B6D84BB"/>
    <w:rsid w:val="7B895F50"/>
    <w:rsid w:val="7C0879D3"/>
    <w:rsid w:val="7C10A2D4"/>
    <w:rsid w:val="7C23475F"/>
    <w:rsid w:val="7C2C5AE7"/>
    <w:rsid w:val="7C3FC7FE"/>
    <w:rsid w:val="7C77FEE4"/>
    <w:rsid w:val="7CC9909C"/>
    <w:rsid w:val="7D1ED19F"/>
    <w:rsid w:val="7D3C5ED5"/>
    <w:rsid w:val="7D495CB6"/>
    <w:rsid w:val="7D6F839B"/>
    <w:rsid w:val="7DB115CD"/>
    <w:rsid w:val="7E4CFF6C"/>
    <w:rsid w:val="7EAEC107"/>
    <w:rsid w:val="7F1D0A5F"/>
    <w:rsid w:val="7F89359F"/>
    <w:rsid w:val="7FF28B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75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29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sid w:val="002729A2"/>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9175A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researchbriefings.files.parliament.uk/documents/POST-PB-0015/POST-PB-0015.pdf" TargetMode="External"/><Relationship Id="rId21" Type="http://schemas.openxmlformats.org/officeDocument/2006/relationships/hyperlink" Target="https://www.college.police.uk/app/investigation/investigation-process" TargetMode="External"/><Relationship Id="rId42" Type="http://schemas.openxmlformats.org/officeDocument/2006/relationships/hyperlink" Target="https://www.legislation.gov.uk/ukpga/1989/41/section/31" TargetMode="External"/><Relationship Id="rId47" Type="http://schemas.openxmlformats.org/officeDocument/2006/relationships/hyperlink" Target="https://www.cps.gov.uk/legal-guidance/special-measures" TargetMode="External"/><Relationship Id="rId63" Type="http://schemas.openxmlformats.org/officeDocument/2006/relationships/hyperlink" Target="https://www.legislation.gov.uk/ukpga/1984/60/section/24" TargetMode="External"/><Relationship Id="rId68" Type="http://schemas.openxmlformats.org/officeDocument/2006/relationships/hyperlink" Target="https://www.legislation.gov.uk/ukpga/1999/23/contents" TargetMode="External"/><Relationship Id="rId84" Type="http://schemas.openxmlformats.org/officeDocument/2006/relationships/hyperlink" Target="https://doi:10.5040/9781509925407" TargetMode="External"/><Relationship Id="rId89" Type="http://schemas.openxmlformats.org/officeDocument/2006/relationships/hyperlink" Target="https://www.policeconduct.gov.uk/who-we-are" TargetMode="External"/><Relationship Id="rId112" Type="http://schemas.openxmlformats.org/officeDocument/2006/relationships/hyperlink" Target="https://www.cps.gov.uk/sites/default/files/documents/publications/National-Disclosure-Improvement-Plan-May-2018.pdf" TargetMode="External"/><Relationship Id="rId16" Type="http://schemas.openxmlformats.org/officeDocument/2006/relationships/hyperlink" Target="https://www.college.police.uk/app/intelligence-management/analysis/analysis-intelligence-products" TargetMode="External"/><Relationship Id="rId107" Type="http://schemas.openxmlformats.org/officeDocument/2006/relationships/hyperlink" Target="https://www.college.police.uk/app/intelligence-management/analysis/analytical-techniques" TargetMode="External"/><Relationship Id="rId11" Type="http://schemas.openxmlformats.org/officeDocument/2006/relationships/hyperlink" Target="https://webarchive.nationalarchives.gov.uk/ukgwa/20131003092615/http://www.acpo.police.uk/documents/president/201201PBANDM.pdf" TargetMode="External"/><Relationship Id="rId32" Type="http://schemas.openxmlformats.org/officeDocument/2006/relationships/hyperlink" Target="https://bscpolicingnetwork.wordpress.com/2022/05/31/the-national-intelligence-model-the-barriers-to-its-success/" TargetMode="External"/><Relationship Id="rId37" Type="http://schemas.openxmlformats.org/officeDocument/2006/relationships/hyperlink" Target="https://www.police-foundation.org.uk/publication/turning-the-tide-against-online-child-sexual-abuse/" TargetMode="External"/><Relationship Id="rId53" Type="http://schemas.openxmlformats.org/officeDocument/2006/relationships/hyperlink" Target="https://assets.publishing.service.gov.uk/government/uploads/system/uploads/attachment_data/file/942455/Working_together_to_safeguard_children_Statutory_framework_legislation_relevant_to_safeguarding_and_promoting_the_welfare_of_children.pdf" TargetMode="External"/><Relationship Id="rId58" Type="http://schemas.openxmlformats.org/officeDocument/2006/relationships/hyperlink" Target="https://doi.org/10.1177/1748895819840396" TargetMode="External"/><Relationship Id="rId74" Type="http://schemas.openxmlformats.org/officeDocument/2006/relationships/hyperlink" Target="https://library.college.police.uk/docs/appref/Suicide-Risk-Operational-Advice-Final.pdf" TargetMode="External"/><Relationship Id="rId79" Type="http://schemas.openxmlformats.org/officeDocument/2006/relationships/hyperlink" Target="https://www.college.police.uk/ethics/code-of-ethics" TargetMode="External"/><Relationship Id="rId102" Type="http://schemas.openxmlformats.org/officeDocument/2006/relationships/hyperlink" Target="https://www.westyorkshire.police.uk/about-us/our-standards/our-standards/our-values" TargetMode="External"/><Relationship Id="rId123" Type="http://schemas.openxmlformats.org/officeDocument/2006/relationships/hyperlink" Target="https://www.legislation.gov.uk/ukpga/1984/60/section/78" TargetMode="External"/><Relationship Id="rId128" Type="http://schemas.openxmlformats.org/officeDocument/2006/relationships/hyperlink" Target="https://www.police-foundation.org.uk/2017/wp-content/uploads/2010/10/value_of_digital_forensics.pdf" TargetMode="External"/><Relationship Id="rId5" Type="http://schemas.openxmlformats.org/officeDocument/2006/relationships/image" Target="media/image1.png"/><Relationship Id="rId90" Type="http://schemas.openxmlformats.org/officeDocument/2006/relationships/hyperlink" Target="https://www.instituteforgovernment.org.uk/article/explainer/police-accountability" TargetMode="External"/><Relationship Id="rId95" Type="http://schemas.openxmlformats.org/officeDocument/2006/relationships/hyperlink" Target="https://www.legislation.gov.uk/ukpga/1984/60/section/24" TargetMode="External"/><Relationship Id="rId22" Type="http://schemas.openxmlformats.org/officeDocument/2006/relationships/hyperlink" Target="https://www.legislation.gov.uk/ukpga/1996/25/contents" TargetMode="External"/><Relationship Id="rId27" Type="http://schemas.openxmlformats.org/officeDocument/2006/relationships/hyperlink" Target="https://www.justiceinspectorates.gov.uk/hmicfrs/glossary/kent-internet-risk-assessment/" TargetMode="External"/><Relationship Id="rId43" Type="http://schemas.openxmlformats.org/officeDocument/2006/relationships/hyperlink" Target="https://www.college.police.uk/app/risk/risk" TargetMode="External"/><Relationship Id="rId48" Type="http://schemas.openxmlformats.org/officeDocument/2006/relationships/hyperlink" Target="https://www.empac.org.uk/science-management-risk-law-enforcement/" TargetMode="External"/><Relationship Id="rId64" Type="http://schemas.openxmlformats.org/officeDocument/2006/relationships/hyperlink" Target="https://www.legislation.gov.uk/ukpga/1978/37/section/4" TargetMode="External"/><Relationship Id="rId69" Type="http://schemas.openxmlformats.org/officeDocument/2006/relationships/image" Target="media/image5.png"/><Relationship Id="rId113" Type="http://schemas.openxmlformats.org/officeDocument/2006/relationships/hyperlink" Target="https://www.cps.gov.uk/legal-guidance/disclosure-manual-chapter-3-roles-and-responsibilities" TargetMode="External"/><Relationship Id="rId118" Type="http://schemas.openxmlformats.org/officeDocument/2006/relationships/hyperlink" Target="https://assets.publishing.service.gov.uk/government/uploads/system/uploads/attachment_data/file/919630/evidence-in-criminal-investigations-v5.0.pdf" TargetMode="External"/><Relationship Id="rId80" Type="http://schemas.openxmlformats.org/officeDocument/2006/relationships/hyperlink" Target="https://www.college.police.uk/app/detention-and-custody/response-arrest-and-detention" TargetMode="External"/><Relationship Id="rId85" Type="http://schemas.openxmlformats.org/officeDocument/2006/relationships/hyperlink" Target="https://assets.college.police.uk/s3fs-public/2021-02/code_of_ethics.pdf" TargetMode="External"/><Relationship Id="rId12" Type="http://schemas.openxmlformats.org/officeDocument/2006/relationships/hyperlink" Target="https://www.college.police.uk/app/investigation/investigative-strategies/intelligence-strategy" TargetMode="External"/><Relationship Id="rId17" Type="http://schemas.openxmlformats.org/officeDocument/2006/relationships/hyperlink" Target="https://www.college.police.uk/app/major-investigation-and-public-protection/investigating-child-abuse-and-safeguarding-children/police-response-investigating-child-abuse/information-management" TargetMode="External"/><Relationship Id="rId33" Type="http://schemas.openxmlformats.org/officeDocument/2006/relationships/hyperlink" Target="https://doi.org/10.1037/law0000069" TargetMode="External"/><Relationship Id="rId38" Type="http://schemas.openxmlformats.org/officeDocument/2006/relationships/hyperlink" Target="https://search.ebscohost.com/login.aspx?direct=true&amp;AuthType=shib&amp;db=cat04924a&amp;AN=npl.9781315717579&amp;site=eds-live&amp;scope=site" TargetMode="External"/><Relationship Id="rId59" Type="http://schemas.openxmlformats.org/officeDocument/2006/relationships/hyperlink" Target="https://doi.org/10.1080/13552601003760006" TargetMode="External"/><Relationship Id="rId103" Type="http://schemas.openxmlformats.org/officeDocument/2006/relationships/hyperlink" Target="https://search-ebscohost-com.ezproxy.uwtsd.ac.uk/login.aspx?direct=true&amp;db=nlebk&amp;AN=364520&amp;site=ehost-live" TargetMode="External"/><Relationship Id="rId108" Type="http://schemas.openxmlformats.org/officeDocument/2006/relationships/hyperlink" Target="https://www.college.police.uk/app/investigation/investigative-strategies/passive-data-generators" TargetMode="External"/><Relationship Id="rId124" Type="http://schemas.openxmlformats.org/officeDocument/2006/relationships/hyperlink" Target="https://www.legislation.gov.uk/ukpga/1984/60/section/8" TargetMode="External"/><Relationship Id="rId129" Type="http://schemas.openxmlformats.org/officeDocument/2006/relationships/hyperlink" Target="https://moodle.uwtsd.ac.uk/pluginfile.php/324905/mod_resource/content/1/Harvard%20Referencing%20GUide.pdf" TargetMode="External"/><Relationship Id="rId54" Type="http://schemas.openxmlformats.org/officeDocument/2006/relationships/hyperlink" Target="https://assets.publishing.service.gov.uk/government/uploads/system/uploads/attachment_data/file/942454/Working_together_to_safeguard_children_inter_agency_guidance.pdf" TargetMode="External"/><Relationship Id="rId70" Type="http://schemas.openxmlformats.org/officeDocument/2006/relationships/hyperlink" Target="https://www.pnld.co.uk/members/case-law-detail/?id=75d2f995-bed5-eb11-bacb-000d3ad61986" TargetMode="External"/><Relationship Id="rId75" Type="http://schemas.openxmlformats.org/officeDocument/2006/relationships/hyperlink" Target="https://www.college.police.uk/app/detention-and-custody/detention-and-custody-risk-assessment" TargetMode="External"/><Relationship Id="rId91" Type="http://schemas.openxmlformats.org/officeDocument/2006/relationships/hyperlink" Target="https://www.rusi.org/explore-our-research/publications/commentary/public-confidence-police-new-low-service" TargetMode="External"/><Relationship Id="rId96" Type="http://schemas.openxmlformats.org/officeDocument/2006/relationships/hyperlink" Target="https://www.legislation.gov.uk/ukpga/1984/60/introduction" TargetMode="External"/><Relationship Id="rId1" Type="http://schemas.openxmlformats.org/officeDocument/2006/relationships/numbering" Target="numbering.xml"/><Relationship Id="rId6" Type="http://schemas.openxmlformats.org/officeDocument/2006/relationships/hyperlink" Target="https://www.uwtsd.ac.uk/media/uwtsd-website/content-assets/documents/academic-office/aqh-chapters/chapters---en/Chapter_07_Assessment_Taught_Programmes_Pages_72-79-UPDATED-05-11-2019.pdf" TargetMode="External"/><Relationship Id="rId23" Type="http://schemas.openxmlformats.org/officeDocument/2006/relationships/hyperlink" Target="https://www.legislation.gov.uk/ukpga/2018/12/contents/enacted" TargetMode="External"/><Relationship Id="rId28" Type="http://schemas.openxmlformats.org/officeDocument/2006/relationships/hyperlink" Target="https://library.college.police.uk/docs/npia/NIM-Code-of-Practice.pdf" TargetMode="External"/><Relationship Id="rId49" Type="http://schemas.openxmlformats.org/officeDocument/2006/relationships/hyperlink" Target="https://www.ncbi.nlm.nih.gov/pmc/articles/PMC8643598/" TargetMode="External"/><Relationship Id="rId114" Type="http://schemas.openxmlformats.org/officeDocument/2006/relationships/hyperlink" Target="https://www.cps.gov.uk/about-cps/disclosure" TargetMode="External"/><Relationship Id="rId119" Type="http://schemas.openxmlformats.org/officeDocument/2006/relationships/hyperlink" Target="https://www.gov.uk/government/publications/criminal-procedure-and-investigations-act-1996-section-231-code-of-practice" TargetMode="External"/><Relationship Id="rId44" Type="http://schemas.openxmlformats.org/officeDocument/2006/relationships/hyperlink" Target="https://www.college.police.uk/app/investigation/investigative-strategies/search-powers-and-obtaining-and-executing-search-warrants" TargetMode="External"/><Relationship Id="rId60" Type="http://schemas.openxmlformats.org/officeDocument/2006/relationships/hyperlink" Target="https://www.cps.gov.uk/sites/default/files/documents/legal_guidance/best_evidence_in_criminal_proceedings.pdf" TargetMode="External"/><Relationship Id="rId65" Type="http://schemas.openxmlformats.org/officeDocument/2006/relationships/hyperlink" Target="https://doi.org/10.1080/01639620290086413" TargetMode="External"/><Relationship Id="rId81" Type="http://schemas.openxmlformats.org/officeDocument/2006/relationships/hyperlink" Target="https://doi.org/10.1002/jip.1517" TargetMode="External"/><Relationship Id="rId86" Type="http://schemas.openxmlformats.org/officeDocument/2006/relationships/hyperlink" Target="https://www.gov.uk/government/publications/pace-code-c-2019/pace-code-c-2019-accessible" TargetMode="External"/><Relationship Id="rId130" Type="http://schemas.openxmlformats.org/officeDocument/2006/relationships/fontTable" Target="fontTable.xml"/><Relationship Id="rId13" Type="http://schemas.openxmlformats.org/officeDocument/2006/relationships/hyperlink" Target="https://www.college.police.uk/app/national-decision-model/national-decision-model" TargetMode="External"/><Relationship Id="rId18" Type="http://schemas.openxmlformats.org/officeDocument/2006/relationships/hyperlink" Target="https://www.college.police.uk/guidance/vulnerability-related-risks/introduction-vulnerability-related-risk" TargetMode="External"/><Relationship Id="rId39" Type="http://schemas.openxmlformats.org/officeDocument/2006/relationships/hyperlink" Target="https://www.legislation.gov.uk/ukpga/2000/23/contents" TargetMode="External"/><Relationship Id="rId109" Type="http://schemas.openxmlformats.org/officeDocument/2006/relationships/hyperlink" Target="https://www.college.police.uk/app/investigation/investigation-introduction" TargetMode="External"/><Relationship Id="rId34" Type="http://schemas.openxmlformats.org/officeDocument/2006/relationships/hyperlink" Target="https://library.college.police.uk/docs/acpo/ACPO-Practice-Advice-on-Core-Investigative-Doctrine-2012.pdf" TargetMode="External"/><Relationship Id="rId50" Type="http://schemas.openxmlformats.org/officeDocument/2006/relationships/hyperlink" Target="https://library.college.police.uk/docs/hors/hors283.pdf" TargetMode="External"/><Relationship Id="rId55" Type="http://schemas.openxmlformats.org/officeDocument/2006/relationships/hyperlink" Target="https://www.gov.uk/government/publications/pace-code-b-2013/pace-code-b-accessible" TargetMode="External"/><Relationship Id="rId76" Type="http://schemas.openxmlformats.org/officeDocument/2006/relationships/hyperlink" Target="https://www.college.police.uk/app/investigation/investigative-interviewing/investigative-interviewing" TargetMode="External"/><Relationship Id="rId97" Type="http://schemas.openxmlformats.org/officeDocument/2006/relationships/hyperlink" Target="https://www.policingreview.org.uk/wp-content/uploads/srpew_final_report.pdf" TargetMode="External"/><Relationship Id="rId104" Type="http://schemas.openxmlformats.org/officeDocument/2006/relationships/hyperlink" Target="https://blog.chainalysis.com/reports/darkside-colonial-pipeline-ransomware-seizure-case-study/" TargetMode="External"/><Relationship Id="rId120" Type="http://schemas.openxmlformats.org/officeDocument/2006/relationships/hyperlink" Target="https://nationalcrimeagency.gov.uk/index.php?option=com_content&amp;view=article&amp;id=128&amp;catid=85&amp;Itemid=475" TargetMode="External"/><Relationship Id="rId125" Type="http://schemas.openxmlformats.org/officeDocument/2006/relationships/hyperlink" Target="https://www.legislation.gov.uk/ukpga/2002/29/contents" TargetMode="External"/><Relationship Id="rId7" Type="http://schemas.openxmlformats.org/officeDocument/2006/relationships/hyperlink" Target="https://moodle.uwtsd.ac.uk/pluginfile.php/298870/mod_resource/content/1/Reflective%20Practice%20for%20Policing%20Students%20-%20Selina%20Copley%20Chapter5.pdf" TargetMode="External"/><Relationship Id="rId71" Type="http://schemas.openxmlformats.org/officeDocument/2006/relationships/hyperlink" Target="https://www.policechiefmagazine.org/values-based-police-leadership/" TargetMode="External"/><Relationship Id="rId92" Type="http://schemas.openxmlformats.org/officeDocument/2006/relationships/hyperlink" Target="https://www.lawteacher.net/free-law-essays/public-law/police-powers-of-arrest-law-essays.php?vref=1" TargetMode="External"/><Relationship Id="rId2" Type="http://schemas.openxmlformats.org/officeDocument/2006/relationships/styles" Target="styles.xml"/><Relationship Id="rId29" Type="http://schemas.openxmlformats.org/officeDocument/2006/relationships/hyperlink" Target="https://publications.parliament.uk/pa/ld201719/ldselect/ldsctech/333/333.pdf" TargetMode="External"/><Relationship Id="rId24" Type="http://schemas.openxmlformats.org/officeDocument/2006/relationships/hyperlink" Target="https://www.dyfedpowys-pcc.org.uk/media/11092/police-and-crime-plan-2021-2025.pdf" TargetMode="External"/><Relationship Id="rId40" Type="http://schemas.openxmlformats.org/officeDocument/2006/relationships/hyperlink" Target="https://www.legislation.gov.uk/eur/2016/679/contents" TargetMode="External"/><Relationship Id="rId45" Type="http://schemas.openxmlformats.org/officeDocument/2006/relationships/hyperlink" Target="https://www.college.police.uk/guidance/vulnerability-related-risks/introduction-vulnerability-related-risk" TargetMode="External"/><Relationship Id="rId66" Type="http://schemas.openxmlformats.org/officeDocument/2006/relationships/hyperlink" Target="https://www.legislation.gov.uk/anaw/2014/4/contents" TargetMode="External"/><Relationship Id="rId87" Type="http://schemas.openxmlformats.org/officeDocument/2006/relationships/hyperlink" Target="https://www.gov.uk/government/publications/pace-code-c-2019/pace-code-c-2019-accessible" TargetMode="External"/><Relationship Id="rId110" Type="http://schemas.openxmlformats.org/officeDocument/2006/relationships/hyperlink" Target="https://www.legislation.gov.uk/ukpga/1996/25/contents" TargetMode="External"/><Relationship Id="rId115" Type="http://schemas.openxmlformats.org/officeDocument/2006/relationships/hyperlink" Target="https://doi.org/10.1016/j.fsidi.2019.200902" TargetMode="External"/><Relationship Id="rId131" Type="http://schemas.openxmlformats.org/officeDocument/2006/relationships/theme" Target="theme/theme1.xml"/><Relationship Id="rId61" Type="http://schemas.openxmlformats.org/officeDocument/2006/relationships/hyperlink" Target="https://assets.publishing.service.gov.uk/government/uploads/system/uploads/attachment_data/file/936239/victims-code-2020.pdf" TargetMode="External"/><Relationship Id="rId82" Type="http://schemas.openxmlformats.org/officeDocument/2006/relationships/hyperlink" Target="https://www.legislation.gov.uk/ukpga/1994/33/section/36" TargetMode="External"/><Relationship Id="rId19" Type="http://schemas.openxmlformats.org/officeDocument/2006/relationships/hyperlink" Target="https://www.college.police.uk/app/major-investigation-and-public-protection/domestic-abuse/understanding-risk-and-vulnerability-context-domestic-abuse" TargetMode="External"/><Relationship Id="rId14" Type="http://schemas.openxmlformats.org/officeDocument/2006/relationships/hyperlink" Target="https://www.college.police.uk/app/national-decision-model/national-decision-model" TargetMode="External"/><Relationship Id="rId30" Type="http://schemas.openxmlformats.org/officeDocument/2006/relationships/hyperlink" Target="https://www.legislation.gov.uk/ukpga/1998/42/schedule/1/part/I/chapter/7" TargetMode="External"/><Relationship Id="rId35" Type="http://schemas.openxmlformats.org/officeDocument/2006/relationships/hyperlink" Target="https://www.legislation.gov.uk/ukpga/1984/60/section/20" TargetMode="External"/><Relationship Id="rId56" Type="http://schemas.openxmlformats.org/officeDocument/2006/relationships/hyperlink" Target="https://www.stopitnow.org.uk/how-we-prevent-child-sexual-abuse/the-lucy-faithfull-foundation/" TargetMode="External"/><Relationship Id="rId77" Type="http://schemas.openxmlformats.org/officeDocument/2006/relationships/hyperlink" Target="https://www.college.police.uk/app/investigation/investigation-process" TargetMode="External"/><Relationship Id="rId100" Type="http://schemas.openxmlformats.org/officeDocument/2006/relationships/hyperlink" Target="https://theconversation.com/why-the-police-in-england-and-wales-must-do-more-than-just-learn-lessons-179052" TargetMode="External"/><Relationship Id="rId105" Type="http://schemas.openxmlformats.org/officeDocument/2006/relationships/hyperlink" Target="https://www.college.police.uk/app/investigation/investigation-process" TargetMode="External"/><Relationship Id="rId126" Type="http://schemas.openxmlformats.org/officeDocument/2006/relationships/hyperlink" Target="https://search-ebscohost-com.ezproxy.uwtsd.ac.uk/login.aspx?direct=true&amp;db=nlebk&amp;AN=3273308&amp;site=ehost-live" TargetMode="External"/><Relationship Id="rId8" Type="http://schemas.openxmlformats.org/officeDocument/2006/relationships/image" Target="media/image2.png"/><Relationship Id="rId51" Type="http://schemas.openxmlformats.org/officeDocument/2006/relationships/hyperlink" Target="https://doi.org/10.1177/1079063215603690" TargetMode="External"/><Relationship Id="rId72" Type="http://schemas.openxmlformats.org/officeDocument/2006/relationships/hyperlink" Target="https://doi.org/10.1037/a0034564" TargetMode="External"/><Relationship Id="rId93" Type="http://schemas.openxmlformats.org/officeDocument/2006/relationships/hyperlink" Target="https://www.legislation.gov.uk/ukpga/1983/20/contents" TargetMode="External"/><Relationship Id="rId98" Type="http://schemas.openxmlformats.org/officeDocument/2006/relationships/hyperlink" Target="https://search-ebscohost-com.ezproxy.uwtsd.ac.uk/login.aspx?direct=true&amp;db=nlebk&amp;AN=2126348&amp;site=ehost-live" TargetMode="External"/><Relationship Id="rId121" Type="http://schemas.openxmlformats.org/officeDocument/2006/relationships/hyperlink" Target="https://www.legislation.gov.uk/ukpga/1984/60/section/18" TargetMode="External"/><Relationship Id="rId3" Type="http://schemas.openxmlformats.org/officeDocument/2006/relationships/settings" Target="settings.xml"/><Relationship Id="rId25" Type="http://schemas.openxmlformats.org/officeDocument/2006/relationships/hyperlink" Target="https://www.washingtonpost.com/news/in-theory/wp/2016/01/19/the-presumption-of-innocence-exists-in-theory-not-reality/" TargetMode="External"/><Relationship Id="rId46" Type="http://schemas.openxmlformats.org/officeDocument/2006/relationships/hyperlink" Target="https://www.college.police.uk/guidance/vulnerability-related-risks/appendix-1-actions" TargetMode="External"/><Relationship Id="rId67" Type="http://schemas.openxmlformats.org/officeDocument/2006/relationships/hyperlink" Target="https://safeguarding.wales/en/int-i/int-i-i1/i1-p1/" TargetMode="External"/><Relationship Id="rId116" Type="http://schemas.openxmlformats.org/officeDocument/2006/relationships/hyperlink" Target="https://www.gov.uk/government/publications/attorney-generals-guidelines-on-disclosure" TargetMode="External"/><Relationship Id="rId20" Type="http://schemas.openxmlformats.org/officeDocument/2006/relationships/hyperlink" Target="https://www.college.police.uk/app/investigation/managing-investigations" TargetMode="External"/><Relationship Id="rId41" Type="http://schemas.openxmlformats.org/officeDocument/2006/relationships/hyperlink" Target="https://www.legislation.gov.uk/ukpga/1989/41/section/47" TargetMode="External"/><Relationship Id="rId62" Type="http://schemas.openxmlformats.org/officeDocument/2006/relationships/hyperlink" Target="https://www.legislation.gov.uk/ukpga/1984/60/section/8" TargetMode="External"/><Relationship Id="rId83" Type="http://schemas.openxmlformats.org/officeDocument/2006/relationships/hyperlink" Target="https://www.dyfed-powys.police.uk/police-forces/dyfed-powys-police/areas/about-us/about-us/our-mission-vision-and-values/" TargetMode="External"/><Relationship Id="rId88" Type="http://schemas.openxmlformats.org/officeDocument/2006/relationships/hyperlink" Target="https://www.gov.uk/government/publications/pace-code-c-2019/pace-code-c-2019-accessible" TargetMode="External"/><Relationship Id="rId111" Type="http://schemas.openxmlformats.org/officeDocument/2006/relationships/hyperlink" Target="https://www.legislation.gov.uk/uksi/2020/759/part/19" TargetMode="External"/><Relationship Id="rId15" Type="http://schemas.openxmlformats.org/officeDocument/2006/relationships/hyperlink" Target="https://www.college.police.uk/app/intelligence-management/intelligence-collection-development-and-dissemination" TargetMode="External"/><Relationship Id="rId36" Type="http://schemas.openxmlformats.org/officeDocument/2006/relationships/hyperlink" Target="https://www.police-foundation.org.uk/2017/wp-content/uploads/2010/10/value_of_digital_forensics.pdf" TargetMode="External"/><Relationship Id="rId57" Type="http://schemas.openxmlformats.org/officeDocument/2006/relationships/hyperlink" Target="https://www.stopitnow.org.uk/concerned-about-the-behaviour-of-another-adult/online-behaviour/if-someone-you-know-has-been-arrested/" TargetMode="External"/><Relationship Id="rId106" Type="http://schemas.openxmlformats.org/officeDocument/2006/relationships/hyperlink" Target="https://assets.college.police.uk/s3fs-public/2020-11/Resources_for_reflective_practice_v1_0.pdf" TargetMode="External"/><Relationship Id="rId127" Type="http://schemas.openxmlformats.org/officeDocument/2006/relationships/hyperlink" Target="https://www.theguardian.com/law/2021/oct/31/courts-are-close-to-collapse-over-police-disclosure-failures" TargetMode="External"/><Relationship Id="rId10" Type="http://schemas.openxmlformats.org/officeDocument/2006/relationships/image" Target="media/image4.png"/><Relationship Id="rId31" Type="http://schemas.openxmlformats.org/officeDocument/2006/relationships/hyperlink" Target="https://www.legislation.gov.uk/ukpga/2016/25/contents/enacted" TargetMode="External"/><Relationship Id="rId52" Type="http://schemas.openxmlformats.org/officeDocument/2006/relationships/hyperlink" Target="https://www.justiceinspectorates.gov.uk/hmicfrs/glossary/kent-internet-risk-assessment/" TargetMode="External"/><Relationship Id="rId73" Type="http://schemas.openxmlformats.org/officeDocument/2006/relationships/hyperlink" Target="https://search-ebscohost-com.ezproxy.uwtsd.ac.uk/login.aspx?direct=true&amp;db=nlebk&amp;AN=3273314&amp;site=ehost-live" TargetMode="External"/><Relationship Id="rId78" Type="http://schemas.openxmlformats.org/officeDocument/2006/relationships/hyperlink" Target="https://www.college.police.uk/app/investigation/investigative-interviewing/investigative-interviewing" TargetMode="External"/><Relationship Id="rId94" Type="http://schemas.openxmlformats.org/officeDocument/2006/relationships/hyperlink" Target="https://www.legislation.gov.uk/ukpga/1984/60/section/54" TargetMode="External"/><Relationship Id="rId99" Type="http://schemas.openxmlformats.org/officeDocument/2006/relationships/hyperlink" Target="https://www.legislation.gov.uk/uksi/2008/2864/contents/made" TargetMode="External"/><Relationship Id="rId101" Type="http://schemas.openxmlformats.org/officeDocument/2006/relationships/hyperlink" Target="https://doi.org/10.1007/s11896-011-9087-x" TargetMode="External"/><Relationship Id="rId122" Type="http://schemas.openxmlformats.org/officeDocument/2006/relationships/hyperlink" Target="https://www.legislation.gov.uk/ukpga/1984/60/section/32" TargetMode="External"/><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justiceinspectorates.gov.uk/hmicfrs/wp-content/uploads/inspection-online-sexual-abuse-and-exploitation-of-child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933</TotalTime>
  <Pages>36</Pages>
  <Words>15250</Words>
  <Characters>95470</Characters>
  <Application>Microsoft Office Word</Application>
  <DocSecurity>0</DocSecurity>
  <Lines>1383</Lines>
  <Paragraphs>374</Paragraphs>
  <ScaleCrop>false</ScaleCrop>
  <Company/>
  <LinksUpToDate>false</LinksUpToDate>
  <CharactersWithSpaces>110346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McLaren Stuart DS 800</cp:lastModifiedBy>
  <cp:revision>82</cp:revision>
  <cp:lastPrinted>2021-10-05T11:09:00Z</cp:lastPrinted>
  <dcterms:created xsi:type="dcterms:W3CDTF">2022-09-20T12:55:00Z</dcterms:created>
  <dcterms:modified xsi:type="dcterms:W3CDTF">2023-05-19T20:22:00Z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2023-04-18T15:14:04Z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3687346a-7358-4704-88c8-d59caf219b48</vt:lpwstr>
  </property>
  <property fmtid="{D5CDD505-2E9C-101B-9397-08002B2CF9AE}" pid="8" name="MSIP_Label_7beefdff-6834-454f-be00-a68b5bc5f471_ContentBits">
    <vt:lpwstr>0</vt:lpwstr>
  </property>
</Properties>
</file>