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B70" w:rsidRPr="004F7CBC" w:rsidRDefault="00D51B70" w:rsidP="000B45E2">
      <w:pPr>
        <w:jc w:val="center"/>
        <w:rPr>
          <w:rFonts w:ascii="Arial" w:hAnsi="Arial" w:cs="Arial"/>
          <w:b/>
          <w:bCs/>
          <w:sz w:val="28"/>
          <w:szCs w:val="28"/>
        </w:rPr>
      </w:pPr>
      <w:r w:rsidRPr="004F7CBC">
        <w:rPr>
          <w:rFonts w:ascii="Arial" w:hAnsi="Arial" w:cs="Arial"/>
          <w:b/>
          <w:bCs/>
          <w:sz w:val="28"/>
          <w:szCs w:val="28"/>
        </w:rPr>
        <w:t>Discuss the dramatic significance of purity in the Renaissance text</w:t>
      </w:r>
    </w:p>
    <w:p w:rsidR="00D51B70" w:rsidRDefault="00D51B70" w:rsidP="000B45E2">
      <w:pPr>
        <w:spacing w:line="480" w:lineRule="auto"/>
      </w:pPr>
    </w:p>
    <w:p w:rsidR="00D51B70" w:rsidRDefault="00D51B70" w:rsidP="008B2B23">
      <w:pPr>
        <w:pStyle w:val="NormalWeb"/>
        <w:spacing w:before="0" w:beforeAutospacing="0" w:after="0" w:afterAutospacing="0" w:line="480" w:lineRule="auto"/>
        <w:rPr>
          <w:rFonts w:ascii="Arial" w:hAnsi="Arial" w:cs="Arial"/>
          <w:sz w:val="22"/>
          <w:szCs w:val="22"/>
        </w:rPr>
      </w:pPr>
      <w:r w:rsidRPr="008B2B23">
        <w:rPr>
          <w:rFonts w:ascii="Arial" w:hAnsi="Arial" w:cs="Arial"/>
          <w:sz w:val="22"/>
          <w:szCs w:val="22"/>
        </w:rPr>
        <w:t xml:space="preserve">In </w:t>
      </w:r>
      <w:r w:rsidRPr="008B2B23">
        <w:rPr>
          <w:rFonts w:ascii="Arial" w:hAnsi="Arial" w:cs="Arial"/>
          <w:i/>
          <w:iCs/>
          <w:sz w:val="22"/>
          <w:szCs w:val="22"/>
        </w:rPr>
        <w:t xml:space="preserve">Purity and Danger, </w:t>
      </w:r>
      <w:r w:rsidRPr="008B2B23">
        <w:rPr>
          <w:rFonts w:ascii="Arial" w:hAnsi="Arial" w:cs="Arial"/>
          <w:sz w:val="22"/>
          <w:szCs w:val="22"/>
        </w:rPr>
        <w:t>Mary Douglas describes “dirt as matter out of place” which she suggests “implies two conditions: a set of ordered relations and a contravention of that order”</w:t>
      </w:r>
      <w:r w:rsidRPr="008B2B23">
        <w:rPr>
          <w:rStyle w:val="FootnoteReference"/>
          <w:rFonts w:ascii="Arial" w:hAnsi="Arial" w:cs="Arial"/>
          <w:sz w:val="22"/>
          <w:szCs w:val="22"/>
        </w:rPr>
        <w:footnoteReference w:id="2"/>
      </w:r>
      <w:r w:rsidRPr="008B2B23">
        <w:rPr>
          <w:rFonts w:ascii="Arial" w:hAnsi="Arial" w:cs="Arial"/>
          <w:sz w:val="22"/>
          <w:szCs w:val="22"/>
        </w:rPr>
        <w:t>. Purity, then, is defined in this case as “a set of ordered relations”, and ideas of “separating, purifying, demarcating and punishing transgressions have as their main function to impose system on an inherently untidy experience.”</w:t>
      </w:r>
      <w:r w:rsidRPr="008B2B23">
        <w:rPr>
          <w:rStyle w:val="FootnoteReference"/>
          <w:rFonts w:ascii="Arial" w:hAnsi="Arial" w:cs="Arial"/>
          <w:sz w:val="22"/>
          <w:szCs w:val="22"/>
        </w:rPr>
        <w:footnoteReference w:id="3"/>
      </w:r>
      <w:r w:rsidRPr="008B2B23">
        <w:rPr>
          <w:rFonts w:ascii="Arial" w:hAnsi="Arial" w:cs="Arial"/>
          <w:sz w:val="22"/>
          <w:szCs w:val="22"/>
        </w:rPr>
        <w:t xml:space="preserve"> The idea of separation and distinction, in keeping some things pure by separating them from the impure allows us to </w:t>
      </w:r>
      <w:r>
        <w:rPr>
          <w:rFonts w:ascii="Arial" w:hAnsi="Arial" w:cs="Arial"/>
          <w:sz w:val="22"/>
          <w:szCs w:val="22"/>
        </w:rPr>
        <w:t>track the significance of the R</w:t>
      </w:r>
      <w:r w:rsidRPr="008B2B23">
        <w:rPr>
          <w:rFonts w:ascii="Arial" w:hAnsi="Arial" w:cs="Arial"/>
          <w:sz w:val="22"/>
          <w:szCs w:val="22"/>
        </w:rPr>
        <w:t>enais</w:t>
      </w:r>
      <w:r>
        <w:rPr>
          <w:rFonts w:ascii="Arial" w:hAnsi="Arial" w:cs="Arial"/>
          <w:sz w:val="22"/>
          <w:szCs w:val="22"/>
        </w:rPr>
        <w:t>sance fascination with purity through</w:t>
      </w:r>
      <w:r w:rsidRPr="008B2B23">
        <w:rPr>
          <w:rFonts w:ascii="Arial" w:hAnsi="Arial" w:cs="Arial"/>
          <w:sz w:val="22"/>
          <w:szCs w:val="22"/>
        </w:rPr>
        <w:t xml:space="preserve"> those bodies which transgress these borders, </w:t>
      </w:r>
      <w:r>
        <w:rPr>
          <w:rFonts w:ascii="Arial" w:hAnsi="Arial" w:cs="Arial"/>
          <w:sz w:val="22"/>
          <w:szCs w:val="22"/>
        </w:rPr>
        <w:t xml:space="preserve">(e.g. </w:t>
      </w:r>
      <w:r w:rsidRPr="008B2B23">
        <w:rPr>
          <w:rFonts w:ascii="Arial" w:hAnsi="Arial" w:cs="Arial"/>
          <w:sz w:val="22"/>
          <w:szCs w:val="22"/>
        </w:rPr>
        <w:t xml:space="preserve">Sir Toby Belch in </w:t>
      </w:r>
      <w:r w:rsidRPr="008B2B23">
        <w:rPr>
          <w:rFonts w:ascii="Arial" w:hAnsi="Arial" w:cs="Arial"/>
          <w:i/>
          <w:iCs/>
          <w:sz w:val="22"/>
          <w:szCs w:val="22"/>
        </w:rPr>
        <w:t>Twelfth Night</w:t>
      </w:r>
      <w:r>
        <w:rPr>
          <w:rFonts w:ascii="Arial" w:hAnsi="Arial" w:cs="Arial"/>
          <w:sz w:val="22"/>
          <w:szCs w:val="22"/>
        </w:rPr>
        <w:t>);</w:t>
      </w:r>
      <w:r w:rsidRPr="008B2B23">
        <w:rPr>
          <w:rFonts w:ascii="Arial" w:hAnsi="Arial" w:cs="Arial"/>
          <w:i/>
          <w:iCs/>
          <w:sz w:val="22"/>
          <w:szCs w:val="22"/>
        </w:rPr>
        <w:t xml:space="preserve"> </w:t>
      </w:r>
      <w:r>
        <w:rPr>
          <w:rFonts w:ascii="Arial" w:hAnsi="Arial" w:cs="Arial"/>
          <w:sz w:val="22"/>
          <w:szCs w:val="22"/>
        </w:rPr>
        <w:t>f</w:t>
      </w:r>
      <w:r w:rsidRPr="008B2B23">
        <w:rPr>
          <w:rFonts w:ascii="Arial" w:hAnsi="Arial" w:cs="Arial"/>
          <w:sz w:val="22"/>
          <w:szCs w:val="22"/>
        </w:rPr>
        <w:t>or</w:t>
      </w:r>
      <w:r>
        <w:rPr>
          <w:rFonts w:ascii="Arial" w:hAnsi="Arial" w:cs="Arial"/>
          <w:sz w:val="22"/>
          <w:szCs w:val="22"/>
        </w:rPr>
        <w:t xml:space="preserve">, as Mary Douglas puts it, </w:t>
      </w:r>
    </w:p>
    <w:p w:rsidR="00D51B70" w:rsidRDefault="00D51B70" w:rsidP="00E15699">
      <w:pPr>
        <w:pStyle w:val="NormalWeb"/>
        <w:spacing w:before="0" w:beforeAutospacing="0" w:after="0" w:afterAutospacing="0"/>
        <w:ind w:left="851" w:right="1088"/>
        <w:rPr>
          <w:rFonts w:ascii="Arial" w:hAnsi="Arial" w:cs="Arial"/>
          <w:sz w:val="20"/>
          <w:szCs w:val="20"/>
        </w:rPr>
      </w:pPr>
      <w:r w:rsidRPr="00E15699">
        <w:rPr>
          <w:rFonts w:ascii="Arial" w:hAnsi="Arial" w:cs="Arial"/>
          <w:sz w:val="20"/>
          <w:szCs w:val="20"/>
        </w:rPr>
        <w:t>For the only way in which pollution ideas make sense is in reference to a total structure of thought whose key-stone, boundaries, margins and internal lines are held in relation by rituals of separation.</w:t>
      </w:r>
      <w:r w:rsidRPr="00E15699">
        <w:rPr>
          <w:rStyle w:val="FootnoteReference"/>
          <w:rFonts w:ascii="Arial" w:hAnsi="Arial" w:cs="Arial"/>
          <w:sz w:val="20"/>
          <w:szCs w:val="20"/>
        </w:rPr>
        <w:footnoteReference w:id="4"/>
      </w:r>
      <w:r w:rsidRPr="00E15699">
        <w:rPr>
          <w:rFonts w:ascii="Arial" w:hAnsi="Arial" w:cs="Arial"/>
          <w:sz w:val="20"/>
          <w:szCs w:val="20"/>
        </w:rPr>
        <w:t xml:space="preserve"> </w:t>
      </w:r>
    </w:p>
    <w:p w:rsidR="00D51B70" w:rsidRPr="00E15699" w:rsidRDefault="00D51B70" w:rsidP="00E15699">
      <w:pPr>
        <w:pStyle w:val="NormalWeb"/>
        <w:spacing w:before="0" w:beforeAutospacing="0" w:after="0" w:afterAutospacing="0"/>
        <w:ind w:left="851" w:right="1088"/>
        <w:rPr>
          <w:rFonts w:ascii="Arial" w:hAnsi="Arial" w:cs="Arial"/>
          <w:sz w:val="20"/>
          <w:szCs w:val="20"/>
        </w:rPr>
      </w:pPr>
    </w:p>
    <w:p w:rsidR="00D51B70" w:rsidRPr="008B2B23" w:rsidRDefault="00D51B70" w:rsidP="008B2B23">
      <w:pPr>
        <w:pStyle w:val="NormalWeb"/>
        <w:spacing w:before="0" w:beforeAutospacing="0" w:after="0" w:afterAutospacing="0" w:line="480" w:lineRule="auto"/>
        <w:rPr>
          <w:rFonts w:ascii="Arial" w:hAnsi="Arial" w:cs="Arial"/>
          <w:sz w:val="22"/>
          <w:szCs w:val="22"/>
        </w:rPr>
      </w:pPr>
      <w:r w:rsidRPr="008B2B23">
        <w:rPr>
          <w:rFonts w:ascii="Arial" w:hAnsi="Arial" w:cs="Arial"/>
          <w:sz w:val="22"/>
          <w:szCs w:val="22"/>
        </w:rPr>
        <w:t>Sumptuary laws</w:t>
      </w:r>
      <w:r>
        <w:rPr>
          <w:rStyle w:val="FootnoteReference"/>
          <w:rFonts w:ascii="Arial" w:hAnsi="Arial" w:cs="Arial"/>
          <w:sz w:val="22"/>
          <w:szCs w:val="22"/>
        </w:rPr>
        <w:footnoteReference w:id="5"/>
      </w:r>
      <w:r w:rsidRPr="008B2B23">
        <w:rPr>
          <w:rFonts w:ascii="Arial" w:hAnsi="Arial" w:cs="Arial"/>
          <w:sz w:val="22"/>
          <w:szCs w:val="22"/>
        </w:rPr>
        <w:t>, gender anxieties</w:t>
      </w:r>
      <w:r>
        <w:rPr>
          <w:rFonts w:ascii="Arial" w:hAnsi="Arial" w:cs="Arial"/>
          <w:sz w:val="22"/>
          <w:szCs w:val="22"/>
        </w:rPr>
        <w:t>, class disruption</w:t>
      </w:r>
      <w:r w:rsidRPr="008B2B23">
        <w:rPr>
          <w:rFonts w:ascii="Arial" w:hAnsi="Arial" w:cs="Arial"/>
          <w:sz w:val="22"/>
          <w:szCs w:val="22"/>
        </w:rPr>
        <w:t xml:space="preserve"> and the Puritan anxiety with eternal damnation are examples of the Renaissance’s response to </w:t>
      </w:r>
      <w:r>
        <w:rPr>
          <w:rFonts w:ascii="Arial" w:hAnsi="Arial" w:cs="Arial"/>
          <w:sz w:val="22"/>
          <w:szCs w:val="22"/>
        </w:rPr>
        <w:t>concerns with</w:t>
      </w:r>
      <w:r w:rsidRPr="008B2B23">
        <w:rPr>
          <w:rFonts w:ascii="Arial" w:hAnsi="Arial" w:cs="Arial"/>
          <w:sz w:val="22"/>
          <w:szCs w:val="22"/>
        </w:rPr>
        <w:t xml:space="preserve"> purity and hence </w:t>
      </w:r>
      <w:r>
        <w:rPr>
          <w:rFonts w:ascii="Arial" w:hAnsi="Arial" w:cs="Arial"/>
          <w:sz w:val="22"/>
          <w:szCs w:val="22"/>
        </w:rPr>
        <w:t xml:space="preserve">with its </w:t>
      </w:r>
      <w:r w:rsidRPr="008B2B23">
        <w:rPr>
          <w:rFonts w:ascii="Arial" w:hAnsi="Arial" w:cs="Arial"/>
          <w:sz w:val="22"/>
          <w:szCs w:val="22"/>
        </w:rPr>
        <w:t xml:space="preserve">pollution. </w:t>
      </w:r>
    </w:p>
    <w:p w:rsidR="00D51B70" w:rsidRPr="008B2B23" w:rsidRDefault="00D51B70" w:rsidP="008B2B23">
      <w:pPr>
        <w:pStyle w:val="NormalWeb"/>
        <w:spacing w:before="0" w:beforeAutospacing="0" w:after="0" w:afterAutospacing="0" w:line="480" w:lineRule="auto"/>
        <w:rPr>
          <w:rFonts w:ascii="Arial" w:hAnsi="Arial" w:cs="Arial"/>
          <w:sz w:val="22"/>
          <w:szCs w:val="22"/>
        </w:rPr>
      </w:pPr>
    </w:p>
    <w:p w:rsidR="00D51B70" w:rsidRDefault="00D51B70" w:rsidP="008B2B23">
      <w:pPr>
        <w:pStyle w:val="NormalWeb"/>
        <w:spacing w:before="0" w:beforeAutospacing="0" w:after="0" w:afterAutospacing="0" w:line="480" w:lineRule="auto"/>
        <w:rPr>
          <w:rFonts w:ascii="Arial" w:hAnsi="Arial" w:cs="Arial"/>
          <w:sz w:val="22"/>
          <w:szCs w:val="22"/>
        </w:rPr>
      </w:pPr>
      <w:r w:rsidRPr="008B2B23">
        <w:rPr>
          <w:rFonts w:ascii="Arial" w:hAnsi="Arial" w:cs="Arial"/>
          <w:sz w:val="22"/>
          <w:szCs w:val="22"/>
        </w:rPr>
        <w:t xml:space="preserve">This essay will look at Shakespeare’s </w:t>
      </w:r>
      <w:r w:rsidRPr="00E15699">
        <w:rPr>
          <w:rFonts w:ascii="Arial" w:hAnsi="Arial" w:cs="Arial"/>
          <w:i/>
          <w:iCs/>
          <w:sz w:val="22"/>
          <w:szCs w:val="22"/>
        </w:rPr>
        <w:t>Twelfth Night</w:t>
      </w:r>
      <w:r w:rsidRPr="008B2B23">
        <w:rPr>
          <w:rFonts w:ascii="Arial" w:hAnsi="Arial" w:cs="Arial"/>
          <w:sz w:val="22"/>
          <w:szCs w:val="22"/>
        </w:rPr>
        <w:t xml:space="preserve"> as an ex</w:t>
      </w:r>
      <w:r>
        <w:rPr>
          <w:rFonts w:ascii="Arial" w:hAnsi="Arial" w:cs="Arial"/>
          <w:sz w:val="22"/>
          <w:szCs w:val="22"/>
        </w:rPr>
        <w:t xml:space="preserve">ploration </w:t>
      </w:r>
      <w:r w:rsidRPr="008B2B23">
        <w:rPr>
          <w:rFonts w:ascii="Arial" w:hAnsi="Arial" w:cs="Arial"/>
          <w:sz w:val="22"/>
          <w:szCs w:val="22"/>
        </w:rPr>
        <w:t xml:space="preserve">of a system of ‘ordered relations’ </w:t>
      </w:r>
      <w:r>
        <w:rPr>
          <w:rFonts w:ascii="Arial" w:hAnsi="Arial" w:cs="Arial"/>
          <w:sz w:val="22"/>
          <w:szCs w:val="22"/>
        </w:rPr>
        <w:t xml:space="preserve">through the plays dramatisation of </w:t>
      </w:r>
      <w:r w:rsidRPr="008B2B23">
        <w:rPr>
          <w:rFonts w:ascii="Arial" w:hAnsi="Arial" w:cs="Arial"/>
          <w:sz w:val="22"/>
          <w:szCs w:val="22"/>
        </w:rPr>
        <w:t>transgression of gender roles</w:t>
      </w:r>
      <w:r>
        <w:rPr>
          <w:rFonts w:ascii="Arial" w:hAnsi="Arial" w:cs="Arial"/>
          <w:sz w:val="22"/>
          <w:szCs w:val="22"/>
        </w:rPr>
        <w:t xml:space="preserve"> specifically through cross dressing</w:t>
      </w:r>
      <w:r w:rsidRPr="008B2B23">
        <w:rPr>
          <w:rFonts w:ascii="Arial" w:hAnsi="Arial" w:cs="Arial"/>
          <w:sz w:val="22"/>
          <w:szCs w:val="22"/>
        </w:rPr>
        <w:t>, sumptuary laws and the characters of Sir Toby Belch as chief transgressor and Malvolio as the</w:t>
      </w:r>
      <w:r>
        <w:rPr>
          <w:rFonts w:ascii="Arial" w:hAnsi="Arial" w:cs="Arial"/>
          <w:sz w:val="22"/>
          <w:szCs w:val="22"/>
        </w:rPr>
        <w:t xml:space="preserve"> misguided, overtly orderly and eventually</w:t>
      </w:r>
      <w:r w:rsidRPr="008B2B23">
        <w:rPr>
          <w:rFonts w:ascii="Arial" w:hAnsi="Arial" w:cs="Arial"/>
          <w:sz w:val="22"/>
          <w:szCs w:val="22"/>
        </w:rPr>
        <w:t xml:space="preserve"> victimised Puritan figure</w:t>
      </w:r>
      <w:r>
        <w:rPr>
          <w:rFonts w:ascii="Arial" w:hAnsi="Arial" w:cs="Arial"/>
          <w:sz w:val="22"/>
          <w:szCs w:val="22"/>
        </w:rPr>
        <w:t xml:space="preserve"> who’s anxiety driven desire is to “wash off gross acquaintance”</w:t>
      </w:r>
      <w:r w:rsidRPr="008B2B23">
        <w:rPr>
          <w:rFonts w:ascii="Arial" w:hAnsi="Arial" w:cs="Arial"/>
          <w:sz w:val="22"/>
          <w:szCs w:val="22"/>
        </w:rPr>
        <w:t>.</w:t>
      </w:r>
      <w:r>
        <w:rPr>
          <w:rStyle w:val="FootnoteReference"/>
          <w:rFonts w:ascii="Arial" w:hAnsi="Arial" w:cs="Arial"/>
          <w:sz w:val="22"/>
          <w:szCs w:val="22"/>
        </w:rPr>
        <w:footnoteReference w:id="6"/>
      </w:r>
      <w:r w:rsidRPr="008B2B23">
        <w:rPr>
          <w:rFonts w:ascii="Arial" w:hAnsi="Arial" w:cs="Arial"/>
          <w:sz w:val="22"/>
          <w:szCs w:val="22"/>
        </w:rPr>
        <w:t xml:space="preserve"> We will explore the ideas of purity in regard to the ‘high’ and ‘low</w:t>
      </w:r>
      <w:r>
        <w:rPr>
          <w:rFonts w:ascii="Arial" w:hAnsi="Arial" w:cs="Arial"/>
          <w:sz w:val="22"/>
          <w:szCs w:val="22"/>
        </w:rPr>
        <w:t>’</w:t>
      </w:r>
      <w:r w:rsidRPr="008B2B23">
        <w:rPr>
          <w:rFonts w:ascii="Arial" w:hAnsi="Arial" w:cs="Arial"/>
          <w:sz w:val="22"/>
          <w:szCs w:val="22"/>
        </w:rPr>
        <w:t xml:space="preserve"> and its effects on carnival.</w:t>
      </w:r>
      <w:r>
        <w:rPr>
          <w:rStyle w:val="FootnoteReference"/>
          <w:rFonts w:ascii="Arial" w:hAnsi="Arial" w:cs="Arial"/>
          <w:sz w:val="22"/>
          <w:szCs w:val="22"/>
        </w:rPr>
        <w:footnoteReference w:id="7"/>
      </w:r>
      <w:r w:rsidRPr="008B2B23">
        <w:rPr>
          <w:rFonts w:ascii="Arial" w:hAnsi="Arial" w:cs="Arial"/>
          <w:sz w:val="22"/>
          <w:szCs w:val="22"/>
        </w:rPr>
        <w:t xml:space="preserve"> However, as we shall see, in the context of carnival, disorder is returned to order and Malvolio as a figure of order is eventually released from his prison imposed by the figures of carnival in Sir Toby Belch et al. </w:t>
      </w:r>
    </w:p>
    <w:p w:rsidR="00D51B70" w:rsidRDefault="00D51B70" w:rsidP="008B2B23">
      <w:pPr>
        <w:pStyle w:val="NormalWeb"/>
        <w:spacing w:before="0" w:beforeAutospacing="0" w:after="0" w:afterAutospacing="0" w:line="480" w:lineRule="auto"/>
        <w:rPr>
          <w:rFonts w:ascii="Arial" w:hAnsi="Arial" w:cs="Arial"/>
          <w:sz w:val="22"/>
          <w:szCs w:val="22"/>
        </w:rPr>
      </w:pPr>
    </w:p>
    <w:p w:rsidR="00D51B70" w:rsidRDefault="00D51B70" w:rsidP="008B2B23">
      <w:pPr>
        <w:pStyle w:val="NormalWeb"/>
        <w:spacing w:before="0" w:beforeAutospacing="0" w:after="0" w:afterAutospacing="0" w:line="480" w:lineRule="auto"/>
        <w:rPr>
          <w:rFonts w:ascii="Arial" w:hAnsi="Arial" w:cs="Arial"/>
          <w:sz w:val="22"/>
          <w:szCs w:val="22"/>
        </w:rPr>
      </w:pPr>
      <w:r>
        <w:rPr>
          <w:rFonts w:ascii="Arial" w:hAnsi="Arial" w:cs="Arial"/>
          <w:sz w:val="22"/>
          <w:szCs w:val="22"/>
        </w:rPr>
        <w:t>In the Puritan mind, the rigid boundaries that separated pure from impure created an anxiety about desire for that which was considered low and dirty. As Stallybrass and White put it, “Disgust always bears the imprint of desire.”</w:t>
      </w:r>
      <w:r>
        <w:rPr>
          <w:rStyle w:val="FootnoteReference"/>
          <w:rFonts w:ascii="Arial" w:hAnsi="Arial" w:cs="Arial"/>
          <w:sz w:val="22"/>
          <w:szCs w:val="22"/>
        </w:rPr>
        <w:footnoteReference w:id="8"/>
      </w:r>
      <w:r>
        <w:rPr>
          <w:rFonts w:ascii="Arial" w:hAnsi="Arial" w:cs="Arial"/>
          <w:sz w:val="22"/>
          <w:szCs w:val="22"/>
        </w:rPr>
        <w:t xml:space="preserve"> This essay will also look at Thomas Middleton’s </w:t>
      </w:r>
      <w:r>
        <w:rPr>
          <w:rFonts w:ascii="Arial" w:hAnsi="Arial" w:cs="Arial"/>
          <w:i/>
          <w:iCs/>
          <w:sz w:val="22"/>
          <w:szCs w:val="22"/>
        </w:rPr>
        <w:t xml:space="preserve">The Changeling </w:t>
      </w:r>
      <w:r>
        <w:rPr>
          <w:rFonts w:ascii="Arial" w:hAnsi="Arial" w:cs="Arial"/>
          <w:sz w:val="22"/>
          <w:szCs w:val="22"/>
        </w:rPr>
        <w:t>as an example of that fact that Valerie Traub puts so well; “wherever there is desire there is anxiety; wherever there is anxiety there is desire”</w:t>
      </w:r>
      <w:r>
        <w:rPr>
          <w:rStyle w:val="FootnoteReference"/>
          <w:rFonts w:ascii="Arial" w:hAnsi="Arial" w:cs="Arial"/>
          <w:sz w:val="22"/>
          <w:szCs w:val="22"/>
        </w:rPr>
        <w:footnoteReference w:id="9"/>
      </w:r>
      <w:r>
        <w:rPr>
          <w:rFonts w:ascii="Arial" w:hAnsi="Arial" w:cs="Arial"/>
          <w:sz w:val="22"/>
          <w:szCs w:val="22"/>
        </w:rPr>
        <w:t xml:space="preserve"> looking at the idea that “like idealization and debasement [desire and anxiety] are two sides of the same coin.”</w:t>
      </w:r>
      <w:r>
        <w:rPr>
          <w:rStyle w:val="FootnoteReference"/>
          <w:rFonts w:ascii="Arial" w:hAnsi="Arial" w:cs="Arial"/>
          <w:sz w:val="22"/>
          <w:szCs w:val="22"/>
        </w:rPr>
        <w:footnoteReference w:id="10"/>
      </w:r>
      <w:r>
        <w:rPr>
          <w:rFonts w:ascii="Arial" w:hAnsi="Arial" w:cs="Arial"/>
          <w:sz w:val="22"/>
          <w:szCs w:val="22"/>
        </w:rPr>
        <w:t xml:space="preserve"> Once purity is set up and separated from the ‘low’, desire for transgression, for the ‘forbidden fruit’ become bound into the fabric of both society and the individual. We see this exhibited in De Flores and Beatrice being driven by their wills, their desires. The Puritan mind creates the situation that characters seem to have no choice or power to overcome their “fate, ‘mongst things corruptible”.</w:t>
      </w:r>
      <w:r>
        <w:rPr>
          <w:rStyle w:val="FootnoteReference"/>
          <w:rFonts w:ascii="Arial" w:hAnsi="Arial" w:cs="Arial"/>
          <w:sz w:val="22"/>
          <w:szCs w:val="22"/>
        </w:rPr>
        <w:footnoteReference w:id="11"/>
      </w:r>
    </w:p>
    <w:p w:rsidR="00D51B70" w:rsidRDefault="00D51B70" w:rsidP="008B2B23">
      <w:pPr>
        <w:pStyle w:val="NormalWeb"/>
        <w:spacing w:before="0" w:beforeAutospacing="0" w:after="0" w:afterAutospacing="0" w:line="480" w:lineRule="auto"/>
        <w:rPr>
          <w:rFonts w:ascii="Arial" w:hAnsi="Arial" w:cs="Arial"/>
          <w:sz w:val="22"/>
          <w:szCs w:val="22"/>
        </w:rPr>
      </w:pPr>
    </w:p>
    <w:p w:rsidR="00D51B70" w:rsidRPr="00084E9E" w:rsidRDefault="00D51B70" w:rsidP="008B2B23">
      <w:pPr>
        <w:pStyle w:val="NormalWeb"/>
        <w:spacing w:before="0" w:beforeAutospacing="0" w:after="0" w:afterAutospacing="0" w:line="480" w:lineRule="auto"/>
        <w:rPr>
          <w:rFonts w:ascii="Arial" w:hAnsi="Arial" w:cs="Arial"/>
          <w:sz w:val="22"/>
          <w:szCs w:val="22"/>
        </w:rPr>
      </w:pPr>
      <w:r>
        <w:rPr>
          <w:rFonts w:ascii="Arial" w:hAnsi="Arial" w:cs="Arial"/>
          <w:sz w:val="22"/>
          <w:szCs w:val="22"/>
        </w:rPr>
        <w:t xml:space="preserve">The final focus is Shakespeare’s </w:t>
      </w:r>
      <w:r>
        <w:rPr>
          <w:rFonts w:ascii="Arial" w:hAnsi="Arial" w:cs="Arial"/>
          <w:i/>
          <w:iCs/>
          <w:sz w:val="22"/>
          <w:szCs w:val="22"/>
        </w:rPr>
        <w:t xml:space="preserve">The Winter’s Tale </w:t>
      </w:r>
      <w:r>
        <w:rPr>
          <w:rFonts w:ascii="Arial" w:hAnsi="Arial" w:cs="Arial"/>
          <w:sz w:val="22"/>
          <w:szCs w:val="22"/>
        </w:rPr>
        <w:t xml:space="preserve">which questions the assumptions of the Puritan view of eternal damnation. Where Leontes exhibits the anxiety about desire in his wife, unlike the driven characters of </w:t>
      </w:r>
      <w:r>
        <w:rPr>
          <w:rFonts w:ascii="Arial" w:hAnsi="Arial" w:cs="Arial"/>
          <w:i/>
          <w:iCs/>
          <w:sz w:val="22"/>
          <w:szCs w:val="22"/>
        </w:rPr>
        <w:t>The Changeling</w:t>
      </w:r>
      <w:r>
        <w:rPr>
          <w:rFonts w:ascii="Arial" w:hAnsi="Arial" w:cs="Arial"/>
          <w:sz w:val="22"/>
          <w:szCs w:val="22"/>
        </w:rPr>
        <w:t>,</w:t>
      </w:r>
      <w:r>
        <w:rPr>
          <w:rFonts w:ascii="Arial" w:hAnsi="Arial" w:cs="Arial"/>
          <w:i/>
          <w:iCs/>
          <w:sz w:val="22"/>
          <w:szCs w:val="22"/>
        </w:rPr>
        <w:t xml:space="preserve"> </w:t>
      </w:r>
      <w:r>
        <w:rPr>
          <w:rFonts w:ascii="Arial" w:hAnsi="Arial" w:cs="Arial"/>
          <w:sz w:val="22"/>
          <w:szCs w:val="22"/>
        </w:rPr>
        <w:t>he is, though punished (through consequences of losing his son and wife for 16 years etc), not damned for his actions and the tragic is challenged in the redemptive twist of Hermiones’ ‘resurrection’. The idea of hybridity is addressed in its exploration of transgression, of marrying “a gentler scion to the wildest stock...a bark of baser kind by bud of nobler race”</w:t>
      </w:r>
      <w:r>
        <w:rPr>
          <w:rStyle w:val="FootnoteReference"/>
          <w:rFonts w:ascii="Arial" w:hAnsi="Arial" w:cs="Arial"/>
          <w:sz w:val="22"/>
          <w:szCs w:val="22"/>
        </w:rPr>
        <w:footnoteReference w:id="12"/>
      </w:r>
      <w:r>
        <w:rPr>
          <w:rFonts w:ascii="Arial" w:hAnsi="Arial" w:cs="Arial"/>
          <w:sz w:val="22"/>
          <w:szCs w:val="22"/>
        </w:rPr>
        <w:t xml:space="preserve">. In </w:t>
      </w:r>
      <w:r>
        <w:rPr>
          <w:rFonts w:ascii="Arial" w:hAnsi="Arial" w:cs="Arial"/>
          <w:i/>
          <w:iCs/>
          <w:sz w:val="22"/>
          <w:szCs w:val="22"/>
        </w:rPr>
        <w:t xml:space="preserve">The Winter’s Tale </w:t>
      </w:r>
      <w:r>
        <w:rPr>
          <w:rFonts w:ascii="Arial" w:hAnsi="Arial" w:cs="Arial"/>
          <w:sz w:val="22"/>
          <w:szCs w:val="22"/>
        </w:rPr>
        <w:t>we see a challenge to the ‘rituals of separation’ and their attendant fears of pollution which haunt the Renaissance with the shifting boundaries of class and religion that was occurring at the time.</w:t>
      </w:r>
    </w:p>
    <w:p w:rsidR="00D51B70" w:rsidRDefault="00D51B70" w:rsidP="00B11364">
      <w:pPr>
        <w:spacing w:line="480" w:lineRule="auto"/>
        <w:rPr>
          <w:rFonts w:ascii="Arial" w:hAnsi="Arial" w:cs="Arial"/>
          <w:b/>
          <w:bCs/>
          <w:sz w:val="28"/>
          <w:szCs w:val="28"/>
        </w:rPr>
      </w:pPr>
    </w:p>
    <w:p w:rsidR="00D51B70" w:rsidRDefault="00D51B70" w:rsidP="008579B2">
      <w:pPr>
        <w:spacing w:line="480" w:lineRule="auto"/>
        <w:rPr>
          <w:rFonts w:ascii="Arial" w:hAnsi="Arial" w:cs="Arial"/>
        </w:rPr>
      </w:pPr>
      <w:r>
        <w:rPr>
          <w:rFonts w:ascii="Arial" w:hAnsi="Arial" w:cs="Arial"/>
        </w:rPr>
        <w:t xml:space="preserve">The Twelfth Night of Christmas is understood to be the last night of merrymaking before the end of the festive period. Purity in its untainted ‘order of relations’ is disturbed. The boundaries that hold apart the binarities of male/female, master/slave and high/low and in rituals of separation are blurred and crossed. In Shakespeare’s </w:t>
      </w:r>
      <w:r>
        <w:rPr>
          <w:rFonts w:ascii="Arial" w:hAnsi="Arial" w:cs="Arial"/>
          <w:i/>
          <w:iCs/>
        </w:rPr>
        <w:t xml:space="preserve">Twelfth Night </w:t>
      </w:r>
      <w:r>
        <w:rPr>
          <w:rFonts w:ascii="Arial" w:hAnsi="Arial" w:cs="Arial"/>
        </w:rPr>
        <w:t>we see these chaotic elements released for a limited period as in Sir Toby Belch who plays in crossing these opposites, for example transgressing the binarity of night and day: “’tis too late to go to bed now”</w:t>
      </w:r>
      <w:r>
        <w:rPr>
          <w:rStyle w:val="FootnoteReference"/>
          <w:rFonts w:ascii="Arial" w:hAnsi="Arial" w:cs="Arial"/>
        </w:rPr>
        <w:footnoteReference w:id="13"/>
      </w:r>
      <w:r>
        <w:rPr>
          <w:rFonts w:ascii="Arial" w:hAnsi="Arial" w:cs="Arial"/>
        </w:rPr>
        <w:t xml:space="preserve">. </w:t>
      </w:r>
    </w:p>
    <w:p w:rsidR="00D51B70" w:rsidRDefault="00D51B70" w:rsidP="008579B2">
      <w:pPr>
        <w:spacing w:line="480" w:lineRule="auto"/>
        <w:rPr>
          <w:rFonts w:ascii="Arial" w:hAnsi="Arial" w:cs="Arial"/>
        </w:rPr>
      </w:pPr>
      <w:r>
        <w:rPr>
          <w:rFonts w:ascii="Arial" w:hAnsi="Arial" w:cs="Arial"/>
        </w:rPr>
        <w:t>However, perhaps the greatest challenge to binarity in the play by those figures who (unlike Sir Toby Belch and his mischievous friends) do not represent in persona the chaotic element yet who naïvely cross the boundaries of sumptuary laws, is those of gender. Marjorie Garber states;</w:t>
      </w:r>
    </w:p>
    <w:p w:rsidR="00D51B70" w:rsidRDefault="00D51B70" w:rsidP="003D4D05">
      <w:pPr>
        <w:pStyle w:val="NormalWeb"/>
        <w:spacing w:before="0" w:beforeAutospacing="0" w:after="0" w:afterAutospacing="0"/>
        <w:ind w:left="851" w:right="1088"/>
        <w:rPr>
          <w:rFonts w:ascii="Arial" w:hAnsi="Arial" w:cs="Arial"/>
          <w:sz w:val="20"/>
          <w:szCs w:val="20"/>
        </w:rPr>
      </w:pPr>
      <w:r w:rsidRPr="003D4D05">
        <w:rPr>
          <w:rFonts w:ascii="Arial" w:hAnsi="Arial" w:cs="Arial"/>
          <w:sz w:val="20"/>
          <w:szCs w:val="20"/>
        </w:rPr>
        <w:t>For me, therefore, one of the most important aspects of cross-dressing is they way in which it offers a challenge to easy notions of binarity, putting into question the cate</w:t>
      </w:r>
      <w:r>
        <w:rPr>
          <w:rFonts w:ascii="Arial" w:hAnsi="Arial" w:cs="Arial"/>
          <w:sz w:val="20"/>
          <w:szCs w:val="20"/>
        </w:rPr>
        <w:t>gories of "female" and "male".</w:t>
      </w:r>
    </w:p>
    <w:p w:rsidR="00D51B70" w:rsidRDefault="00D51B70" w:rsidP="00F83BCF">
      <w:pPr>
        <w:pStyle w:val="NormalWeb"/>
        <w:spacing w:before="0" w:beforeAutospacing="0" w:after="0" w:afterAutospacing="0"/>
        <w:ind w:right="1088"/>
        <w:rPr>
          <w:rFonts w:ascii="Arial" w:hAnsi="Arial" w:cs="Arial"/>
          <w:sz w:val="22"/>
          <w:szCs w:val="22"/>
        </w:rPr>
      </w:pPr>
    </w:p>
    <w:p w:rsidR="00D51B70" w:rsidRPr="00F83BCF" w:rsidRDefault="00D51B70" w:rsidP="00F83BCF">
      <w:pPr>
        <w:pStyle w:val="NormalWeb"/>
        <w:spacing w:before="0" w:beforeAutospacing="0" w:after="0" w:afterAutospacing="0"/>
        <w:ind w:right="1088"/>
        <w:rPr>
          <w:rFonts w:ascii="Arial" w:hAnsi="Arial" w:cs="Arial"/>
          <w:sz w:val="22"/>
          <w:szCs w:val="22"/>
        </w:rPr>
      </w:pPr>
      <w:r>
        <w:rPr>
          <w:rFonts w:ascii="Arial" w:hAnsi="Arial" w:cs="Arial"/>
          <w:sz w:val="22"/>
          <w:szCs w:val="22"/>
        </w:rPr>
        <w:t>And goes on to talk of “category crisis”:</w:t>
      </w:r>
    </w:p>
    <w:p w:rsidR="00D51B70" w:rsidRDefault="00D51B70" w:rsidP="003D4D05">
      <w:pPr>
        <w:pStyle w:val="NormalWeb"/>
        <w:spacing w:before="0" w:beforeAutospacing="0" w:after="0" w:afterAutospacing="0"/>
        <w:ind w:left="851" w:right="1088"/>
        <w:rPr>
          <w:rFonts w:ascii="Arial" w:hAnsi="Arial" w:cs="Arial"/>
          <w:sz w:val="20"/>
          <w:szCs w:val="20"/>
        </w:rPr>
      </w:pPr>
    </w:p>
    <w:p w:rsidR="00D51B70" w:rsidRPr="003D4D05" w:rsidRDefault="00D51B70" w:rsidP="003D4D05">
      <w:pPr>
        <w:pStyle w:val="NormalWeb"/>
        <w:spacing w:before="0" w:beforeAutospacing="0" w:after="0" w:afterAutospacing="0"/>
        <w:ind w:left="851" w:right="1088"/>
        <w:rPr>
          <w:rFonts w:ascii="Arial" w:hAnsi="Arial" w:cs="Arial"/>
          <w:sz w:val="20"/>
          <w:szCs w:val="20"/>
        </w:rPr>
      </w:pPr>
      <w:r w:rsidRPr="003D4D05">
        <w:rPr>
          <w:rFonts w:ascii="Arial" w:hAnsi="Arial" w:cs="Arial"/>
          <w:sz w:val="20"/>
          <w:szCs w:val="20"/>
        </w:rPr>
        <w:t>By category crisis I mean a failure of definitional distinction, a borderline that becomes permeable, that permits of border crossings from one (apparently distinct) category to another...a mechanism of displacement from one blurred boundary to another.</w:t>
      </w:r>
      <w:r>
        <w:rPr>
          <w:rStyle w:val="FootnoteReference"/>
          <w:rFonts w:ascii="Arial" w:hAnsi="Arial" w:cs="Arial"/>
          <w:sz w:val="20"/>
          <w:szCs w:val="20"/>
        </w:rPr>
        <w:footnoteReference w:id="14"/>
      </w:r>
    </w:p>
    <w:p w:rsidR="00D51B70" w:rsidRDefault="00D51B70" w:rsidP="008579B2">
      <w:pPr>
        <w:spacing w:line="480" w:lineRule="auto"/>
        <w:rPr>
          <w:rFonts w:ascii="Arial" w:hAnsi="Arial" w:cs="Arial"/>
        </w:rPr>
      </w:pPr>
    </w:p>
    <w:p w:rsidR="00D51B70" w:rsidRDefault="00D51B70" w:rsidP="00950A37">
      <w:pPr>
        <w:spacing w:line="480" w:lineRule="auto"/>
        <w:rPr>
          <w:rFonts w:ascii="Arial" w:hAnsi="Arial" w:cs="Arial"/>
        </w:rPr>
      </w:pPr>
      <w:r>
        <w:rPr>
          <w:rFonts w:ascii="Arial" w:hAnsi="Arial" w:cs="Arial"/>
        </w:rPr>
        <w:t>In the eyes of the Puritans, these categories were highly important as we see displayed in the words of the puritan Philip Stubbes:</w:t>
      </w:r>
    </w:p>
    <w:p w:rsidR="00D51B70" w:rsidRPr="00BF65A0" w:rsidRDefault="00D51B70" w:rsidP="00950A37">
      <w:pPr>
        <w:pStyle w:val="NormalWeb"/>
        <w:spacing w:before="0" w:beforeAutospacing="0" w:after="0" w:afterAutospacing="0"/>
        <w:ind w:left="851" w:right="1088"/>
        <w:rPr>
          <w:rFonts w:ascii="Arial" w:hAnsi="Arial" w:cs="Arial"/>
          <w:sz w:val="20"/>
          <w:szCs w:val="20"/>
        </w:rPr>
      </w:pPr>
      <w:r w:rsidRPr="00BF65A0">
        <w:rPr>
          <w:rFonts w:ascii="Arial" w:hAnsi="Arial" w:cs="Arial"/>
          <w:sz w:val="20"/>
          <w:szCs w:val="20"/>
        </w:rPr>
        <w:t>Our Apparel was given us as a signe distinctive to discern betwixt sex and sex, and therefore one to weare the apparel of another sex, is to pa</w:t>
      </w:r>
      <w:r>
        <w:rPr>
          <w:rFonts w:ascii="Arial" w:hAnsi="Arial" w:cs="Arial"/>
          <w:sz w:val="20"/>
          <w:szCs w:val="20"/>
        </w:rPr>
        <w:t>r</w:t>
      </w:r>
      <w:r w:rsidRPr="00BF65A0">
        <w:rPr>
          <w:rFonts w:ascii="Arial" w:hAnsi="Arial" w:cs="Arial"/>
          <w:sz w:val="20"/>
          <w:szCs w:val="20"/>
        </w:rPr>
        <w:t>ticipate with the same and to adulterate the veritie of his own kind</w:t>
      </w:r>
      <w:r>
        <w:rPr>
          <w:rFonts w:ascii="Arial" w:hAnsi="Arial" w:cs="Arial"/>
          <w:sz w:val="20"/>
          <w:szCs w:val="20"/>
        </w:rPr>
        <w:t>.</w:t>
      </w:r>
      <w:r>
        <w:rPr>
          <w:rStyle w:val="FootnoteReference"/>
          <w:rFonts w:ascii="Arial" w:hAnsi="Arial" w:cs="Arial"/>
          <w:sz w:val="20"/>
          <w:szCs w:val="20"/>
        </w:rPr>
        <w:footnoteReference w:id="15"/>
      </w:r>
    </w:p>
    <w:p w:rsidR="00D51B70" w:rsidRDefault="00D51B70" w:rsidP="008579B2">
      <w:pPr>
        <w:spacing w:line="480" w:lineRule="auto"/>
        <w:rPr>
          <w:rFonts w:ascii="Arial" w:hAnsi="Arial" w:cs="Arial"/>
        </w:rPr>
      </w:pPr>
    </w:p>
    <w:p w:rsidR="00D51B70" w:rsidRDefault="00D51B70" w:rsidP="008579B2">
      <w:pPr>
        <w:spacing w:line="480" w:lineRule="auto"/>
        <w:rPr>
          <w:rFonts w:ascii="Arial" w:hAnsi="Arial" w:cs="Arial"/>
        </w:rPr>
      </w:pPr>
      <w:r>
        <w:rPr>
          <w:rFonts w:ascii="Arial" w:hAnsi="Arial" w:cs="Arial"/>
        </w:rPr>
        <w:t>As we have seen, the idea of purity works in terms of a “set of ordered relations” (Douglas, 1966) and the contravention of the sumptuary laws which disallow men from wearing the clothes of women and vice versa blur these boundaries creating disorder. This disorder is exhibited in the love triangle of Viola, Orsino and Olivia, of which initially only Viola is aware due to her dual role as male and female, “My master loves her dearly/ And I, poor monster, fond as much on him,/ And she, mistaken, seems to dote on me:/ What will become of this?”</w:t>
      </w:r>
      <w:r>
        <w:rPr>
          <w:rStyle w:val="FootnoteReference"/>
          <w:rFonts w:ascii="Arial" w:hAnsi="Arial" w:cs="Arial"/>
        </w:rPr>
        <w:footnoteReference w:id="16"/>
      </w:r>
      <w:r>
        <w:rPr>
          <w:rFonts w:ascii="Arial" w:hAnsi="Arial" w:cs="Arial"/>
        </w:rPr>
        <w:t xml:space="preserve"> Anxiety about the dangers of transgression proves valid in their ability to confuse and upset not only the social but also the individual order. This gender transgression, blurring the lines of sexuality (Olivia falls for a woman)</w:t>
      </w:r>
      <w:r>
        <w:rPr>
          <w:rStyle w:val="FootnoteReference"/>
          <w:rFonts w:ascii="Arial" w:hAnsi="Arial" w:cs="Arial"/>
        </w:rPr>
        <w:footnoteReference w:id="17"/>
      </w:r>
      <w:r>
        <w:rPr>
          <w:rFonts w:ascii="Arial" w:hAnsi="Arial" w:cs="Arial"/>
        </w:rPr>
        <w:t xml:space="preserve"> and the confusion of male and female roles is perhaps the most glaringly obvious example of the disruption of purity and order in </w:t>
      </w:r>
      <w:r>
        <w:rPr>
          <w:rFonts w:ascii="Arial" w:hAnsi="Arial" w:cs="Arial"/>
          <w:i/>
          <w:iCs/>
        </w:rPr>
        <w:t>Twelfth Night</w:t>
      </w:r>
      <w:r>
        <w:rPr>
          <w:rFonts w:ascii="Arial" w:hAnsi="Arial" w:cs="Arial"/>
        </w:rPr>
        <w:t>. There is, however, another example in the transgression of societal roles.</w:t>
      </w:r>
    </w:p>
    <w:p w:rsidR="00D51B70" w:rsidRDefault="00D51B70" w:rsidP="008579B2">
      <w:pPr>
        <w:spacing w:line="480" w:lineRule="auto"/>
        <w:rPr>
          <w:rFonts w:ascii="Arial" w:hAnsi="Arial" w:cs="Arial"/>
        </w:rPr>
      </w:pPr>
      <w:r>
        <w:rPr>
          <w:rFonts w:ascii="Arial" w:hAnsi="Arial" w:cs="Arial"/>
        </w:rPr>
        <w:t>Malvolio, the Puritan proto-bourgeois, for whom ‘dirt’ must be avoided and order adhered to, for whom Sir Toby Belch is arch corrupter; “Is there no respect of place, persons nor time in you?”</w:t>
      </w:r>
      <w:r>
        <w:rPr>
          <w:rStyle w:val="FootnoteReference"/>
          <w:rFonts w:ascii="Arial" w:hAnsi="Arial" w:cs="Arial"/>
        </w:rPr>
        <w:footnoteReference w:id="18"/>
      </w:r>
      <w:r>
        <w:rPr>
          <w:rFonts w:ascii="Arial" w:hAnsi="Arial" w:cs="Arial"/>
        </w:rPr>
        <w:t xml:space="preserve"> seeks to stabilise binary oppositions in order to see himself ‘high’ and distant from those things which appear ‘low’. Stallybrass and White put it thus:</w:t>
      </w:r>
    </w:p>
    <w:p w:rsidR="00D51B70" w:rsidRPr="003B11E4" w:rsidRDefault="00D51B70" w:rsidP="003B11E4">
      <w:pPr>
        <w:pStyle w:val="NormalWeb"/>
        <w:spacing w:before="0" w:beforeAutospacing="0" w:after="0" w:afterAutospacing="0"/>
        <w:ind w:left="851" w:right="1088"/>
        <w:rPr>
          <w:rFonts w:ascii="Arial" w:hAnsi="Arial" w:cs="Arial"/>
          <w:sz w:val="20"/>
          <w:szCs w:val="20"/>
        </w:rPr>
      </w:pPr>
      <w:r w:rsidRPr="003B11E4">
        <w:rPr>
          <w:rFonts w:ascii="Arial" w:hAnsi="Arial" w:cs="Arial"/>
          <w:sz w:val="20"/>
          <w:szCs w:val="20"/>
        </w:rPr>
        <w:t>The bourgeois subject continually defined and re-defined itself through the exclusion of what it marked out as 'low'-as dirty, repulsive, noisy, contaminating. Yet that very act of exclusion was constitutive of its identity. But disgust always bears the imprint of desire.</w:t>
      </w:r>
      <w:r>
        <w:rPr>
          <w:rStyle w:val="FootnoteReference"/>
          <w:rFonts w:ascii="Arial" w:hAnsi="Arial" w:cs="Arial"/>
          <w:sz w:val="20"/>
          <w:szCs w:val="20"/>
        </w:rPr>
        <w:footnoteReference w:id="19"/>
      </w:r>
    </w:p>
    <w:p w:rsidR="00D51B70" w:rsidRDefault="00D51B70" w:rsidP="008579B2">
      <w:pPr>
        <w:spacing w:line="480" w:lineRule="auto"/>
        <w:rPr>
          <w:rFonts w:ascii="Arial" w:hAnsi="Arial" w:cs="Arial"/>
        </w:rPr>
      </w:pPr>
    </w:p>
    <w:p w:rsidR="00D51B70" w:rsidRDefault="00D51B70" w:rsidP="008579B2">
      <w:pPr>
        <w:spacing w:line="480" w:lineRule="auto"/>
        <w:rPr>
          <w:rFonts w:ascii="Arial" w:hAnsi="Arial" w:cs="Arial"/>
        </w:rPr>
      </w:pPr>
      <w:r>
        <w:rPr>
          <w:rFonts w:ascii="Arial" w:hAnsi="Arial" w:cs="Arial"/>
        </w:rPr>
        <w:t>In seeking for himself separation from the low and lowly, and in desire for the high, the honoured, the systemized he disparages the clown in front of Olivia, “I saw him put down the other day with an ordinary fool that has no more brain than a stone”.</w:t>
      </w:r>
      <w:r>
        <w:rPr>
          <w:rStyle w:val="FootnoteReference"/>
          <w:rFonts w:ascii="Arial" w:hAnsi="Arial" w:cs="Arial"/>
        </w:rPr>
        <w:footnoteReference w:id="20"/>
      </w:r>
      <w:r>
        <w:rPr>
          <w:rFonts w:ascii="Arial" w:hAnsi="Arial" w:cs="Arial"/>
        </w:rPr>
        <w:t xml:space="preserve"> Then, in an enactment of Stallybrass and White’s definition of the bourgeois subject, after separating himself from the low and desiring the high, Olivia, he will </w:t>
      </w:r>
      <w:r>
        <w:rPr>
          <w:rFonts w:ascii="Arial" w:hAnsi="Arial" w:cs="Arial"/>
          <w:i/>
          <w:iCs/>
        </w:rPr>
        <w:t xml:space="preserve">become </w:t>
      </w:r>
      <w:r>
        <w:rPr>
          <w:rFonts w:ascii="Arial" w:hAnsi="Arial" w:cs="Arial"/>
        </w:rPr>
        <w:t>what he most rejects, the low, by playing the fool and wearing yellow garters.</w:t>
      </w:r>
      <w:r>
        <w:rPr>
          <w:rStyle w:val="FootnoteReference"/>
          <w:rFonts w:ascii="Arial" w:hAnsi="Arial" w:cs="Arial"/>
        </w:rPr>
        <w:footnoteReference w:id="21"/>
      </w:r>
      <w:r>
        <w:rPr>
          <w:rFonts w:ascii="Arial" w:hAnsi="Arial" w:cs="Arial"/>
        </w:rPr>
        <w:t xml:space="preserve"> An anonymous letter talks of puritans who “doe outwardly pretend religion, and inwardly intend subversion: promise and proclaime that they will restore ancient perfection, but they performe nothing but idle conceits of their own fansies.”</w:t>
      </w:r>
      <w:r>
        <w:rPr>
          <w:rStyle w:val="FootnoteReference"/>
          <w:rFonts w:ascii="Arial" w:hAnsi="Arial" w:cs="Arial"/>
        </w:rPr>
        <w:footnoteReference w:id="22"/>
      </w:r>
      <w:r>
        <w:rPr>
          <w:rFonts w:ascii="Arial" w:hAnsi="Arial" w:cs="Arial"/>
        </w:rPr>
        <w:t xml:space="preserve"> This perhaps relates to the puritan need for perfection, for where there is none, there is a need to create it; the initials in the letter of M O A I, though all in his name do not have rhyme or sequence to them “and yet, to crush this a little, it would bow to me”</w:t>
      </w:r>
      <w:r>
        <w:rPr>
          <w:rStyle w:val="FootnoteReference"/>
          <w:rFonts w:ascii="Arial" w:hAnsi="Arial" w:cs="Arial"/>
        </w:rPr>
        <w:footnoteReference w:id="23"/>
      </w:r>
      <w:r>
        <w:rPr>
          <w:rFonts w:ascii="Arial" w:hAnsi="Arial" w:cs="Arial"/>
        </w:rPr>
        <w:t xml:space="preserve">, and thus he makes it read as a code for his name, imposing order where there is none. </w:t>
      </w:r>
    </w:p>
    <w:p w:rsidR="00D51B70" w:rsidRDefault="00D51B70" w:rsidP="007F14D2">
      <w:pPr>
        <w:spacing w:line="480" w:lineRule="auto"/>
        <w:rPr>
          <w:rFonts w:ascii="Arial" w:hAnsi="Arial" w:cs="Arial"/>
        </w:rPr>
      </w:pPr>
      <w:r>
        <w:rPr>
          <w:rFonts w:ascii="Arial" w:hAnsi="Arial" w:cs="Arial"/>
        </w:rPr>
        <w:t>Sir Toby Belch, then, is the head of disorder in the play, who in his revelry and mischief creates, with the servant Maria, the situation that causes Malvolio’s imprisonment. Maria pretends to ‘be’ Olivia, by subverting her identity by writing with her ‘hand.’ The implications here suggest that words can betray.</w:t>
      </w:r>
    </w:p>
    <w:p w:rsidR="00D51B70" w:rsidRPr="00D01C9F" w:rsidRDefault="00D51B70" w:rsidP="007F14D2">
      <w:pPr>
        <w:spacing w:line="480" w:lineRule="auto"/>
        <w:rPr>
          <w:rFonts w:ascii="Arial" w:hAnsi="Arial" w:cs="Arial"/>
        </w:rPr>
      </w:pPr>
      <w:r>
        <w:rPr>
          <w:rFonts w:ascii="Arial" w:hAnsi="Arial" w:cs="Arial"/>
        </w:rPr>
        <w:t>Where the clown is sent in as the priest and tells Malvolio that “thou errest. I say there is no darkness but ignorance”</w:t>
      </w:r>
      <w:r>
        <w:rPr>
          <w:rStyle w:val="FootnoteReference"/>
          <w:rFonts w:ascii="Arial" w:hAnsi="Arial" w:cs="Arial"/>
        </w:rPr>
        <w:footnoteReference w:id="24"/>
      </w:r>
      <w:r>
        <w:rPr>
          <w:rFonts w:ascii="Arial" w:hAnsi="Arial" w:cs="Arial"/>
        </w:rPr>
        <w:t xml:space="preserve"> the ordered and sane in Malvolio is called into question. The idea of perception, of truly knowing and placing all things confronts Malvolio, for in that space, it is his one word against another’s. Feste insists that light is dark and his words betray and wield power over Malvolio. It is this exclusionary treatment of Malvolio that results in Sir Toby Belch’s union with Maria. While the puritan figure is confused, confronted and imprisoned, Sir Toby Belch’s apish behaviour results in his marriage to Maria, a highly symbolic act of order and containment of desire within societal and individual boundaries.</w:t>
      </w:r>
    </w:p>
    <w:p w:rsidR="00D51B70" w:rsidRDefault="00D51B70" w:rsidP="008579B2">
      <w:pPr>
        <w:spacing w:line="480" w:lineRule="auto"/>
        <w:rPr>
          <w:rFonts w:ascii="Arial" w:hAnsi="Arial" w:cs="Arial"/>
        </w:rPr>
      </w:pPr>
      <w:r>
        <w:rPr>
          <w:rFonts w:ascii="Arial" w:hAnsi="Arial" w:cs="Arial"/>
        </w:rPr>
        <w:t>Shakespeare inverts the roles, switches the binarity of ‘high’ and ‘low’ by causing the puritan figure to be locked up; a situation more commonly associated with criminals, the ‘low’ and the dirty and Sir Toby Belch to be married; a form of the ‘high’ in its associative ordered nature in society.</w:t>
      </w:r>
    </w:p>
    <w:p w:rsidR="00D51B70" w:rsidRDefault="00D51B70" w:rsidP="00053164">
      <w:pPr>
        <w:pStyle w:val="NormalWeb"/>
        <w:spacing w:before="0" w:beforeAutospacing="0" w:after="0" w:afterAutospacing="0" w:line="480" w:lineRule="auto"/>
        <w:rPr>
          <w:rFonts w:ascii="Arial" w:hAnsi="Arial" w:cs="Arial"/>
          <w:sz w:val="22"/>
          <w:szCs w:val="22"/>
        </w:rPr>
      </w:pPr>
      <w:r>
        <w:rPr>
          <w:rFonts w:ascii="Arial" w:hAnsi="Arial" w:cs="Arial"/>
          <w:sz w:val="22"/>
          <w:szCs w:val="22"/>
        </w:rPr>
        <w:t>Shakespeare in numerous ways causes</w:t>
      </w:r>
      <w:r w:rsidRPr="00053164">
        <w:rPr>
          <w:rFonts w:ascii="Arial" w:hAnsi="Arial" w:cs="Arial"/>
          <w:sz w:val="22"/>
          <w:szCs w:val="22"/>
        </w:rPr>
        <w:t xml:space="preserve"> binary oppositions </w:t>
      </w:r>
      <w:r>
        <w:rPr>
          <w:rFonts w:ascii="Arial" w:hAnsi="Arial" w:cs="Arial"/>
          <w:sz w:val="22"/>
          <w:szCs w:val="22"/>
        </w:rPr>
        <w:t xml:space="preserve">to </w:t>
      </w:r>
      <w:r w:rsidRPr="00053164">
        <w:rPr>
          <w:rFonts w:ascii="Arial" w:hAnsi="Arial" w:cs="Arial"/>
          <w:sz w:val="22"/>
          <w:szCs w:val="22"/>
        </w:rPr>
        <w:t xml:space="preserve">merge, invert and the lines of ordered society </w:t>
      </w:r>
      <w:r>
        <w:rPr>
          <w:rFonts w:ascii="Arial" w:hAnsi="Arial" w:cs="Arial"/>
          <w:sz w:val="22"/>
          <w:szCs w:val="22"/>
        </w:rPr>
        <w:t>to be subverted. This fascination with the disruptive excluded element leads to carnival in its temporary allowance of ‘ordered chaos’, where the revelry and disruption is acceptable because it is defined by its inherent temporality. Chedgozy states;</w:t>
      </w:r>
    </w:p>
    <w:p w:rsidR="00D51B70" w:rsidRPr="003F464A" w:rsidRDefault="00D51B70" w:rsidP="003F464A">
      <w:pPr>
        <w:pStyle w:val="NormalWeb"/>
        <w:spacing w:before="0" w:beforeAutospacing="0" w:after="0" w:afterAutospacing="0"/>
        <w:ind w:left="851" w:right="1088"/>
        <w:rPr>
          <w:rFonts w:ascii="Arial" w:hAnsi="Arial" w:cs="Arial"/>
          <w:sz w:val="20"/>
          <w:szCs w:val="20"/>
        </w:rPr>
      </w:pPr>
      <w:r w:rsidRPr="003F464A">
        <w:rPr>
          <w:rFonts w:ascii="Arial" w:hAnsi="Arial" w:cs="Arial"/>
          <w:sz w:val="20"/>
          <w:szCs w:val="20"/>
        </w:rPr>
        <w:t>The essential principle of carnival is embedded in the grotesque body, which is typified by events and activities-eating, defecation, birth, death, sex in which the boundaries between the bodies, and between bodies and the world, are obscured, eroded and displaced</w:t>
      </w:r>
      <w:r>
        <w:rPr>
          <w:rFonts w:ascii="Arial" w:hAnsi="Arial" w:cs="Arial"/>
          <w:sz w:val="20"/>
          <w:szCs w:val="20"/>
        </w:rPr>
        <w:t>.</w:t>
      </w:r>
      <w:r>
        <w:rPr>
          <w:rStyle w:val="FootnoteReference"/>
          <w:rFonts w:ascii="Arial" w:hAnsi="Arial" w:cs="Arial"/>
          <w:sz w:val="20"/>
          <w:szCs w:val="20"/>
        </w:rPr>
        <w:footnoteReference w:id="25"/>
      </w:r>
    </w:p>
    <w:p w:rsidR="00D51B70" w:rsidRDefault="00D51B70" w:rsidP="00053164">
      <w:pPr>
        <w:pStyle w:val="NormalWeb"/>
        <w:spacing w:before="0" w:beforeAutospacing="0" w:after="0" w:afterAutospacing="0" w:line="480" w:lineRule="auto"/>
        <w:rPr>
          <w:rFonts w:ascii="Arial" w:hAnsi="Arial" w:cs="Arial"/>
          <w:i/>
          <w:iCs/>
          <w:sz w:val="22"/>
          <w:szCs w:val="22"/>
        </w:rPr>
      </w:pPr>
    </w:p>
    <w:p w:rsidR="00D51B70" w:rsidRDefault="00D51B70" w:rsidP="00053164">
      <w:pPr>
        <w:pStyle w:val="NormalWeb"/>
        <w:spacing w:before="0" w:beforeAutospacing="0" w:after="0" w:afterAutospacing="0" w:line="480" w:lineRule="auto"/>
        <w:rPr>
          <w:rFonts w:ascii="Arial" w:hAnsi="Arial" w:cs="Arial"/>
          <w:sz w:val="22"/>
          <w:szCs w:val="22"/>
        </w:rPr>
      </w:pPr>
      <w:r>
        <w:rPr>
          <w:rFonts w:ascii="Arial" w:hAnsi="Arial" w:cs="Arial"/>
          <w:i/>
          <w:iCs/>
          <w:sz w:val="22"/>
          <w:szCs w:val="22"/>
        </w:rPr>
        <w:t xml:space="preserve">Twelfth Night </w:t>
      </w:r>
      <w:r>
        <w:rPr>
          <w:rFonts w:ascii="Arial" w:hAnsi="Arial" w:cs="Arial"/>
          <w:sz w:val="22"/>
          <w:szCs w:val="22"/>
        </w:rPr>
        <w:t>displays a form of carnival, of displacement, and obscured boundaries. The idea of purity and the figures of purity are temporarily displaced and compromised. Viola’s need to eat, of escaping “being delivered to the world”</w:t>
      </w:r>
      <w:r>
        <w:rPr>
          <w:rStyle w:val="FootnoteReference"/>
          <w:rFonts w:ascii="Arial" w:hAnsi="Arial" w:cs="Arial"/>
          <w:sz w:val="22"/>
          <w:szCs w:val="22"/>
        </w:rPr>
        <w:footnoteReference w:id="26"/>
      </w:r>
      <w:r>
        <w:rPr>
          <w:rFonts w:ascii="Arial" w:hAnsi="Arial" w:cs="Arial"/>
          <w:sz w:val="22"/>
          <w:szCs w:val="22"/>
        </w:rPr>
        <w:t>, results in her crossing the boundaries of male and female in taking on a male persona into an already disrupted state. It is important to realise that carnival brings with it inherent temporality, that what is disordered and boundaries that are blurred are not permanent. Purity is offended, challenged and obscured, but only for a time. The final scene of the play provides Olivia with a male lover in the form of her twin Sebastian, Orsino, who was madly in love with Olivia seems to suddenly realise it was Viola he had loved the whole time</w:t>
      </w:r>
      <w:r>
        <w:rPr>
          <w:rStyle w:val="FootnoteReference"/>
          <w:rFonts w:ascii="Arial" w:hAnsi="Arial" w:cs="Arial"/>
          <w:sz w:val="22"/>
          <w:szCs w:val="22"/>
        </w:rPr>
        <w:footnoteReference w:id="27"/>
      </w:r>
      <w:r>
        <w:rPr>
          <w:rFonts w:ascii="Arial" w:hAnsi="Arial" w:cs="Arial"/>
          <w:sz w:val="22"/>
          <w:szCs w:val="22"/>
        </w:rPr>
        <w:t xml:space="preserve">, Sir Toby Belch is married and Malvolio is let out of his cell. </w:t>
      </w:r>
    </w:p>
    <w:p w:rsidR="00D51B70" w:rsidRDefault="00D51B70" w:rsidP="00053164">
      <w:pPr>
        <w:pStyle w:val="NormalWeb"/>
        <w:spacing w:before="0" w:beforeAutospacing="0" w:after="0" w:afterAutospacing="0" w:line="480" w:lineRule="auto"/>
        <w:rPr>
          <w:rFonts w:ascii="Arial" w:hAnsi="Arial" w:cs="Arial"/>
          <w:sz w:val="22"/>
          <w:szCs w:val="22"/>
        </w:rPr>
      </w:pPr>
    </w:p>
    <w:p w:rsidR="00D51B70" w:rsidRPr="00AC3F3A" w:rsidRDefault="00D51B70" w:rsidP="00053164">
      <w:pPr>
        <w:pStyle w:val="NormalWeb"/>
        <w:spacing w:before="0" w:beforeAutospacing="0" w:after="0" w:afterAutospacing="0" w:line="480" w:lineRule="auto"/>
        <w:rPr>
          <w:rFonts w:ascii="Arial" w:hAnsi="Arial" w:cs="Arial"/>
          <w:sz w:val="22"/>
          <w:szCs w:val="22"/>
        </w:rPr>
      </w:pPr>
      <w:r>
        <w:rPr>
          <w:rFonts w:ascii="Arial" w:hAnsi="Arial" w:cs="Arial"/>
          <w:sz w:val="22"/>
          <w:szCs w:val="22"/>
        </w:rPr>
        <w:t>The obscured boundaries lead to new order and this new order necessarily creates new boundaries. However, As Stallybrass and White point out:</w:t>
      </w:r>
    </w:p>
    <w:p w:rsidR="00D51B70" w:rsidRDefault="00D51B70" w:rsidP="00053164">
      <w:pPr>
        <w:pStyle w:val="NormalWeb"/>
        <w:spacing w:before="0" w:beforeAutospacing="0" w:after="0" w:afterAutospacing="0"/>
        <w:rPr>
          <w:rFonts w:ascii="Arial" w:hAnsi="Arial" w:cs="Arial"/>
        </w:rPr>
      </w:pPr>
    </w:p>
    <w:p w:rsidR="00D51B70" w:rsidRPr="00053164" w:rsidRDefault="00D51B70" w:rsidP="00AC3F3A">
      <w:pPr>
        <w:pStyle w:val="NormalWeb"/>
        <w:spacing w:before="0" w:beforeAutospacing="0" w:after="0" w:afterAutospacing="0"/>
        <w:ind w:left="851" w:right="1088"/>
        <w:rPr>
          <w:rFonts w:ascii="Arial" w:hAnsi="Arial" w:cs="Arial"/>
          <w:sz w:val="20"/>
          <w:szCs w:val="20"/>
        </w:rPr>
      </w:pPr>
      <w:r w:rsidRPr="00053164">
        <w:rPr>
          <w:rFonts w:ascii="Arial" w:hAnsi="Arial" w:cs="Arial"/>
          <w:sz w:val="20"/>
          <w:szCs w:val="20"/>
        </w:rPr>
        <w:t xml:space="preserve">Carnival often violently abuses and demonizes </w:t>
      </w:r>
      <w:r w:rsidRPr="00053164">
        <w:rPr>
          <w:rFonts w:ascii="Arial" w:hAnsi="Arial" w:cs="Arial"/>
          <w:i/>
          <w:iCs/>
          <w:sz w:val="20"/>
          <w:szCs w:val="20"/>
        </w:rPr>
        <w:t>weaker</w:t>
      </w:r>
      <w:r w:rsidRPr="00053164">
        <w:rPr>
          <w:rFonts w:ascii="Arial" w:hAnsi="Arial" w:cs="Arial"/>
          <w:sz w:val="20"/>
          <w:szCs w:val="20"/>
        </w:rPr>
        <w:t xml:space="preserve"> not stronger, social groups-women, ethnic and religious minorities, those who 'don't belong' - in a process of displaced abjection; its failure to do away with the official dominant culture, its licensed complicity.</w:t>
      </w:r>
      <w:r>
        <w:rPr>
          <w:rStyle w:val="FootnoteReference"/>
          <w:rFonts w:ascii="Arial" w:hAnsi="Arial" w:cs="Arial"/>
          <w:sz w:val="20"/>
          <w:szCs w:val="20"/>
        </w:rPr>
        <w:footnoteReference w:id="28"/>
      </w:r>
    </w:p>
    <w:p w:rsidR="00D51B70" w:rsidRDefault="00D51B70" w:rsidP="00AC3F3A">
      <w:pPr>
        <w:spacing w:line="240" w:lineRule="auto"/>
        <w:rPr>
          <w:rFonts w:ascii="Arial" w:hAnsi="Arial" w:cs="Arial"/>
        </w:rPr>
      </w:pPr>
    </w:p>
    <w:p w:rsidR="00D51B70" w:rsidRPr="00334A45" w:rsidRDefault="00D51B70" w:rsidP="008579B2">
      <w:pPr>
        <w:spacing w:line="480" w:lineRule="auto"/>
        <w:rPr>
          <w:rFonts w:ascii="Arial" w:hAnsi="Arial" w:cs="Arial"/>
        </w:rPr>
      </w:pPr>
      <w:r>
        <w:rPr>
          <w:rFonts w:ascii="Arial" w:hAnsi="Arial" w:cs="Arial"/>
        </w:rPr>
        <w:t xml:space="preserve">This can call into question the Carnivalesque motif of </w:t>
      </w:r>
      <w:r>
        <w:rPr>
          <w:rFonts w:ascii="Arial" w:hAnsi="Arial" w:cs="Arial"/>
          <w:i/>
          <w:iCs/>
        </w:rPr>
        <w:t xml:space="preserve">Twelfth Night </w:t>
      </w:r>
      <w:r>
        <w:rPr>
          <w:rFonts w:ascii="Arial" w:hAnsi="Arial" w:cs="Arial"/>
        </w:rPr>
        <w:t>as a comedy, when it victimises characters such as Malvolio and also Antonio who after pleading great loyalty is dismissed as he doesn’t quite fit in with the scheme of unfolding events. The purity of the order though disrupted for a while sets new boundaries where new ‘dirt’ begins to appear; new boundaries are drawn bringing new transgressions and transgressors. Mary Douglas comments on this changing and fluid notion of purity and therefore dirt: “There is no such thing as absolute dirt: it exists in the eye of the beholder”</w:t>
      </w:r>
      <w:r>
        <w:rPr>
          <w:rStyle w:val="FootnoteReference"/>
          <w:rFonts w:ascii="Arial" w:hAnsi="Arial" w:cs="Arial"/>
        </w:rPr>
        <w:footnoteReference w:id="29"/>
      </w:r>
      <w:r>
        <w:rPr>
          <w:rFonts w:ascii="Arial" w:hAnsi="Arial" w:cs="Arial"/>
        </w:rPr>
        <w:t>. This idea that purity and dirt are essentially subjective leads to the scenarios such as Malvolio’s who disregards his prejudices against the Carnivalesque in wearing yellow stockings, crossing his garters and behaving as a fool for the sake of a higher order, the hoped for marriage to Olivia.</w:t>
      </w:r>
    </w:p>
    <w:p w:rsidR="00D51B70" w:rsidRDefault="00D51B70" w:rsidP="008579B2">
      <w:pPr>
        <w:spacing w:line="480" w:lineRule="auto"/>
        <w:rPr>
          <w:rFonts w:ascii="Arial" w:hAnsi="Arial" w:cs="Arial"/>
        </w:rPr>
      </w:pPr>
      <w:r>
        <w:rPr>
          <w:rFonts w:ascii="Arial" w:hAnsi="Arial" w:cs="Arial"/>
        </w:rPr>
        <w:t xml:space="preserve">When purity and dirt become subjective realities in an ever sliding cultural setting, we can see how the desires of characters begin to cause them to change their ideas of what is desirable and undesirable. The idea of wilful blindness is exhibited in Middleton and Rowley’s </w:t>
      </w:r>
      <w:r>
        <w:rPr>
          <w:rFonts w:ascii="Arial" w:hAnsi="Arial" w:cs="Arial"/>
          <w:i/>
          <w:iCs/>
        </w:rPr>
        <w:t xml:space="preserve">The Changeling </w:t>
      </w:r>
      <w:r>
        <w:rPr>
          <w:rFonts w:ascii="Arial" w:hAnsi="Arial" w:cs="Arial"/>
        </w:rPr>
        <w:t xml:space="preserve">throughout, yet one example is Alsemero first seeing Beatrice in the church and understanding it to be a holy desire: </w:t>
      </w:r>
    </w:p>
    <w:p w:rsidR="00D51B70" w:rsidRDefault="00D51B70" w:rsidP="00395860">
      <w:pPr>
        <w:spacing w:line="240" w:lineRule="auto"/>
        <w:ind w:left="851" w:right="1088"/>
        <w:rPr>
          <w:rFonts w:ascii="Arial" w:hAnsi="Arial" w:cs="Arial"/>
          <w:sz w:val="20"/>
          <w:szCs w:val="20"/>
        </w:rPr>
      </w:pPr>
      <w:r w:rsidRPr="00395860">
        <w:rPr>
          <w:rFonts w:ascii="Arial" w:hAnsi="Arial" w:cs="Arial"/>
          <w:sz w:val="20"/>
          <w:szCs w:val="20"/>
        </w:rPr>
        <w:t xml:space="preserve">'Twas in the temple where I first beheld her, </w:t>
      </w:r>
      <w:r w:rsidRPr="00395860">
        <w:rPr>
          <w:rFonts w:ascii="Arial" w:hAnsi="Arial" w:cs="Arial"/>
          <w:sz w:val="20"/>
          <w:szCs w:val="20"/>
        </w:rPr>
        <w:br/>
        <w:t xml:space="preserve">And now again the same; what omen yet </w:t>
      </w:r>
      <w:r w:rsidRPr="00395860">
        <w:rPr>
          <w:rFonts w:ascii="Arial" w:hAnsi="Arial" w:cs="Arial"/>
          <w:sz w:val="20"/>
          <w:szCs w:val="20"/>
        </w:rPr>
        <w:br/>
        <w:t xml:space="preserve">Follows of that? None but imaginary. </w:t>
      </w:r>
      <w:r w:rsidRPr="00395860">
        <w:rPr>
          <w:rFonts w:ascii="Arial" w:hAnsi="Arial" w:cs="Arial"/>
          <w:sz w:val="20"/>
          <w:szCs w:val="20"/>
        </w:rPr>
        <w:br/>
        <w:t xml:space="preserve">Why should my hopes or fate be timorous? </w:t>
      </w:r>
      <w:r w:rsidRPr="00395860">
        <w:rPr>
          <w:rFonts w:ascii="Arial" w:hAnsi="Arial" w:cs="Arial"/>
          <w:sz w:val="20"/>
          <w:szCs w:val="20"/>
        </w:rPr>
        <w:br/>
        <w:t xml:space="preserve">The place is holy, so is my intent: </w:t>
      </w:r>
      <w:r w:rsidRPr="00395860">
        <w:rPr>
          <w:rFonts w:ascii="Arial" w:hAnsi="Arial" w:cs="Arial"/>
          <w:sz w:val="20"/>
          <w:szCs w:val="20"/>
        </w:rPr>
        <w:br/>
        <w:t xml:space="preserve">I love her beauties to the </w:t>
      </w:r>
      <w:hyperlink r:id="rId7" w:anchor="HOLYPURP" w:history="1">
        <w:r w:rsidRPr="00395860">
          <w:rPr>
            <w:rStyle w:val="Hyperlink"/>
            <w:rFonts w:ascii="Arial" w:hAnsi="Arial" w:cs="Arial"/>
            <w:color w:val="auto"/>
            <w:sz w:val="20"/>
            <w:szCs w:val="20"/>
            <w:u w:val="none"/>
          </w:rPr>
          <w:t>holy purpose</w:t>
        </w:r>
      </w:hyperlink>
      <w:r w:rsidRPr="00395860">
        <w:rPr>
          <w:rFonts w:ascii="Arial" w:hAnsi="Arial" w:cs="Arial"/>
          <w:sz w:val="20"/>
          <w:szCs w:val="20"/>
        </w:rPr>
        <w:t xml:space="preserve">, </w:t>
      </w:r>
      <w:r w:rsidRPr="00395860">
        <w:rPr>
          <w:rFonts w:ascii="Arial" w:hAnsi="Arial" w:cs="Arial"/>
          <w:sz w:val="20"/>
          <w:szCs w:val="20"/>
        </w:rPr>
        <w:br/>
        <w:t>And that methinks admits comparison</w:t>
      </w:r>
      <w:r>
        <w:rPr>
          <w:rStyle w:val="FootnoteReference"/>
          <w:rFonts w:ascii="Arial" w:hAnsi="Arial" w:cs="Arial"/>
          <w:sz w:val="20"/>
          <w:szCs w:val="20"/>
        </w:rPr>
        <w:footnoteReference w:id="30"/>
      </w:r>
    </w:p>
    <w:p w:rsidR="00D51B70" w:rsidRDefault="00D51B70" w:rsidP="00395860">
      <w:pPr>
        <w:spacing w:line="480" w:lineRule="auto"/>
        <w:ind w:right="-46"/>
        <w:rPr>
          <w:rFonts w:ascii="Arial" w:hAnsi="Arial" w:cs="Arial"/>
        </w:rPr>
      </w:pPr>
      <w:r>
        <w:rPr>
          <w:rFonts w:ascii="Arial" w:hAnsi="Arial" w:cs="Arial"/>
        </w:rPr>
        <w:t>The blurring of these boundaries between pure and impure desires seems to be at the whim of each character. Beatrice asks De Flores to kill Alonzo and on his return he brings Alonzo’s ring finger that he has cut off, Beatrice exclaims “Bless me! What hast thou done?” to which De Flores asks “Why, is that more than killing a whole man?”</w:t>
      </w:r>
      <w:r>
        <w:rPr>
          <w:rStyle w:val="FootnoteReference"/>
          <w:rFonts w:ascii="Arial" w:hAnsi="Arial" w:cs="Arial"/>
        </w:rPr>
        <w:footnoteReference w:id="31"/>
      </w:r>
      <w:r>
        <w:rPr>
          <w:rFonts w:ascii="Arial" w:hAnsi="Arial" w:cs="Arial"/>
        </w:rPr>
        <w:t>. The finger can often be presented as a trophy phallus, confronting Beatrice with her own lust and debasement. Beatrice, like Alsemero, has double standards of purity which she justifies in seeking to absent herself from the deed. Killing Alonzo is a just price to pay for her marriage to Alsemero. However, when De Flores confronts the actions, which show the extent of her desire, with Alonzo’s finger she is horrified, because she cannot accept her own ‘lowness’. Stallybrass and White exemplify this brilliantly:</w:t>
      </w:r>
    </w:p>
    <w:p w:rsidR="00D51B70" w:rsidRPr="003342B5" w:rsidRDefault="00D51B70" w:rsidP="00444C8C">
      <w:pPr>
        <w:spacing w:line="240" w:lineRule="auto"/>
        <w:ind w:left="851" w:right="1088"/>
        <w:rPr>
          <w:rFonts w:ascii="Arial" w:hAnsi="Arial" w:cs="Arial"/>
          <w:sz w:val="20"/>
          <w:szCs w:val="20"/>
        </w:rPr>
      </w:pPr>
      <w:r w:rsidRPr="003342B5">
        <w:rPr>
          <w:rFonts w:ascii="Arial" w:hAnsi="Arial" w:cs="Arial"/>
          <w:sz w:val="20"/>
          <w:szCs w:val="20"/>
        </w:rPr>
        <w:t xml:space="preserve">Repugnance and fascination are the twin poles of the process in which a </w:t>
      </w:r>
      <w:r w:rsidRPr="003342B5">
        <w:rPr>
          <w:rFonts w:ascii="Arial" w:hAnsi="Arial" w:cs="Arial"/>
          <w:i/>
          <w:iCs/>
          <w:sz w:val="20"/>
          <w:szCs w:val="20"/>
        </w:rPr>
        <w:t xml:space="preserve">political </w:t>
      </w:r>
      <w:r w:rsidRPr="003342B5">
        <w:rPr>
          <w:rFonts w:ascii="Arial" w:hAnsi="Arial" w:cs="Arial"/>
          <w:sz w:val="20"/>
          <w:szCs w:val="20"/>
        </w:rPr>
        <w:t>imperative to reject and eliminate the debasing “low” conflicts powerfully and unpredictably with a desire for this Other.</w:t>
      </w:r>
      <w:r w:rsidRPr="003342B5">
        <w:rPr>
          <w:rStyle w:val="FootnoteReference"/>
          <w:rFonts w:ascii="Arial" w:hAnsi="Arial" w:cs="Arial"/>
          <w:sz w:val="20"/>
          <w:szCs w:val="20"/>
        </w:rPr>
        <w:footnoteReference w:id="32"/>
      </w:r>
    </w:p>
    <w:p w:rsidR="00D51B70" w:rsidRDefault="00D51B70" w:rsidP="00444C8C">
      <w:pPr>
        <w:spacing w:line="240" w:lineRule="auto"/>
        <w:rPr>
          <w:rFonts w:ascii="Arial" w:hAnsi="Arial" w:cs="Arial"/>
        </w:rPr>
      </w:pPr>
    </w:p>
    <w:p w:rsidR="00D51B70" w:rsidRDefault="00D51B70" w:rsidP="008579B2">
      <w:pPr>
        <w:spacing w:line="480" w:lineRule="auto"/>
        <w:rPr>
          <w:rFonts w:ascii="Arial" w:hAnsi="Arial" w:cs="Arial"/>
        </w:rPr>
      </w:pPr>
      <w:r>
        <w:rPr>
          <w:rFonts w:ascii="Arial" w:hAnsi="Arial" w:cs="Arial"/>
        </w:rPr>
        <w:t>Beatrice constantly proves true the idea that ‘disgust always bears the imprint of desire’ in her relationship to De Flores</w:t>
      </w:r>
      <w:r>
        <w:rPr>
          <w:rStyle w:val="FootnoteReference"/>
          <w:rFonts w:ascii="Arial" w:hAnsi="Arial" w:cs="Arial"/>
        </w:rPr>
        <w:footnoteReference w:id="33"/>
      </w:r>
      <w:r>
        <w:rPr>
          <w:rFonts w:ascii="Arial" w:hAnsi="Arial" w:cs="Arial"/>
        </w:rPr>
        <w:t>, in Act II Scene I she asides “This ominous ill-faced fellow disturbs me/ Than all my other passions.”</w:t>
      </w:r>
      <w:r>
        <w:rPr>
          <w:rStyle w:val="FootnoteReference"/>
          <w:rFonts w:ascii="Arial" w:hAnsi="Arial" w:cs="Arial"/>
        </w:rPr>
        <w:footnoteReference w:id="34"/>
      </w:r>
      <w:r>
        <w:rPr>
          <w:rFonts w:ascii="Arial" w:hAnsi="Arial" w:cs="Arial"/>
        </w:rPr>
        <w:t xml:space="preserve"> De Flores embodies her “low-Other”</w:t>
      </w:r>
      <w:r>
        <w:rPr>
          <w:rStyle w:val="FootnoteReference"/>
          <w:rFonts w:ascii="Arial" w:hAnsi="Arial" w:cs="Arial"/>
        </w:rPr>
        <w:footnoteReference w:id="35"/>
      </w:r>
      <w:r>
        <w:rPr>
          <w:rFonts w:ascii="Arial" w:hAnsi="Arial" w:cs="Arial"/>
        </w:rPr>
        <w:t>, he commits the crimes she consents to yet reviles at the same time, in order to convince her own conscience of her purity whilst being driven by her desires. An example of this is Beatrice’s plan to give Diaphanta to Alsemero to prove her virginity; “Now if the experiment be true, ‘twill praise itself,/ And give me noble ease”</w:t>
      </w:r>
      <w:r>
        <w:rPr>
          <w:rStyle w:val="FootnoteReference"/>
          <w:rFonts w:ascii="Arial" w:hAnsi="Arial" w:cs="Arial"/>
        </w:rPr>
        <w:footnoteReference w:id="36"/>
      </w:r>
      <w:r>
        <w:rPr>
          <w:rFonts w:ascii="Arial" w:hAnsi="Arial" w:cs="Arial"/>
        </w:rPr>
        <w:t>. Beatrice seeks to prove her purity by convincing Alsemero of her virginity through dishonest means, raising the question of whether she can really love Alsemero if she gives her maid to him on her wedding night for the sake of her own perceived innocence. It is in De Flores’ keen insistence that Beatrice is his equal in crime, she has destroyed her innocence, “Why, are you not as guilty, in (I’m sure)/ As deep as I?”</w:t>
      </w:r>
      <w:r>
        <w:rPr>
          <w:rStyle w:val="FootnoteReference"/>
          <w:rFonts w:ascii="Arial" w:hAnsi="Arial" w:cs="Arial"/>
        </w:rPr>
        <w:footnoteReference w:id="37"/>
      </w:r>
      <w:r>
        <w:rPr>
          <w:rFonts w:ascii="Arial" w:hAnsi="Arial" w:cs="Arial"/>
        </w:rPr>
        <w:t xml:space="preserve"> that she begins to see the true pollution of her soul, the true transgression she has acted out. The illusion that she could maintain her purity whilst pursuing her desire through murder and deceit is broken and the inevitability of her ghastly union to De Flores is evidence that she could not despise the ‘low’ enough to be rid of it</w:t>
      </w:r>
      <w:r>
        <w:rPr>
          <w:rStyle w:val="FootnoteReference"/>
          <w:rFonts w:ascii="Arial" w:hAnsi="Arial" w:cs="Arial"/>
        </w:rPr>
        <w:footnoteReference w:id="38"/>
      </w:r>
      <w:r>
        <w:rPr>
          <w:rFonts w:ascii="Arial" w:hAnsi="Arial" w:cs="Arial"/>
        </w:rPr>
        <w:t>. We see that where there are boundaries, where there are a ‘set of ordered relations’, there is a desire for transgression. The very fact of setting up categories of pure and impure creates the desire for the impure, for the low as Stallybrass and White state.</w:t>
      </w:r>
    </w:p>
    <w:p w:rsidR="00D51B70" w:rsidRDefault="00D51B70" w:rsidP="008579B2">
      <w:pPr>
        <w:spacing w:line="480" w:lineRule="auto"/>
        <w:rPr>
          <w:rFonts w:ascii="Arial" w:hAnsi="Arial" w:cs="Arial"/>
        </w:rPr>
      </w:pPr>
      <w:r>
        <w:rPr>
          <w:rFonts w:ascii="Arial" w:hAnsi="Arial" w:cs="Arial"/>
        </w:rPr>
        <w:t>In this view people are driven by this disgust that creates the desire to transgress, to touch the untouchable, by their will.</w:t>
      </w:r>
      <w:r>
        <w:rPr>
          <w:rStyle w:val="FootnoteReference"/>
          <w:rFonts w:ascii="Arial" w:hAnsi="Arial" w:cs="Arial"/>
        </w:rPr>
        <w:footnoteReference w:id="39"/>
      </w:r>
      <w:r>
        <w:rPr>
          <w:rFonts w:ascii="Arial" w:hAnsi="Arial" w:cs="Arial"/>
        </w:rPr>
        <w:t xml:space="preserve"> De Flores asserts “Though I get nothing else, I’ll have my will”</w:t>
      </w:r>
      <w:r>
        <w:rPr>
          <w:rStyle w:val="FootnoteReference"/>
          <w:rFonts w:ascii="Arial" w:hAnsi="Arial" w:cs="Arial"/>
        </w:rPr>
        <w:footnoteReference w:id="40"/>
      </w:r>
      <w:r>
        <w:rPr>
          <w:rFonts w:ascii="Arial" w:hAnsi="Arial" w:cs="Arial"/>
        </w:rPr>
        <w:t>. Passion, desire and will therefore stand as the Puritan’s enemies in matters of purity. This passion is that which blinds and distorts the characters to believe that lust is a holy urge, that if she doesn’t see or commit the crime Beatrice is free of its guilt, that allows Antonio to be one “whose eyes of judgement are blinded by lust.”</w:t>
      </w:r>
      <w:r>
        <w:rPr>
          <w:rStyle w:val="FootnoteReference"/>
          <w:rFonts w:ascii="Arial" w:hAnsi="Arial" w:cs="Arial"/>
        </w:rPr>
        <w:footnoteReference w:id="41"/>
      </w:r>
      <w:r>
        <w:rPr>
          <w:rFonts w:ascii="Arial" w:hAnsi="Arial" w:cs="Arial"/>
        </w:rPr>
        <w:t xml:space="preserve"> For, in the end we see “</w:t>
      </w:r>
      <w:r w:rsidRPr="00BE72D0">
        <w:rPr>
          <w:rFonts w:ascii="Arial" w:hAnsi="Arial" w:cs="Arial"/>
        </w:rPr>
        <w:t>Beatrice is conscious that her course of conduct is not moral. She herself is not amoral; she, like Alsemero, allows her passion, her will to have her new love, to rule her judgement.</w:t>
      </w:r>
      <w:r>
        <w:rPr>
          <w:rFonts w:ascii="Arial" w:hAnsi="Arial" w:cs="Arial"/>
        </w:rPr>
        <w:t>”</w:t>
      </w:r>
      <w:r>
        <w:rPr>
          <w:rStyle w:val="FootnoteReference"/>
          <w:rFonts w:ascii="Arial" w:hAnsi="Arial" w:cs="Arial"/>
        </w:rPr>
        <w:footnoteReference w:id="42"/>
      </w:r>
    </w:p>
    <w:p w:rsidR="00D51B70" w:rsidRDefault="00D51B70" w:rsidP="008579B2">
      <w:pPr>
        <w:spacing w:line="480" w:lineRule="auto"/>
        <w:rPr>
          <w:rFonts w:ascii="Arial" w:hAnsi="Arial" w:cs="Arial"/>
        </w:rPr>
      </w:pPr>
      <w:r>
        <w:rPr>
          <w:rFonts w:ascii="Arial" w:hAnsi="Arial" w:cs="Arial"/>
        </w:rPr>
        <w:t>Beatrice’s penultimate lines betray her true feeling about her own purity:</w:t>
      </w:r>
    </w:p>
    <w:p w:rsidR="00D51B70" w:rsidRPr="0043353C" w:rsidRDefault="00D51B70" w:rsidP="0043353C">
      <w:pPr>
        <w:spacing w:line="240" w:lineRule="auto"/>
        <w:ind w:left="851" w:right="1088"/>
        <w:rPr>
          <w:rFonts w:ascii="Arial" w:hAnsi="Arial" w:cs="Arial"/>
          <w:sz w:val="20"/>
          <w:szCs w:val="20"/>
        </w:rPr>
      </w:pPr>
      <w:r w:rsidRPr="0043353C">
        <w:rPr>
          <w:rFonts w:ascii="Arial" w:hAnsi="Arial" w:cs="Arial"/>
          <w:sz w:val="20"/>
          <w:szCs w:val="20"/>
        </w:rPr>
        <w:t xml:space="preserve">Oh, come not near me, sir; I shall defile you. </w:t>
      </w:r>
      <w:r w:rsidRPr="0043353C">
        <w:rPr>
          <w:rFonts w:ascii="Arial" w:hAnsi="Arial" w:cs="Arial"/>
          <w:sz w:val="20"/>
          <w:szCs w:val="20"/>
        </w:rPr>
        <w:br/>
      </w:r>
      <w:hyperlink r:id="rId8" w:anchor="IAMTHATO" w:history="1">
        <w:r w:rsidRPr="0043353C">
          <w:rPr>
            <w:rStyle w:val="Hyperlink"/>
            <w:rFonts w:ascii="Arial" w:hAnsi="Arial" w:cs="Arial"/>
            <w:color w:val="auto"/>
            <w:sz w:val="20"/>
            <w:szCs w:val="20"/>
            <w:u w:val="none"/>
          </w:rPr>
          <w:t xml:space="preserve">I am that of your blood was taken from you </w:t>
        </w:r>
        <w:r w:rsidRPr="0043353C">
          <w:rPr>
            <w:rFonts w:ascii="Arial" w:hAnsi="Arial" w:cs="Arial"/>
            <w:sz w:val="20"/>
            <w:szCs w:val="20"/>
          </w:rPr>
          <w:br/>
        </w:r>
        <w:r w:rsidRPr="0043353C">
          <w:rPr>
            <w:rStyle w:val="Hyperlink"/>
            <w:rFonts w:ascii="Arial" w:hAnsi="Arial" w:cs="Arial"/>
            <w:color w:val="auto"/>
            <w:sz w:val="20"/>
            <w:szCs w:val="20"/>
            <w:u w:val="none"/>
          </w:rPr>
          <w:t>For your better health</w:t>
        </w:r>
      </w:hyperlink>
      <w:r w:rsidRPr="0043353C">
        <w:rPr>
          <w:rFonts w:ascii="Arial" w:hAnsi="Arial" w:cs="Arial"/>
          <w:sz w:val="20"/>
          <w:szCs w:val="20"/>
        </w:rPr>
        <w:t xml:space="preserve">; look no more upon't, </w:t>
      </w:r>
      <w:r w:rsidRPr="0043353C">
        <w:rPr>
          <w:rFonts w:ascii="Arial" w:hAnsi="Arial" w:cs="Arial"/>
          <w:sz w:val="20"/>
          <w:szCs w:val="20"/>
        </w:rPr>
        <w:br/>
        <w:t xml:space="preserve">But cast it to the ground regardlessly: </w:t>
      </w:r>
      <w:r w:rsidRPr="0043353C">
        <w:rPr>
          <w:rFonts w:ascii="Arial" w:hAnsi="Arial" w:cs="Arial"/>
          <w:sz w:val="20"/>
          <w:szCs w:val="20"/>
        </w:rPr>
        <w:br/>
        <w:t xml:space="preserve">Let the common </w:t>
      </w:r>
      <w:hyperlink r:id="rId9" w:anchor="SEWER" w:history="1">
        <w:r w:rsidRPr="0043353C">
          <w:rPr>
            <w:rStyle w:val="Hyperlink"/>
            <w:rFonts w:ascii="Arial" w:hAnsi="Arial" w:cs="Arial"/>
            <w:color w:val="auto"/>
            <w:sz w:val="20"/>
            <w:szCs w:val="20"/>
            <w:u w:val="none"/>
          </w:rPr>
          <w:t>sewer</w:t>
        </w:r>
      </w:hyperlink>
      <w:r w:rsidRPr="0043353C">
        <w:rPr>
          <w:rFonts w:ascii="Arial" w:hAnsi="Arial" w:cs="Arial"/>
          <w:sz w:val="20"/>
          <w:szCs w:val="20"/>
        </w:rPr>
        <w:t xml:space="preserve"> take it from </w:t>
      </w:r>
      <w:hyperlink r:id="rId10" w:anchor="DISTINCT" w:history="1">
        <w:r w:rsidRPr="0043353C">
          <w:rPr>
            <w:rStyle w:val="Hyperlink"/>
            <w:rFonts w:ascii="Arial" w:hAnsi="Arial" w:cs="Arial"/>
            <w:color w:val="auto"/>
            <w:sz w:val="20"/>
            <w:szCs w:val="20"/>
            <w:u w:val="none"/>
          </w:rPr>
          <w:t>distinction</w:t>
        </w:r>
      </w:hyperlink>
      <w:r w:rsidRPr="0043353C">
        <w:rPr>
          <w:rFonts w:ascii="Arial" w:hAnsi="Arial" w:cs="Arial"/>
          <w:sz w:val="20"/>
          <w:szCs w:val="20"/>
        </w:rPr>
        <w:t xml:space="preserve">. </w:t>
      </w:r>
      <w:r w:rsidRPr="0043353C">
        <w:rPr>
          <w:rFonts w:ascii="Arial" w:hAnsi="Arial" w:cs="Arial"/>
          <w:sz w:val="20"/>
          <w:szCs w:val="20"/>
        </w:rPr>
        <w:br/>
      </w:r>
      <w:hyperlink r:id="rId11" w:anchor="BENEATHT" w:history="1">
        <w:r w:rsidRPr="0043353C">
          <w:rPr>
            <w:rStyle w:val="Hyperlink"/>
            <w:rFonts w:ascii="Arial" w:hAnsi="Arial" w:cs="Arial"/>
            <w:color w:val="auto"/>
            <w:sz w:val="20"/>
            <w:szCs w:val="20"/>
            <w:u w:val="none"/>
          </w:rPr>
          <w:t xml:space="preserve">Beneath the stars, upon yon meteor </w:t>
        </w:r>
        <w:r w:rsidRPr="0043353C">
          <w:rPr>
            <w:rFonts w:ascii="Arial" w:hAnsi="Arial" w:cs="Arial"/>
            <w:sz w:val="20"/>
            <w:szCs w:val="20"/>
          </w:rPr>
          <w:br/>
        </w:r>
        <w:r w:rsidRPr="0043353C">
          <w:rPr>
            <w:rStyle w:val="Hyperlink"/>
            <w:rFonts w:ascii="Arial" w:hAnsi="Arial" w:cs="Arial"/>
            <w:color w:val="auto"/>
            <w:sz w:val="20"/>
            <w:szCs w:val="20"/>
            <w:u w:val="none"/>
          </w:rPr>
          <w:t>Ever</w:t>
        </w:r>
      </w:hyperlink>
      <w:r w:rsidRPr="0043353C">
        <w:rPr>
          <w:rFonts w:ascii="Arial" w:hAnsi="Arial" w:cs="Arial"/>
          <w:sz w:val="20"/>
          <w:szCs w:val="20"/>
        </w:rPr>
        <w:t xml:space="preserve"> </w:t>
      </w:r>
      <w:hyperlink r:id="rId12" w:anchor="HUNG" w:history="1">
        <w:r w:rsidRPr="0043353C">
          <w:rPr>
            <w:rStyle w:val="Hyperlink"/>
            <w:rFonts w:ascii="Arial" w:hAnsi="Arial" w:cs="Arial"/>
            <w:color w:val="auto"/>
            <w:sz w:val="20"/>
            <w:szCs w:val="20"/>
            <w:u w:val="none"/>
          </w:rPr>
          <w:t>[hung]</w:t>
        </w:r>
      </w:hyperlink>
      <w:r w:rsidRPr="0043353C">
        <w:rPr>
          <w:rFonts w:ascii="Arial" w:hAnsi="Arial" w:cs="Arial"/>
          <w:sz w:val="20"/>
          <w:szCs w:val="20"/>
        </w:rPr>
        <w:t xml:space="preserve"> </w:t>
      </w:r>
      <w:hyperlink r:id="rId13" w:anchor="BENEATHT" w:history="1">
        <w:r w:rsidRPr="0043353C">
          <w:rPr>
            <w:rStyle w:val="Hyperlink"/>
            <w:rFonts w:ascii="Arial" w:hAnsi="Arial" w:cs="Arial"/>
            <w:color w:val="auto"/>
            <w:sz w:val="20"/>
            <w:szCs w:val="20"/>
            <w:u w:val="none"/>
          </w:rPr>
          <w:t>my fate, 'mongst things corruptible</w:t>
        </w:r>
      </w:hyperlink>
      <w:r w:rsidRPr="0043353C">
        <w:rPr>
          <w:rFonts w:ascii="Arial" w:hAnsi="Arial" w:cs="Arial"/>
          <w:sz w:val="20"/>
          <w:szCs w:val="20"/>
        </w:rPr>
        <w:t xml:space="preserve">; </w:t>
      </w:r>
      <w:r w:rsidRPr="0043353C">
        <w:rPr>
          <w:rFonts w:ascii="Arial" w:hAnsi="Arial" w:cs="Arial"/>
          <w:sz w:val="20"/>
          <w:szCs w:val="20"/>
        </w:rPr>
        <w:br/>
        <w:t xml:space="preserve">I ne'er could pluck it from him. My loathing </w:t>
      </w:r>
      <w:r w:rsidRPr="0043353C">
        <w:rPr>
          <w:rFonts w:ascii="Arial" w:hAnsi="Arial" w:cs="Arial"/>
          <w:sz w:val="20"/>
          <w:szCs w:val="20"/>
        </w:rPr>
        <w:br/>
        <w:t xml:space="preserve">Was prophet to the rest but ne'er believ'd; </w:t>
      </w:r>
      <w:r w:rsidRPr="0043353C">
        <w:rPr>
          <w:rFonts w:ascii="Arial" w:hAnsi="Arial" w:cs="Arial"/>
          <w:sz w:val="20"/>
          <w:szCs w:val="20"/>
        </w:rPr>
        <w:br/>
        <w:t>Mine honour fell with him, and now my life.</w:t>
      </w:r>
      <w:r>
        <w:rPr>
          <w:rStyle w:val="FootnoteReference"/>
          <w:rFonts w:ascii="Arial" w:hAnsi="Arial" w:cs="Arial"/>
          <w:sz w:val="20"/>
          <w:szCs w:val="20"/>
        </w:rPr>
        <w:footnoteReference w:id="43"/>
      </w:r>
    </w:p>
    <w:p w:rsidR="00D51B70" w:rsidRDefault="00D51B70" w:rsidP="005164AD">
      <w:pPr>
        <w:pStyle w:val="NormalWeb"/>
        <w:spacing w:before="0" w:beforeAutospacing="0" w:after="0" w:afterAutospacing="0" w:line="480" w:lineRule="auto"/>
        <w:rPr>
          <w:rFonts w:ascii="Arial" w:hAnsi="Arial" w:cs="Arial"/>
          <w:sz w:val="22"/>
          <w:szCs w:val="22"/>
        </w:rPr>
      </w:pPr>
    </w:p>
    <w:p w:rsidR="00D51B70" w:rsidRDefault="00D51B70" w:rsidP="005164AD">
      <w:pPr>
        <w:pStyle w:val="NormalWeb"/>
        <w:spacing w:before="0" w:beforeAutospacing="0" w:after="0" w:afterAutospacing="0" w:line="480" w:lineRule="auto"/>
        <w:rPr>
          <w:rFonts w:ascii="Arial" w:hAnsi="Arial" w:cs="Arial"/>
          <w:sz w:val="22"/>
          <w:szCs w:val="22"/>
        </w:rPr>
      </w:pPr>
      <w:r w:rsidRPr="005164AD">
        <w:rPr>
          <w:rFonts w:ascii="Arial" w:hAnsi="Arial" w:cs="Arial"/>
          <w:sz w:val="22"/>
          <w:szCs w:val="22"/>
        </w:rPr>
        <w:t xml:space="preserve">René Girard writes that </w:t>
      </w:r>
      <w:r>
        <w:rPr>
          <w:rFonts w:ascii="Arial" w:hAnsi="Arial" w:cs="Arial"/>
          <w:sz w:val="22"/>
          <w:szCs w:val="22"/>
        </w:rPr>
        <w:t>“</w:t>
      </w:r>
      <w:r w:rsidRPr="005164AD">
        <w:rPr>
          <w:rFonts w:ascii="Arial" w:hAnsi="Arial" w:cs="Arial"/>
          <w:sz w:val="22"/>
          <w:szCs w:val="22"/>
        </w:rPr>
        <w:t>As long as purity and impurity remain distinct, even the worst pollution can be washed away, but once they are allowed to mingle, purification is no longer possible</w:t>
      </w:r>
      <w:r>
        <w:rPr>
          <w:rFonts w:ascii="Arial" w:hAnsi="Arial" w:cs="Arial"/>
          <w:sz w:val="22"/>
          <w:szCs w:val="22"/>
        </w:rPr>
        <w:t>.”</w:t>
      </w:r>
      <w:r>
        <w:rPr>
          <w:rStyle w:val="FootnoteReference"/>
          <w:rFonts w:ascii="Arial" w:hAnsi="Arial" w:cs="Arial"/>
          <w:sz w:val="22"/>
          <w:szCs w:val="22"/>
        </w:rPr>
        <w:footnoteReference w:id="44"/>
      </w:r>
      <w:r>
        <w:rPr>
          <w:rFonts w:ascii="Arial" w:hAnsi="Arial" w:cs="Arial"/>
          <w:sz w:val="22"/>
          <w:szCs w:val="22"/>
        </w:rPr>
        <w:t xml:space="preserve"> This understanding of purity defines Beatrice throughout; if she can remain distinct and separate from De Flores she can stay ‘pure’, however, she has been tainted by her actions; </w:t>
      </w:r>
    </w:p>
    <w:p w:rsidR="00D51B70" w:rsidRPr="00503052" w:rsidRDefault="00D51B70" w:rsidP="00503052">
      <w:pPr>
        <w:pStyle w:val="NormalWeb"/>
        <w:spacing w:before="0" w:beforeAutospacing="0" w:after="0" w:afterAutospacing="0"/>
        <w:rPr>
          <w:rFonts w:ascii="Arial" w:hAnsi="Arial" w:cs="Arial"/>
          <w:sz w:val="20"/>
          <w:szCs w:val="20"/>
        </w:rPr>
      </w:pPr>
      <w:r w:rsidRPr="00503052">
        <w:rPr>
          <w:rFonts w:ascii="Arial" w:hAnsi="Arial" w:cs="Arial"/>
          <w:sz w:val="20"/>
          <w:szCs w:val="20"/>
        </w:rPr>
        <w:t xml:space="preserve">Why, 'tis impossible thou canst be so wicked, </w:t>
      </w:r>
      <w:r w:rsidRPr="00503052">
        <w:rPr>
          <w:rFonts w:ascii="Arial" w:hAnsi="Arial" w:cs="Arial"/>
          <w:sz w:val="20"/>
          <w:szCs w:val="20"/>
        </w:rPr>
        <w:br/>
        <w:t xml:space="preserve">Or shelter such a cunning cruelty, </w:t>
      </w:r>
      <w:r w:rsidRPr="00503052">
        <w:rPr>
          <w:rFonts w:ascii="Arial" w:hAnsi="Arial" w:cs="Arial"/>
          <w:sz w:val="20"/>
          <w:szCs w:val="20"/>
        </w:rPr>
        <w:br/>
        <w:t xml:space="preserve">To make his death the murderer of my honour! </w:t>
      </w:r>
      <w:r w:rsidRPr="00503052">
        <w:rPr>
          <w:rFonts w:ascii="Arial" w:hAnsi="Arial" w:cs="Arial"/>
          <w:sz w:val="20"/>
          <w:szCs w:val="20"/>
        </w:rPr>
        <w:br/>
        <w:t xml:space="preserve">Thy language is so bold and vicious, </w:t>
      </w:r>
      <w:r w:rsidRPr="00503052">
        <w:rPr>
          <w:rFonts w:ascii="Arial" w:hAnsi="Arial" w:cs="Arial"/>
          <w:sz w:val="20"/>
          <w:szCs w:val="20"/>
        </w:rPr>
        <w:br/>
        <w:t xml:space="preserve">I cannot see which way I can forgive it </w:t>
      </w:r>
      <w:r w:rsidRPr="00503052">
        <w:rPr>
          <w:rFonts w:ascii="Arial" w:hAnsi="Arial" w:cs="Arial"/>
          <w:sz w:val="20"/>
          <w:szCs w:val="20"/>
        </w:rPr>
        <w:br/>
        <w:t>With any modesty.</w:t>
      </w:r>
      <w:r>
        <w:rPr>
          <w:rStyle w:val="FootnoteReference"/>
          <w:rFonts w:ascii="Arial" w:hAnsi="Arial" w:cs="Arial"/>
          <w:sz w:val="20"/>
          <w:szCs w:val="20"/>
        </w:rPr>
        <w:footnoteReference w:id="45"/>
      </w:r>
    </w:p>
    <w:p w:rsidR="00D51B70" w:rsidRDefault="00D51B70" w:rsidP="005164AD">
      <w:pPr>
        <w:pStyle w:val="NormalWeb"/>
        <w:spacing w:before="0" w:beforeAutospacing="0" w:after="0" w:afterAutospacing="0" w:line="480" w:lineRule="auto"/>
        <w:rPr>
          <w:rFonts w:ascii="Arial" w:hAnsi="Arial" w:cs="Arial"/>
          <w:sz w:val="22"/>
          <w:szCs w:val="22"/>
        </w:rPr>
      </w:pPr>
    </w:p>
    <w:p w:rsidR="00D51B70" w:rsidRPr="00A649CB" w:rsidRDefault="00D51B70" w:rsidP="00BE72D0">
      <w:pPr>
        <w:pStyle w:val="NormalWeb"/>
        <w:spacing w:before="0" w:beforeAutospacing="0" w:after="0" w:afterAutospacing="0" w:line="480" w:lineRule="auto"/>
        <w:rPr>
          <w:rFonts w:ascii="Arial" w:hAnsi="Arial" w:cs="Arial"/>
          <w:sz w:val="22"/>
          <w:szCs w:val="22"/>
        </w:rPr>
      </w:pPr>
      <w:r>
        <w:rPr>
          <w:rFonts w:ascii="Arial" w:hAnsi="Arial" w:cs="Arial"/>
          <w:sz w:val="22"/>
          <w:szCs w:val="22"/>
        </w:rPr>
        <w:t>De Flores replies “A woman dipp’d in blood and talk of modesty!”</w:t>
      </w:r>
      <w:r>
        <w:rPr>
          <w:rStyle w:val="FootnoteReference"/>
          <w:rFonts w:ascii="Arial" w:hAnsi="Arial" w:cs="Arial"/>
          <w:sz w:val="22"/>
          <w:szCs w:val="22"/>
        </w:rPr>
        <w:footnoteReference w:id="46"/>
      </w:r>
      <w:r>
        <w:rPr>
          <w:rFonts w:ascii="Arial" w:hAnsi="Arial" w:cs="Arial"/>
          <w:sz w:val="22"/>
          <w:szCs w:val="22"/>
        </w:rPr>
        <w:t xml:space="preserve"> because he understands that she has been brought low by the deeds they have both committed. This touches on what Girard states, that once pollution and purity mingle, purification is impossible; it expresses the Puritan anxiety of eternal damnation.  Beatrice, in reference to this strong desire for that which she had disgust states; “Ever hung my fate, ‘mongst things corruptible/ I could ne’er pluck it from him.”</w:t>
      </w:r>
      <w:r>
        <w:rPr>
          <w:rStyle w:val="FootnoteReference"/>
          <w:rFonts w:ascii="Arial" w:hAnsi="Arial" w:cs="Arial"/>
          <w:sz w:val="22"/>
          <w:szCs w:val="22"/>
        </w:rPr>
        <w:footnoteReference w:id="47"/>
      </w:r>
      <w:r>
        <w:rPr>
          <w:rFonts w:ascii="Arial" w:hAnsi="Arial" w:cs="Arial"/>
          <w:sz w:val="22"/>
          <w:szCs w:val="22"/>
        </w:rPr>
        <w:t xml:space="preserve"> Beatrice believes that she was driven, that there was no way to avoid her pollution once committing her crime; she was, as De Flores puts it, the “deeds creature”</w:t>
      </w:r>
      <w:r>
        <w:rPr>
          <w:rStyle w:val="FootnoteReference"/>
          <w:rFonts w:ascii="Arial" w:hAnsi="Arial" w:cs="Arial"/>
          <w:sz w:val="22"/>
          <w:szCs w:val="22"/>
        </w:rPr>
        <w:footnoteReference w:id="48"/>
      </w:r>
      <w:r>
        <w:rPr>
          <w:rFonts w:ascii="Arial" w:hAnsi="Arial" w:cs="Arial"/>
          <w:sz w:val="22"/>
          <w:szCs w:val="22"/>
        </w:rPr>
        <w:t xml:space="preserve">. </w:t>
      </w:r>
    </w:p>
    <w:p w:rsidR="00D51B70" w:rsidRPr="00F539AC" w:rsidRDefault="00D51B70" w:rsidP="00F539AC">
      <w:pPr>
        <w:pStyle w:val="NormalWeb"/>
        <w:spacing w:before="0" w:beforeAutospacing="0" w:after="0" w:afterAutospacing="0" w:line="480" w:lineRule="auto"/>
        <w:rPr>
          <w:rFonts w:ascii="Arial" w:hAnsi="Arial" w:cs="Arial"/>
          <w:sz w:val="22"/>
          <w:szCs w:val="22"/>
        </w:rPr>
      </w:pPr>
    </w:p>
    <w:p w:rsidR="00D51B70" w:rsidRDefault="00D51B70" w:rsidP="00251DB8">
      <w:pPr>
        <w:pStyle w:val="NormalWeb"/>
        <w:spacing w:before="0" w:beforeAutospacing="0" w:after="0" w:afterAutospacing="0" w:line="480" w:lineRule="auto"/>
        <w:rPr>
          <w:rFonts w:ascii="Arial" w:hAnsi="Arial" w:cs="Arial"/>
          <w:sz w:val="22"/>
          <w:szCs w:val="22"/>
        </w:rPr>
      </w:pPr>
      <w:r>
        <w:rPr>
          <w:rFonts w:ascii="Arial" w:hAnsi="Arial" w:cs="Arial"/>
          <w:sz w:val="22"/>
          <w:szCs w:val="22"/>
        </w:rPr>
        <w:t xml:space="preserve">As a Shakespearian tragicomedy </w:t>
      </w:r>
      <w:r>
        <w:rPr>
          <w:rFonts w:ascii="Arial" w:hAnsi="Arial" w:cs="Arial"/>
          <w:i/>
          <w:iCs/>
          <w:sz w:val="22"/>
          <w:szCs w:val="22"/>
        </w:rPr>
        <w:t xml:space="preserve">The Winter’s Tale </w:t>
      </w:r>
      <w:r>
        <w:rPr>
          <w:rFonts w:ascii="Arial" w:hAnsi="Arial" w:cs="Arial"/>
          <w:sz w:val="22"/>
          <w:szCs w:val="22"/>
        </w:rPr>
        <w:t xml:space="preserve">avoids the haunting dread of damnation that </w:t>
      </w:r>
      <w:r>
        <w:rPr>
          <w:rFonts w:ascii="Arial" w:hAnsi="Arial" w:cs="Arial"/>
          <w:i/>
          <w:iCs/>
          <w:sz w:val="22"/>
          <w:szCs w:val="22"/>
        </w:rPr>
        <w:t xml:space="preserve">The Changeling </w:t>
      </w:r>
      <w:r>
        <w:rPr>
          <w:rFonts w:ascii="Arial" w:hAnsi="Arial" w:cs="Arial"/>
          <w:sz w:val="22"/>
          <w:szCs w:val="22"/>
        </w:rPr>
        <w:t xml:space="preserve">revels in. The contrast between the natures of the worlds in which each of these two plays is set is of great significance to the matter of purity. The character of Leontes is vital in </w:t>
      </w:r>
      <w:r>
        <w:rPr>
          <w:rFonts w:ascii="Arial" w:hAnsi="Arial" w:cs="Arial"/>
          <w:i/>
          <w:iCs/>
          <w:sz w:val="22"/>
          <w:szCs w:val="22"/>
        </w:rPr>
        <w:t>The Winter’s Tales</w:t>
      </w:r>
      <w:r>
        <w:rPr>
          <w:rFonts w:ascii="Arial" w:hAnsi="Arial" w:cs="Arial"/>
          <w:sz w:val="22"/>
          <w:szCs w:val="22"/>
        </w:rPr>
        <w:t>’ challenge to the Puritan idea of eternal damnation or Girard’s assertion that once purity and impurity mingle ‘purification is no longer possible’ as he is the voice of anxiety in the play. In his suspicion of Hermione’s infidelity he exclaims “To mingle friendship far is mingling bloods!”</w:t>
      </w:r>
      <w:r>
        <w:rPr>
          <w:rStyle w:val="FootnoteReference"/>
          <w:rFonts w:ascii="Arial" w:hAnsi="Arial" w:cs="Arial"/>
          <w:sz w:val="22"/>
          <w:szCs w:val="22"/>
        </w:rPr>
        <w:footnoteReference w:id="49"/>
      </w:r>
      <w:r>
        <w:rPr>
          <w:rFonts w:ascii="Arial" w:hAnsi="Arial" w:cs="Arial"/>
          <w:sz w:val="22"/>
          <w:szCs w:val="22"/>
        </w:rPr>
        <w:t xml:space="preserve"> The infidelity exists only in Leontes’ suspicious anxieties of his wife’s sexual desire that, if defiled, could shame him too:</w:t>
      </w:r>
    </w:p>
    <w:p w:rsidR="00D51B70" w:rsidRPr="002946D9" w:rsidRDefault="00D51B70" w:rsidP="00880D7A">
      <w:pPr>
        <w:pStyle w:val="NormalWeb"/>
        <w:spacing w:before="0" w:beforeAutospacing="0" w:after="0" w:afterAutospacing="0"/>
        <w:ind w:left="851" w:right="1088"/>
        <w:rPr>
          <w:rFonts w:ascii="Arial" w:hAnsi="Arial" w:cs="Arial"/>
          <w:sz w:val="20"/>
          <w:szCs w:val="20"/>
        </w:rPr>
      </w:pPr>
      <w:r w:rsidRPr="002946D9">
        <w:rPr>
          <w:rFonts w:ascii="Arial" w:hAnsi="Arial" w:cs="Arial"/>
          <w:sz w:val="20"/>
          <w:szCs w:val="20"/>
        </w:rPr>
        <w:t>Leontes has denied his wife the ‘child-bed privilege because he believes that her adulterous body is defiled beyond redemption; she is, he is convinced, permanently and irreparably stained. Her sullying, as he perceives it of the ‘purity and whiteness’ of his sheets threatens to defile him as well, and he imagines that he can save himself only by denouncing and destroying her.</w:t>
      </w:r>
      <w:r w:rsidRPr="002946D9">
        <w:rPr>
          <w:rStyle w:val="FootnoteReference"/>
          <w:rFonts w:ascii="Arial" w:hAnsi="Arial" w:cs="Arial"/>
          <w:sz w:val="20"/>
          <w:szCs w:val="20"/>
        </w:rPr>
        <w:footnoteReference w:id="50"/>
      </w:r>
    </w:p>
    <w:p w:rsidR="00D51B70" w:rsidRDefault="00D51B70" w:rsidP="00880D7A">
      <w:pPr>
        <w:spacing w:line="240" w:lineRule="auto"/>
        <w:rPr>
          <w:rFonts w:ascii="Arial" w:hAnsi="Arial" w:cs="Arial"/>
        </w:rPr>
      </w:pPr>
    </w:p>
    <w:p w:rsidR="00D51B70" w:rsidRDefault="00D51B70" w:rsidP="00880D7A">
      <w:pPr>
        <w:spacing w:line="480" w:lineRule="auto"/>
        <w:rPr>
          <w:rFonts w:ascii="Arial" w:hAnsi="Arial" w:cs="Arial"/>
        </w:rPr>
      </w:pPr>
      <w:r>
        <w:rPr>
          <w:rFonts w:ascii="Arial" w:hAnsi="Arial" w:cs="Arial"/>
        </w:rPr>
        <w:t>This again exhibits the anxiety of being defiled, as with Malvolio and Beatrice in the respective texts. In dealing with this situation, Leontes enters into ‘rituals of separation’, refusing his wife access into his bed, cutting off friendship with the suspected infringer Polixenes; separating himself in order to be kept pure. However, unlike the previous texts, Leontes in his state of paranoia is wrong in his assumptions. He has, in fear of transgression, himself transgressed, calling “evil good and good evil, [and putting] darkness for light and light for darkness”</w:t>
      </w:r>
      <w:r>
        <w:rPr>
          <w:rStyle w:val="FootnoteReference"/>
          <w:rFonts w:ascii="Arial" w:hAnsi="Arial" w:cs="Arial"/>
        </w:rPr>
        <w:footnoteReference w:id="51"/>
      </w:r>
      <w:r>
        <w:rPr>
          <w:rFonts w:ascii="Arial" w:hAnsi="Arial" w:cs="Arial"/>
        </w:rPr>
        <w:t xml:space="preserve">. He has himself become the transgressor and so defiled himself. However, it is here that </w:t>
      </w:r>
      <w:r>
        <w:rPr>
          <w:rFonts w:ascii="Arial" w:hAnsi="Arial" w:cs="Arial"/>
          <w:i/>
          <w:iCs/>
        </w:rPr>
        <w:t xml:space="preserve">The Winter’s Tale </w:t>
      </w:r>
      <w:r>
        <w:rPr>
          <w:rFonts w:ascii="Arial" w:hAnsi="Arial" w:cs="Arial"/>
        </w:rPr>
        <w:t xml:space="preserve">offers something quite different to the other two plays in their dealings with transgression and pollution. Firstly, Leontes is not, after these first scenes, heard from for large parts of the play; his reckless confusion of binarities does not have any eternal consequences for himself, he suffers from the loss of his child and wife but not from the eternal consequences of damnation. </w:t>
      </w:r>
    </w:p>
    <w:p w:rsidR="00D51B70" w:rsidRDefault="00D51B70" w:rsidP="00880D7A">
      <w:pPr>
        <w:spacing w:line="480" w:lineRule="auto"/>
        <w:rPr>
          <w:rFonts w:ascii="Arial" w:hAnsi="Arial" w:cs="Arial"/>
        </w:rPr>
      </w:pPr>
      <w:r>
        <w:rPr>
          <w:rFonts w:ascii="Arial" w:hAnsi="Arial" w:cs="Arial"/>
        </w:rPr>
        <w:t xml:space="preserve">This leads us to the idea of hybridity in the play, the idea that as a form the play is a hybrid of the tragic and the comic. This has implications for the way the play deals with and understands purity and pollution. Where in </w:t>
      </w:r>
      <w:r>
        <w:rPr>
          <w:rFonts w:ascii="Arial" w:hAnsi="Arial" w:cs="Arial"/>
          <w:i/>
          <w:iCs/>
        </w:rPr>
        <w:t xml:space="preserve">Twelfth Night </w:t>
      </w:r>
      <w:r>
        <w:rPr>
          <w:rFonts w:ascii="Arial" w:hAnsi="Arial" w:cs="Arial"/>
        </w:rPr>
        <w:t xml:space="preserve">purity was disrupted then restored and in </w:t>
      </w:r>
      <w:r>
        <w:rPr>
          <w:rFonts w:ascii="Arial" w:hAnsi="Arial" w:cs="Arial"/>
          <w:i/>
          <w:iCs/>
        </w:rPr>
        <w:t xml:space="preserve">The Changeling </w:t>
      </w:r>
      <w:r>
        <w:rPr>
          <w:rFonts w:ascii="Arial" w:hAnsi="Arial" w:cs="Arial"/>
        </w:rPr>
        <w:t xml:space="preserve">where transgression lead to irreparable eternal separation, in </w:t>
      </w:r>
      <w:r>
        <w:rPr>
          <w:rFonts w:ascii="Arial" w:hAnsi="Arial" w:cs="Arial"/>
          <w:i/>
          <w:iCs/>
        </w:rPr>
        <w:t xml:space="preserve">The Winter’s Tale </w:t>
      </w:r>
      <w:r>
        <w:rPr>
          <w:rFonts w:ascii="Arial" w:hAnsi="Arial" w:cs="Arial"/>
        </w:rPr>
        <w:t>“a bark of baser kind” is married to a “bud of nobler race”</w:t>
      </w:r>
      <w:r>
        <w:rPr>
          <w:rStyle w:val="FootnoteReference"/>
          <w:rFonts w:ascii="Arial" w:hAnsi="Arial" w:cs="Arial"/>
        </w:rPr>
        <w:footnoteReference w:id="52"/>
      </w:r>
      <w:r>
        <w:rPr>
          <w:rFonts w:ascii="Arial" w:hAnsi="Arial" w:cs="Arial"/>
        </w:rPr>
        <w:t xml:space="preserve"> and unlike </w:t>
      </w:r>
      <w:r>
        <w:rPr>
          <w:rFonts w:ascii="Arial" w:hAnsi="Arial" w:cs="Arial"/>
          <w:i/>
          <w:iCs/>
        </w:rPr>
        <w:t xml:space="preserve">The Changeling </w:t>
      </w:r>
      <w:r>
        <w:rPr>
          <w:rFonts w:ascii="Arial" w:hAnsi="Arial" w:cs="Arial"/>
        </w:rPr>
        <w:t>where once corrupted, forever corrupted, “this an art/ Which does mend nature, change it rather, but/ The art itself is nature”</w:t>
      </w:r>
      <w:r>
        <w:rPr>
          <w:rStyle w:val="FootnoteReference"/>
          <w:rFonts w:ascii="Arial" w:hAnsi="Arial" w:cs="Arial"/>
        </w:rPr>
        <w:footnoteReference w:id="53"/>
      </w:r>
      <w:r>
        <w:rPr>
          <w:rFonts w:ascii="Arial" w:hAnsi="Arial" w:cs="Arial"/>
        </w:rPr>
        <w:t xml:space="preserve">. Shakespeare bravely challenges the notion that pollution corrupts purity and asserts that hybridity, ‘mingling of bloods’ leads to a mending of the nature. Where Leontes as the disruptive and dividing character causes transgression, he does corrupt others but is by others deeds restored. </w:t>
      </w:r>
      <w:r>
        <w:rPr>
          <w:rFonts w:ascii="Arial" w:hAnsi="Arial" w:cs="Arial"/>
          <w:i/>
          <w:iCs/>
        </w:rPr>
        <w:t xml:space="preserve">The Winter’s Tale </w:t>
      </w:r>
      <w:r>
        <w:rPr>
          <w:rFonts w:ascii="Arial" w:hAnsi="Arial" w:cs="Arial"/>
        </w:rPr>
        <w:t>hinges its poignancy on unexpected, miraculous redemption. Philip McGuire puts it thus:</w:t>
      </w:r>
    </w:p>
    <w:p w:rsidR="00D51B70" w:rsidRDefault="00D51B70" w:rsidP="00D2694F">
      <w:pPr>
        <w:spacing w:line="240" w:lineRule="auto"/>
        <w:ind w:left="851" w:right="1088"/>
        <w:rPr>
          <w:rFonts w:ascii="Arial" w:hAnsi="Arial" w:cs="Arial"/>
          <w:sz w:val="20"/>
          <w:szCs w:val="20"/>
        </w:rPr>
      </w:pPr>
      <w:r w:rsidRPr="00D2694F">
        <w:rPr>
          <w:rFonts w:ascii="Arial" w:hAnsi="Arial" w:cs="Arial"/>
          <w:i/>
          <w:iCs/>
          <w:sz w:val="20"/>
          <w:szCs w:val="20"/>
        </w:rPr>
        <w:t xml:space="preserve">The Winter’s Tale </w:t>
      </w:r>
      <w:r w:rsidRPr="00D2694F">
        <w:rPr>
          <w:rFonts w:ascii="Arial" w:hAnsi="Arial" w:cs="Arial"/>
          <w:sz w:val="20"/>
          <w:szCs w:val="20"/>
        </w:rPr>
        <w:t>remains capable of profoundly moving its audiences, many of whom do not believe in resurrection after death. The play has such power because the passage Leontes undergoes corresponds to one of the most basic and compelling patterns in human experience. As winter gives way to spring, Leontes passes through the different seasons and climates of the human heart.</w:t>
      </w:r>
      <w:r w:rsidRPr="00D2694F">
        <w:rPr>
          <w:rStyle w:val="FootnoteReference"/>
          <w:rFonts w:ascii="Arial" w:hAnsi="Arial" w:cs="Arial"/>
          <w:sz w:val="20"/>
          <w:szCs w:val="20"/>
        </w:rPr>
        <w:footnoteReference w:id="54"/>
      </w:r>
    </w:p>
    <w:p w:rsidR="00D51B70" w:rsidRDefault="00D51B70" w:rsidP="00D2694F">
      <w:pPr>
        <w:spacing w:line="480" w:lineRule="auto"/>
        <w:rPr>
          <w:rFonts w:ascii="Arial" w:hAnsi="Arial" w:cs="Arial"/>
        </w:rPr>
      </w:pPr>
      <w:r>
        <w:rPr>
          <w:rFonts w:ascii="Arial" w:hAnsi="Arial" w:cs="Arial"/>
        </w:rPr>
        <w:t>Paulina, the ever faithful maid declares before Hermione ‘comes down’; “Bequeath to death your numbness, for from him / Dear life redeems you. You perceive she/ stirs.”</w:t>
      </w:r>
      <w:r>
        <w:rPr>
          <w:rStyle w:val="FootnoteReference"/>
          <w:rFonts w:ascii="Arial" w:hAnsi="Arial" w:cs="Arial"/>
        </w:rPr>
        <w:footnoteReference w:id="55"/>
      </w:r>
      <w:r>
        <w:rPr>
          <w:rFonts w:ascii="Arial" w:hAnsi="Arial" w:cs="Arial"/>
        </w:rPr>
        <w:t xml:space="preserve"> </w:t>
      </w:r>
      <w:r w:rsidRPr="00E41048">
        <w:rPr>
          <w:rFonts w:ascii="Arial" w:hAnsi="Arial" w:cs="Arial"/>
        </w:rPr>
        <w:t>Leontes’ suffering born from his anxieties of desire and becoming tainted is redeemed by ‘dear life’</w:t>
      </w:r>
      <w:r>
        <w:rPr>
          <w:rFonts w:ascii="Arial" w:hAnsi="Arial" w:cs="Arial"/>
        </w:rPr>
        <w:t xml:space="preserve"> that ‘most basic and compelling pattern’</w:t>
      </w:r>
      <w:r w:rsidRPr="00E41048">
        <w:rPr>
          <w:rFonts w:ascii="Arial" w:hAnsi="Arial" w:cs="Arial"/>
        </w:rPr>
        <w:t>.</w:t>
      </w:r>
      <w:r>
        <w:rPr>
          <w:rFonts w:ascii="Arial" w:hAnsi="Arial" w:cs="Arial"/>
        </w:rPr>
        <w:t xml:space="preserve"> The dividing and separating of Leontes actions in ‘imposing system on an inherently untidy experience’ (Douglas 1966) is restored. Autolycus in the sub plot, a thief and miscreant who cheats others dishonestly, posing as one thing while being another, experiences the fate that punished Beatrice as something which unduly rewards: “Here come those I have done good to against my will, / and already appearing in the blossoms of their fortune”. He is redeemed in spite of his transgressions and ill-doings; while Beatrice receives her inevitable and fated damnation. Where on her death bed Beatrice cries out “’Tis time to die when ‘tis a shame to live”</w:t>
      </w:r>
      <w:r>
        <w:rPr>
          <w:rStyle w:val="FootnoteReference"/>
          <w:rFonts w:ascii="Arial" w:hAnsi="Arial" w:cs="Arial"/>
        </w:rPr>
        <w:footnoteReference w:id="56"/>
      </w:r>
      <w:r>
        <w:rPr>
          <w:rFonts w:ascii="Arial" w:hAnsi="Arial" w:cs="Arial"/>
        </w:rPr>
        <w:t xml:space="preserve"> Autolycus, in light of his sins, pleads “I humbly beseech you, sir, to pardon all the/ faults I have committed to your worship”</w:t>
      </w:r>
      <w:r>
        <w:rPr>
          <w:rStyle w:val="FootnoteReference"/>
          <w:rFonts w:ascii="Arial" w:hAnsi="Arial" w:cs="Arial"/>
        </w:rPr>
        <w:footnoteReference w:id="57"/>
      </w:r>
      <w:r>
        <w:rPr>
          <w:rFonts w:ascii="Arial" w:hAnsi="Arial" w:cs="Arial"/>
        </w:rPr>
        <w:t>.</w:t>
      </w:r>
    </w:p>
    <w:p w:rsidR="00D51B70" w:rsidRDefault="00D51B70" w:rsidP="00D2694F">
      <w:pPr>
        <w:spacing w:line="480" w:lineRule="auto"/>
        <w:rPr>
          <w:rFonts w:ascii="Arial" w:hAnsi="Arial" w:cs="Arial"/>
        </w:rPr>
      </w:pPr>
      <w:r>
        <w:rPr>
          <w:rFonts w:ascii="Arial" w:hAnsi="Arial" w:cs="Arial"/>
        </w:rPr>
        <w:t xml:space="preserve">On a societal level, where Leontes’ suspicions have divided his family and relations between Sicilia and Bohemia, the engagement of Florizel and Perdita seek to bring back together and unite, again the idea of hybridity in taking Florizel who is of royal blood and Perdita who at first is apparently not. This merging contrasts with the dividing, casting out and infectious pollution of </w:t>
      </w:r>
      <w:r>
        <w:rPr>
          <w:rFonts w:ascii="Arial" w:hAnsi="Arial" w:cs="Arial"/>
          <w:i/>
          <w:iCs/>
        </w:rPr>
        <w:t>The Changeling.</w:t>
      </w:r>
      <w:r>
        <w:rPr>
          <w:rFonts w:ascii="Arial" w:hAnsi="Arial" w:cs="Arial"/>
        </w:rPr>
        <w:t xml:space="preserve"> True purity, in </w:t>
      </w:r>
      <w:r>
        <w:rPr>
          <w:rFonts w:ascii="Arial" w:hAnsi="Arial" w:cs="Arial"/>
          <w:i/>
          <w:iCs/>
        </w:rPr>
        <w:t xml:space="preserve">The Winter’s Tale </w:t>
      </w:r>
      <w:r>
        <w:rPr>
          <w:rFonts w:ascii="Arial" w:hAnsi="Arial" w:cs="Arial"/>
        </w:rPr>
        <w:t>comes from uniting, not dividing. Stallybrass and White talk of Levi-Strauss’ understanding of mediation, of bringing opposites together:</w:t>
      </w:r>
    </w:p>
    <w:p w:rsidR="00D51B70" w:rsidRPr="00150B3D" w:rsidRDefault="00D51B70" w:rsidP="00150B3D">
      <w:pPr>
        <w:pStyle w:val="NormalWeb"/>
        <w:spacing w:before="0" w:beforeAutospacing="0" w:after="0" w:afterAutospacing="0"/>
        <w:ind w:left="851" w:right="1088"/>
        <w:rPr>
          <w:rFonts w:ascii="Arial" w:hAnsi="Arial" w:cs="Arial"/>
          <w:sz w:val="20"/>
          <w:szCs w:val="20"/>
        </w:rPr>
      </w:pPr>
      <w:r w:rsidRPr="00150B3D">
        <w:rPr>
          <w:rFonts w:ascii="Arial" w:hAnsi="Arial" w:cs="Arial"/>
          <w:sz w:val="20"/>
          <w:szCs w:val="20"/>
        </w:rPr>
        <w:t xml:space="preserve">For Levi-Strauss the chief purpose of the ritual and the myth is the discovery of an intermediate link between the members of binary opposition: a process known as </w:t>
      </w:r>
      <w:r w:rsidRPr="00150B3D">
        <w:rPr>
          <w:rFonts w:ascii="Arial" w:hAnsi="Arial" w:cs="Arial"/>
          <w:i/>
          <w:iCs/>
          <w:sz w:val="20"/>
          <w:szCs w:val="20"/>
        </w:rPr>
        <w:t>mediation.</w:t>
      </w:r>
      <w:r>
        <w:rPr>
          <w:rStyle w:val="FootnoteReference"/>
          <w:rFonts w:ascii="Arial" w:hAnsi="Arial" w:cs="Arial"/>
          <w:i/>
          <w:iCs/>
          <w:sz w:val="20"/>
          <w:szCs w:val="20"/>
        </w:rPr>
        <w:footnoteReference w:id="58"/>
      </w:r>
      <w:r w:rsidRPr="00150B3D">
        <w:rPr>
          <w:rFonts w:ascii="Arial" w:hAnsi="Arial" w:cs="Arial"/>
          <w:i/>
          <w:iCs/>
          <w:sz w:val="20"/>
          <w:szCs w:val="20"/>
        </w:rPr>
        <w:t xml:space="preserve"> </w:t>
      </w:r>
    </w:p>
    <w:p w:rsidR="00D51B70" w:rsidRPr="00150B3D" w:rsidRDefault="00D51B70" w:rsidP="00D2694F">
      <w:pPr>
        <w:spacing w:line="480" w:lineRule="auto"/>
        <w:rPr>
          <w:rFonts w:ascii="Arial" w:hAnsi="Arial" w:cs="Arial"/>
          <w:i/>
          <w:iCs/>
        </w:rPr>
      </w:pPr>
    </w:p>
    <w:p w:rsidR="00D51B70" w:rsidRDefault="00D51B70" w:rsidP="00D2694F">
      <w:pPr>
        <w:spacing w:line="480" w:lineRule="auto"/>
        <w:rPr>
          <w:rFonts w:ascii="Arial" w:hAnsi="Arial" w:cs="Arial"/>
        </w:rPr>
      </w:pPr>
      <w:r>
        <w:rPr>
          <w:rFonts w:ascii="Arial" w:hAnsi="Arial" w:cs="Arial"/>
        </w:rPr>
        <w:t xml:space="preserve">The engagement and resurrection work as ritual and myth to bring about mediation, a joining of binary oppositions that were separated for the sake of preserving purity. </w:t>
      </w:r>
    </w:p>
    <w:p w:rsidR="00D51B70" w:rsidRPr="00AB37D4" w:rsidRDefault="00D51B70" w:rsidP="00D2694F">
      <w:pPr>
        <w:spacing w:line="480" w:lineRule="auto"/>
        <w:rPr>
          <w:rFonts w:ascii="Arial" w:hAnsi="Arial" w:cs="Arial"/>
        </w:rPr>
      </w:pPr>
      <w:r>
        <w:rPr>
          <w:rFonts w:ascii="Arial" w:hAnsi="Arial" w:cs="Arial"/>
        </w:rPr>
        <w:t xml:space="preserve">Purity then, we have seen, in its definition of something being ‘in place’ or in its own binarity opposition with pollution or dirt is a highly significant concept in the world of Renaissance literature. Key figures such as Malvolio in </w:t>
      </w:r>
      <w:r>
        <w:rPr>
          <w:rFonts w:ascii="Arial" w:hAnsi="Arial" w:cs="Arial"/>
          <w:i/>
          <w:iCs/>
        </w:rPr>
        <w:t>Twelfth Night,</w:t>
      </w:r>
      <w:r>
        <w:rPr>
          <w:rFonts w:ascii="Arial" w:hAnsi="Arial" w:cs="Arial"/>
        </w:rPr>
        <w:t xml:space="preserve"> Beatrice in </w:t>
      </w:r>
      <w:r>
        <w:rPr>
          <w:rFonts w:ascii="Arial" w:hAnsi="Arial" w:cs="Arial"/>
          <w:i/>
          <w:iCs/>
        </w:rPr>
        <w:t xml:space="preserve">The Changeling </w:t>
      </w:r>
      <w:r>
        <w:rPr>
          <w:rFonts w:ascii="Arial" w:hAnsi="Arial" w:cs="Arial"/>
        </w:rPr>
        <w:t xml:space="preserve">and Leontes in </w:t>
      </w:r>
      <w:r>
        <w:rPr>
          <w:rFonts w:ascii="Arial" w:hAnsi="Arial" w:cs="Arial"/>
          <w:i/>
          <w:iCs/>
        </w:rPr>
        <w:t xml:space="preserve">The Winter’s Tale </w:t>
      </w:r>
      <w:r>
        <w:rPr>
          <w:rFonts w:ascii="Arial" w:hAnsi="Arial" w:cs="Arial"/>
        </w:rPr>
        <w:t xml:space="preserve">represent the need for order and the anxious desire for separation and distance in preserving purity. However, as we have seen, this very anxious desire most often lends itself to producing disorder in the form of carnival, pollution in the form of eternal damnation and ambiguity in the form of blind judgement. What each text suggests is a different way of dramatising this anxious desire for purity into the world of drama; in </w:t>
      </w:r>
      <w:r>
        <w:rPr>
          <w:rFonts w:ascii="Arial" w:hAnsi="Arial" w:cs="Arial"/>
          <w:i/>
          <w:iCs/>
        </w:rPr>
        <w:t xml:space="preserve">Twelfth Night </w:t>
      </w:r>
      <w:r>
        <w:rPr>
          <w:rFonts w:ascii="Arial" w:hAnsi="Arial" w:cs="Arial"/>
        </w:rPr>
        <w:t xml:space="preserve">purity is disrupted in carnival, in the limited chaos and ordained disorder that allows the confusion and transgression of binarities, however, leaving scapegoats, who are necessary for its existence, in its wake. In </w:t>
      </w:r>
      <w:r>
        <w:rPr>
          <w:rFonts w:ascii="Arial" w:hAnsi="Arial" w:cs="Arial"/>
          <w:i/>
          <w:iCs/>
        </w:rPr>
        <w:t xml:space="preserve">The Changeling </w:t>
      </w:r>
      <w:r>
        <w:rPr>
          <w:rFonts w:ascii="Arial" w:hAnsi="Arial" w:cs="Arial"/>
        </w:rPr>
        <w:t xml:space="preserve">we have seen the desire for purity outwork in blind and false judgements. In its anxiety of eternal damnation and of a state where purification is no longer possible we see a world where a deterministic understanding of transgression dictates the characters, allowing no room for the return to purity. However, </w:t>
      </w:r>
      <w:r>
        <w:rPr>
          <w:rFonts w:ascii="Arial" w:hAnsi="Arial" w:cs="Arial"/>
          <w:i/>
          <w:iCs/>
        </w:rPr>
        <w:t xml:space="preserve">The Winter’s Tale </w:t>
      </w:r>
      <w:r>
        <w:rPr>
          <w:rFonts w:ascii="Arial" w:hAnsi="Arial" w:cs="Arial"/>
        </w:rPr>
        <w:t>offers the most anxiety-free dramatisation of purity, as something that is not undermined by pollution, transgression and dirt but would ‘change it rather’ in its surprising, redemptive absolution of these elements into a new and reformed order of purity.</w:t>
      </w:r>
    </w:p>
    <w:p w:rsidR="00D51B70" w:rsidRDefault="00D51B70" w:rsidP="00725C07">
      <w:pPr>
        <w:spacing w:line="240" w:lineRule="auto"/>
        <w:jc w:val="center"/>
        <w:rPr>
          <w:rFonts w:ascii="Arial" w:hAnsi="Arial" w:cs="Arial"/>
          <w:b/>
          <w:bCs/>
          <w:sz w:val="28"/>
          <w:szCs w:val="28"/>
        </w:rPr>
      </w:pPr>
    </w:p>
    <w:p w:rsidR="00D51B70" w:rsidRDefault="00D51B70" w:rsidP="00725C07">
      <w:pPr>
        <w:spacing w:line="240" w:lineRule="auto"/>
        <w:jc w:val="center"/>
        <w:rPr>
          <w:rFonts w:ascii="Arial" w:hAnsi="Arial" w:cs="Arial"/>
          <w:b/>
          <w:bCs/>
          <w:sz w:val="28"/>
          <w:szCs w:val="28"/>
        </w:rPr>
      </w:pPr>
      <w:r>
        <w:rPr>
          <w:rFonts w:ascii="Arial" w:hAnsi="Arial" w:cs="Arial"/>
          <w:b/>
          <w:bCs/>
          <w:sz w:val="28"/>
          <w:szCs w:val="28"/>
        </w:rPr>
        <w:br w:type="page"/>
        <w:t>Bibliography</w:t>
      </w:r>
    </w:p>
    <w:p w:rsidR="00D51B70" w:rsidRPr="00CE7199" w:rsidRDefault="00D51B70" w:rsidP="00725C07">
      <w:pPr>
        <w:spacing w:line="240" w:lineRule="auto"/>
        <w:jc w:val="center"/>
        <w:rPr>
          <w:rFonts w:ascii="Arial" w:hAnsi="Arial" w:cs="Arial"/>
          <w:b/>
          <w:bCs/>
          <w:sz w:val="28"/>
          <w:szCs w:val="28"/>
        </w:rPr>
      </w:pPr>
    </w:p>
    <w:p w:rsidR="00D51B70" w:rsidRPr="000A3431" w:rsidRDefault="00D51B70" w:rsidP="000A3431">
      <w:pPr>
        <w:spacing w:after="120" w:line="240" w:lineRule="auto"/>
      </w:pPr>
      <w:r w:rsidRPr="000A3431">
        <w:t xml:space="preserve">Casey, Charles. ‘Gender Trouble in Twelfth Night’ in (Theatre Journal, Vol. 49, No. 2, (May., 1997) Stable URL: </w:t>
      </w:r>
      <w:hyperlink r:id="rId14" w:history="1">
        <w:r w:rsidRPr="000A3431">
          <w:rPr>
            <w:rStyle w:val="Hyperlink"/>
          </w:rPr>
          <w:t>http://www.jstor.org/pss/3208678</w:t>
        </w:r>
      </w:hyperlink>
      <w:r w:rsidRPr="000A3431">
        <w:t>, 121-141)</w:t>
      </w:r>
    </w:p>
    <w:p w:rsidR="00D51B70" w:rsidRPr="000A3431" w:rsidRDefault="00D51B70" w:rsidP="000A3431">
      <w:pPr>
        <w:spacing w:after="120" w:line="240" w:lineRule="auto"/>
      </w:pPr>
    </w:p>
    <w:p w:rsidR="00D51B70" w:rsidRPr="000A3431" w:rsidRDefault="00D51B70" w:rsidP="000A3431">
      <w:pPr>
        <w:spacing w:after="120" w:line="240" w:lineRule="auto"/>
      </w:pPr>
      <w:r w:rsidRPr="000A3431">
        <w:t xml:space="preserve">Chedgozy, Kate. Impudent Women; Carnival and Gender in early modern culture [online] Available at: </w:t>
      </w:r>
      <w:hyperlink r:id="rId15" w:history="1">
        <w:r w:rsidRPr="000A3431">
          <w:rPr>
            <w:rStyle w:val="Hyperlink"/>
          </w:rPr>
          <w:t>http://www.arts.gla.ac.uk/STELLA/COMET/glasgrev/issue1/chefgz.htm</w:t>
        </w:r>
      </w:hyperlink>
      <w:r w:rsidRPr="000A3431">
        <w:t xml:space="preserve"> [Accessed 24th  April-1st May 2011]</w:t>
      </w:r>
    </w:p>
    <w:p w:rsidR="00D51B70" w:rsidRPr="000A3431" w:rsidRDefault="00D51B70" w:rsidP="000A3431">
      <w:pPr>
        <w:spacing w:after="120" w:line="240" w:lineRule="auto"/>
      </w:pPr>
    </w:p>
    <w:p w:rsidR="00D51B70" w:rsidRPr="000A3431" w:rsidRDefault="00D51B70" w:rsidP="000A3431">
      <w:pPr>
        <w:spacing w:after="120" w:line="240" w:lineRule="auto"/>
      </w:pPr>
      <w:r w:rsidRPr="000A3431">
        <w:t>Douglas, Mary. Purity and Danger: An analysis of concept of pollution and taboo. 1966; (London, Routledge, 2002)</w:t>
      </w:r>
    </w:p>
    <w:p w:rsidR="00D51B70" w:rsidRPr="000A3431" w:rsidRDefault="00D51B70" w:rsidP="000A3431">
      <w:pPr>
        <w:spacing w:after="120" w:line="240" w:lineRule="auto"/>
      </w:pPr>
    </w:p>
    <w:p w:rsidR="00D51B70" w:rsidRPr="000A3431" w:rsidRDefault="00D51B70" w:rsidP="000A3431">
      <w:pPr>
        <w:spacing w:after="120" w:line="240" w:lineRule="auto"/>
      </w:pPr>
      <w:r w:rsidRPr="000A3431">
        <w:t>Garber, Marjorie. Vested Interests: Cross-dressing and Cultural Anxiety. 1991: (London and N.Y: Routledge, 1991)</w:t>
      </w:r>
    </w:p>
    <w:p w:rsidR="00D51B70" w:rsidRPr="000A3431" w:rsidRDefault="00D51B70" w:rsidP="000A3431">
      <w:pPr>
        <w:spacing w:after="120" w:line="240" w:lineRule="auto"/>
      </w:pPr>
      <w:r w:rsidRPr="000A3431">
        <w:t>Girard, René. Violence and the Sacred, 1972; (John Hopkins University Press; 1979)</w:t>
      </w:r>
    </w:p>
    <w:p w:rsidR="00D51B70" w:rsidRPr="000A3431" w:rsidRDefault="00D51B70" w:rsidP="000A3431">
      <w:pPr>
        <w:spacing w:after="120" w:line="240" w:lineRule="auto"/>
      </w:pPr>
      <w:r w:rsidRPr="000A3431">
        <w:t>Greenblatt, Stephen. ‘Martial Law in the Land of Cockgaine’ (Materialist Shakespeare: A History by Ivo Kamps (London; Verso, 1995) 108-141) p, 110.</w:t>
      </w:r>
    </w:p>
    <w:p w:rsidR="00D51B70" w:rsidRPr="000A3431" w:rsidRDefault="00D51B70" w:rsidP="000A3431">
      <w:pPr>
        <w:spacing w:after="120" w:line="240" w:lineRule="auto"/>
      </w:pPr>
      <w:r w:rsidRPr="000A3431">
        <w:t xml:space="preserve">“Greenwich, 15 June 1574, 16 Elizabeth I” [online] MaggiRos, Amended on: 14/06/2001, Available at </w:t>
      </w:r>
      <w:hyperlink r:id="rId16" w:history="1">
        <w:r w:rsidRPr="000A3431">
          <w:rPr>
            <w:rStyle w:val="Hyperlink"/>
          </w:rPr>
          <w:t>http://elizabethan.org/sumptuary/who-wears-what.html</w:t>
        </w:r>
      </w:hyperlink>
      <w:r w:rsidRPr="000A3431">
        <w:t xml:space="preserve"> (Accessed 26th April 2011)</w:t>
      </w:r>
    </w:p>
    <w:p w:rsidR="00D51B70" w:rsidRPr="000A3431" w:rsidRDefault="00D51B70" w:rsidP="000A3431">
      <w:pPr>
        <w:spacing w:after="120" w:line="240" w:lineRule="auto"/>
      </w:pPr>
      <w:r w:rsidRPr="000A3431">
        <w:t>Hawkes, Terence. "Comedy, Orality and Duplicity: Twelfth Night." Shakespeare's Comedies. Ed. Gary Waller. (London: Longman, 1991), 168-74.</w:t>
      </w:r>
    </w:p>
    <w:p w:rsidR="00D51B70" w:rsidRPr="000A3431" w:rsidRDefault="00D51B70" w:rsidP="000A3431">
      <w:pPr>
        <w:spacing w:after="120" w:line="240" w:lineRule="auto"/>
      </w:pPr>
      <w:r w:rsidRPr="000A3431">
        <w:t xml:space="preserve">Kistner, A. L and M. K. ‘The Five Structures of the Changeling’ (Modern Language Studies, Vol. 11, No. 2 (Spring, 1981) Modern Language Studies; Stable URL: </w:t>
      </w:r>
      <w:hyperlink r:id="rId17" w:history="1">
        <w:r w:rsidRPr="000A3431">
          <w:rPr>
            <w:rStyle w:val="Hyperlink"/>
          </w:rPr>
          <w:t>http://www.jstor.org/stable/3194565</w:t>
        </w:r>
      </w:hyperlink>
      <w:r w:rsidRPr="000A3431">
        <w:t>, 40-53)</w:t>
      </w:r>
    </w:p>
    <w:p w:rsidR="00D51B70" w:rsidRPr="000A3431" w:rsidRDefault="00D51B70" w:rsidP="000A3431">
      <w:pPr>
        <w:spacing w:after="120" w:line="240" w:lineRule="auto"/>
      </w:pPr>
      <w:r w:rsidRPr="000A3431">
        <w:t>McGuire, Philip. ‘The Winter’s Tale: ‘Awake your faith’’ in Shakespeare: The Jacobean Plays; 1994; (Macmillan; 1994) p.159.</w:t>
      </w:r>
    </w:p>
    <w:p w:rsidR="00D51B70" w:rsidRPr="000A3431" w:rsidRDefault="00D51B70" w:rsidP="000A3431">
      <w:pPr>
        <w:spacing w:after="120" w:line="240" w:lineRule="auto"/>
      </w:pPr>
      <w:r w:rsidRPr="000A3431">
        <w:t>Middleton, Thomas &amp; Rowley, William. The Changeling., 1622; (Manchester University Press, 1998)</w:t>
      </w:r>
    </w:p>
    <w:p w:rsidR="00D51B70" w:rsidRPr="000A3431" w:rsidRDefault="00D51B70" w:rsidP="000A3431">
      <w:pPr>
        <w:spacing w:after="120" w:line="240" w:lineRule="auto"/>
      </w:pPr>
      <w:r w:rsidRPr="000A3431">
        <w:t xml:space="preserve">New International Version, [online] Available at: </w:t>
      </w:r>
      <w:hyperlink r:id="rId18" w:history="1">
        <w:r w:rsidRPr="000A3431">
          <w:rPr>
            <w:rStyle w:val="Hyperlink"/>
          </w:rPr>
          <w:t>www.biblegateway.com</w:t>
        </w:r>
      </w:hyperlink>
      <w:r w:rsidRPr="000A3431">
        <w:t xml:space="preserve"> [Accessed on 28th April 2011]</w:t>
      </w:r>
    </w:p>
    <w:p w:rsidR="00D51B70" w:rsidRPr="000A3431" w:rsidRDefault="00D51B70" w:rsidP="000A3431">
      <w:pPr>
        <w:spacing w:after="120" w:line="240" w:lineRule="auto"/>
      </w:pPr>
      <w:r w:rsidRPr="000A3431">
        <w:t>Shakespeare, William. Twelfth Night. 1623; (Oxford University Press; 2010)</w:t>
      </w:r>
    </w:p>
    <w:p w:rsidR="00D51B70" w:rsidRPr="000A3431" w:rsidRDefault="00D51B70" w:rsidP="000A3431">
      <w:pPr>
        <w:spacing w:after="120" w:line="240" w:lineRule="auto"/>
      </w:pPr>
      <w:r w:rsidRPr="000A3431">
        <w:t>Shakespeare, William. The Winter’s Tale. 1623; [online] Available at: &lt;</w:t>
      </w:r>
      <w:hyperlink r:id="rId19" w:history="1">
        <w:r w:rsidRPr="000A3431">
          <w:rPr>
            <w:rStyle w:val="Hyperlink"/>
          </w:rPr>
          <w:t>http://shakespeare.mit.edu/winters_tale/full.html</w:t>
        </w:r>
      </w:hyperlink>
      <w:r w:rsidRPr="000A3431">
        <w:t>&gt; [Accessed 24th April-1st May 2011]</w:t>
      </w:r>
    </w:p>
    <w:p w:rsidR="00D51B70" w:rsidRPr="000A3431" w:rsidRDefault="00D51B70" w:rsidP="000A3431">
      <w:pPr>
        <w:spacing w:after="120" w:line="240" w:lineRule="auto"/>
      </w:pPr>
      <w:r w:rsidRPr="000A3431">
        <w:t>Simmons, J.L. ‘</w:t>
      </w:r>
      <w:hyperlink r:id="rId20" w:history="1">
        <w:r w:rsidRPr="000A3431">
          <w:rPr>
            <w:rStyle w:val="Hyperlink"/>
          </w:rPr>
          <w:t>A Source for Shakespeare's Malvolio: The Elizabethan Controversy with the Puritans</w:t>
        </w:r>
      </w:hyperlink>
      <w:r w:rsidRPr="000A3431">
        <w:t xml:space="preserve">’ in (Huntington Library Quarterly, Vol. 36, No. 3 (May, 1973), University of California Press; Stable URL: </w:t>
      </w:r>
      <w:hyperlink r:id="rId21" w:history="1">
        <w:r w:rsidRPr="000A3431">
          <w:rPr>
            <w:rStyle w:val="Hyperlink"/>
          </w:rPr>
          <w:t>http://www.jstor.org/stable/3816599</w:t>
        </w:r>
      </w:hyperlink>
      <w:r w:rsidRPr="000A3431">
        <w:t xml:space="preserve">  181-201)</w:t>
      </w:r>
    </w:p>
    <w:p w:rsidR="00D51B70" w:rsidRPr="000A3431" w:rsidRDefault="00D51B70" w:rsidP="000A3431">
      <w:pPr>
        <w:spacing w:after="120" w:line="240" w:lineRule="auto"/>
      </w:pPr>
      <w:r w:rsidRPr="000A3431">
        <w:t>Stallybrass, Peter &amp; White, Allon. The Politics and Poetics of Transgression. 1985; (Cambridge University Press; 1986)</w:t>
      </w:r>
    </w:p>
    <w:p w:rsidR="00D51B70" w:rsidRPr="000A3431" w:rsidRDefault="00D51B70" w:rsidP="000A3431">
      <w:pPr>
        <w:spacing w:after="120" w:line="240" w:lineRule="auto"/>
      </w:pPr>
      <w:r w:rsidRPr="000A3431">
        <w:t>Traub, Valerie. Desire and Anxiety; Circulations of Sexuality in the Shakespearean Drama. 1992; (London, N.Y: Routledge, 1992)</w:t>
      </w:r>
    </w:p>
    <w:sectPr w:rsidR="00D51B70" w:rsidRPr="000A3431" w:rsidSect="00CC532B">
      <w:headerReference w:type="default" r:id="rId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B70" w:rsidRDefault="00D51B70" w:rsidP="000B45E2">
      <w:pPr>
        <w:spacing w:after="0" w:line="240" w:lineRule="auto"/>
      </w:pPr>
      <w:r>
        <w:separator/>
      </w:r>
    </w:p>
  </w:endnote>
  <w:endnote w:type="continuationSeparator" w:id="1">
    <w:p w:rsidR="00D51B70" w:rsidRDefault="00D51B70" w:rsidP="000B45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B70" w:rsidRDefault="00D51B70" w:rsidP="000B45E2">
      <w:pPr>
        <w:spacing w:after="0" w:line="240" w:lineRule="auto"/>
      </w:pPr>
      <w:r>
        <w:separator/>
      </w:r>
    </w:p>
  </w:footnote>
  <w:footnote w:type="continuationSeparator" w:id="1">
    <w:p w:rsidR="00D51B70" w:rsidRDefault="00D51B70" w:rsidP="000B45E2">
      <w:pPr>
        <w:spacing w:after="0" w:line="240" w:lineRule="auto"/>
      </w:pPr>
      <w:r>
        <w:continuationSeparator/>
      </w:r>
    </w:p>
  </w:footnote>
  <w:footnote w:id="2">
    <w:p w:rsidR="00D51B70" w:rsidRDefault="00D51B70" w:rsidP="003B11E4">
      <w:pPr>
        <w:pStyle w:val="FootnoteText"/>
      </w:pPr>
      <w:r>
        <w:rPr>
          <w:rStyle w:val="FootnoteReference"/>
        </w:rPr>
        <w:footnoteRef/>
      </w:r>
      <w:r>
        <w:t xml:space="preserve"> Mary Douglas, </w:t>
      </w:r>
      <w:r>
        <w:rPr>
          <w:i/>
          <w:iCs/>
        </w:rPr>
        <w:t>Purity and Danger: An analysis of concept of pollution and taboo</w:t>
      </w:r>
      <w:r>
        <w:t>, 1966 (London, Routledge, 2002) p. 44.</w:t>
      </w:r>
    </w:p>
  </w:footnote>
  <w:footnote w:id="3">
    <w:p w:rsidR="00D51B70" w:rsidRDefault="00D51B70" w:rsidP="003B11E4">
      <w:pPr>
        <w:pStyle w:val="FootnoteText"/>
      </w:pPr>
      <w:r>
        <w:rPr>
          <w:rStyle w:val="FootnoteReference"/>
        </w:rPr>
        <w:footnoteRef/>
      </w:r>
      <w:r>
        <w:t xml:space="preserve"> Ibid.. p.5.</w:t>
      </w:r>
    </w:p>
  </w:footnote>
  <w:footnote w:id="4">
    <w:p w:rsidR="00D51B70" w:rsidRDefault="00D51B70" w:rsidP="003B11E4">
      <w:pPr>
        <w:pStyle w:val="FootnoteText"/>
      </w:pPr>
      <w:r w:rsidRPr="003B11E4">
        <w:rPr>
          <w:rStyle w:val="FootnoteReference"/>
        </w:rPr>
        <w:footnoteRef/>
      </w:r>
      <w:r w:rsidRPr="003B11E4">
        <w:t xml:space="preserve"> Ibid.. p.41.</w:t>
      </w:r>
    </w:p>
  </w:footnote>
  <w:footnote w:id="5">
    <w:p w:rsidR="00D51B70" w:rsidRDefault="00D51B70">
      <w:pPr>
        <w:pStyle w:val="FootnoteText"/>
      </w:pPr>
      <w:r>
        <w:rPr>
          <w:rStyle w:val="FootnoteReference"/>
        </w:rPr>
        <w:footnoteRef/>
      </w:r>
      <w:r>
        <w:t xml:space="preserve"> “Sumptuary laws were enacted in many centuries and countries. In Elizabethan England, these laws attempted to restrict the sumptuousness of dress in order to curb extravagance, protect fortunes, and make clear the necessary and appropriate distinctions between levels of society.” [online] MaggiRos, Amended on: 14/06/2001, Available at: &lt;</w:t>
      </w:r>
      <w:hyperlink r:id="rId1" w:history="1">
        <w:r>
          <w:rPr>
            <w:rStyle w:val="Hyperlink"/>
          </w:rPr>
          <w:t>http://elizabethan.org/sumptuary/index.html</w:t>
        </w:r>
      </w:hyperlink>
      <w:r>
        <w:t>&gt; [Accessed 26th April 2011]. They related to levels of society but also to gender. The full decree can be found on this website. The decree begins “The excess of apparel and the superfluity of unnecessary foreign wares thereto belonging now of late years is grown by sufferance to such an extremity that the manifest decay of the whole realm generally is like to follow.” “</w:t>
      </w:r>
      <w:r>
        <w:rPr>
          <w:i/>
          <w:iCs/>
          <w:color w:val="000000"/>
        </w:rPr>
        <w:t xml:space="preserve">Greenwich, 15 June 1574, 16 Elizabeth I” </w:t>
      </w:r>
      <w:r>
        <w:t xml:space="preserve">[online] MaggiRos, Amended on: 14/06/2001, Available at </w:t>
      </w:r>
      <w:hyperlink r:id="rId2" w:history="1">
        <w:r>
          <w:rPr>
            <w:rStyle w:val="Hyperlink"/>
          </w:rPr>
          <w:t>http://elizabethan.org/sumptuary/who-wears-what.html</w:t>
        </w:r>
      </w:hyperlink>
      <w:r>
        <w:t xml:space="preserve"> [Accessed 26th April 2011] It is obvious here that the anxiety of order and excess in clothing (as in gender distinctions) pervades into the realm of societal disorder.</w:t>
      </w:r>
    </w:p>
  </w:footnote>
  <w:footnote w:id="6">
    <w:p w:rsidR="00D51B70" w:rsidRDefault="00D51B70">
      <w:pPr>
        <w:pStyle w:val="FootnoteText"/>
      </w:pPr>
      <w:r>
        <w:rPr>
          <w:rStyle w:val="FootnoteReference"/>
        </w:rPr>
        <w:footnoteRef/>
      </w:r>
      <w:r>
        <w:t xml:space="preserve"> William Shakespeare, </w:t>
      </w:r>
      <w:r>
        <w:rPr>
          <w:i/>
          <w:iCs/>
        </w:rPr>
        <w:t>Twelfth Night</w:t>
      </w:r>
      <w:r>
        <w:t>, 1623;</w:t>
      </w:r>
      <w:r>
        <w:rPr>
          <w:i/>
          <w:iCs/>
        </w:rPr>
        <w:t xml:space="preserve"> </w:t>
      </w:r>
      <w:r>
        <w:t>(Oxford University Press; 2010), II:V, p. 47.</w:t>
      </w:r>
    </w:p>
  </w:footnote>
  <w:footnote w:id="7">
    <w:p w:rsidR="00D51B70" w:rsidRDefault="00D51B70">
      <w:pPr>
        <w:pStyle w:val="FootnoteText"/>
      </w:pPr>
      <w:r>
        <w:rPr>
          <w:rStyle w:val="FootnoteReference"/>
        </w:rPr>
        <w:footnoteRef/>
      </w:r>
      <w:r>
        <w:t xml:space="preserve"> For a fuller, more comprehensive understanding read Peter Stallybrass and Allon White, </w:t>
      </w:r>
      <w:r>
        <w:rPr>
          <w:i/>
          <w:iCs/>
        </w:rPr>
        <w:t>The Politics and Poetics of Transgression</w:t>
      </w:r>
      <w:r>
        <w:t>, 1985; (Cambridge University Press; 1986) which explores these concepts of ‘high’ and ‘low’ in far more depth than is possible here. However, for the sake of this essay, ‘high’ will be understood in terms of purity in perception and culture, therefore the increasing absence of ‘dirt’, the increasing order; the higher. The more perceived to be tainted, disrupted or disorderly; the lower. An example would be Malvolio, then, who perceives himself of ‘high’ orientation, and Sir Toby Belch ‘low’.</w:t>
      </w:r>
    </w:p>
  </w:footnote>
  <w:footnote w:id="8">
    <w:p w:rsidR="00D51B70" w:rsidRDefault="00D51B70" w:rsidP="005A110D">
      <w:pPr>
        <w:pStyle w:val="NormalWeb"/>
        <w:spacing w:before="0" w:beforeAutospacing="0" w:after="0" w:afterAutospacing="0"/>
      </w:pPr>
      <w:r w:rsidRPr="00D15FE2">
        <w:rPr>
          <w:rStyle w:val="FootnoteReference"/>
          <w:rFonts w:ascii="Calibri" w:hAnsi="Calibri" w:cs="Calibri"/>
          <w:sz w:val="20"/>
          <w:szCs w:val="20"/>
        </w:rPr>
        <w:footnoteRef/>
      </w:r>
      <w:r w:rsidRPr="00D15FE2">
        <w:rPr>
          <w:rFonts w:ascii="Calibri" w:hAnsi="Calibri" w:cs="Calibri"/>
          <w:sz w:val="20"/>
          <w:szCs w:val="20"/>
        </w:rPr>
        <w:t xml:space="preserve"> Stallybrass and White, p. 191.</w:t>
      </w:r>
    </w:p>
  </w:footnote>
  <w:footnote w:id="9">
    <w:p w:rsidR="00D51B70" w:rsidRDefault="00D51B70">
      <w:pPr>
        <w:pStyle w:val="FootnoteText"/>
      </w:pPr>
      <w:r w:rsidRPr="00D15FE2">
        <w:rPr>
          <w:rStyle w:val="FootnoteReference"/>
        </w:rPr>
        <w:footnoteRef/>
      </w:r>
      <w:r w:rsidRPr="00D15FE2">
        <w:t xml:space="preserve"> Valerie Traub, </w:t>
      </w:r>
      <w:r w:rsidRPr="00D15FE2">
        <w:rPr>
          <w:i/>
          <w:iCs/>
        </w:rPr>
        <w:t>Desire and Anxiety; Circulations of Sexuality in the Shakespearean Drama</w:t>
      </w:r>
      <w:r>
        <w:rPr>
          <w:i/>
          <w:iCs/>
        </w:rPr>
        <w:t>¸</w:t>
      </w:r>
      <w:r>
        <w:t>1992;</w:t>
      </w:r>
      <w:r w:rsidRPr="00D15FE2">
        <w:rPr>
          <w:i/>
          <w:iCs/>
        </w:rPr>
        <w:t xml:space="preserve"> </w:t>
      </w:r>
      <w:r w:rsidRPr="00D15FE2">
        <w:t>(London, N.Y: Routledge, 1992) 1-5.</w:t>
      </w:r>
    </w:p>
  </w:footnote>
  <w:footnote w:id="10">
    <w:p w:rsidR="00D51B70" w:rsidRDefault="00D51B70">
      <w:pPr>
        <w:pStyle w:val="FootnoteText"/>
      </w:pPr>
      <w:r w:rsidRPr="00D15FE2">
        <w:rPr>
          <w:rStyle w:val="FootnoteReference"/>
        </w:rPr>
        <w:footnoteRef/>
      </w:r>
      <w:r>
        <w:t xml:space="preserve"> Ibid..1-5.</w:t>
      </w:r>
    </w:p>
  </w:footnote>
  <w:footnote w:id="11">
    <w:p w:rsidR="00D51B70" w:rsidRDefault="00D51B70">
      <w:pPr>
        <w:pStyle w:val="FootnoteText"/>
      </w:pPr>
      <w:r>
        <w:rPr>
          <w:rStyle w:val="FootnoteReference"/>
        </w:rPr>
        <w:footnoteRef/>
      </w:r>
      <w:r>
        <w:t xml:space="preserve"> Thomas Middleton and William Rowley </w:t>
      </w:r>
      <w:r>
        <w:rPr>
          <w:i/>
          <w:iCs/>
        </w:rPr>
        <w:t xml:space="preserve">The Changeling, </w:t>
      </w:r>
      <w:r>
        <w:t>1622; (Manchester University Press, 1998) V:III, p.131.</w:t>
      </w:r>
    </w:p>
  </w:footnote>
  <w:footnote w:id="12">
    <w:p w:rsidR="00D51B70" w:rsidRDefault="00D51B70">
      <w:pPr>
        <w:pStyle w:val="FootnoteText"/>
      </w:pPr>
      <w:r>
        <w:rPr>
          <w:rStyle w:val="FootnoteReference"/>
        </w:rPr>
        <w:footnoteRef/>
      </w:r>
      <w:r>
        <w:t xml:space="preserve"> William Shakespeare, </w:t>
      </w:r>
      <w:r>
        <w:rPr>
          <w:i/>
          <w:iCs/>
        </w:rPr>
        <w:t xml:space="preserve">The Winter’s Tale. </w:t>
      </w:r>
      <w:r>
        <w:t>1623; [online] Available at: &lt;</w:t>
      </w:r>
      <w:hyperlink r:id="rId3" w:history="1">
        <w:r w:rsidRPr="00011B68">
          <w:rPr>
            <w:rStyle w:val="Hyperlink"/>
          </w:rPr>
          <w:t>http://shakespeare.mit.edu/winters_tale/full.html</w:t>
        </w:r>
      </w:hyperlink>
      <w:r>
        <w:t>&gt; [Accessed 24</w:t>
      </w:r>
      <w:r w:rsidRPr="00BA4505">
        <w:rPr>
          <w:vertAlign w:val="superscript"/>
        </w:rPr>
        <w:t>th</w:t>
      </w:r>
      <w:r>
        <w:t xml:space="preserve"> April-1</w:t>
      </w:r>
      <w:r w:rsidRPr="00BA4505">
        <w:rPr>
          <w:vertAlign w:val="superscript"/>
        </w:rPr>
        <w:t>st</w:t>
      </w:r>
      <w:r>
        <w:t xml:space="preserve"> May 2011] Act IV, Scene IV.</w:t>
      </w:r>
    </w:p>
  </w:footnote>
  <w:footnote w:id="13">
    <w:p w:rsidR="00D51B70" w:rsidRDefault="00D51B70">
      <w:pPr>
        <w:pStyle w:val="FootnoteText"/>
      </w:pPr>
      <w:r>
        <w:rPr>
          <w:rStyle w:val="FootnoteReference"/>
        </w:rPr>
        <w:footnoteRef/>
      </w:r>
      <w:r>
        <w:t xml:space="preserve"> Shakespeare, </w:t>
      </w:r>
      <w:r>
        <w:rPr>
          <w:i/>
          <w:iCs/>
        </w:rPr>
        <w:t xml:space="preserve">Twelfth Night. </w:t>
      </w:r>
      <w:r>
        <w:t>IV:III p.35.</w:t>
      </w:r>
    </w:p>
  </w:footnote>
  <w:footnote w:id="14">
    <w:p w:rsidR="00D51B70" w:rsidRDefault="00D51B70">
      <w:pPr>
        <w:pStyle w:val="FootnoteText"/>
      </w:pPr>
      <w:r>
        <w:rPr>
          <w:rStyle w:val="FootnoteReference"/>
        </w:rPr>
        <w:footnoteRef/>
      </w:r>
      <w:r>
        <w:t xml:space="preserve"> Marjorie Garber, </w:t>
      </w:r>
      <w:r>
        <w:rPr>
          <w:i/>
          <w:iCs/>
        </w:rPr>
        <w:t xml:space="preserve">Vested Interests: Cross-dressing and Cultural Anxiety; </w:t>
      </w:r>
      <w:r>
        <w:t>(London and N.Y: Routledge, 1991) p.16.</w:t>
      </w:r>
    </w:p>
  </w:footnote>
  <w:footnote w:id="15">
    <w:p w:rsidR="00D51B70" w:rsidRDefault="00D51B70" w:rsidP="00950A37">
      <w:pPr>
        <w:pStyle w:val="FootnoteText"/>
      </w:pPr>
      <w:r>
        <w:rPr>
          <w:rStyle w:val="FootnoteReference"/>
        </w:rPr>
        <w:footnoteRef/>
      </w:r>
      <w:r>
        <w:t xml:space="preserve"> Philip Stubbes, 1583 Cited in Garber, 29.</w:t>
      </w:r>
    </w:p>
  </w:footnote>
  <w:footnote w:id="16">
    <w:p w:rsidR="00D51B70" w:rsidRDefault="00D51B70">
      <w:pPr>
        <w:pStyle w:val="FootnoteText"/>
      </w:pPr>
      <w:r>
        <w:rPr>
          <w:rStyle w:val="FootnoteReference"/>
        </w:rPr>
        <w:footnoteRef/>
      </w:r>
      <w:r>
        <w:t xml:space="preserve"> Shakespeare, </w:t>
      </w:r>
      <w:r>
        <w:rPr>
          <w:i/>
          <w:iCs/>
        </w:rPr>
        <w:t xml:space="preserve">Twelfth Night. </w:t>
      </w:r>
      <w:r>
        <w:t>II:II, 27.</w:t>
      </w:r>
    </w:p>
  </w:footnote>
  <w:footnote w:id="17">
    <w:p w:rsidR="00D51B70" w:rsidRDefault="00D51B70">
      <w:pPr>
        <w:pStyle w:val="FootnoteText"/>
      </w:pPr>
      <w:r>
        <w:rPr>
          <w:rStyle w:val="FootnoteReference"/>
        </w:rPr>
        <w:footnoteRef/>
      </w:r>
      <w:r>
        <w:t xml:space="preserve"> The tones of homosexuality throughout the play, in Antonio’s love for Sebastian, Olivia’s desire for Viola and Orsino’s obviously unspoken desire for Viola disrupt many boundaries and the sexual politics of purity deserve to be mentioned. However, it is not in this essay’s time or interest to produce a full catalogue of purity and transgression and this example of sexual transgression in the form of homosexual desire is one to be mentioned but not fully extrapolated. For a convincing exploration of this topic and its relation to cross-dressing as mentioned see Charles Casey ‘</w:t>
      </w:r>
      <w:r w:rsidRPr="006E0FD1">
        <w:t>Gender</w:t>
      </w:r>
      <w:r>
        <w:rPr>
          <w:i/>
          <w:iCs/>
        </w:rPr>
        <w:t xml:space="preserve"> </w:t>
      </w:r>
      <w:r w:rsidRPr="006E0FD1">
        <w:t>Trouble in Twelfth Night</w:t>
      </w:r>
      <w:r>
        <w:t>’ in (</w:t>
      </w:r>
      <w:r>
        <w:rPr>
          <w:i/>
          <w:iCs/>
        </w:rPr>
        <w:t>Theatre Journal</w:t>
      </w:r>
      <w:r>
        <w:t xml:space="preserve">, Vol. 49, No. 2, (May., 1997) Stable URL: </w:t>
      </w:r>
      <w:hyperlink r:id="rId4" w:history="1">
        <w:r w:rsidRPr="00011B68">
          <w:rPr>
            <w:rStyle w:val="Hyperlink"/>
          </w:rPr>
          <w:t>http://www.jstor.org/pss/3208678</w:t>
        </w:r>
      </w:hyperlink>
      <w:r>
        <w:t>, 121-141)</w:t>
      </w:r>
    </w:p>
  </w:footnote>
  <w:footnote w:id="18">
    <w:p w:rsidR="00D51B70" w:rsidRDefault="00D51B70">
      <w:pPr>
        <w:pStyle w:val="FootnoteText"/>
      </w:pPr>
      <w:r>
        <w:rPr>
          <w:rStyle w:val="FootnoteReference"/>
        </w:rPr>
        <w:footnoteRef/>
      </w:r>
      <w:r>
        <w:t xml:space="preserve"> Shakespeare, </w:t>
      </w:r>
      <w:r>
        <w:rPr>
          <w:i/>
          <w:iCs/>
        </w:rPr>
        <w:t>Twelfth Night.</w:t>
      </w:r>
      <w:r>
        <w:t xml:space="preserve"> II:III, 31.</w:t>
      </w:r>
    </w:p>
  </w:footnote>
  <w:footnote w:id="19">
    <w:p w:rsidR="00D51B70" w:rsidRDefault="00D51B70" w:rsidP="00F539AC">
      <w:pPr>
        <w:pStyle w:val="NormalWeb"/>
        <w:spacing w:before="0" w:beforeAutospacing="0" w:after="0" w:afterAutospacing="0"/>
      </w:pPr>
      <w:r w:rsidRPr="003B11E4">
        <w:rPr>
          <w:rStyle w:val="FootnoteReference"/>
          <w:rFonts w:ascii="Calibri" w:hAnsi="Calibri" w:cs="Calibri"/>
          <w:sz w:val="20"/>
          <w:szCs w:val="20"/>
        </w:rPr>
        <w:footnoteRef/>
      </w:r>
      <w:r w:rsidRPr="003B11E4">
        <w:rPr>
          <w:rFonts w:ascii="Calibri" w:hAnsi="Calibri" w:cs="Calibri"/>
          <w:sz w:val="20"/>
          <w:szCs w:val="20"/>
        </w:rPr>
        <w:t xml:space="preserve"> Stallybrass and White, </w:t>
      </w:r>
      <w:r>
        <w:rPr>
          <w:rFonts w:ascii="Calibri" w:hAnsi="Calibri" w:cs="Calibri"/>
          <w:sz w:val="20"/>
          <w:szCs w:val="20"/>
        </w:rPr>
        <w:t>191.</w:t>
      </w:r>
    </w:p>
  </w:footnote>
  <w:footnote w:id="20">
    <w:p w:rsidR="00D51B70" w:rsidRDefault="00D51B70">
      <w:pPr>
        <w:pStyle w:val="FootnoteText"/>
      </w:pPr>
      <w:r>
        <w:rPr>
          <w:rStyle w:val="FootnoteReference"/>
        </w:rPr>
        <w:footnoteRef/>
      </w:r>
      <w:r>
        <w:t xml:space="preserve"> Shakespeare, </w:t>
      </w:r>
      <w:r>
        <w:rPr>
          <w:i/>
          <w:iCs/>
        </w:rPr>
        <w:t xml:space="preserve">Twelfth Night. </w:t>
      </w:r>
      <w:r>
        <w:t>I:V, 16.</w:t>
      </w:r>
    </w:p>
  </w:footnote>
  <w:footnote w:id="21">
    <w:p w:rsidR="00D51B70" w:rsidRDefault="00D51B70" w:rsidP="00765ED7">
      <w:pPr>
        <w:autoSpaceDE w:val="0"/>
        <w:autoSpaceDN w:val="0"/>
        <w:adjustRightInd w:val="0"/>
        <w:spacing w:after="0" w:line="240" w:lineRule="auto"/>
      </w:pPr>
      <w:r>
        <w:rPr>
          <w:rStyle w:val="FootnoteReference"/>
        </w:rPr>
        <w:footnoteRef/>
      </w:r>
      <w:r>
        <w:t xml:space="preserve"> </w:t>
      </w:r>
      <w:r w:rsidRPr="00765ED7">
        <w:rPr>
          <w:sz w:val="20"/>
          <w:szCs w:val="20"/>
        </w:rPr>
        <w:t>Though the significance of the yellow garters, it has been suggested that they could be attributed to “carnivelesque regalia” which would indeed support the idea of Malvolio embodying that which he openly rejects.</w:t>
      </w:r>
      <w:r>
        <w:rPr>
          <w:sz w:val="20"/>
          <w:szCs w:val="20"/>
        </w:rPr>
        <w:t xml:space="preserve"> </w:t>
      </w:r>
      <w:r w:rsidRPr="00765ED7">
        <w:rPr>
          <w:sz w:val="20"/>
          <w:szCs w:val="20"/>
        </w:rPr>
        <w:t xml:space="preserve">Terence Hawkes "Comedy, Orality and Duplicity: </w:t>
      </w:r>
      <w:r>
        <w:rPr>
          <w:i/>
          <w:iCs/>
          <w:sz w:val="20"/>
          <w:szCs w:val="20"/>
        </w:rPr>
        <w:t xml:space="preserve">Twelfth Night." Shakespeare's </w:t>
      </w:r>
      <w:r w:rsidRPr="00765ED7">
        <w:rPr>
          <w:i/>
          <w:iCs/>
          <w:sz w:val="20"/>
          <w:szCs w:val="20"/>
        </w:rPr>
        <w:t xml:space="preserve">Comedies. </w:t>
      </w:r>
      <w:r w:rsidRPr="00765ED7">
        <w:rPr>
          <w:sz w:val="20"/>
          <w:szCs w:val="20"/>
        </w:rPr>
        <w:t xml:space="preserve">Ed. Gary Waller. </w:t>
      </w:r>
      <w:r>
        <w:t>(</w:t>
      </w:r>
      <w:r w:rsidRPr="00765ED7">
        <w:rPr>
          <w:sz w:val="20"/>
          <w:szCs w:val="20"/>
        </w:rPr>
        <w:t>London: Longman, 1991. 168-74</w:t>
      </w:r>
      <w:r>
        <w:t>)</w:t>
      </w:r>
      <w:r w:rsidRPr="00765ED7">
        <w:rPr>
          <w:sz w:val="20"/>
          <w:szCs w:val="20"/>
        </w:rPr>
        <w:t>.172</w:t>
      </w:r>
      <w:r>
        <w:rPr>
          <w:sz w:val="20"/>
          <w:szCs w:val="20"/>
        </w:rPr>
        <w:t>.</w:t>
      </w:r>
    </w:p>
  </w:footnote>
  <w:footnote w:id="22">
    <w:p w:rsidR="00D51B70" w:rsidRDefault="00D51B70" w:rsidP="00053164">
      <w:pPr>
        <w:pStyle w:val="NormalWeb"/>
        <w:spacing w:before="0" w:beforeAutospacing="0" w:after="0" w:afterAutospacing="0"/>
      </w:pPr>
      <w:r w:rsidRPr="00E635CE">
        <w:rPr>
          <w:rStyle w:val="FootnoteReference"/>
          <w:rFonts w:ascii="Calibri" w:hAnsi="Calibri" w:cs="Calibri"/>
          <w:sz w:val="20"/>
          <w:szCs w:val="20"/>
        </w:rPr>
        <w:footnoteRef/>
      </w:r>
      <w:r w:rsidRPr="00E635CE">
        <w:rPr>
          <w:rFonts w:ascii="Calibri" w:hAnsi="Calibri" w:cs="Calibri"/>
          <w:sz w:val="20"/>
          <w:szCs w:val="20"/>
        </w:rPr>
        <w:t xml:space="preserve"> Cited in J. L Simmons ‘</w:t>
      </w:r>
      <w:hyperlink r:id="rId5" w:history="1">
        <w:r w:rsidRPr="00E635CE">
          <w:rPr>
            <w:rStyle w:val="Hyperlink"/>
            <w:rFonts w:ascii="Calibri" w:hAnsi="Calibri" w:cs="Calibri"/>
            <w:color w:val="auto"/>
            <w:sz w:val="20"/>
            <w:szCs w:val="20"/>
            <w:u w:val="none"/>
          </w:rPr>
          <w:t>A Source for Shakespeare's Malvolio: The Elizabethan Controversy with the Puritans</w:t>
        </w:r>
      </w:hyperlink>
      <w:r w:rsidRPr="00E635CE">
        <w:rPr>
          <w:rFonts w:ascii="Calibri" w:hAnsi="Calibri" w:cs="Calibri"/>
          <w:sz w:val="20"/>
          <w:szCs w:val="20"/>
        </w:rPr>
        <w:t>’ in (</w:t>
      </w:r>
      <w:r w:rsidRPr="00E635CE">
        <w:rPr>
          <w:rFonts w:ascii="Calibri" w:hAnsi="Calibri" w:cs="Calibri"/>
          <w:i/>
          <w:iCs/>
          <w:sz w:val="20"/>
          <w:szCs w:val="20"/>
        </w:rPr>
        <w:t>Huntington Library Quarterly</w:t>
      </w:r>
      <w:r w:rsidRPr="00E635CE">
        <w:rPr>
          <w:rFonts w:ascii="Calibri" w:hAnsi="Calibri" w:cs="Calibri"/>
          <w:sz w:val="20"/>
          <w:szCs w:val="20"/>
        </w:rPr>
        <w:t xml:space="preserve">, Vol. 36, No. 3 (May, 1973), University of California Press; Stable URL: </w:t>
      </w:r>
      <w:hyperlink r:id="rId6" w:history="1">
        <w:r w:rsidRPr="00E635CE">
          <w:rPr>
            <w:rStyle w:val="Hyperlink"/>
            <w:rFonts w:ascii="Calibri" w:hAnsi="Calibri" w:cs="Calibri"/>
            <w:sz w:val="20"/>
            <w:szCs w:val="20"/>
          </w:rPr>
          <w:t>http://www.jstor.org/stable/3816599</w:t>
        </w:r>
      </w:hyperlink>
      <w:r w:rsidRPr="00E635CE">
        <w:rPr>
          <w:rFonts w:ascii="Calibri" w:hAnsi="Calibri" w:cs="Calibri"/>
          <w:sz w:val="20"/>
          <w:szCs w:val="20"/>
        </w:rPr>
        <w:t xml:space="preserve">  181-201), 186. </w:t>
      </w:r>
    </w:p>
  </w:footnote>
  <w:footnote w:id="23">
    <w:p w:rsidR="00D51B70" w:rsidRDefault="00D51B70">
      <w:pPr>
        <w:pStyle w:val="FootnoteText"/>
      </w:pPr>
      <w:r>
        <w:rPr>
          <w:rStyle w:val="FootnoteReference"/>
        </w:rPr>
        <w:footnoteRef/>
      </w:r>
      <w:r>
        <w:t xml:space="preserve"> Shakespeare, </w:t>
      </w:r>
      <w:r>
        <w:rPr>
          <w:i/>
          <w:iCs/>
        </w:rPr>
        <w:t>Twelfth Night</w:t>
      </w:r>
      <w:r>
        <w:t>. II:V, 46.</w:t>
      </w:r>
    </w:p>
  </w:footnote>
  <w:footnote w:id="24">
    <w:p w:rsidR="00D51B70" w:rsidRDefault="00D51B70">
      <w:pPr>
        <w:pStyle w:val="FootnoteText"/>
      </w:pPr>
      <w:r>
        <w:rPr>
          <w:rStyle w:val="FootnoteReference"/>
        </w:rPr>
        <w:footnoteRef/>
      </w:r>
      <w:r>
        <w:t xml:space="preserve"> Ibid.. IV:II, 80.</w:t>
      </w:r>
    </w:p>
  </w:footnote>
  <w:footnote w:id="25">
    <w:p w:rsidR="00D51B70" w:rsidRDefault="00D51B70">
      <w:pPr>
        <w:pStyle w:val="FootnoteText"/>
      </w:pPr>
      <w:r>
        <w:rPr>
          <w:rStyle w:val="FootnoteReference"/>
        </w:rPr>
        <w:footnoteRef/>
      </w:r>
      <w:r>
        <w:t xml:space="preserve"> Kate Chedgozy, </w:t>
      </w:r>
      <w:r>
        <w:rPr>
          <w:i/>
          <w:iCs/>
        </w:rPr>
        <w:t>Impudent Women; Carnival and Gender in early modern culture</w:t>
      </w:r>
      <w:r>
        <w:t xml:space="preserve"> [online] Available at: </w:t>
      </w:r>
      <w:hyperlink r:id="rId7" w:history="1">
        <w:r w:rsidRPr="00011B68">
          <w:rPr>
            <w:rStyle w:val="Hyperlink"/>
          </w:rPr>
          <w:t>http://www.arts.gla.ac.uk/STELLA/COMET/glasgrev/issue1/chefgz.htm</w:t>
        </w:r>
      </w:hyperlink>
      <w:r>
        <w:t xml:space="preserve"> [Accessed 24th  April-1</w:t>
      </w:r>
      <w:r w:rsidRPr="002F0604">
        <w:rPr>
          <w:vertAlign w:val="superscript"/>
        </w:rPr>
        <w:t>st</w:t>
      </w:r>
      <w:r>
        <w:t xml:space="preserve"> May 2011]</w:t>
      </w:r>
    </w:p>
  </w:footnote>
  <w:footnote w:id="26">
    <w:p w:rsidR="00D51B70" w:rsidRDefault="00D51B70">
      <w:pPr>
        <w:pStyle w:val="FootnoteText"/>
      </w:pPr>
      <w:r>
        <w:rPr>
          <w:rStyle w:val="FootnoteReference"/>
        </w:rPr>
        <w:footnoteRef/>
      </w:r>
      <w:r>
        <w:t xml:space="preserve"> Shakespeare, </w:t>
      </w:r>
      <w:r>
        <w:rPr>
          <w:i/>
          <w:iCs/>
        </w:rPr>
        <w:t>Twelfth Night.</w:t>
      </w:r>
      <w:r>
        <w:t xml:space="preserve"> I:II, 4.</w:t>
      </w:r>
    </w:p>
  </w:footnote>
  <w:footnote w:id="27">
    <w:p w:rsidR="00D51B70" w:rsidRDefault="00D51B70">
      <w:pPr>
        <w:pStyle w:val="FootnoteText"/>
      </w:pPr>
      <w:r>
        <w:rPr>
          <w:rStyle w:val="FootnoteReference"/>
        </w:rPr>
        <w:footnoteRef/>
      </w:r>
      <w:r>
        <w:t xml:space="preserve"> This again raises the point that there had to be some unspoken desire in Orsino for Viola as Cesario, a form of homosexual desire.</w:t>
      </w:r>
    </w:p>
  </w:footnote>
  <w:footnote w:id="28">
    <w:p w:rsidR="00D51B70" w:rsidRDefault="00D51B70" w:rsidP="008258D9">
      <w:pPr>
        <w:pStyle w:val="NormalWeb"/>
        <w:spacing w:before="0" w:beforeAutospacing="0" w:after="0" w:afterAutospacing="0"/>
      </w:pPr>
      <w:r w:rsidRPr="00053164">
        <w:rPr>
          <w:rStyle w:val="FootnoteReference"/>
          <w:rFonts w:ascii="Calibri" w:hAnsi="Calibri" w:cs="Calibri"/>
          <w:sz w:val="20"/>
          <w:szCs w:val="20"/>
        </w:rPr>
        <w:footnoteRef/>
      </w:r>
      <w:r w:rsidRPr="00053164">
        <w:rPr>
          <w:rFonts w:ascii="Calibri" w:hAnsi="Calibri" w:cs="Calibri"/>
          <w:sz w:val="20"/>
          <w:szCs w:val="20"/>
        </w:rPr>
        <w:t xml:space="preserve"> Stallybrass and White, </w:t>
      </w:r>
      <w:r>
        <w:rPr>
          <w:rFonts w:ascii="Calibri" w:hAnsi="Calibri" w:cs="Calibri"/>
          <w:sz w:val="20"/>
          <w:szCs w:val="20"/>
        </w:rPr>
        <w:t>19.</w:t>
      </w:r>
    </w:p>
  </w:footnote>
  <w:footnote w:id="29">
    <w:p w:rsidR="00D51B70" w:rsidRDefault="00D51B70">
      <w:pPr>
        <w:pStyle w:val="FootnoteText"/>
      </w:pPr>
      <w:r>
        <w:rPr>
          <w:rStyle w:val="FootnoteReference"/>
        </w:rPr>
        <w:footnoteRef/>
      </w:r>
      <w:r>
        <w:t xml:space="preserve"> Douglas, 2.</w:t>
      </w:r>
    </w:p>
  </w:footnote>
  <w:footnote w:id="30">
    <w:p w:rsidR="00D51B70" w:rsidRDefault="00D51B70">
      <w:pPr>
        <w:pStyle w:val="FootnoteText"/>
      </w:pPr>
      <w:r>
        <w:rPr>
          <w:rStyle w:val="FootnoteReference"/>
        </w:rPr>
        <w:footnoteRef/>
      </w:r>
      <w:r>
        <w:t xml:space="preserve"> Thomas Middleton and William Rowley, </w:t>
      </w:r>
      <w:r>
        <w:rPr>
          <w:i/>
          <w:iCs/>
        </w:rPr>
        <w:t>The Changeling,</w:t>
      </w:r>
      <w:r>
        <w:t xml:space="preserve"> 1585; (Manchester University Press, 1988) p. 33.</w:t>
      </w:r>
    </w:p>
  </w:footnote>
  <w:footnote w:id="31">
    <w:p w:rsidR="00D51B70" w:rsidRDefault="00D51B70">
      <w:pPr>
        <w:pStyle w:val="FootnoteText"/>
      </w:pPr>
      <w:r>
        <w:rPr>
          <w:rStyle w:val="FootnoteReference"/>
        </w:rPr>
        <w:footnoteRef/>
      </w:r>
      <w:r>
        <w:t>Ibid.. 84.</w:t>
      </w:r>
    </w:p>
  </w:footnote>
  <w:footnote w:id="32">
    <w:p w:rsidR="00D51B70" w:rsidRDefault="00D51B70">
      <w:pPr>
        <w:pStyle w:val="FootnoteText"/>
      </w:pPr>
      <w:r>
        <w:rPr>
          <w:rStyle w:val="FootnoteReference"/>
        </w:rPr>
        <w:footnoteRef/>
      </w:r>
      <w:r>
        <w:t xml:space="preserve"> Stallybrass and White, 5.</w:t>
      </w:r>
    </w:p>
  </w:footnote>
  <w:footnote w:id="33">
    <w:p w:rsidR="00D51B70" w:rsidRDefault="00D51B70">
      <w:pPr>
        <w:pStyle w:val="FootnoteText"/>
      </w:pPr>
      <w:r>
        <w:rPr>
          <w:rStyle w:val="FootnoteReference"/>
        </w:rPr>
        <w:footnoteRef/>
      </w:r>
      <w:r>
        <w:t xml:space="preserve"> In Act III, Scene IV of </w:t>
      </w:r>
      <w:r>
        <w:rPr>
          <w:i/>
          <w:iCs/>
        </w:rPr>
        <w:t xml:space="preserve">The Changeling </w:t>
      </w:r>
      <w:r>
        <w:t>the conversation between Beatrice and De Flores displays the way in which Beatrice keeps insisting to herself and De Flores of her distance from the crime, where De Flores constantly seeks to remind her that “As peace and innocency has turned you out/ And made you one with me”, 88.</w:t>
      </w:r>
    </w:p>
  </w:footnote>
  <w:footnote w:id="34">
    <w:p w:rsidR="00D51B70" w:rsidRDefault="00D51B70">
      <w:pPr>
        <w:pStyle w:val="FootnoteText"/>
      </w:pPr>
      <w:r>
        <w:rPr>
          <w:rStyle w:val="FootnoteReference"/>
        </w:rPr>
        <w:footnoteRef/>
      </w:r>
      <w:r>
        <w:t xml:space="preserve"> Middleton and Rowley, 55.</w:t>
      </w:r>
    </w:p>
  </w:footnote>
  <w:footnote w:id="35">
    <w:p w:rsidR="00D51B70" w:rsidRDefault="00D51B70">
      <w:pPr>
        <w:pStyle w:val="FootnoteText"/>
      </w:pPr>
      <w:r>
        <w:rPr>
          <w:rStyle w:val="FootnoteReference"/>
        </w:rPr>
        <w:footnoteRef/>
      </w:r>
      <w:r>
        <w:t xml:space="preserve"> Stallybrass and White, 5.</w:t>
      </w:r>
    </w:p>
  </w:footnote>
  <w:footnote w:id="36">
    <w:p w:rsidR="00D51B70" w:rsidRDefault="00D51B70">
      <w:pPr>
        <w:pStyle w:val="FootnoteText"/>
      </w:pPr>
      <w:r>
        <w:rPr>
          <w:rStyle w:val="FootnoteReference"/>
        </w:rPr>
        <w:footnoteRef/>
      </w:r>
      <w:r>
        <w:t xml:space="preserve"> Middleton, Rowley, 96.</w:t>
      </w:r>
    </w:p>
  </w:footnote>
  <w:footnote w:id="37">
    <w:p w:rsidR="00D51B70" w:rsidRDefault="00D51B70">
      <w:pPr>
        <w:pStyle w:val="FootnoteText"/>
      </w:pPr>
      <w:r>
        <w:rPr>
          <w:rStyle w:val="FootnoteReference"/>
        </w:rPr>
        <w:footnoteRef/>
      </w:r>
      <w:r>
        <w:t xml:space="preserve"> Middleton and Rowley, 86.</w:t>
      </w:r>
    </w:p>
  </w:footnote>
  <w:footnote w:id="38">
    <w:p w:rsidR="00D51B70" w:rsidRDefault="00D51B70">
      <w:pPr>
        <w:pStyle w:val="FootnoteText"/>
      </w:pPr>
      <w:r>
        <w:rPr>
          <w:rStyle w:val="FootnoteReference"/>
        </w:rPr>
        <w:footnoteRef/>
      </w:r>
      <w:r>
        <w:t xml:space="preserve"> In Act V Scene III the ambiguous cries of Beatrice as she finally is ‘penetrated’ by De Flores of “Oh, oh, oh!” (p.130) simply point to the grotesque body which, as we have noted, “is typified by events and activities-eating, defecation, birth, </w:t>
      </w:r>
      <w:r w:rsidRPr="0043353C">
        <w:rPr>
          <w:i/>
          <w:iCs/>
        </w:rPr>
        <w:t>death, sex</w:t>
      </w:r>
      <w:r>
        <w:t>” (Chedgozy, italics mine) seal the fate of Beatrice as joined to De Flores in the witness of the rest of the characters, it is a consummation of damnation.</w:t>
      </w:r>
    </w:p>
  </w:footnote>
  <w:footnote w:id="39">
    <w:p w:rsidR="00D51B70" w:rsidRDefault="00D51B70" w:rsidP="00B36BF4">
      <w:pPr>
        <w:pStyle w:val="FootnoteText"/>
      </w:pPr>
      <w:r>
        <w:rPr>
          <w:rStyle w:val="FootnoteReference"/>
        </w:rPr>
        <w:footnoteRef/>
      </w:r>
      <w:r>
        <w:t xml:space="preserve"> Another word used for desire in </w:t>
      </w:r>
      <w:r>
        <w:rPr>
          <w:i/>
          <w:iCs/>
        </w:rPr>
        <w:t>The Changeling.</w:t>
      </w:r>
    </w:p>
  </w:footnote>
  <w:footnote w:id="40">
    <w:p w:rsidR="00D51B70" w:rsidRDefault="00D51B70" w:rsidP="00B36BF4">
      <w:pPr>
        <w:pStyle w:val="FootnoteText"/>
      </w:pPr>
      <w:r>
        <w:rPr>
          <w:rStyle w:val="FootnoteReference"/>
        </w:rPr>
        <w:footnoteRef/>
      </w:r>
      <w:r>
        <w:t xml:space="preserve"> Ibid.. p.44.</w:t>
      </w:r>
    </w:p>
  </w:footnote>
  <w:footnote w:id="41">
    <w:p w:rsidR="00D51B70" w:rsidRDefault="00D51B70">
      <w:pPr>
        <w:pStyle w:val="FootnoteText"/>
      </w:pPr>
      <w:r>
        <w:rPr>
          <w:rStyle w:val="FootnoteReference"/>
        </w:rPr>
        <w:footnoteRef/>
      </w:r>
      <w:r>
        <w:t xml:space="preserve"> Ibid.. p.52.</w:t>
      </w:r>
    </w:p>
  </w:footnote>
  <w:footnote w:id="42">
    <w:p w:rsidR="00D51B70" w:rsidRPr="00295305" w:rsidRDefault="00D51B70" w:rsidP="00295305">
      <w:pPr>
        <w:spacing w:line="240" w:lineRule="auto"/>
        <w:rPr>
          <w:sz w:val="20"/>
          <w:szCs w:val="20"/>
          <w:lang w:eastAsia="en-GB"/>
        </w:rPr>
      </w:pPr>
      <w:r w:rsidRPr="00295305">
        <w:rPr>
          <w:rStyle w:val="FootnoteReference"/>
          <w:sz w:val="20"/>
          <w:szCs w:val="20"/>
        </w:rPr>
        <w:footnoteRef/>
      </w:r>
      <w:r w:rsidRPr="00295305">
        <w:rPr>
          <w:sz w:val="20"/>
          <w:szCs w:val="20"/>
        </w:rPr>
        <w:t xml:space="preserve"> A.L and M.K Kistner,</w:t>
      </w:r>
      <w:r w:rsidRPr="00295305">
        <w:rPr>
          <w:i/>
          <w:iCs/>
          <w:sz w:val="20"/>
          <w:szCs w:val="20"/>
        </w:rPr>
        <w:t xml:space="preserve"> </w:t>
      </w:r>
      <w:r w:rsidRPr="00295305">
        <w:rPr>
          <w:sz w:val="20"/>
          <w:szCs w:val="20"/>
        </w:rPr>
        <w:t>‘The Five Structures of the Changeling’ (</w:t>
      </w:r>
      <w:r w:rsidRPr="00295305">
        <w:rPr>
          <w:i/>
          <w:iCs/>
          <w:sz w:val="20"/>
          <w:szCs w:val="20"/>
        </w:rPr>
        <w:t xml:space="preserve">Modern Language Studies, </w:t>
      </w:r>
      <w:r w:rsidRPr="00295305">
        <w:rPr>
          <w:sz w:val="20"/>
          <w:szCs w:val="20"/>
        </w:rPr>
        <w:t>Vol. 11, No. 2 (Spring, 1981)</w:t>
      </w:r>
      <w:r w:rsidRPr="00295305">
        <w:rPr>
          <w:i/>
          <w:iCs/>
          <w:sz w:val="20"/>
          <w:szCs w:val="20"/>
        </w:rPr>
        <w:t xml:space="preserve"> </w:t>
      </w:r>
      <w:r w:rsidRPr="00295305">
        <w:rPr>
          <w:sz w:val="20"/>
          <w:szCs w:val="20"/>
        </w:rPr>
        <w:t xml:space="preserve">Modern Language Studies; </w:t>
      </w:r>
      <w:r w:rsidRPr="00295305">
        <w:rPr>
          <w:sz w:val="20"/>
          <w:szCs w:val="20"/>
          <w:lang w:eastAsia="en-GB"/>
        </w:rPr>
        <w:t xml:space="preserve">Stable URL: </w:t>
      </w:r>
      <w:hyperlink r:id="rId8" w:history="1">
        <w:r w:rsidRPr="00011B68">
          <w:rPr>
            <w:rStyle w:val="Hyperlink"/>
            <w:sz w:val="20"/>
            <w:szCs w:val="20"/>
            <w:lang w:eastAsia="en-GB"/>
          </w:rPr>
          <w:t>http://www.jstor.org/stable/3194565</w:t>
        </w:r>
      </w:hyperlink>
      <w:r>
        <w:rPr>
          <w:sz w:val="20"/>
          <w:szCs w:val="20"/>
          <w:lang w:eastAsia="en-GB"/>
        </w:rPr>
        <w:t xml:space="preserve">, 40-53),  </w:t>
      </w:r>
    </w:p>
    <w:p w:rsidR="00D51B70" w:rsidRDefault="00D51B70" w:rsidP="00295305">
      <w:pPr>
        <w:spacing w:line="240" w:lineRule="auto"/>
      </w:pPr>
    </w:p>
  </w:footnote>
  <w:footnote w:id="43">
    <w:p w:rsidR="00D51B70" w:rsidRDefault="00D51B70">
      <w:pPr>
        <w:pStyle w:val="FootnoteText"/>
      </w:pPr>
      <w:r>
        <w:rPr>
          <w:rStyle w:val="FootnoteReference"/>
        </w:rPr>
        <w:footnoteRef/>
      </w:r>
      <w:r>
        <w:t xml:space="preserve"> Middleton and Rowley, 130-131.</w:t>
      </w:r>
    </w:p>
  </w:footnote>
  <w:footnote w:id="44">
    <w:p w:rsidR="00D51B70" w:rsidRDefault="00D51B70">
      <w:pPr>
        <w:pStyle w:val="FootnoteText"/>
      </w:pPr>
      <w:r>
        <w:rPr>
          <w:rStyle w:val="FootnoteReference"/>
        </w:rPr>
        <w:footnoteRef/>
      </w:r>
      <w:r>
        <w:t xml:space="preserve"> René Girard, </w:t>
      </w:r>
      <w:r>
        <w:rPr>
          <w:i/>
          <w:iCs/>
        </w:rPr>
        <w:t>Violence and the Sacred</w:t>
      </w:r>
      <w:r>
        <w:t xml:space="preserve">, 1972; (John Hopkins University Press; 1979) ,39. Girard touches on the societal violence from the need for scapegoats in the process of distinguishing pure from impure, of being made pure through a necessary sacrifice. This touches on the need in </w:t>
      </w:r>
      <w:r>
        <w:rPr>
          <w:i/>
          <w:iCs/>
        </w:rPr>
        <w:t xml:space="preserve">Twelfth Night </w:t>
      </w:r>
      <w:r>
        <w:t xml:space="preserve">for those victims against whom violence is necessarily taken as a means of ‘purifying’ those in power (i.e making a fool out of Malvolio leads Sir Toby Belch et al to feel less foolish). We see these sacrifices made in </w:t>
      </w:r>
      <w:r>
        <w:rPr>
          <w:i/>
          <w:iCs/>
        </w:rPr>
        <w:t xml:space="preserve">The Changeling </w:t>
      </w:r>
      <w:r>
        <w:t>as well in Alonzo and Diaphanta.</w:t>
      </w:r>
    </w:p>
  </w:footnote>
  <w:footnote w:id="45">
    <w:p w:rsidR="00D51B70" w:rsidRDefault="00D51B70">
      <w:pPr>
        <w:pStyle w:val="FootnoteText"/>
      </w:pPr>
      <w:r>
        <w:rPr>
          <w:rStyle w:val="FootnoteReference"/>
        </w:rPr>
        <w:footnoteRef/>
      </w:r>
      <w:r>
        <w:t xml:space="preserve"> Middleton and Rowley, 88.</w:t>
      </w:r>
    </w:p>
  </w:footnote>
  <w:footnote w:id="46">
    <w:p w:rsidR="00D51B70" w:rsidRDefault="00D51B70">
      <w:pPr>
        <w:pStyle w:val="FootnoteText"/>
      </w:pPr>
      <w:r>
        <w:rPr>
          <w:rStyle w:val="FootnoteReference"/>
        </w:rPr>
        <w:footnoteRef/>
      </w:r>
      <w:r>
        <w:t xml:space="preserve"> Ibid</w:t>
      </w:r>
    </w:p>
  </w:footnote>
  <w:footnote w:id="47">
    <w:p w:rsidR="00D51B70" w:rsidRDefault="00D51B70">
      <w:pPr>
        <w:pStyle w:val="FootnoteText"/>
      </w:pPr>
      <w:r>
        <w:rPr>
          <w:rStyle w:val="FootnoteReference"/>
        </w:rPr>
        <w:footnoteRef/>
      </w:r>
      <w:r>
        <w:t xml:space="preserve"> Ibid.. 131.</w:t>
      </w:r>
    </w:p>
  </w:footnote>
  <w:footnote w:id="48">
    <w:p w:rsidR="00D51B70" w:rsidRDefault="00D51B70">
      <w:pPr>
        <w:pStyle w:val="FootnoteText"/>
      </w:pPr>
      <w:r>
        <w:rPr>
          <w:rStyle w:val="FootnoteReference"/>
        </w:rPr>
        <w:footnoteRef/>
      </w:r>
      <w:r>
        <w:t xml:space="preserve"> Ibid.. 89.</w:t>
      </w:r>
    </w:p>
  </w:footnote>
  <w:footnote w:id="49">
    <w:p w:rsidR="00D51B70" w:rsidRDefault="00D51B70">
      <w:pPr>
        <w:pStyle w:val="FootnoteText"/>
      </w:pPr>
      <w:r>
        <w:rPr>
          <w:rStyle w:val="FootnoteReference"/>
        </w:rPr>
        <w:footnoteRef/>
      </w:r>
      <w:r>
        <w:t xml:space="preserve"> Shakespeare, </w:t>
      </w:r>
      <w:r>
        <w:rPr>
          <w:i/>
          <w:iCs/>
        </w:rPr>
        <w:t xml:space="preserve">The Winter’s Tale, </w:t>
      </w:r>
      <w:r>
        <w:t>I:I.</w:t>
      </w:r>
    </w:p>
  </w:footnote>
  <w:footnote w:id="50">
    <w:p w:rsidR="00D51B70" w:rsidRDefault="00D51B70">
      <w:pPr>
        <w:pStyle w:val="FootnoteText"/>
      </w:pPr>
      <w:r>
        <w:rPr>
          <w:rStyle w:val="FootnoteReference"/>
        </w:rPr>
        <w:footnoteRef/>
      </w:r>
      <w:r>
        <w:t xml:space="preserve"> Stephen Greenblatt, ‘</w:t>
      </w:r>
      <w:r w:rsidRPr="0084339C">
        <w:t>Martial Law in the Land of</w:t>
      </w:r>
      <w:r>
        <w:rPr>
          <w:i/>
          <w:iCs/>
        </w:rPr>
        <w:t xml:space="preserve"> </w:t>
      </w:r>
      <w:r w:rsidRPr="0084339C">
        <w:t>Cockgaine</w:t>
      </w:r>
      <w:r>
        <w:t>’</w:t>
      </w:r>
      <w:r w:rsidRPr="0084339C">
        <w:t xml:space="preserve"> </w:t>
      </w:r>
      <w:r>
        <w:t>(</w:t>
      </w:r>
      <w:r w:rsidRPr="00C24050">
        <w:rPr>
          <w:i/>
          <w:iCs/>
        </w:rPr>
        <w:t>Materialist Shakespeare: A History</w:t>
      </w:r>
      <w:r>
        <w:t xml:space="preserve"> by Ivo Kamps (London; Verso, 1995)  108-141) p, 110.</w:t>
      </w:r>
    </w:p>
  </w:footnote>
  <w:footnote w:id="51">
    <w:p w:rsidR="00D51B70" w:rsidRDefault="00D51B70">
      <w:pPr>
        <w:pStyle w:val="FootnoteText"/>
      </w:pPr>
      <w:r>
        <w:rPr>
          <w:rStyle w:val="FootnoteReference"/>
        </w:rPr>
        <w:footnoteRef/>
      </w:r>
      <w:r>
        <w:t xml:space="preserve">Isaiah 5:20, </w:t>
      </w:r>
      <w:r>
        <w:rPr>
          <w:i/>
          <w:iCs/>
        </w:rPr>
        <w:t>New International Vers</w:t>
      </w:r>
      <w:r w:rsidRPr="0084339C">
        <w:rPr>
          <w:i/>
          <w:iCs/>
        </w:rPr>
        <w:t>ion</w:t>
      </w:r>
      <w:r>
        <w:t xml:space="preserve">, [online] Available at: </w:t>
      </w:r>
      <w:hyperlink r:id="rId9" w:history="1">
        <w:r w:rsidRPr="00011B68">
          <w:rPr>
            <w:rStyle w:val="Hyperlink"/>
          </w:rPr>
          <w:t>www.biblegateway.com</w:t>
        </w:r>
      </w:hyperlink>
      <w:r>
        <w:t xml:space="preserve"> [Accessed on 28</w:t>
      </w:r>
      <w:r w:rsidRPr="0084339C">
        <w:rPr>
          <w:vertAlign w:val="superscript"/>
        </w:rPr>
        <w:t>th</w:t>
      </w:r>
      <w:r>
        <w:t xml:space="preserve"> April 2011]</w:t>
      </w:r>
    </w:p>
  </w:footnote>
  <w:footnote w:id="52">
    <w:p w:rsidR="00D51B70" w:rsidRDefault="00D51B70">
      <w:pPr>
        <w:pStyle w:val="FootnoteText"/>
      </w:pPr>
      <w:r>
        <w:rPr>
          <w:rStyle w:val="FootnoteReference"/>
        </w:rPr>
        <w:footnoteRef/>
      </w:r>
      <w:r>
        <w:t xml:space="preserve"> Shakespeare, </w:t>
      </w:r>
      <w:r w:rsidRPr="006E251D">
        <w:rPr>
          <w:i/>
          <w:iCs/>
        </w:rPr>
        <w:t xml:space="preserve">The </w:t>
      </w:r>
      <w:r>
        <w:rPr>
          <w:i/>
          <w:iCs/>
        </w:rPr>
        <w:t xml:space="preserve">Winter’s Tale, </w:t>
      </w:r>
      <w:r>
        <w:t>IV:IV.</w:t>
      </w:r>
    </w:p>
  </w:footnote>
  <w:footnote w:id="53">
    <w:p w:rsidR="00D51B70" w:rsidRDefault="00D51B70">
      <w:pPr>
        <w:pStyle w:val="FootnoteText"/>
      </w:pPr>
      <w:r>
        <w:rPr>
          <w:rStyle w:val="FootnoteReference"/>
        </w:rPr>
        <w:footnoteRef/>
      </w:r>
      <w:r>
        <w:t xml:space="preserve"> Ibid</w:t>
      </w:r>
    </w:p>
  </w:footnote>
  <w:footnote w:id="54">
    <w:p w:rsidR="00D51B70" w:rsidRDefault="00D51B70">
      <w:pPr>
        <w:pStyle w:val="FootnoteText"/>
      </w:pPr>
      <w:r>
        <w:rPr>
          <w:rStyle w:val="FootnoteReference"/>
        </w:rPr>
        <w:footnoteRef/>
      </w:r>
      <w:r>
        <w:t xml:space="preserve">  Philip McGuire, ‘</w:t>
      </w:r>
      <w:r w:rsidRPr="006E251D">
        <w:t xml:space="preserve">The Winter’s Tale: </w:t>
      </w:r>
      <w:r>
        <w:t xml:space="preserve">‘Awake your faith’’ in </w:t>
      </w:r>
      <w:r w:rsidRPr="006E251D">
        <w:rPr>
          <w:i/>
          <w:iCs/>
        </w:rPr>
        <w:t>Shakespeare: The Jacobean Plays</w:t>
      </w:r>
      <w:r>
        <w:t>; 1994; (Macmillan; 1994) p.159.</w:t>
      </w:r>
    </w:p>
  </w:footnote>
  <w:footnote w:id="55">
    <w:p w:rsidR="00D51B70" w:rsidRDefault="00D51B70">
      <w:pPr>
        <w:pStyle w:val="FootnoteText"/>
      </w:pPr>
      <w:r>
        <w:rPr>
          <w:rStyle w:val="FootnoteReference"/>
        </w:rPr>
        <w:footnoteRef/>
      </w:r>
      <w:r>
        <w:t xml:space="preserve"> Shakespeare, The</w:t>
      </w:r>
      <w:r>
        <w:rPr>
          <w:i/>
          <w:iCs/>
        </w:rPr>
        <w:t xml:space="preserve"> Winter’s Tale, </w:t>
      </w:r>
      <w:r>
        <w:t>V:III.</w:t>
      </w:r>
    </w:p>
  </w:footnote>
  <w:footnote w:id="56">
    <w:p w:rsidR="00D51B70" w:rsidRDefault="00D51B70">
      <w:pPr>
        <w:pStyle w:val="FootnoteText"/>
      </w:pPr>
      <w:r>
        <w:rPr>
          <w:rStyle w:val="FootnoteReference"/>
        </w:rPr>
        <w:footnoteRef/>
      </w:r>
      <w:r>
        <w:t xml:space="preserve"> Middleton and Rowley, V: III, 132.</w:t>
      </w:r>
    </w:p>
  </w:footnote>
  <w:footnote w:id="57">
    <w:p w:rsidR="00D51B70" w:rsidRDefault="00D51B70">
      <w:pPr>
        <w:pStyle w:val="FootnoteText"/>
      </w:pPr>
      <w:r>
        <w:rPr>
          <w:rStyle w:val="FootnoteReference"/>
        </w:rPr>
        <w:footnoteRef/>
      </w:r>
      <w:r>
        <w:t xml:space="preserve"> Shakespeare, </w:t>
      </w:r>
      <w:r>
        <w:rPr>
          <w:i/>
          <w:iCs/>
        </w:rPr>
        <w:t>The Winter’s Tale,</w:t>
      </w:r>
      <w:r>
        <w:t xml:space="preserve"> V:II</w:t>
      </w:r>
    </w:p>
  </w:footnote>
  <w:footnote w:id="58">
    <w:p w:rsidR="00D51B70" w:rsidRDefault="00D51B70">
      <w:pPr>
        <w:pStyle w:val="FootnoteText"/>
      </w:pPr>
      <w:r>
        <w:rPr>
          <w:rStyle w:val="FootnoteReference"/>
        </w:rPr>
        <w:footnoteRef/>
      </w:r>
      <w:r>
        <w:t xml:space="preserve"> Ivanov, cited in Stallybrass and White, 17.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B70" w:rsidRDefault="00D51B70" w:rsidP="000A3431">
    <w:pPr>
      <w:pStyle w:val="Header"/>
      <w:jc w:val="right"/>
    </w:pPr>
    <w:fldSimple w:instr=" PAGE   \* MERGEFORMAT ">
      <w:r>
        <w:rPr>
          <w:noProof/>
        </w:rPr>
        <w:t>1</w:t>
      </w:r>
    </w:fldSimple>
    <w:r>
      <w:t xml:space="preserve">                                                                  CAEN5052   </w:t>
    </w:r>
    <w:r w:rsidRPr="000B45E2">
      <w:rPr>
        <w:b/>
        <w:bCs/>
      </w:rPr>
      <w:t>Alternative Shake</w:t>
    </w:r>
    <w:r>
      <w:rPr>
        <w:b/>
        <w:bCs/>
      </w:rPr>
      <w:t>s</w:t>
    </w:r>
    <w:r w:rsidRPr="000B45E2">
      <w:rPr>
        <w:b/>
        <w:bCs/>
      </w:rPr>
      <w:t>peares</w:t>
    </w:r>
    <w:r>
      <w:t xml:space="preserve">   </w:t>
    </w:r>
  </w:p>
  <w:p w:rsidR="00D51B70" w:rsidRDefault="00D51B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868BC2"/>
    <w:lvl w:ilvl="0">
      <w:start w:val="1"/>
      <w:numFmt w:val="decimal"/>
      <w:lvlText w:val="%1."/>
      <w:lvlJc w:val="left"/>
      <w:pPr>
        <w:tabs>
          <w:tab w:val="num" w:pos="1492"/>
        </w:tabs>
        <w:ind w:left="1492" w:hanging="360"/>
      </w:pPr>
    </w:lvl>
  </w:abstractNum>
  <w:abstractNum w:abstractNumId="1">
    <w:nsid w:val="FFFFFF7D"/>
    <w:multiLevelType w:val="singleLevel"/>
    <w:tmpl w:val="24DED972"/>
    <w:lvl w:ilvl="0">
      <w:start w:val="1"/>
      <w:numFmt w:val="decimal"/>
      <w:lvlText w:val="%1."/>
      <w:lvlJc w:val="left"/>
      <w:pPr>
        <w:tabs>
          <w:tab w:val="num" w:pos="1209"/>
        </w:tabs>
        <w:ind w:left="1209" w:hanging="360"/>
      </w:pPr>
    </w:lvl>
  </w:abstractNum>
  <w:abstractNum w:abstractNumId="2">
    <w:nsid w:val="FFFFFF7E"/>
    <w:multiLevelType w:val="singleLevel"/>
    <w:tmpl w:val="9FB43768"/>
    <w:lvl w:ilvl="0">
      <w:start w:val="1"/>
      <w:numFmt w:val="decimal"/>
      <w:lvlText w:val="%1."/>
      <w:lvlJc w:val="left"/>
      <w:pPr>
        <w:tabs>
          <w:tab w:val="num" w:pos="926"/>
        </w:tabs>
        <w:ind w:left="926" w:hanging="360"/>
      </w:pPr>
    </w:lvl>
  </w:abstractNum>
  <w:abstractNum w:abstractNumId="3">
    <w:nsid w:val="FFFFFF7F"/>
    <w:multiLevelType w:val="singleLevel"/>
    <w:tmpl w:val="25DAA218"/>
    <w:lvl w:ilvl="0">
      <w:start w:val="1"/>
      <w:numFmt w:val="decimal"/>
      <w:lvlText w:val="%1."/>
      <w:lvlJc w:val="left"/>
      <w:pPr>
        <w:tabs>
          <w:tab w:val="num" w:pos="643"/>
        </w:tabs>
        <w:ind w:left="643" w:hanging="360"/>
      </w:pPr>
    </w:lvl>
  </w:abstractNum>
  <w:abstractNum w:abstractNumId="4">
    <w:nsid w:val="FFFFFF80"/>
    <w:multiLevelType w:val="singleLevel"/>
    <w:tmpl w:val="7272DD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FACA8C4"/>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ACA0021A"/>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5C62A76C"/>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DB668242"/>
    <w:lvl w:ilvl="0">
      <w:start w:val="1"/>
      <w:numFmt w:val="decimal"/>
      <w:lvlText w:val="%1."/>
      <w:lvlJc w:val="left"/>
      <w:pPr>
        <w:tabs>
          <w:tab w:val="num" w:pos="360"/>
        </w:tabs>
        <w:ind w:left="360" w:hanging="360"/>
      </w:pPr>
    </w:lvl>
  </w:abstractNum>
  <w:abstractNum w:abstractNumId="9">
    <w:nsid w:val="FFFFFF89"/>
    <w:multiLevelType w:val="singleLevel"/>
    <w:tmpl w:val="024C5AF8"/>
    <w:lvl w:ilvl="0">
      <w:start w:val="1"/>
      <w:numFmt w:val="bullet"/>
      <w:lvlText w:val=""/>
      <w:lvlJc w:val="left"/>
      <w:pPr>
        <w:tabs>
          <w:tab w:val="num" w:pos="360"/>
        </w:tabs>
        <w:ind w:left="360" w:hanging="360"/>
      </w:pPr>
      <w:rPr>
        <w:rFonts w:ascii="Symbol" w:hAnsi="Symbol" w:cs="Symbol" w:hint="default"/>
      </w:rPr>
    </w:lvl>
  </w:abstractNum>
  <w:abstractNum w:abstractNumId="10">
    <w:nsid w:val="43926CAA"/>
    <w:multiLevelType w:val="multilevel"/>
    <w:tmpl w:val="2BD63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45E2"/>
    <w:rsid w:val="00011B68"/>
    <w:rsid w:val="00022EB4"/>
    <w:rsid w:val="00041353"/>
    <w:rsid w:val="000515C6"/>
    <w:rsid w:val="00053164"/>
    <w:rsid w:val="00063BD8"/>
    <w:rsid w:val="00084E9E"/>
    <w:rsid w:val="000A3431"/>
    <w:rsid w:val="000B45E2"/>
    <w:rsid w:val="000E29BA"/>
    <w:rsid w:val="000E7011"/>
    <w:rsid w:val="00124503"/>
    <w:rsid w:val="00150B3D"/>
    <w:rsid w:val="00151E5C"/>
    <w:rsid w:val="001778D1"/>
    <w:rsid w:val="00180710"/>
    <w:rsid w:val="001C02D6"/>
    <w:rsid w:val="001D513F"/>
    <w:rsid w:val="001D6592"/>
    <w:rsid w:val="001D7733"/>
    <w:rsid w:val="00237964"/>
    <w:rsid w:val="00251DB8"/>
    <w:rsid w:val="00257F7E"/>
    <w:rsid w:val="002946D9"/>
    <w:rsid w:val="00295305"/>
    <w:rsid w:val="0029663E"/>
    <w:rsid w:val="002B2009"/>
    <w:rsid w:val="002B3606"/>
    <w:rsid w:val="002D5E8B"/>
    <w:rsid w:val="002D6232"/>
    <w:rsid w:val="002F0604"/>
    <w:rsid w:val="00302F38"/>
    <w:rsid w:val="00306F03"/>
    <w:rsid w:val="003157C5"/>
    <w:rsid w:val="003204C1"/>
    <w:rsid w:val="003342B5"/>
    <w:rsid w:val="00334A45"/>
    <w:rsid w:val="00350302"/>
    <w:rsid w:val="00356F16"/>
    <w:rsid w:val="0036334C"/>
    <w:rsid w:val="00395860"/>
    <w:rsid w:val="003A1631"/>
    <w:rsid w:val="003B11E4"/>
    <w:rsid w:val="003C2BCC"/>
    <w:rsid w:val="003D4D05"/>
    <w:rsid w:val="003F1F0E"/>
    <w:rsid w:val="003F464A"/>
    <w:rsid w:val="004177C6"/>
    <w:rsid w:val="004311EB"/>
    <w:rsid w:val="0043353C"/>
    <w:rsid w:val="00444C8C"/>
    <w:rsid w:val="00447C39"/>
    <w:rsid w:val="004668D1"/>
    <w:rsid w:val="004C57FE"/>
    <w:rsid w:val="004E559F"/>
    <w:rsid w:val="004F3C43"/>
    <w:rsid w:val="004F45BA"/>
    <w:rsid w:val="004F48AA"/>
    <w:rsid w:val="004F7CBC"/>
    <w:rsid w:val="00503052"/>
    <w:rsid w:val="005144E3"/>
    <w:rsid w:val="00515AFA"/>
    <w:rsid w:val="005164AD"/>
    <w:rsid w:val="005171C3"/>
    <w:rsid w:val="00531077"/>
    <w:rsid w:val="0054405B"/>
    <w:rsid w:val="00556DC7"/>
    <w:rsid w:val="00597130"/>
    <w:rsid w:val="005A110D"/>
    <w:rsid w:val="005C116B"/>
    <w:rsid w:val="005E68F0"/>
    <w:rsid w:val="00600A60"/>
    <w:rsid w:val="00610F4A"/>
    <w:rsid w:val="00611F2F"/>
    <w:rsid w:val="00617E78"/>
    <w:rsid w:val="0063656B"/>
    <w:rsid w:val="00642745"/>
    <w:rsid w:val="006A3BC4"/>
    <w:rsid w:val="006D026F"/>
    <w:rsid w:val="006E0FD1"/>
    <w:rsid w:val="006E251D"/>
    <w:rsid w:val="006F02E8"/>
    <w:rsid w:val="007005A5"/>
    <w:rsid w:val="00705C54"/>
    <w:rsid w:val="00720EAB"/>
    <w:rsid w:val="00722249"/>
    <w:rsid w:val="00722F01"/>
    <w:rsid w:val="00725C07"/>
    <w:rsid w:val="00734DC9"/>
    <w:rsid w:val="00765ED7"/>
    <w:rsid w:val="0079630E"/>
    <w:rsid w:val="007D238F"/>
    <w:rsid w:val="007F14D2"/>
    <w:rsid w:val="008258D9"/>
    <w:rsid w:val="008270CE"/>
    <w:rsid w:val="0084339C"/>
    <w:rsid w:val="008579B2"/>
    <w:rsid w:val="00864FF3"/>
    <w:rsid w:val="00866091"/>
    <w:rsid w:val="00872A12"/>
    <w:rsid w:val="00880D7A"/>
    <w:rsid w:val="00882E5C"/>
    <w:rsid w:val="00887AE8"/>
    <w:rsid w:val="008904D9"/>
    <w:rsid w:val="008A041D"/>
    <w:rsid w:val="008B2B23"/>
    <w:rsid w:val="008B3782"/>
    <w:rsid w:val="008D3F59"/>
    <w:rsid w:val="008D4C3E"/>
    <w:rsid w:val="008E2B73"/>
    <w:rsid w:val="008E5524"/>
    <w:rsid w:val="009008C9"/>
    <w:rsid w:val="00901786"/>
    <w:rsid w:val="00910F60"/>
    <w:rsid w:val="00915880"/>
    <w:rsid w:val="009230A1"/>
    <w:rsid w:val="00927378"/>
    <w:rsid w:val="00950A37"/>
    <w:rsid w:val="009B008C"/>
    <w:rsid w:val="009E6A9C"/>
    <w:rsid w:val="009F421B"/>
    <w:rsid w:val="009F4792"/>
    <w:rsid w:val="009F4BF1"/>
    <w:rsid w:val="00A02ADC"/>
    <w:rsid w:val="00A15097"/>
    <w:rsid w:val="00A26BA5"/>
    <w:rsid w:val="00A351BA"/>
    <w:rsid w:val="00A649CB"/>
    <w:rsid w:val="00AB37D4"/>
    <w:rsid w:val="00AC3F3A"/>
    <w:rsid w:val="00B11364"/>
    <w:rsid w:val="00B134FD"/>
    <w:rsid w:val="00B23019"/>
    <w:rsid w:val="00B365A4"/>
    <w:rsid w:val="00B36BF4"/>
    <w:rsid w:val="00B42420"/>
    <w:rsid w:val="00B5342C"/>
    <w:rsid w:val="00B70796"/>
    <w:rsid w:val="00B91D65"/>
    <w:rsid w:val="00BA4505"/>
    <w:rsid w:val="00BD4090"/>
    <w:rsid w:val="00BE4254"/>
    <w:rsid w:val="00BE72D0"/>
    <w:rsid w:val="00BF65A0"/>
    <w:rsid w:val="00C02CD8"/>
    <w:rsid w:val="00C163E4"/>
    <w:rsid w:val="00C24050"/>
    <w:rsid w:val="00C26801"/>
    <w:rsid w:val="00C31818"/>
    <w:rsid w:val="00C32133"/>
    <w:rsid w:val="00C36BC8"/>
    <w:rsid w:val="00C44AF0"/>
    <w:rsid w:val="00C82D26"/>
    <w:rsid w:val="00CB0BB9"/>
    <w:rsid w:val="00CC532B"/>
    <w:rsid w:val="00CD22E5"/>
    <w:rsid w:val="00CE5900"/>
    <w:rsid w:val="00CE7199"/>
    <w:rsid w:val="00CF1AA7"/>
    <w:rsid w:val="00D01C9F"/>
    <w:rsid w:val="00D12C03"/>
    <w:rsid w:val="00D15FE2"/>
    <w:rsid w:val="00D25D6C"/>
    <w:rsid w:val="00D2694F"/>
    <w:rsid w:val="00D51B70"/>
    <w:rsid w:val="00D52398"/>
    <w:rsid w:val="00D6241C"/>
    <w:rsid w:val="00D65ABA"/>
    <w:rsid w:val="00D87BAD"/>
    <w:rsid w:val="00D91C14"/>
    <w:rsid w:val="00D93D74"/>
    <w:rsid w:val="00DB0F48"/>
    <w:rsid w:val="00E07F00"/>
    <w:rsid w:val="00E15699"/>
    <w:rsid w:val="00E16923"/>
    <w:rsid w:val="00E219E2"/>
    <w:rsid w:val="00E41048"/>
    <w:rsid w:val="00E41E34"/>
    <w:rsid w:val="00E42975"/>
    <w:rsid w:val="00E53D00"/>
    <w:rsid w:val="00E62D9C"/>
    <w:rsid w:val="00E635CE"/>
    <w:rsid w:val="00E639B8"/>
    <w:rsid w:val="00E91C08"/>
    <w:rsid w:val="00EB3160"/>
    <w:rsid w:val="00F0304B"/>
    <w:rsid w:val="00F32C13"/>
    <w:rsid w:val="00F539AC"/>
    <w:rsid w:val="00F83BCF"/>
    <w:rsid w:val="00FB3960"/>
    <w:rsid w:val="00FB4DA9"/>
    <w:rsid w:val="00FD56D4"/>
    <w:rsid w:val="00FE1871"/>
    <w:rsid w:val="00FF19D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HTML Cite"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32B"/>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B4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5E2"/>
  </w:style>
  <w:style w:type="paragraph" w:styleId="Footer">
    <w:name w:val="footer"/>
    <w:basedOn w:val="Normal"/>
    <w:link w:val="FooterChar"/>
    <w:uiPriority w:val="99"/>
    <w:semiHidden/>
    <w:rsid w:val="000B45E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45E2"/>
  </w:style>
  <w:style w:type="paragraph" w:styleId="FootnoteText">
    <w:name w:val="footnote text"/>
    <w:basedOn w:val="Normal"/>
    <w:link w:val="FootnoteTextChar"/>
    <w:uiPriority w:val="99"/>
    <w:semiHidden/>
    <w:rsid w:val="00515A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5AFA"/>
    <w:rPr>
      <w:sz w:val="20"/>
      <w:szCs w:val="20"/>
    </w:rPr>
  </w:style>
  <w:style w:type="character" w:styleId="FootnoteReference">
    <w:name w:val="footnote reference"/>
    <w:basedOn w:val="DefaultParagraphFont"/>
    <w:uiPriority w:val="99"/>
    <w:semiHidden/>
    <w:rsid w:val="00515AFA"/>
    <w:rPr>
      <w:vertAlign w:val="superscript"/>
    </w:rPr>
  </w:style>
  <w:style w:type="paragraph" w:styleId="NormalWeb">
    <w:name w:val="Normal (Web)"/>
    <w:basedOn w:val="Normal"/>
    <w:uiPriority w:val="99"/>
    <w:rsid w:val="004F3C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rsid w:val="00D65ABA"/>
    <w:rPr>
      <w:color w:val="0000FF"/>
      <w:u w:val="single"/>
    </w:rPr>
  </w:style>
  <w:style w:type="character" w:styleId="HTMLCite">
    <w:name w:val="HTML Cite"/>
    <w:basedOn w:val="DefaultParagraphFont"/>
    <w:uiPriority w:val="99"/>
    <w:semiHidden/>
    <w:rsid w:val="00053164"/>
    <w:rPr>
      <w:i/>
      <w:iCs/>
    </w:rPr>
  </w:style>
</w:styles>
</file>

<file path=word/webSettings.xml><?xml version="1.0" encoding="utf-8"?>
<w:webSettings xmlns:r="http://schemas.openxmlformats.org/officeDocument/2006/relationships" xmlns:w="http://schemas.openxmlformats.org/wordprocessingml/2006/main">
  <w:divs>
    <w:div w:id="1283922511">
      <w:marLeft w:val="0"/>
      <w:marRight w:val="0"/>
      <w:marTop w:val="0"/>
      <w:marBottom w:val="0"/>
      <w:divBdr>
        <w:top w:val="none" w:sz="0" w:space="0" w:color="auto"/>
        <w:left w:val="none" w:sz="0" w:space="0" w:color="auto"/>
        <w:bottom w:val="none" w:sz="0" w:space="0" w:color="auto"/>
        <w:right w:val="none" w:sz="0" w:space="0" w:color="auto"/>
      </w:divBdr>
    </w:div>
    <w:div w:id="1283922512">
      <w:marLeft w:val="0"/>
      <w:marRight w:val="0"/>
      <w:marTop w:val="0"/>
      <w:marBottom w:val="0"/>
      <w:divBdr>
        <w:top w:val="none" w:sz="0" w:space="0" w:color="auto"/>
        <w:left w:val="none" w:sz="0" w:space="0" w:color="auto"/>
        <w:bottom w:val="none" w:sz="0" w:space="0" w:color="auto"/>
        <w:right w:val="none" w:sz="0" w:space="0" w:color="auto"/>
      </w:divBdr>
    </w:div>
    <w:div w:id="1283922515">
      <w:marLeft w:val="0"/>
      <w:marRight w:val="0"/>
      <w:marTop w:val="0"/>
      <w:marBottom w:val="0"/>
      <w:divBdr>
        <w:top w:val="none" w:sz="0" w:space="0" w:color="auto"/>
        <w:left w:val="none" w:sz="0" w:space="0" w:color="auto"/>
        <w:bottom w:val="none" w:sz="0" w:space="0" w:color="auto"/>
        <w:right w:val="none" w:sz="0" w:space="0" w:color="auto"/>
      </w:divBdr>
    </w:div>
    <w:div w:id="1283922518">
      <w:marLeft w:val="0"/>
      <w:marRight w:val="0"/>
      <w:marTop w:val="0"/>
      <w:marBottom w:val="0"/>
      <w:divBdr>
        <w:top w:val="none" w:sz="0" w:space="0" w:color="auto"/>
        <w:left w:val="none" w:sz="0" w:space="0" w:color="auto"/>
        <w:bottom w:val="none" w:sz="0" w:space="0" w:color="auto"/>
        <w:right w:val="none" w:sz="0" w:space="0" w:color="auto"/>
      </w:divBdr>
    </w:div>
    <w:div w:id="1283922521">
      <w:marLeft w:val="0"/>
      <w:marRight w:val="0"/>
      <w:marTop w:val="0"/>
      <w:marBottom w:val="0"/>
      <w:divBdr>
        <w:top w:val="none" w:sz="0" w:space="0" w:color="auto"/>
        <w:left w:val="none" w:sz="0" w:space="0" w:color="auto"/>
        <w:bottom w:val="none" w:sz="0" w:space="0" w:color="auto"/>
        <w:right w:val="none" w:sz="0" w:space="0" w:color="auto"/>
      </w:divBdr>
    </w:div>
    <w:div w:id="1283922526">
      <w:marLeft w:val="0"/>
      <w:marRight w:val="0"/>
      <w:marTop w:val="0"/>
      <w:marBottom w:val="0"/>
      <w:divBdr>
        <w:top w:val="none" w:sz="0" w:space="0" w:color="auto"/>
        <w:left w:val="none" w:sz="0" w:space="0" w:color="auto"/>
        <w:bottom w:val="none" w:sz="0" w:space="0" w:color="auto"/>
        <w:right w:val="none" w:sz="0" w:space="0" w:color="auto"/>
      </w:divBdr>
    </w:div>
    <w:div w:id="1283922527">
      <w:marLeft w:val="0"/>
      <w:marRight w:val="0"/>
      <w:marTop w:val="0"/>
      <w:marBottom w:val="0"/>
      <w:divBdr>
        <w:top w:val="none" w:sz="0" w:space="0" w:color="auto"/>
        <w:left w:val="none" w:sz="0" w:space="0" w:color="auto"/>
        <w:bottom w:val="none" w:sz="0" w:space="0" w:color="auto"/>
        <w:right w:val="none" w:sz="0" w:space="0" w:color="auto"/>
      </w:divBdr>
    </w:div>
    <w:div w:id="1283922530">
      <w:marLeft w:val="0"/>
      <w:marRight w:val="0"/>
      <w:marTop w:val="0"/>
      <w:marBottom w:val="0"/>
      <w:divBdr>
        <w:top w:val="none" w:sz="0" w:space="0" w:color="auto"/>
        <w:left w:val="none" w:sz="0" w:space="0" w:color="auto"/>
        <w:bottom w:val="none" w:sz="0" w:space="0" w:color="auto"/>
        <w:right w:val="none" w:sz="0" w:space="0" w:color="auto"/>
      </w:divBdr>
    </w:div>
    <w:div w:id="1283922531">
      <w:marLeft w:val="0"/>
      <w:marRight w:val="0"/>
      <w:marTop w:val="0"/>
      <w:marBottom w:val="0"/>
      <w:divBdr>
        <w:top w:val="none" w:sz="0" w:space="0" w:color="auto"/>
        <w:left w:val="none" w:sz="0" w:space="0" w:color="auto"/>
        <w:bottom w:val="none" w:sz="0" w:space="0" w:color="auto"/>
        <w:right w:val="none" w:sz="0" w:space="0" w:color="auto"/>
      </w:divBdr>
    </w:div>
    <w:div w:id="1283922532">
      <w:marLeft w:val="0"/>
      <w:marRight w:val="0"/>
      <w:marTop w:val="0"/>
      <w:marBottom w:val="0"/>
      <w:divBdr>
        <w:top w:val="none" w:sz="0" w:space="0" w:color="auto"/>
        <w:left w:val="none" w:sz="0" w:space="0" w:color="auto"/>
        <w:bottom w:val="none" w:sz="0" w:space="0" w:color="auto"/>
        <w:right w:val="none" w:sz="0" w:space="0" w:color="auto"/>
      </w:divBdr>
      <w:divsChild>
        <w:div w:id="1283922545">
          <w:marLeft w:val="0"/>
          <w:marRight w:val="0"/>
          <w:marTop w:val="0"/>
          <w:marBottom w:val="0"/>
          <w:divBdr>
            <w:top w:val="none" w:sz="0" w:space="0" w:color="auto"/>
            <w:left w:val="none" w:sz="0" w:space="0" w:color="auto"/>
            <w:bottom w:val="none" w:sz="0" w:space="0" w:color="auto"/>
            <w:right w:val="none" w:sz="0" w:space="0" w:color="auto"/>
          </w:divBdr>
          <w:divsChild>
            <w:div w:id="1283922523">
              <w:marLeft w:val="0"/>
              <w:marRight w:val="0"/>
              <w:marTop w:val="0"/>
              <w:marBottom w:val="0"/>
              <w:divBdr>
                <w:top w:val="none" w:sz="0" w:space="0" w:color="auto"/>
                <w:left w:val="none" w:sz="0" w:space="0" w:color="auto"/>
                <w:bottom w:val="none" w:sz="0" w:space="0" w:color="auto"/>
                <w:right w:val="none" w:sz="0" w:space="0" w:color="auto"/>
              </w:divBdr>
              <w:divsChild>
                <w:div w:id="1283922528">
                  <w:marLeft w:val="0"/>
                  <w:marRight w:val="0"/>
                  <w:marTop w:val="0"/>
                  <w:marBottom w:val="0"/>
                  <w:divBdr>
                    <w:top w:val="none" w:sz="0" w:space="0" w:color="auto"/>
                    <w:left w:val="none" w:sz="0" w:space="0" w:color="auto"/>
                    <w:bottom w:val="none" w:sz="0" w:space="0" w:color="auto"/>
                    <w:right w:val="none" w:sz="0" w:space="0" w:color="auto"/>
                  </w:divBdr>
                  <w:divsChild>
                    <w:div w:id="1283922535">
                      <w:marLeft w:val="0"/>
                      <w:marRight w:val="0"/>
                      <w:marTop w:val="0"/>
                      <w:marBottom w:val="0"/>
                      <w:divBdr>
                        <w:top w:val="none" w:sz="0" w:space="0" w:color="auto"/>
                        <w:left w:val="none" w:sz="0" w:space="0" w:color="auto"/>
                        <w:bottom w:val="none" w:sz="0" w:space="0" w:color="auto"/>
                        <w:right w:val="none" w:sz="0" w:space="0" w:color="auto"/>
                      </w:divBdr>
                      <w:divsChild>
                        <w:div w:id="1283922550">
                          <w:marLeft w:val="0"/>
                          <w:marRight w:val="0"/>
                          <w:marTop w:val="0"/>
                          <w:marBottom w:val="0"/>
                          <w:divBdr>
                            <w:top w:val="none" w:sz="0" w:space="0" w:color="auto"/>
                            <w:left w:val="none" w:sz="0" w:space="0" w:color="auto"/>
                            <w:bottom w:val="none" w:sz="0" w:space="0" w:color="auto"/>
                            <w:right w:val="none" w:sz="0" w:space="0" w:color="auto"/>
                          </w:divBdr>
                          <w:divsChild>
                            <w:div w:id="1283922522">
                              <w:marLeft w:val="0"/>
                              <w:marRight w:val="0"/>
                              <w:marTop w:val="0"/>
                              <w:marBottom w:val="0"/>
                              <w:divBdr>
                                <w:top w:val="none" w:sz="0" w:space="0" w:color="auto"/>
                                <w:left w:val="none" w:sz="0" w:space="0" w:color="auto"/>
                                <w:bottom w:val="none" w:sz="0" w:space="0" w:color="auto"/>
                                <w:right w:val="none" w:sz="0" w:space="0" w:color="auto"/>
                              </w:divBdr>
                              <w:divsChild>
                                <w:div w:id="1283922544">
                                  <w:marLeft w:val="0"/>
                                  <w:marRight w:val="0"/>
                                  <w:marTop w:val="0"/>
                                  <w:marBottom w:val="0"/>
                                  <w:divBdr>
                                    <w:top w:val="none" w:sz="0" w:space="0" w:color="auto"/>
                                    <w:left w:val="none" w:sz="0" w:space="0" w:color="auto"/>
                                    <w:bottom w:val="none" w:sz="0" w:space="0" w:color="auto"/>
                                    <w:right w:val="none" w:sz="0" w:space="0" w:color="auto"/>
                                  </w:divBdr>
                                  <w:divsChild>
                                    <w:div w:id="1283922509">
                                      <w:marLeft w:val="0"/>
                                      <w:marRight w:val="0"/>
                                      <w:marTop w:val="0"/>
                                      <w:marBottom w:val="0"/>
                                      <w:divBdr>
                                        <w:top w:val="none" w:sz="0" w:space="0" w:color="auto"/>
                                        <w:left w:val="none" w:sz="0" w:space="0" w:color="auto"/>
                                        <w:bottom w:val="none" w:sz="0" w:space="0" w:color="auto"/>
                                        <w:right w:val="none" w:sz="0" w:space="0" w:color="auto"/>
                                      </w:divBdr>
                                      <w:divsChild>
                                        <w:div w:id="1283922519">
                                          <w:marLeft w:val="0"/>
                                          <w:marRight w:val="0"/>
                                          <w:marTop w:val="0"/>
                                          <w:marBottom w:val="0"/>
                                          <w:divBdr>
                                            <w:top w:val="none" w:sz="0" w:space="0" w:color="auto"/>
                                            <w:left w:val="none" w:sz="0" w:space="0" w:color="auto"/>
                                            <w:bottom w:val="none" w:sz="0" w:space="0" w:color="auto"/>
                                            <w:right w:val="none" w:sz="0" w:space="0" w:color="auto"/>
                                          </w:divBdr>
                                          <w:divsChild>
                                            <w:div w:id="1283922514">
                                              <w:marLeft w:val="0"/>
                                              <w:marRight w:val="0"/>
                                              <w:marTop w:val="0"/>
                                              <w:marBottom w:val="0"/>
                                              <w:divBdr>
                                                <w:top w:val="none" w:sz="0" w:space="0" w:color="auto"/>
                                                <w:left w:val="none" w:sz="0" w:space="0" w:color="auto"/>
                                                <w:bottom w:val="none" w:sz="0" w:space="0" w:color="auto"/>
                                                <w:right w:val="none" w:sz="0" w:space="0" w:color="auto"/>
                                              </w:divBdr>
                                              <w:divsChild>
                                                <w:div w:id="1283922513">
                                                  <w:marLeft w:val="0"/>
                                                  <w:marRight w:val="0"/>
                                                  <w:marTop w:val="0"/>
                                                  <w:marBottom w:val="0"/>
                                                  <w:divBdr>
                                                    <w:top w:val="none" w:sz="0" w:space="0" w:color="auto"/>
                                                    <w:left w:val="none" w:sz="0" w:space="0" w:color="auto"/>
                                                    <w:bottom w:val="none" w:sz="0" w:space="0" w:color="auto"/>
                                                    <w:right w:val="none" w:sz="0" w:space="0" w:color="auto"/>
                                                  </w:divBdr>
                                                </w:div>
                                                <w:div w:id="1283922520">
                                                  <w:marLeft w:val="0"/>
                                                  <w:marRight w:val="0"/>
                                                  <w:marTop w:val="0"/>
                                                  <w:marBottom w:val="0"/>
                                                  <w:divBdr>
                                                    <w:top w:val="none" w:sz="0" w:space="0" w:color="auto"/>
                                                    <w:left w:val="none" w:sz="0" w:space="0" w:color="auto"/>
                                                    <w:bottom w:val="none" w:sz="0" w:space="0" w:color="auto"/>
                                                    <w:right w:val="none" w:sz="0" w:space="0" w:color="auto"/>
                                                  </w:divBdr>
                                                </w:div>
                                                <w:div w:id="1283922525">
                                                  <w:marLeft w:val="0"/>
                                                  <w:marRight w:val="0"/>
                                                  <w:marTop w:val="0"/>
                                                  <w:marBottom w:val="0"/>
                                                  <w:divBdr>
                                                    <w:top w:val="none" w:sz="0" w:space="0" w:color="auto"/>
                                                    <w:left w:val="none" w:sz="0" w:space="0" w:color="auto"/>
                                                    <w:bottom w:val="none" w:sz="0" w:space="0" w:color="auto"/>
                                                    <w:right w:val="none" w:sz="0" w:space="0" w:color="auto"/>
                                                  </w:divBdr>
                                                </w:div>
                                              </w:divsChild>
                                            </w:div>
                                            <w:div w:id="1283922524">
                                              <w:marLeft w:val="0"/>
                                              <w:marRight w:val="0"/>
                                              <w:marTop w:val="0"/>
                                              <w:marBottom w:val="0"/>
                                              <w:divBdr>
                                                <w:top w:val="none" w:sz="0" w:space="0" w:color="auto"/>
                                                <w:left w:val="none" w:sz="0" w:space="0" w:color="auto"/>
                                                <w:bottom w:val="none" w:sz="0" w:space="0" w:color="auto"/>
                                                <w:right w:val="none" w:sz="0" w:space="0" w:color="auto"/>
                                              </w:divBdr>
                                              <w:divsChild>
                                                <w:div w:id="128392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3922533">
      <w:marLeft w:val="0"/>
      <w:marRight w:val="0"/>
      <w:marTop w:val="0"/>
      <w:marBottom w:val="0"/>
      <w:divBdr>
        <w:top w:val="none" w:sz="0" w:space="0" w:color="auto"/>
        <w:left w:val="none" w:sz="0" w:space="0" w:color="auto"/>
        <w:bottom w:val="none" w:sz="0" w:space="0" w:color="auto"/>
        <w:right w:val="none" w:sz="0" w:space="0" w:color="auto"/>
      </w:divBdr>
      <w:divsChild>
        <w:div w:id="1283922510">
          <w:marLeft w:val="0"/>
          <w:marRight w:val="0"/>
          <w:marTop w:val="0"/>
          <w:marBottom w:val="0"/>
          <w:divBdr>
            <w:top w:val="none" w:sz="0" w:space="0" w:color="auto"/>
            <w:left w:val="none" w:sz="0" w:space="0" w:color="auto"/>
            <w:bottom w:val="none" w:sz="0" w:space="0" w:color="auto"/>
            <w:right w:val="none" w:sz="0" w:space="0" w:color="auto"/>
          </w:divBdr>
          <w:divsChild>
            <w:div w:id="1283922529">
              <w:marLeft w:val="0"/>
              <w:marRight w:val="0"/>
              <w:marTop w:val="0"/>
              <w:marBottom w:val="0"/>
              <w:divBdr>
                <w:top w:val="none" w:sz="0" w:space="0" w:color="auto"/>
                <w:left w:val="none" w:sz="0" w:space="0" w:color="auto"/>
                <w:bottom w:val="none" w:sz="0" w:space="0" w:color="auto"/>
                <w:right w:val="none" w:sz="0" w:space="0" w:color="auto"/>
              </w:divBdr>
              <w:divsChild>
                <w:div w:id="1283922516">
                  <w:marLeft w:val="0"/>
                  <w:marRight w:val="0"/>
                  <w:marTop w:val="0"/>
                  <w:marBottom w:val="0"/>
                  <w:divBdr>
                    <w:top w:val="none" w:sz="0" w:space="0" w:color="auto"/>
                    <w:left w:val="none" w:sz="0" w:space="0" w:color="auto"/>
                    <w:bottom w:val="none" w:sz="0" w:space="0" w:color="auto"/>
                    <w:right w:val="none" w:sz="0" w:space="0" w:color="auto"/>
                  </w:divBdr>
                  <w:divsChild>
                    <w:div w:id="1283922541">
                      <w:marLeft w:val="0"/>
                      <w:marRight w:val="0"/>
                      <w:marTop w:val="0"/>
                      <w:marBottom w:val="0"/>
                      <w:divBdr>
                        <w:top w:val="none" w:sz="0" w:space="0" w:color="auto"/>
                        <w:left w:val="none" w:sz="0" w:space="0" w:color="auto"/>
                        <w:bottom w:val="none" w:sz="0" w:space="0" w:color="auto"/>
                        <w:right w:val="none" w:sz="0" w:space="0" w:color="auto"/>
                      </w:divBdr>
                      <w:divsChild>
                        <w:div w:id="1283922547">
                          <w:marLeft w:val="0"/>
                          <w:marRight w:val="0"/>
                          <w:marTop w:val="0"/>
                          <w:marBottom w:val="0"/>
                          <w:divBdr>
                            <w:top w:val="none" w:sz="0" w:space="0" w:color="auto"/>
                            <w:left w:val="none" w:sz="0" w:space="0" w:color="auto"/>
                            <w:bottom w:val="none" w:sz="0" w:space="0" w:color="auto"/>
                            <w:right w:val="none" w:sz="0" w:space="0" w:color="auto"/>
                          </w:divBdr>
                          <w:divsChild>
                            <w:div w:id="1283922540">
                              <w:marLeft w:val="0"/>
                              <w:marRight w:val="0"/>
                              <w:marTop w:val="0"/>
                              <w:marBottom w:val="0"/>
                              <w:divBdr>
                                <w:top w:val="none" w:sz="0" w:space="0" w:color="auto"/>
                                <w:left w:val="none" w:sz="0" w:space="0" w:color="auto"/>
                                <w:bottom w:val="none" w:sz="0" w:space="0" w:color="auto"/>
                                <w:right w:val="none" w:sz="0" w:space="0" w:color="auto"/>
                              </w:divBdr>
                              <w:divsChild>
                                <w:div w:id="1283922539">
                                  <w:marLeft w:val="0"/>
                                  <w:marRight w:val="0"/>
                                  <w:marTop w:val="0"/>
                                  <w:marBottom w:val="0"/>
                                  <w:divBdr>
                                    <w:top w:val="none" w:sz="0" w:space="0" w:color="auto"/>
                                    <w:left w:val="none" w:sz="0" w:space="0" w:color="auto"/>
                                    <w:bottom w:val="none" w:sz="0" w:space="0" w:color="auto"/>
                                    <w:right w:val="none" w:sz="0" w:space="0" w:color="auto"/>
                                  </w:divBdr>
                                  <w:divsChild>
                                    <w:div w:id="1283922517">
                                      <w:marLeft w:val="0"/>
                                      <w:marRight w:val="0"/>
                                      <w:marTop w:val="0"/>
                                      <w:marBottom w:val="0"/>
                                      <w:divBdr>
                                        <w:top w:val="none" w:sz="0" w:space="0" w:color="auto"/>
                                        <w:left w:val="none" w:sz="0" w:space="0" w:color="auto"/>
                                        <w:bottom w:val="none" w:sz="0" w:space="0" w:color="auto"/>
                                        <w:right w:val="none" w:sz="0" w:space="0" w:color="auto"/>
                                      </w:divBdr>
                                      <w:divsChild>
                                        <w:div w:id="1283922507">
                                          <w:marLeft w:val="0"/>
                                          <w:marRight w:val="0"/>
                                          <w:marTop w:val="0"/>
                                          <w:marBottom w:val="0"/>
                                          <w:divBdr>
                                            <w:top w:val="none" w:sz="0" w:space="0" w:color="auto"/>
                                            <w:left w:val="none" w:sz="0" w:space="0" w:color="auto"/>
                                            <w:bottom w:val="none" w:sz="0" w:space="0" w:color="auto"/>
                                            <w:right w:val="none" w:sz="0" w:space="0" w:color="auto"/>
                                          </w:divBdr>
                                          <w:divsChild>
                                            <w:div w:id="1283922536">
                                              <w:marLeft w:val="0"/>
                                              <w:marRight w:val="0"/>
                                              <w:marTop w:val="0"/>
                                              <w:marBottom w:val="0"/>
                                              <w:divBdr>
                                                <w:top w:val="none" w:sz="0" w:space="0" w:color="auto"/>
                                                <w:left w:val="none" w:sz="0" w:space="0" w:color="auto"/>
                                                <w:bottom w:val="none" w:sz="0" w:space="0" w:color="auto"/>
                                                <w:right w:val="none" w:sz="0" w:space="0" w:color="auto"/>
                                              </w:divBdr>
                                              <w:divsChild>
                                                <w:div w:id="128392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3922534">
      <w:marLeft w:val="0"/>
      <w:marRight w:val="0"/>
      <w:marTop w:val="0"/>
      <w:marBottom w:val="0"/>
      <w:divBdr>
        <w:top w:val="none" w:sz="0" w:space="0" w:color="auto"/>
        <w:left w:val="none" w:sz="0" w:space="0" w:color="auto"/>
        <w:bottom w:val="none" w:sz="0" w:space="0" w:color="auto"/>
        <w:right w:val="none" w:sz="0" w:space="0" w:color="auto"/>
      </w:divBdr>
    </w:div>
    <w:div w:id="1283922537">
      <w:marLeft w:val="0"/>
      <w:marRight w:val="0"/>
      <w:marTop w:val="0"/>
      <w:marBottom w:val="0"/>
      <w:divBdr>
        <w:top w:val="none" w:sz="0" w:space="0" w:color="auto"/>
        <w:left w:val="none" w:sz="0" w:space="0" w:color="auto"/>
        <w:bottom w:val="none" w:sz="0" w:space="0" w:color="auto"/>
        <w:right w:val="none" w:sz="0" w:space="0" w:color="auto"/>
      </w:divBdr>
    </w:div>
    <w:div w:id="1283922538">
      <w:marLeft w:val="0"/>
      <w:marRight w:val="0"/>
      <w:marTop w:val="0"/>
      <w:marBottom w:val="0"/>
      <w:divBdr>
        <w:top w:val="none" w:sz="0" w:space="0" w:color="auto"/>
        <w:left w:val="none" w:sz="0" w:space="0" w:color="auto"/>
        <w:bottom w:val="none" w:sz="0" w:space="0" w:color="auto"/>
        <w:right w:val="none" w:sz="0" w:space="0" w:color="auto"/>
      </w:divBdr>
    </w:div>
    <w:div w:id="1283922542">
      <w:marLeft w:val="0"/>
      <w:marRight w:val="0"/>
      <w:marTop w:val="0"/>
      <w:marBottom w:val="0"/>
      <w:divBdr>
        <w:top w:val="none" w:sz="0" w:space="0" w:color="auto"/>
        <w:left w:val="none" w:sz="0" w:space="0" w:color="auto"/>
        <w:bottom w:val="none" w:sz="0" w:space="0" w:color="auto"/>
        <w:right w:val="none" w:sz="0" w:space="0" w:color="auto"/>
      </w:divBdr>
    </w:div>
    <w:div w:id="1283922543">
      <w:marLeft w:val="0"/>
      <w:marRight w:val="0"/>
      <w:marTop w:val="0"/>
      <w:marBottom w:val="0"/>
      <w:divBdr>
        <w:top w:val="none" w:sz="0" w:space="0" w:color="auto"/>
        <w:left w:val="none" w:sz="0" w:space="0" w:color="auto"/>
        <w:bottom w:val="none" w:sz="0" w:space="0" w:color="auto"/>
        <w:right w:val="none" w:sz="0" w:space="0" w:color="auto"/>
      </w:divBdr>
    </w:div>
    <w:div w:id="1283922548">
      <w:marLeft w:val="0"/>
      <w:marRight w:val="0"/>
      <w:marTop w:val="0"/>
      <w:marBottom w:val="0"/>
      <w:divBdr>
        <w:top w:val="none" w:sz="0" w:space="0" w:color="auto"/>
        <w:left w:val="none" w:sz="0" w:space="0" w:color="auto"/>
        <w:bottom w:val="none" w:sz="0" w:space="0" w:color="auto"/>
        <w:right w:val="none" w:sz="0" w:space="0" w:color="auto"/>
      </w:divBdr>
    </w:div>
    <w:div w:id="1283922549">
      <w:marLeft w:val="0"/>
      <w:marRight w:val="0"/>
      <w:marTop w:val="0"/>
      <w:marBottom w:val="0"/>
      <w:divBdr>
        <w:top w:val="none" w:sz="0" w:space="0" w:color="auto"/>
        <w:left w:val="none" w:sz="0" w:space="0" w:color="auto"/>
        <w:bottom w:val="none" w:sz="0" w:space="0" w:color="auto"/>
        <w:right w:val="none" w:sz="0" w:space="0" w:color="auto"/>
      </w:divBdr>
    </w:div>
    <w:div w:id="1283922551">
      <w:marLeft w:val="0"/>
      <w:marRight w:val="0"/>
      <w:marTop w:val="0"/>
      <w:marBottom w:val="0"/>
      <w:divBdr>
        <w:top w:val="none" w:sz="0" w:space="0" w:color="auto"/>
        <w:left w:val="none" w:sz="0" w:space="0" w:color="auto"/>
        <w:bottom w:val="none" w:sz="0" w:space="0" w:color="auto"/>
        <w:right w:val="none" w:sz="0" w:space="0" w:color="auto"/>
      </w:divBdr>
    </w:div>
    <w:div w:id="12839225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ch.org/~cleary/change.html" TargetMode="External"/><Relationship Id="rId13" Type="http://schemas.openxmlformats.org/officeDocument/2006/relationships/hyperlink" Target="http://www.tech.org/~cleary/change.html" TargetMode="External"/><Relationship Id="rId18" Type="http://schemas.openxmlformats.org/officeDocument/2006/relationships/hyperlink" Target="http://www.biblegateway.com" TargetMode="External"/><Relationship Id="rId3" Type="http://schemas.openxmlformats.org/officeDocument/2006/relationships/settings" Target="settings.xml"/><Relationship Id="rId21" Type="http://schemas.openxmlformats.org/officeDocument/2006/relationships/hyperlink" Target="http://www.jstor.org/stable/3816599" TargetMode="External"/><Relationship Id="rId7" Type="http://schemas.openxmlformats.org/officeDocument/2006/relationships/hyperlink" Target="http://www.tech.org/~cleary/change.html" TargetMode="External"/><Relationship Id="rId12" Type="http://schemas.openxmlformats.org/officeDocument/2006/relationships/hyperlink" Target="http://www.tech.org/~cleary/change.html" TargetMode="External"/><Relationship Id="rId17" Type="http://schemas.openxmlformats.org/officeDocument/2006/relationships/hyperlink" Target="http://www.jstor.org/stable/3194565" TargetMode="External"/><Relationship Id="rId2" Type="http://schemas.openxmlformats.org/officeDocument/2006/relationships/styles" Target="styles.xml"/><Relationship Id="rId16" Type="http://schemas.openxmlformats.org/officeDocument/2006/relationships/hyperlink" Target="http://elizabethan.org/sumptuary/who-wears-what.html" TargetMode="External"/><Relationship Id="rId20" Type="http://schemas.openxmlformats.org/officeDocument/2006/relationships/hyperlink" Target="http://www.jstor.org/stable/381659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ch.org/~cleary/change.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rts.gla.ac.uk/STELLA/COMET/glasgrev/issue1/chefgz.htm" TargetMode="External"/><Relationship Id="rId23" Type="http://schemas.openxmlformats.org/officeDocument/2006/relationships/fontTable" Target="fontTable.xml"/><Relationship Id="rId10" Type="http://schemas.openxmlformats.org/officeDocument/2006/relationships/hyperlink" Target="http://www.tech.org/~cleary/change.html" TargetMode="External"/><Relationship Id="rId19" Type="http://schemas.openxmlformats.org/officeDocument/2006/relationships/hyperlink" Target="http://shakespeare.mit.edu/winters_tale/full.html" TargetMode="External"/><Relationship Id="rId4" Type="http://schemas.openxmlformats.org/officeDocument/2006/relationships/webSettings" Target="webSettings.xml"/><Relationship Id="rId9" Type="http://schemas.openxmlformats.org/officeDocument/2006/relationships/hyperlink" Target="http://www.tech.org/~cleary/change.html" TargetMode="External"/><Relationship Id="rId14" Type="http://schemas.openxmlformats.org/officeDocument/2006/relationships/hyperlink" Target="http://www.jstor.org/pss/3208678"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3194565" TargetMode="External"/><Relationship Id="rId3" Type="http://schemas.openxmlformats.org/officeDocument/2006/relationships/hyperlink" Target="http://shakespeare.mit.edu/winters_tale/full.html" TargetMode="External"/><Relationship Id="rId7" Type="http://schemas.openxmlformats.org/officeDocument/2006/relationships/hyperlink" Target="http://www.arts.gla.ac.uk/STELLA/COMET/glasgrev/issue1/chefgz.htm" TargetMode="External"/><Relationship Id="rId2" Type="http://schemas.openxmlformats.org/officeDocument/2006/relationships/hyperlink" Target="http://elizabethan.org/sumptuary/who-wears-what.html" TargetMode="External"/><Relationship Id="rId1" Type="http://schemas.openxmlformats.org/officeDocument/2006/relationships/hyperlink" Target="http://elizabethan.org/sumptuary/index.html" TargetMode="External"/><Relationship Id="rId6" Type="http://schemas.openxmlformats.org/officeDocument/2006/relationships/hyperlink" Target="http://www.jstor.org/stable/3816599" TargetMode="External"/><Relationship Id="rId5" Type="http://schemas.openxmlformats.org/officeDocument/2006/relationships/hyperlink" Target="http://www.jstor.org/stable/3816599" TargetMode="External"/><Relationship Id="rId4" Type="http://schemas.openxmlformats.org/officeDocument/2006/relationships/hyperlink" Target="http://www.jstor.org/pss/3208678" TargetMode="External"/><Relationship Id="rId9" Type="http://schemas.openxmlformats.org/officeDocument/2006/relationships/hyperlink" Target="http://www.biblegatewa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15</Pages>
  <Words>4277</Words>
  <Characters>24379</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dramatic significance of purity in the Renaissance text</dc:title>
  <dc:subject/>
  <dc:creator>Sam</dc:creator>
  <cp:keywords/>
  <dc:description/>
  <cp:lastModifiedBy>clientadmin</cp:lastModifiedBy>
  <cp:revision>2</cp:revision>
  <cp:lastPrinted>2011-10-21T08:56:00Z</cp:lastPrinted>
  <dcterms:created xsi:type="dcterms:W3CDTF">2011-10-21T08:57:00Z</dcterms:created>
  <dcterms:modified xsi:type="dcterms:W3CDTF">2011-10-21T08:57:00Z</dcterms:modified>
</cp:coreProperties>
</file>