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91BAB1E" w14:textId="56269F9D" w:rsidR="005B73D2" w:rsidRPr="00C35AEB" w:rsidRDefault="005B73D2">
      <w:pPr>
        <w:rPr>
          <w:rFonts w:ascii="Arial" w:hAnsi="Arial" w:cs="Arial"/>
          <w:sz w:val="22"/>
          <w:szCs w:val="22"/>
        </w:rPr>
      </w:pPr>
    </w:p>
    <w:p w14:paraId="5C5A0614" w14:textId="77777777" w:rsidR="006B1A54" w:rsidRPr="00CD33A8" w:rsidRDefault="006B1A54" w:rsidP="006B1A54">
      <w:pPr>
        <w:spacing w:line="360" w:lineRule="auto"/>
        <w:rPr>
          <w:rFonts w:asciiTheme="minorBidi" w:hAnsiTheme="minorBidi"/>
        </w:rPr>
      </w:pPr>
      <w:r w:rsidRPr="00CD33A8">
        <w:rPr>
          <w:rFonts w:asciiTheme="minorBidi" w:hAnsiTheme="minorBidi"/>
          <w:noProof/>
        </w:rPr>
        <w:drawing>
          <wp:anchor distT="0" distB="0" distL="114300" distR="114300" simplePos="0" relativeHeight="251659264" behindDoc="0" locked="0" layoutInCell="1" allowOverlap="1" wp14:anchorId="170437C6" wp14:editId="17DC7130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04A81EA3" w14:textId="77777777" w:rsidR="006B1A54" w:rsidRPr="00CD33A8" w:rsidRDefault="006B1A54" w:rsidP="006B1A54">
      <w:pPr>
        <w:spacing w:line="360" w:lineRule="auto"/>
        <w:rPr>
          <w:rFonts w:asciiTheme="minorBidi" w:hAnsiTheme="minorBidi"/>
        </w:rPr>
      </w:pPr>
    </w:p>
    <w:p w14:paraId="40ABFFDF" w14:textId="77777777" w:rsidR="006B1A54" w:rsidRPr="00CD33A8" w:rsidRDefault="006B1A54" w:rsidP="006B1A54">
      <w:pPr>
        <w:spacing w:line="360" w:lineRule="auto"/>
        <w:rPr>
          <w:rFonts w:asciiTheme="minorBidi" w:hAnsiTheme="minorBidi"/>
        </w:rPr>
      </w:pPr>
    </w:p>
    <w:p w14:paraId="2183F1BE" w14:textId="77777777" w:rsidR="006B1A54" w:rsidRPr="00CD33A8" w:rsidRDefault="006B1A54" w:rsidP="006B1A54">
      <w:pPr>
        <w:spacing w:line="360" w:lineRule="auto"/>
        <w:rPr>
          <w:rFonts w:asciiTheme="minorBidi" w:hAnsiTheme="minorBidi"/>
        </w:rPr>
      </w:pPr>
    </w:p>
    <w:p w14:paraId="5DDDD6CB" w14:textId="77777777" w:rsidR="006B1A54" w:rsidRPr="00CD33A8" w:rsidRDefault="006B1A54" w:rsidP="006B1A54">
      <w:pPr>
        <w:tabs>
          <w:tab w:val="left" w:pos="6540"/>
        </w:tabs>
        <w:spacing w:line="360" w:lineRule="auto"/>
        <w:rPr>
          <w:rFonts w:asciiTheme="minorBidi" w:hAnsiTheme="minorBidi"/>
        </w:rPr>
      </w:pPr>
    </w:p>
    <w:p w14:paraId="2286229C" w14:textId="4F770D26" w:rsidR="006B1A54" w:rsidRPr="00CD33A8" w:rsidRDefault="006B1A54" w:rsidP="006B1A54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D33A8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CD33A8">
        <w:rPr>
          <w:rFonts w:ascii="Arial" w:hAnsi="Arial" w:cs="Arial"/>
          <w:sz w:val="28"/>
          <w:szCs w:val="28"/>
          <w:lang w:val="nl-NL"/>
        </w:rPr>
        <w:t>:</w:t>
      </w:r>
      <w:r w:rsidR="00F9263E">
        <w:rPr>
          <w:rFonts w:ascii="Arial" w:hAnsi="Arial" w:cs="Arial"/>
          <w:sz w:val="28"/>
          <w:szCs w:val="28"/>
          <w:lang w:val="nl-NL"/>
        </w:rPr>
        <w:t xml:space="preserve">         </w:t>
      </w:r>
      <w:r w:rsidRPr="00CD33A8">
        <w:rPr>
          <w:rFonts w:ascii="Arial" w:hAnsi="Arial" w:cs="Arial"/>
          <w:sz w:val="28"/>
          <w:szCs w:val="28"/>
          <w:lang w:val="nl-NL"/>
        </w:rPr>
        <w:t xml:space="preserve"> </w:t>
      </w:r>
      <w:r>
        <w:rPr>
          <w:rFonts w:ascii="Arial" w:hAnsi="Arial" w:cs="Arial"/>
          <w:sz w:val="28"/>
          <w:szCs w:val="28"/>
          <w:lang w:val="nl-NL"/>
        </w:rPr>
        <w:t>Empowering older person</w:t>
      </w:r>
    </w:p>
    <w:p w14:paraId="527C5A62" w14:textId="7006E724" w:rsidR="006B1A54" w:rsidRPr="00CD33A8" w:rsidRDefault="006B1A54" w:rsidP="006B1A54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  <w:lang w:val="nl-NL"/>
        </w:rPr>
      </w:pPr>
      <w:r w:rsidRPr="00CD33A8">
        <w:rPr>
          <w:rFonts w:ascii="Arial" w:hAnsi="Arial" w:cs="Arial"/>
          <w:b/>
          <w:bCs/>
          <w:sz w:val="28"/>
          <w:szCs w:val="28"/>
        </w:rPr>
        <w:t>Module code</w:t>
      </w:r>
      <w:r w:rsidRPr="00CD33A8">
        <w:rPr>
          <w:rFonts w:ascii="Arial" w:hAnsi="Arial" w:cs="Arial"/>
          <w:sz w:val="28"/>
          <w:szCs w:val="28"/>
        </w:rPr>
        <w:t>:</w:t>
      </w:r>
      <w:r w:rsidR="00F9263E">
        <w:rPr>
          <w:rFonts w:ascii="Arial" w:hAnsi="Arial" w:cs="Arial"/>
          <w:sz w:val="28"/>
          <w:szCs w:val="28"/>
        </w:rPr>
        <w:t xml:space="preserve">          </w:t>
      </w:r>
      <w:r>
        <w:rPr>
          <w:rFonts w:ascii="Arial" w:hAnsi="Arial" w:cs="Arial"/>
          <w:sz w:val="28"/>
          <w:szCs w:val="28"/>
        </w:rPr>
        <w:t xml:space="preserve"> BMHP 6027</w:t>
      </w:r>
    </w:p>
    <w:p w14:paraId="07A4317B" w14:textId="7A0AC30D" w:rsidR="006B1A54" w:rsidRPr="00CD33A8" w:rsidRDefault="006B1A54" w:rsidP="006B1A54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D33A8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CD33A8">
        <w:rPr>
          <w:rFonts w:ascii="Arial" w:hAnsi="Arial" w:cs="Arial"/>
          <w:sz w:val="28"/>
          <w:szCs w:val="28"/>
          <w:lang w:val="nl-NL"/>
        </w:rPr>
        <w:t>:</w:t>
      </w:r>
      <w:r w:rsidR="00F9263E">
        <w:rPr>
          <w:rFonts w:ascii="Arial" w:hAnsi="Arial" w:cs="Arial"/>
          <w:sz w:val="28"/>
          <w:szCs w:val="28"/>
          <w:lang w:val="nl-NL"/>
        </w:rPr>
        <w:t xml:space="preserve">        </w:t>
      </w:r>
      <w:r>
        <w:rPr>
          <w:rFonts w:ascii="Arial" w:hAnsi="Arial" w:cs="Arial"/>
          <w:sz w:val="28"/>
          <w:szCs w:val="28"/>
          <w:lang w:val="nl-NL"/>
        </w:rPr>
        <w:t xml:space="preserve"> Patricia Amofa</w:t>
      </w:r>
    </w:p>
    <w:p w14:paraId="5963A223" w14:textId="1E391DEF" w:rsidR="006B1A54" w:rsidRPr="00CD33A8" w:rsidRDefault="006B1A54" w:rsidP="006B1A54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D33A8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CD33A8">
        <w:rPr>
          <w:rFonts w:ascii="Arial" w:hAnsi="Arial" w:cs="Arial"/>
          <w:sz w:val="28"/>
          <w:szCs w:val="28"/>
          <w:lang w:val="nl-NL"/>
        </w:rPr>
        <w:t>:</w:t>
      </w:r>
      <w:r>
        <w:rPr>
          <w:rFonts w:ascii="Arial" w:hAnsi="Arial" w:cs="Arial"/>
          <w:sz w:val="28"/>
          <w:szCs w:val="28"/>
          <w:lang w:val="nl-NL"/>
        </w:rPr>
        <w:t xml:space="preserve"> </w:t>
      </w:r>
      <w:r w:rsidR="00F9263E">
        <w:rPr>
          <w:rFonts w:ascii="Arial" w:hAnsi="Arial" w:cs="Arial"/>
          <w:sz w:val="28"/>
          <w:szCs w:val="28"/>
          <w:lang w:val="nl-NL"/>
        </w:rPr>
        <w:t xml:space="preserve">              </w:t>
      </w:r>
      <w:r>
        <w:rPr>
          <w:rFonts w:ascii="Arial" w:hAnsi="Arial" w:cs="Arial"/>
          <w:sz w:val="28"/>
          <w:szCs w:val="28"/>
          <w:lang w:val="nl-NL"/>
        </w:rPr>
        <w:t>2315962</w:t>
      </w:r>
    </w:p>
    <w:p w14:paraId="06BB3611" w14:textId="47C3591C" w:rsidR="006B1A54" w:rsidRPr="00BD47B5" w:rsidRDefault="006B1A54" w:rsidP="006B1A54">
      <w:pPr>
        <w:tabs>
          <w:tab w:val="left" w:pos="6540"/>
        </w:tabs>
        <w:spacing w:line="360" w:lineRule="auto"/>
        <w:rPr>
          <w:rFonts w:asciiTheme="minorBidi" w:hAnsiTheme="minorBidi"/>
          <w:sz w:val="32"/>
          <w:szCs w:val="32"/>
        </w:rPr>
      </w:pPr>
      <w:r w:rsidRPr="00BD47B5">
        <w:rPr>
          <w:rFonts w:asciiTheme="minorBidi" w:hAnsiTheme="minorBidi"/>
          <w:b/>
          <w:bCs/>
          <w:sz w:val="32"/>
          <w:szCs w:val="32"/>
        </w:rPr>
        <w:t>Lecturer</w:t>
      </w:r>
      <w:r w:rsidRPr="00BD47B5">
        <w:rPr>
          <w:rFonts w:asciiTheme="minorBidi" w:hAnsiTheme="minorBidi"/>
          <w:sz w:val="32"/>
          <w:szCs w:val="32"/>
        </w:rPr>
        <w:t>:</w:t>
      </w:r>
      <w:r w:rsidR="00F9263E">
        <w:rPr>
          <w:rFonts w:asciiTheme="minorBidi" w:hAnsiTheme="minorBidi"/>
          <w:sz w:val="32"/>
          <w:szCs w:val="32"/>
        </w:rPr>
        <w:t xml:space="preserve">                </w:t>
      </w:r>
      <w:r>
        <w:rPr>
          <w:rFonts w:asciiTheme="minorBidi" w:hAnsiTheme="minorBidi"/>
          <w:sz w:val="32"/>
          <w:szCs w:val="32"/>
        </w:rPr>
        <w:t xml:space="preserve"> Amed Arif</w:t>
      </w:r>
    </w:p>
    <w:p w14:paraId="5715D1BD" w14:textId="77777777" w:rsidR="006B1A54" w:rsidRPr="00CD33A8" w:rsidRDefault="006B1A54" w:rsidP="006B1A54">
      <w:pPr>
        <w:tabs>
          <w:tab w:val="left" w:pos="6540"/>
        </w:tabs>
        <w:spacing w:line="360" w:lineRule="auto"/>
        <w:rPr>
          <w:rFonts w:asciiTheme="minorBidi" w:hAnsiTheme="minorBidi"/>
        </w:rPr>
      </w:pPr>
    </w:p>
    <w:p w14:paraId="7B1C15E6" w14:textId="77777777" w:rsidR="006B1A54" w:rsidRPr="00CD33A8" w:rsidRDefault="006B1A54" w:rsidP="006B1A54">
      <w:pPr>
        <w:tabs>
          <w:tab w:val="left" w:pos="6540"/>
        </w:tabs>
        <w:spacing w:line="360" w:lineRule="auto"/>
        <w:rPr>
          <w:rFonts w:asciiTheme="minorBidi" w:hAnsiTheme="minorBidi"/>
        </w:rPr>
      </w:pPr>
    </w:p>
    <w:p w14:paraId="7F811B60" w14:textId="77777777" w:rsidR="006B1A54" w:rsidRPr="00CD33A8" w:rsidRDefault="006B1A54" w:rsidP="006B1A54">
      <w:pPr>
        <w:tabs>
          <w:tab w:val="left" w:pos="6540"/>
        </w:tabs>
        <w:spacing w:line="360" w:lineRule="auto"/>
        <w:rPr>
          <w:rFonts w:asciiTheme="minorBidi" w:hAnsiTheme="minorBidi"/>
        </w:rPr>
      </w:pPr>
    </w:p>
    <w:p w14:paraId="22C623BA" w14:textId="77777777" w:rsidR="005B73D2" w:rsidRDefault="005B73D2">
      <w:r>
        <w:br w:type="page"/>
      </w:r>
    </w:p>
    <w:p w14:paraId="04A2C461" w14:textId="77777777" w:rsidR="00F32D9E" w:rsidRDefault="00F32D9E" w:rsidP="00F32D9E">
      <w:pPr>
        <w:rPr>
          <w:b/>
          <w:bCs/>
          <w:lang w:val="en-US"/>
        </w:rPr>
      </w:pPr>
      <w:r w:rsidRPr="001E52FC">
        <w:rPr>
          <w:b/>
          <w:bCs/>
          <w:lang w:val="en-US"/>
        </w:rPr>
        <w:lastRenderedPageBreak/>
        <w:t>References</w:t>
      </w:r>
    </w:p>
    <w:p w14:paraId="735462ED" w14:textId="77777777" w:rsidR="00F32D9E" w:rsidRPr="00EE5561" w:rsidRDefault="00F32D9E" w:rsidP="00F32D9E">
      <w:pPr>
        <w:ind w:left="360"/>
        <w:jc w:val="both"/>
        <w:rPr>
          <w:lang w:val="en-US"/>
        </w:rPr>
      </w:pPr>
      <w:r w:rsidRPr="00EE5561">
        <w:rPr>
          <w:lang w:val="en-US"/>
        </w:rPr>
        <w:t xml:space="preserve">Boulos, M., Wheeler, S., Tavares, C. and Jones, R. (2011) ‘How smartphones are changing the face of mobile health’, </w:t>
      </w:r>
      <w:proofErr w:type="spellStart"/>
      <w:r w:rsidRPr="00EE5561">
        <w:rPr>
          <w:i/>
          <w:iCs/>
          <w:lang w:val="en-US"/>
        </w:rPr>
        <w:t>BioMedical</w:t>
      </w:r>
      <w:proofErr w:type="spellEnd"/>
      <w:r w:rsidRPr="00EE5561">
        <w:rPr>
          <w:i/>
          <w:iCs/>
          <w:lang w:val="en-US"/>
        </w:rPr>
        <w:t xml:space="preserve"> Engineering Online</w:t>
      </w:r>
      <w:r w:rsidRPr="00EE5561">
        <w:rPr>
          <w:lang w:val="en-US"/>
        </w:rPr>
        <w:t>, 10(24), pp. 1–14.</w:t>
      </w:r>
    </w:p>
    <w:p w14:paraId="076405F4" w14:textId="77777777" w:rsidR="00F32D9E" w:rsidRPr="00EE5561" w:rsidRDefault="00F32D9E" w:rsidP="00F32D9E">
      <w:pPr>
        <w:ind w:left="360"/>
        <w:rPr>
          <w:b/>
          <w:bCs/>
          <w:lang w:val="en-US"/>
        </w:rPr>
      </w:pPr>
      <w:r w:rsidRPr="00EE5561">
        <w:rPr>
          <w:lang w:val="en-US"/>
        </w:rPr>
        <w:t xml:space="preserve">Brickwood, K., Watson, G., O’Brien, J. and Williams, A. (2019) ‘Consumer-based wearable activity trackers increase physical activity participation: systematic review and meta-analysis’, </w:t>
      </w:r>
      <w:r w:rsidRPr="00EE5561">
        <w:rPr>
          <w:i/>
          <w:iCs/>
          <w:lang w:val="en-US"/>
        </w:rPr>
        <w:t xml:space="preserve">JMIR mHealth and </w:t>
      </w:r>
      <w:proofErr w:type="spellStart"/>
      <w:r w:rsidRPr="00EE5561">
        <w:rPr>
          <w:i/>
          <w:iCs/>
          <w:lang w:val="en-US"/>
        </w:rPr>
        <w:t>uHealth</w:t>
      </w:r>
      <w:proofErr w:type="spellEnd"/>
      <w:r w:rsidRPr="00EE5561">
        <w:rPr>
          <w:lang w:val="en-US"/>
        </w:rPr>
        <w:t>, 7(4), pp. 1–12.</w:t>
      </w:r>
    </w:p>
    <w:p w14:paraId="23450BD4" w14:textId="77777777" w:rsidR="00F32D9E" w:rsidRPr="00EE5561" w:rsidRDefault="00F32D9E" w:rsidP="00F32D9E">
      <w:pPr>
        <w:ind w:left="360"/>
        <w:jc w:val="both"/>
        <w:rPr>
          <w:lang w:val="en-US"/>
        </w:rPr>
      </w:pPr>
      <w:r w:rsidRPr="00EE5561">
        <w:rPr>
          <w:lang w:val="en-US"/>
        </w:rPr>
        <w:t xml:space="preserve">Cimperman, M., Brenčič, M., </w:t>
      </w:r>
      <w:proofErr w:type="spellStart"/>
      <w:r w:rsidRPr="00EE5561">
        <w:rPr>
          <w:lang w:val="en-US"/>
        </w:rPr>
        <w:t>Trkman</w:t>
      </w:r>
      <w:proofErr w:type="spellEnd"/>
      <w:r w:rsidRPr="00EE5561">
        <w:rPr>
          <w:lang w:val="en-US"/>
        </w:rPr>
        <w:t xml:space="preserve">, P. and Stanonik, M. (2016) ‘Older adults’ perceptions of home telehealth services’, </w:t>
      </w:r>
      <w:r w:rsidRPr="00EE5561">
        <w:rPr>
          <w:i/>
          <w:iCs/>
          <w:lang w:val="en-US"/>
        </w:rPr>
        <w:t>Telemedicine and e-Health</w:t>
      </w:r>
      <w:r w:rsidRPr="00EE5561">
        <w:rPr>
          <w:lang w:val="en-US"/>
        </w:rPr>
        <w:t>, 22(10), pp. 1–8.</w:t>
      </w:r>
    </w:p>
    <w:p w14:paraId="2AE3819C" w14:textId="77777777" w:rsidR="00F32D9E" w:rsidRPr="00EE5561" w:rsidRDefault="00F32D9E" w:rsidP="00F32D9E">
      <w:pPr>
        <w:ind w:left="360"/>
        <w:jc w:val="both"/>
        <w:rPr>
          <w:lang w:val="en-US"/>
        </w:rPr>
      </w:pPr>
      <w:r w:rsidRPr="00EE5561">
        <w:rPr>
          <w:lang w:val="en-US"/>
        </w:rPr>
        <w:t xml:space="preserve">Coughlin, J., Pope, J. and Leedle, B. (2006) ‘Old age, new technology, and future innovations in disease management and home health care’, </w:t>
      </w:r>
      <w:r w:rsidRPr="00EE5561">
        <w:rPr>
          <w:i/>
          <w:iCs/>
          <w:lang w:val="en-US"/>
        </w:rPr>
        <w:t>Home Health Care Management &amp; Practice</w:t>
      </w:r>
      <w:r w:rsidRPr="00EE5561">
        <w:rPr>
          <w:lang w:val="en-US"/>
        </w:rPr>
        <w:t>, 18(3), pp. 196–207.</w:t>
      </w:r>
    </w:p>
    <w:p w14:paraId="74EFFCFC" w14:textId="77777777" w:rsidR="00F32D9E" w:rsidRPr="00EE5561" w:rsidRDefault="00F32D9E" w:rsidP="00F32D9E">
      <w:pPr>
        <w:ind w:left="360"/>
        <w:jc w:val="both"/>
        <w:rPr>
          <w:lang w:val="en-US"/>
        </w:rPr>
      </w:pPr>
      <w:proofErr w:type="spellStart"/>
      <w:r w:rsidRPr="00EE5561">
        <w:rPr>
          <w:lang w:val="en-US"/>
        </w:rPr>
        <w:t>Demiris</w:t>
      </w:r>
      <w:proofErr w:type="spellEnd"/>
      <w:r w:rsidRPr="00EE5561">
        <w:rPr>
          <w:lang w:val="en-US"/>
        </w:rPr>
        <w:t xml:space="preserve">, G., Rantz, M., Aud, M., Marek, K., Tyrer, H., Skubic, M. and Hussam, A. (2004) ‘Older adults’ attitudes towards and perceptions of smart home technologies’, </w:t>
      </w:r>
      <w:r w:rsidRPr="00EE5561">
        <w:rPr>
          <w:i/>
          <w:iCs/>
          <w:lang w:val="en-US"/>
        </w:rPr>
        <w:t>Medical Informatics and the Internet in Medicine</w:t>
      </w:r>
      <w:r w:rsidRPr="00EE5561">
        <w:rPr>
          <w:lang w:val="en-US"/>
        </w:rPr>
        <w:t>, 29(2), pp. 87–94.</w:t>
      </w:r>
    </w:p>
    <w:p w14:paraId="35C93C0B" w14:textId="77777777" w:rsidR="00F32D9E" w:rsidRPr="00EE5561" w:rsidRDefault="00F32D9E" w:rsidP="00F32D9E">
      <w:pPr>
        <w:ind w:left="360"/>
        <w:jc w:val="both"/>
        <w:rPr>
          <w:lang w:val="en-US"/>
        </w:rPr>
      </w:pPr>
      <w:r w:rsidRPr="00EE5561">
        <w:rPr>
          <w:lang w:val="en-US"/>
        </w:rPr>
        <w:t xml:space="preserve">Free, C., Phillips, G., Watson, L., Galli, L., Felix, L., Edwards, P., Patel, V. and Haines, A. (2013) ‘The effectiveness of mobile-health technologies to improve health care service delivery’, </w:t>
      </w:r>
      <w:proofErr w:type="spellStart"/>
      <w:r w:rsidRPr="00EE5561">
        <w:rPr>
          <w:i/>
          <w:iCs/>
          <w:lang w:val="en-US"/>
        </w:rPr>
        <w:t>PLoS</w:t>
      </w:r>
      <w:proofErr w:type="spellEnd"/>
      <w:r w:rsidRPr="00EE5561">
        <w:rPr>
          <w:i/>
          <w:iCs/>
          <w:lang w:val="en-US"/>
        </w:rPr>
        <w:t xml:space="preserve"> Medicine</w:t>
      </w:r>
      <w:r w:rsidRPr="00EE5561">
        <w:rPr>
          <w:lang w:val="en-US"/>
        </w:rPr>
        <w:t>, 10(1), pp. 1–12.</w:t>
      </w:r>
    </w:p>
    <w:p w14:paraId="04114C70" w14:textId="77777777" w:rsidR="00F32D9E" w:rsidRPr="00EE5561" w:rsidRDefault="00F32D9E" w:rsidP="00F32D9E">
      <w:pPr>
        <w:ind w:left="360"/>
        <w:jc w:val="both"/>
        <w:rPr>
          <w:lang w:val="en-US"/>
        </w:rPr>
      </w:pPr>
      <w:r w:rsidRPr="00EE5561">
        <w:rPr>
          <w:lang w:val="en-US"/>
        </w:rPr>
        <w:t xml:space="preserve">Heart, T. and </w:t>
      </w:r>
      <w:proofErr w:type="spellStart"/>
      <w:r w:rsidRPr="00EE5561">
        <w:rPr>
          <w:lang w:val="en-US"/>
        </w:rPr>
        <w:t>Kalderon</w:t>
      </w:r>
      <w:proofErr w:type="spellEnd"/>
      <w:r w:rsidRPr="00EE5561">
        <w:rPr>
          <w:lang w:val="en-US"/>
        </w:rPr>
        <w:t xml:space="preserve">, E. (2013) ‘Older adults: Are they ready to adopt health-related ICT?’, </w:t>
      </w:r>
      <w:r w:rsidRPr="00EE5561">
        <w:rPr>
          <w:i/>
          <w:iCs/>
          <w:lang w:val="en-US"/>
        </w:rPr>
        <w:t>International Journal of Medical Informatics</w:t>
      </w:r>
      <w:r w:rsidRPr="00EE5561">
        <w:rPr>
          <w:lang w:val="en-US"/>
        </w:rPr>
        <w:t>, 82(11), pp. 209–231.</w:t>
      </w:r>
    </w:p>
    <w:p w14:paraId="26AE2162" w14:textId="77777777" w:rsidR="00F32D9E" w:rsidRPr="00EE5561" w:rsidRDefault="00F32D9E" w:rsidP="00F32D9E">
      <w:pPr>
        <w:ind w:left="360"/>
        <w:jc w:val="both"/>
        <w:rPr>
          <w:lang w:val="en-US"/>
        </w:rPr>
      </w:pPr>
      <w:r w:rsidRPr="00EE5561">
        <w:rPr>
          <w:lang w:val="en-US"/>
        </w:rPr>
        <w:t xml:space="preserve">Kaplan, B. and </w:t>
      </w:r>
      <w:proofErr w:type="spellStart"/>
      <w:r w:rsidRPr="00EE5561">
        <w:rPr>
          <w:lang w:val="en-US"/>
        </w:rPr>
        <w:t>Litewka</w:t>
      </w:r>
      <w:proofErr w:type="spellEnd"/>
      <w:r w:rsidRPr="00EE5561">
        <w:rPr>
          <w:lang w:val="en-US"/>
        </w:rPr>
        <w:t xml:space="preserve">, S. (2008) ‘Ethical challenges of telemedicine and telehealth’, </w:t>
      </w:r>
      <w:r w:rsidRPr="00EE5561">
        <w:rPr>
          <w:i/>
          <w:iCs/>
          <w:lang w:val="en-US"/>
        </w:rPr>
        <w:t>Cambridge Quarterly of Healthcare Ethics</w:t>
      </w:r>
      <w:r w:rsidRPr="00EE5561">
        <w:rPr>
          <w:lang w:val="en-US"/>
        </w:rPr>
        <w:t>, 17(4), pp. 401–416.</w:t>
      </w:r>
    </w:p>
    <w:p w14:paraId="01436507" w14:textId="77777777" w:rsidR="00F32D9E" w:rsidRPr="00EE5561" w:rsidRDefault="00F32D9E" w:rsidP="00F32D9E">
      <w:pPr>
        <w:ind w:left="360"/>
        <w:jc w:val="both"/>
        <w:rPr>
          <w:lang w:val="en-US"/>
        </w:rPr>
      </w:pPr>
      <w:r w:rsidRPr="00EE5561">
        <w:rPr>
          <w:lang w:val="en-US"/>
        </w:rPr>
        <w:t xml:space="preserve">Lee, C. and Coughlin, J. (2015) ‘Perspective: Older adults’ adoption of technology’, </w:t>
      </w:r>
      <w:r w:rsidRPr="00EE5561">
        <w:rPr>
          <w:i/>
          <w:iCs/>
          <w:lang w:val="en-US"/>
        </w:rPr>
        <w:t>Journal of Product Innovation Management</w:t>
      </w:r>
      <w:r w:rsidRPr="00EE5561">
        <w:rPr>
          <w:lang w:val="en-US"/>
        </w:rPr>
        <w:t>, 32(5), pp. 747–759.</w:t>
      </w:r>
    </w:p>
    <w:p w14:paraId="11876868" w14:textId="77777777" w:rsidR="00F32D9E" w:rsidRPr="00EE5561" w:rsidRDefault="00F32D9E" w:rsidP="00F32D9E">
      <w:pPr>
        <w:ind w:left="360"/>
        <w:jc w:val="both"/>
        <w:rPr>
          <w:lang w:val="en-US"/>
        </w:rPr>
      </w:pPr>
      <w:r w:rsidRPr="00EE5561">
        <w:rPr>
          <w:lang w:val="en-US"/>
        </w:rPr>
        <w:t xml:space="preserve">Mitzner, T., Boron, J., Fausset, C., Adams, A., </w:t>
      </w:r>
      <w:proofErr w:type="spellStart"/>
      <w:r w:rsidRPr="00EE5561">
        <w:rPr>
          <w:lang w:val="en-US"/>
        </w:rPr>
        <w:t>Charness</w:t>
      </w:r>
      <w:proofErr w:type="spellEnd"/>
      <w:r w:rsidRPr="00EE5561">
        <w:rPr>
          <w:lang w:val="en-US"/>
        </w:rPr>
        <w:t xml:space="preserve">, N., Czaja, S., Dijkstra, K., Fisk, A., Rogers, W. and Sharit, J. (2010) ‘Older adults talk technology’, </w:t>
      </w:r>
      <w:r w:rsidRPr="00EE5561">
        <w:rPr>
          <w:i/>
          <w:iCs/>
          <w:lang w:val="en-US"/>
        </w:rPr>
        <w:t>Computers in Human Behavior</w:t>
      </w:r>
      <w:r w:rsidRPr="00EE5561">
        <w:rPr>
          <w:lang w:val="en-US"/>
        </w:rPr>
        <w:t>, 26(6), pp. 1710–1721.</w:t>
      </w:r>
    </w:p>
    <w:p w14:paraId="12BD0D5D" w14:textId="77777777" w:rsidR="00F32D9E" w:rsidRPr="00EE5561" w:rsidRDefault="00F32D9E" w:rsidP="00F32D9E">
      <w:pPr>
        <w:ind w:left="360"/>
        <w:jc w:val="both"/>
        <w:rPr>
          <w:lang w:val="en-US"/>
        </w:rPr>
      </w:pPr>
      <w:r w:rsidRPr="00EE5561">
        <w:rPr>
          <w:lang w:val="en-US"/>
        </w:rPr>
        <w:t xml:space="preserve">OECD (2020) </w:t>
      </w:r>
      <w:r w:rsidRPr="00EE5561">
        <w:rPr>
          <w:i/>
          <w:iCs/>
          <w:lang w:val="en-US"/>
        </w:rPr>
        <w:t>Health in the Digital Age</w:t>
      </w:r>
      <w:r w:rsidRPr="00EE5561">
        <w:rPr>
          <w:lang w:val="en-US"/>
        </w:rPr>
        <w:t>. Paris: OECD Publishing.</w:t>
      </w:r>
    </w:p>
    <w:p w14:paraId="79B674DF" w14:textId="77777777" w:rsidR="00F32D9E" w:rsidRPr="00EE5561" w:rsidRDefault="00F32D9E" w:rsidP="00F32D9E">
      <w:pPr>
        <w:ind w:left="360"/>
        <w:jc w:val="both"/>
        <w:rPr>
          <w:lang w:val="en-US"/>
        </w:rPr>
      </w:pPr>
      <w:r w:rsidRPr="00EE5561">
        <w:rPr>
          <w:lang w:val="en-US"/>
        </w:rPr>
        <w:t xml:space="preserve">Patel, M., Asch, D. and Volpp, K. (2015) ‘Wearable devices as facilitators, not drivers, of health </w:t>
      </w:r>
      <w:proofErr w:type="spellStart"/>
      <w:r w:rsidRPr="00EE5561">
        <w:rPr>
          <w:lang w:val="en-US"/>
        </w:rPr>
        <w:t>behaviour</w:t>
      </w:r>
      <w:proofErr w:type="spellEnd"/>
      <w:r w:rsidRPr="00EE5561">
        <w:rPr>
          <w:lang w:val="en-US"/>
        </w:rPr>
        <w:t xml:space="preserve"> change’, </w:t>
      </w:r>
      <w:r w:rsidRPr="00EE5561">
        <w:rPr>
          <w:i/>
          <w:iCs/>
          <w:lang w:val="en-US"/>
        </w:rPr>
        <w:t>JAMA</w:t>
      </w:r>
      <w:r w:rsidRPr="00EE5561">
        <w:rPr>
          <w:lang w:val="en-US"/>
        </w:rPr>
        <w:t>, 313(5), pp. 459–460.</w:t>
      </w:r>
    </w:p>
    <w:p w14:paraId="67AE8D87" w14:textId="77777777" w:rsidR="00F32D9E" w:rsidRPr="00EE5561" w:rsidRDefault="00F32D9E" w:rsidP="00F32D9E">
      <w:pPr>
        <w:ind w:left="360"/>
        <w:jc w:val="both"/>
        <w:rPr>
          <w:lang w:val="en-US"/>
        </w:rPr>
      </w:pPr>
      <w:r w:rsidRPr="00EE5561">
        <w:rPr>
          <w:lang w:val="en-US"/>
        </w:rPr>
        <w:t xml:space="preserve">Peek, S., Wouters, E., Van Hoof, J., </w:t>
      </w:r>
      <w:proofErr w:type="spellStart"/>
      <w:r w:rsidRPr="00EE5561">
        <w:rPr>
          <w:lang w:val="en-US"/>
        </w:rPr>
        <w:t>Luijkx</w:t>
      </w:r>
      <w:proofErr w:type="spellEnd"/>
      <w:r w:rsidRPr="00EE5561">
        <w:rPr>
          <w:lang w:val="en-US"/>
        </w:rPr>
        <w:t xml:space="preserve">, K., Boeije, H. and </w:t>
      </w:r>
      <w:proofErr w:type="spellStart"/>
      <w:r w:rsidRPr="00EE5561">
        <w:rPr>
          <w:lang w:val="en-US"/>
        </w:rPr>
        <w:t>Vrijhoef</w:t>
      </w:r>
      <w:proofErr w:type="spellEnd"/>
      <w:r w:rsidRPr="00EE5561">
        <w:rPr>
          <w:lang w:val="en-US"/>
        </w:rPr>
        <w:t xml:space="preserve">, H. (2014) ‘Factors influencing acceptance of technology for aging in place’, </w:t>
      </w:r>
      <w:r w:rsidRPr="00EE5561">
        <w:rPr>
          <w:i/>
          <w:iCs/>
          <w:lang w:val="en-US"/>
        </w:rPr>
        <w:t>International Journal of Medical Informatics</w:t>
      </w:r>
      <w:r w:rsidRPr="00EE5561">
        <w:rPr>
          <w:lang w:val="en-US"/>
        </w:rPr>
        <w:t>, 83(4), pp. 235–248.</w:t>
      </w:r>
    </w:p>
    <w:p w14:paraId="2E7855AD" w14:textId="77777777" w:rsidR="00F32D9E" w:rsidRPr="00EE5561" w:rsidRDefault="00F32D9E" w:rsidP="00F32D9E">
      <w:pPr>
        <w:ind w:left="360"/>
        <w:jc w:val="both"/>
        <w:rPr>
          <w:lang w:val="en-US"/>
        </w:rPr>
      </w:pPr>
      <w:r w:rsidRPr="00EE5561">
        <w:rPr>
          <w:lang w:val="en-US"/>
        </w:rPr>
        <w:t xml:space="preserve">Ryu, S. (2012) ‘Book review: mHealth: New horizons for health through mobile technologies’, </w:t>
      </w:r>
      <w:r w:rsidRPr="00EE5561">
        <w:rPr>
          <w:i/>
          <w:iCs/>
          <w:lang w:val="en-US"/>
        </w:rPr>
        <w:t>Healthcare Informatics Research</w:t>
      </w:r>
      <w:r w:rsidRPr="00EE5561">
        <w:rPr>
          <w:lang w:val="en-US"/>
        </w:rPr>
        <w:t>, 18(3), pp. 231–233.</w:t>
      </w:r>
    </w:p>
    <w:p w14:paraId="597B9B53" w14:textId="77777777" w:rsidR="00F32D9E" w:rsidRPr="00EE5561" w:rsidRDefault="00F32D9E" w:rsidP="00F32D9E">
      <w:pPr>
        <w:ind w:left="360"/>
        <w:jc w:val="both"/>
        <w:rPr>
          <w:lang w:val="en-US"/>
        </w:rPr>
      </w:pPr>
      <w:r w:rsidRPr="00EE5561">
        <w:rPr>
          <w:lang w:val="en-US"/>
        </w:rPr>
        <w:lastRenderedPageBreak/>
        <w:t xml:space="preserve">Smith, A. (2014) </w:t>
      </w:r>
      <w:r w:rsidRPr="00EE5561">
        <w:rPr>
          <w:i/>
          <w:iCs/>
          <w:lang w:val="en-US"/>
        </w:rPr>
        <w:t>Older adults and technology use</w:t>
      </w:r>
      <w:r w:rsidRPr="00EE5561">
        <w:rPr>
          <w:lang w:val="en-US"/>
        </w:rPr>
        <w:t>. Washington, DC: Pew Research Center.</w:t>
      </w:r>
    </w:p>
    <w:p w14:paraId="760291F2" w14:textId="77777777" w:rsidR="00F32D9E" w:rsidRPr="00EE5561" w:rsidRDefault="00F32D9E" w:rsidP="00F32D9E">
      <w:pPr>
        <w:ind w:left="360"/>
        <w:jc w:val="both"/>
        <w:rPr>
          <w:lang w:val="en-US"/>
        </w:rPr>
      </w:pPr>
      <w:proofErr w:type="spellStart"/>
      <w:r w:rsidRPr="00EE5561">
        <w:rPr>
          <w:lang w:val="en-US"/>
        </w:rPr>
        <w:t>Steinhubl</w:t>
      </w:r>
      <w:proofErr w:type="spellEnd"/>
      <w:r w:rsidRPr="00EE5561">
        <w:rPr>
          <w:lang w:val="en-US"/>
        </w:rPr>
        <w:t xml:space="preserve">, S., Muse, E. and Topol, E. (2015) ‘Can mobile health technologies transform health care?’, </w:t>
      </w:r>
      <w:r w:rsidRPr="00EE5561">
        <w:rPr>
          <w:i/>
          <w:iCs/>
          <w:lang w:val="en-US"/>
        </w:rPr>
        <w:t>JAMA</w:t>
      </w:r>
      <w:r w:rsidRPr="00EE5561">
        <w:rPr>
          <w:lang w:val="en-US"/>
        </w:rPr>
        <w:t>, 310(22), pp. 2395–2396.</w:t>
      </w:r>
    </w:p>
    <w:p w14:paraId="5BA5E61A" w14:textId="77777777" w:rsidR="00F32D9E" w:rsidRPr="00EE5561" w:rsidRDefault="00F32D9E" w:rsidP="00F32D9E">
      <w:pPr>
        <w:ind w:left="360"/>
        <w:jc w:val="both"/>
        <w:rPr>
          <w:lang w:val="en-US"/>
        </w:rPr>
      </w:pPr>
      <w:r w:rsidRPr="00EE5561">
        <w:rPr>
          <w:lang w:val="en-US"/>
        </w:rPr>
        <w:t xml:space="preserve">Topol, E. (2015) </w:t>
      </w:r>
      <w:r w:rsidRPr="00EE5561">
        <w:rPr>
          <w:i/>
          <w:iCs/>
          <w:lang w:val="en-US"/>
        </w:rPr>
        <w:t>The Patient Will See You Now: The Future of Medicine is in Your Hands</w:t>
      </w:r>
      <w:r w:rsidRPr="00EE5561">
        <w:rPr>
          <w:lang w:val="en-US"/>
        </w:rPr>
        <w:t>. New York: Basic Books.</w:t>
      </w:r>
    </w:p>
    <w:p w14:paraId="06795096" w14:textId="77777777" w:rsidR="00F32D9E" w:rsidRPr="00EE5561" w:rsidRDefault="00F32D9E" w:rsidP="00F32D9E">
      <w:pPr>
        <w:ind w:left="360"/>
        <w:jc w:val="both"/>
        <w:rPr>
          <w:lang w:val="en-US"/>
        </w:rPr>
      </w:pPr>
      <w:r w:rsidRPr="00EE5561">
        <w:rPr>
          <w:lang w:val="en-US"/>
        </w:rPr>
        <w:t xml:space="preserve">Ventola, C. (2014) ‘Mobile devices and apps for health care professionals’, </w:t>
      </w:r>
      <w:r w:rsidRPr="00EE5561">
        <w:rPr>
          <w:i/>
          <w:iCs/>
          <w:lang w:val="en-US"/>
        </w:rPr>
        <w:t>Pharmacy and Therapeutics</w:t>
      </w:r>
      <w:r w:rsidRPr="00EE5561">
        <w:rPr>
          <w:lang w:val="en-US"/>
        </w:rPr>
        <w:t>, 39(5), pp. 356–364.</w:t>
      </w:r>
    </w:p>
    <w:p w14:paraId="7715357F" w14:textId="77777777" w:rsidR="00F32D9E" w:rsidRPr="00EE5561" w:rsidRDefault="00F32D9E" w:rsidP="00F32D9E">
      <w:pPr>
        <w:ind w:left="360"/>
        <w:jc w:val="both"/>
        <w:rPr>
          <w:lang w:val="en-US"/>
        </w:rPr>
      </w:pPr>
      <w:r w:rsidRPr="00EE5561">
        <w:rPr>
          <w:lang w:val="en-US"/>
        </w:rPr>
        <w:t xml:space="preserve">WHO (2019) </w:t>
      </w:r>
      <w:r w:rsidRPr="00EE5561">
        <w:rPr>
          <w:i/>
          <w:iCs/>
          <w:lang w:val="en-US"/>
        </w:rPr>
        <w:t>Recommendations on Digital Interventions for Health System Strengthening</w:t>
      </w:r>
      <w:r w:rsidRPr="00EE5561">
        <w:rPr>
          <w:lang w:val="en-US"/>
        </w:rPr>
        <w:t>. Geneva: World Health Organization.</w:t>
      </w:r>
    </w:p>
    <w:p w14:paraId="03B25362" w14:textId="77777777" w:rsidR="00F32D9E" w:rsidRPr="00EE5561" w:rsidRDefault="00F32D9E" w:rsidP="00F32D9E">
      <w:pPr>
        <w:ind w:left="360"/>
        <w:jc w:val="both"/>
        <w:rPr>
          <w:lang w:val="en-US"/>
        </w:rPr>
      </w:pPr>
      <w:r w:rsidRPr="00EE5561">
        <w:rPr>
          <w:lang w:val="en-US"/>
        </w:rPr>
        <w:t xml:space="preserve">World Health Organization (2021) </w:t>
      </w:r>
      <w:r w:rsidRPr="00EE5561">
        <w:rPr>
          <w:i/>
          <w:iCs/>
          <w:lang w:val="en-US"/>
        </w:rPr>
        <w:t>Global Strategy on Digital Health 2020–2025</w:t>
      </w:r>
      <w:r w:rsidRPr="00EE5561">
        <w:rPr>
          <w:lang w:val="en-US"/>
        </w:rPr>
        <w:t>. Geneva: WHO.</w:t>
      </w:r>
    </w:p>
    <w:p w14:paraId="06F3E862" w14:textId="77777777" w:rsidR="005B73D2" w:rsidRDefault="005B73D2"/>
    <w:sectPr w:rsidR="005B73D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73D2"/>
    <w:rsid w:val="005B73D2"/>
    <w:rsid w:val="006366C9"/>
    <w:rsid w:val="006B1A54"/>
    <w:rsid w:val="006E15D4"/>
    <w:rsid w:val="00A86225"/>
    <w:rsid w:val="00B64ECB"/>
    <w:rsid w:val="00C35AEB"/>
    <w:rsid w:val="00C7503A"/>
    <w:rsid w:val="00D27CB6"/>
    <w:rsid w:val="00F32D9E"/>
    <w:rsid w:val="00F926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99E06F"/>
  <w15:chartTrackingRefBased/>
  <w15:docId w15:val="{44D6DEFC-299F-4F93-BABD-2524316020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B73D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B73D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B73D2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B73D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B73D2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B73D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B73D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B73D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B73D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B73D2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B73D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B73D2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B73D2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B73D2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B73D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B73D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B73D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B73D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B73D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B73D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B73D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B73D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B73D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B73D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B73D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B73D2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B73D2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B73D2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B73D2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D3EB58D5E805447A67E6E3AC2AA098F" ma:contentTypeVersion="8" ma:contentTypeDescription="Create a new document." ma:contentTypeScope="" ma:versionID="82fd96fb5f0183799128fb3c9d467ec1">
  <xsd:schema xmlns:xsd="http://www.w3.org/2001/XMLSchema" xmlns:xs="http://www.w3.org/2001/XMLSchema" xmlns:p="http://schemas.microsoft.com/office/2006/metadata/properties" xmlns:ns3="5b0da114-0538-4a78-995a-f0bd13903525" xmlns:ns4="076a45e5-8aef-46c2-8bf0-bde5428c276d" targetNamespace="http://schemas.microsoft.com/office/2006/metadata/properties" ma:root="true" ma:fieldsID="a0e5a498f91a8e99f90af4c9093d377e" ns3:_="" ns4:_="">
    <xsd:import namespace="5b0da114-0538-4a78-995a-f0bd13903525"/>
    <xsd:import namespace="076a45e5-8aef-46c2-8bf0-bde5428c276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b0da114-0538-4a78-995a-f0bd1390352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76a45e5-8aef-46c2-8bf0-bde5428c276d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b0da114-0538-4a78-995a-f0bd13903525" xsi:nil="true"/>
  </documentManagement>
</p:properties>
</file>

<file path=customXml/itemProps1.xml><?xml version="1.0" encoding="utf-8"?>
<ds:datastoreItem xmlns:ds="http://schemas.openxmlformats.org/officeDocument/2006/customXml" ds:itemID="{ABD4692C-7459-4DE4-945A-ABACC221579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b0da114-0538-4a78-995a-f0bd13903525"/>
    <ds:schemaRef ds:uri="076a45e5-8aef-46c2-8bf0-bde5428c276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A19A066-4CF2-4135-8EA2-89E025B5D81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8F489BE-A085-4238-96D7-DD37DC8032E7}">
  <ds:schemaRefs>
    <ds:schemaRef ds:uri="http://schemas.microsoft.com/office/2006/metadata/properties"/>
    <ds:schemaRef ds:uri="http://schemas.microsoft.com/office/infopath/2007/PartnerControls"/>
    <ds:schemaRef ds:uri="5b0da114-0538-4a78-995a-f0bd13903525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497</Words>
  <Characters>2834</Characters>
  <Application>Microsoft Office Word</Application>
  <DocSecurity>0</DocSecurity>
  <Lines>23</Lines>
  <Paragraphs>6</Paragraphs>
  <ScaleCrop>false</ScaleCrop>
  <Company/>
  <LinksUpToDate>false</LinksUpToDate>
  <CharactersWithSpaces>3325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Patricia A</dc:creator>
  <cp:keywords/>
  <dc:description/>
  <cp:lastModifiedBy>Patricia A</cp:lastModifiedBy>
  <cp:revision>4</cp:revision>
  <dcterms:created xsi:type="dcterms:W3CDTF">2026-04-05T19:28:00Z</dcterms:created>
  <dcterms:modified xsi:type="dcterms:W3CDTF">2026-04-05T19:30:00Z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0x0101008D3EB58D5E805447A67E6E3AC2AA098F</vt:lpwstr>
  </property>
</Properties>
</file>