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3186" w:rsidRPr="00B61EEB" w:rsidRDefault="001A1DE3">
      <w:pPr>
        <w:rPr>
          <w:rFonts w:ascii="Trebuchet MS" w:hAnsi="Trebuchet MS" w:cs="Tahoma-Bold"/>
          <w:b/>
          <w:bCs/>
          <w:sz w:val="24"/>
          <w:szCs w:val="24"/>
        </w:rPr>
      </w:pPr>
      <w:r w:rsidRPr="00B61EEB">
        <w:rPr>
          <w:rFonts w:ascii="Trebuchet MS" w:hAnsi="Trebuchet MS" w:cs="Tahoma-Bold"/>
          <w:b/>
          <w:bCs/>
          <w:sz w:val="24"/>
          <w:szCs w:val="24"/>
        </w:rPr>
        <w:t>3.3 Ratio</w:t>
      </w:r>
      <w:bookmarkStart w:id="0" w:name="_GoBack"/>
      <w:bookmarkEnd w:id="0"/>
      <w:r w:rsidRPr="00B61EEB">
        <w:rPr>
          <w:rFonts w:ascii="Trebuchet MS" w:hAnsi="Trebuchet MS" w:cs="Tahoma-Bold"/>
          <w:b/>
          <w:bCs/>
          <w:sz w:val="24"/>
          <w:szCs w:val="24"/>
        </w:rPr>
        <w:t>nal Choice Theory (RCT)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RCT was developed as an alternative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 xml:space="preserve">theoretical framework to classical </w:t>
      </w:r>
      <w:r w:rsidR="00B61EEB">
        <w:rPr>
          <w:rFonts w:ascii="Trebuchet MS" w:hAnsi="Trebuchet MS" w:cs="Tahoma"/>
          <w:sz w:val="24"/>
          <w:szCs w:val="24"/>
        </w:rPr>
        <w:t>s</w:t>
      </w:r>
      <w:r w:rsidRPr="00B61EEB">
        <w:rPr>
          <w:rFonts w:ascii="Trebuchet MS" w:hAnsi="Trebuchet MS" w:cs="Tahoma"/>
          <w:sz w:val="24"/>
          <w:szCs w:val="24"/>
        </w:rPr>
        <w:t>ecularization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(Stark and Bainbridge: 1985; Stark and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Bainbridge: 1987; Stark and Finke: 2000). RCT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comprises four elements: an exploration and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interpretation of the empirical data that simply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does not fit the old paradigm; a critique of the</w:t>
      </w:r>
    </w:p>
    <w:p w:rsidR="0034324B" w:rsidRPr="00B61EEB" w:rsidRDefault="0034324B" w:rsidP="00B61EE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old paradigm; an inductive extrapolation of the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new theoretical framework; and projections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derived from the new theory.</w:t>
      </w:r>
      <w:r w:rsidR="00B61EEB">
        <w:rPr>
          <w:rFonts w:ascii="Trebuchet MS" w:hAnsi="Trebuchet MS" w:cs="Tahoma"/>
          <w:sz w:val="24"/>
          <w:szCs w:val="24"/>
        </w:rPr>
        <w:br/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Stark’s critique of the old paradigm argued that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secularization built upon the myth of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modernization’s inherent incompatibility with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religion. This was compounded by the myth of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 past golden age of Christendom, from which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religion had suffered long-term decline. Stark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accepted that religion might one day wither,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but not as a direct result of modernization: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‘After nearly three centuries of utterly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failed prophesies and misrepresentations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of both present and past, it seems time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to carry the secularization doctrine to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the graveyard of failed theories, and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there to whisper, “</w:t>
      </w:r>
      <w:r w:rsidRPr="00B61EEB">
        <w:rPr>
          <w:rFonts w:ascii="Trebuchet MS" w:hAnsi="Trebuchet MS" w:cs="TrebuchetMS-Italic"/>
          <w:i/>
          <w:iCs/>
          <w:color w:val="7030A0"/>
          <w:sz w:val="24"/>
          <w:szCs w:val="24"/>
        </w:rPr>
        <w:t>Requiescat in pace</w:t>
      </w:r>
      <w:r w:rsidRPr="00B61EEB">
        <w:rPr>
          <w:rFonts w:ascii="Trebuchet MS" w:hAnsi="Trebuchet MS" w:cs="Tahoma"/>
          <w:color w:val="7030A0"/>
          <w:sz w:val="24"/>
          <w:szCs w:val="24"/>
        </w:rPr>
        <w:t>”</w:t>
      </w:r>
      <w:r w:rsidR="00B61EEB" w:rsidRPr="00B61EEB">
        <w:rPr>
          <w:rFonts w:ascii="Trebuchet MS" w:hAnsi="Trebuchet MS" w:cs="Tahoma"/>
          <w:color w:val="7030A0"/>
          <w:sz w:val="24"/>
          <w:szCs w:val="24"/>
        </w:rPr>
        <w:t>’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(Stark and Finke: 2000, 79)</w:t>
      </w:r>
      <w:r w:rsidRPr="00B61EEB">
        <w:rPr>
          <w:rFonts w:ascii="Trebuchet MS" w:hAnsi="Trebuchet MS" w:cs="Tahoma"/>
          <w:color w:val="7030A0"/>
          <w:sz w:val="24"/>
          <w:szCs w:val="24"/>
        </w:rPr>
        <w:t>.</w:t>
      </w:r>
    </w:p>
    <w:p w:rsidR="0034324B" w:rsidRPr="00B61EEB" w:rsidRDefault="0034324B" w:rsidP="0034324B">
      <w:pPr>
        <w:rPr>
          <w:rFonts w:ascii="Trebuchet MS" w:hAnsi="Trebuchet MS" w:cs="Tahoma"/>
          <w:color w:val="7030A0"/>
          <w:sz w:val="24"/>
          <w:szCs w:val="24"/>
        </w:rPr>
      </w:pP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The developed theorems of RCT (Stark and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Bainbridge: 1985; Stark and Bainbridge: 1987;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Stark and Finke: 2000) are found by many to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be over-elaborate and unconvincing (Young: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1997; Swatos and Olson: 2000; Christiano et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al.: 2002). Nonetheless, the arguments are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original and provocative, and offer insights into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the empirical realities of religion in the United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States. RCT emphasizes the supply side of the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religious market, arguing that the religious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demand is more or less constant in all cultures.</w:t>
      </w:r>
      <w:r w:rsidR="00B61EEB">
        <w:rPr>
          <w:rFonts w:ascii="Trebuchet MS" w:hAnsi="Trebuchet MS" w:cs="Tahoma"/>
          <w:sz w:val="24"/>
          <w:szCs w:val="24"/>
        </w:rPr>
        <w:t xml:space="preserve">  </w:t>
      </w:r>
      <w:r w:rsidRPr="00B61EEB">
        <w:rPr>
          <w:rFonts w:ascii="Trebuchet MS" w:hAnsi="Trebuchet MS" w:cs="Tahoma"/>
          <w:sz w:val="24"/>
          <w:szCs w:val="24"/>
        </w:rPr>
        <w:t>The European religious market by contrast with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the United States continues to be distorted by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the legacy of state-sponsored religious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monopolies.</w:t>
      </w: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>
        <w:rPr>
          <w:rFonts w:ascii="Trebuchet MS" w:hAnsi="Trebuchet MS" w:cs="Tahoma"/>
          <w:color w:val="7030A0"/>
          <w:sz w:val="24"/>
          <w:szCs w:val="24"/>
        </w:rPr>
        <w:br/>
      </w:r>
      <w:r w:rsidRPr="00B61EEB">
        <w:rPr>
          <w:rFonts w:ascii="Trebuchet MS" w:hAnsi="Trebuchet MS" w:cs="Tahoma"/>
          <w:color w:val="7030A0"/>
          <w:sz w:val="24"/>
          <w:szCs w:val="24"/>
        </w:rPr>
        <w:t>“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Without coercion, the natural condition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of the religious market is one of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numerous competing faiths and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organizations. But for the greater part of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recorded history, societies have been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guided by dominant religions that have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achieved near monopolies through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serving the needs of the state and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recei</w:t>
      </w:r>
      <w:r w:rsidRPr="00B61EEB">
        <w:rPr>
          <w:rFonts w:ascii="Trebuchet MS" w:hAnsi="Trebuchet MS" w:cs="Tahoma"/>
          <w:color w:val="7030A0"/>
          <w:sz w:val="24"/>
          <w:szCs w:val="24"/>
        </w:rPr>
        <w:t>ving coercive support in return</w:t>
      </w:r>
      <w:r w:rsidR="00B61EEB" w:rsidRPr="00B61EEB">
        <w:rPr>
          <w:rFonts w:ascii="Trebuchet MS" w:hAnsi="Trebuchet MS" w:cs="Tahoma"/>
          <w:color w:val="7030A0"/>
          <w:sz w:val="24"/>
          <w:szCs w:val="24"/>
        </w:rPr>
        <w:t>”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(Stark and Bainbridge: 1987, 316)</w:t>
      </w:r>
      <w:r w:rsidRPr="00B61EEB">
        <w:rPr>
          <w:rFonts w:ascii="Trebuchet MS" w:hAnsi="Trebuchet MS" w:cs="Tahoma"/>
          <w:color w:val="7030A0"/>
          <w:sz w:val="24"/>
          <w:szCs w:val="24"/>
        </w:rPr>
        <w:t>.</w:t>
      </w: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>
        <w:rPr>
          <w:rFonts w:ascii="Trebuchet MS" w:hAnsi="Trebuchet MS" w:cs="Tahoma"/>
          <w:sz w:val="24"/>
          <w:szCs w:val="24"/>
        </w:rPr>
        <w:br/>
      </w:r>
      <w:r w:rsidR="0034324B" w:rsidRPr="00B61EEB">
        <w:rPr>
          <w:rFonts w:ascii="Trebuchet MS" w:hAnsi="Trebuchet MS" w:cs="Tahoma"/>
          <w:sz w:val="24"/>
          <w:szCs w:val="24"/>
        </w:rPr>
        <w:t>They identify ‘the circular process of the birth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of sects, their eventual transformation into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churches (if they remain viable), and the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subsequent generation of new sects,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whereupon the cycle repeats.’ (Stark and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Bainbridge: 1987, 278). Religious providers in a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free market become self-marginalized, through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moving towards a position of low tension and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high respectability with the prevailing culture,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which leads inexorably to decline. New high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tension religious sects emerge, alongside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innovative cults, responding to demands that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are unmet by respectable religion. The supply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side is therefore critical to sustained religious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activity: religious buoyancy is continually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dependent upon entrepreneurial creativity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within the religious market. What RCT</w:t>
      </w:r>
    </w:p>
    <w:p w:rsidR="0034324B" w:rsidRPr="00B61EEB" w:rsidRDefault="0034324B" w:rsidP="00B61EE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emphasizes is not a consumer-driven, demandled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commodification of religion, but rather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supply side innovations. Pluralism rather than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 xml:space="preserve">contributing to secularization </w:t>
      </w:r>
      <w:r w:rsidRPr="00B61EEB">
        <w:rPr>
          <w:rFonts w:ascii="Trebuchet MS" w:hAnsi="Trebuchet MS" w:cs="Tahoma"/>
          <w:sz w:val="24"/>
          <w:szCs w:val="24"/>
        </w:rPr>
        <w:lastRenderedPageBreak/>
        <w:t>as a consequence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of relativising competing religious convictions,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is considered instead to be a decisive factor in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enhancing religious vibrancy.</w:t>
      </w:r>
    </w:p>
    <w:p w:rsidR="0034324B" w:rsidRPr="00B61EEB" w:rsidRDefault="0034324B" w:rsidP="0034324B">
      <w:pPr>
        <w:rPr>
          <w:rFonts w:ascii="Trebuchet MS" w:hAnsi="Trebuchet MS" w:cs="Tahoma"/>
          <w:sz w:val="24"/>
          <w:szCs w:val="24"/>
        </w:rPr>
      </w:pP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“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It is when the religious market is free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enough to offer several brands of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religion, at several levels of tension with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the sociocultural environment, that the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greatest proportion of the population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receives appropriate compensators and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responds with firm religious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commitment… Thus religious diversity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along the tension axis in a single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tradition does not undercut the value of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general compensators at all. Rather it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strengthens the general compensators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by combining them with different sets of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specific compensators designed to fit the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various n</w:t>
      </w:r>
      <w:r w:rsidRPr="00B61EEB">
        <w:rPr>
          <w:rFonts w:ascii="Trebuchet MS" w:hAnsi="Trebuchet MS" w:cs="Tahoma"/>
          <w:color w:val="7030A0"/>
          <w:sz w:val="24"/>
          <w:szCs w:val="24"/>
        </w:rPr>
        <w:t>eeds of many classes in society</w:t>
      </w:r>
      <w:r w:rsidR="00B61EEB" w:rsidRPr="00B61EEB">
        <w:rPr>
          <w:rFonts w:ascii="Trebuchet MS" w:hAnsi="Trebuchet MS" w:cs="Tahoma"/>
          <w:color w:val="7030A0"/>
          <w:sz w:val="24"/>
          <w:szCs w:val="24"/>
        </w:rPr>
        <w:t>”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(Stark and Bainbridge: 1987, 149)</w:t>
      </w:r>
      <w:r w:rsidRPr="00B61EEB">
        <w:rPr>
          <w:rFonts w:ascii="Trebuchet MS" w:hAnsi="Trebuchet MS" w:cs="Tahoma"/>
          <w:color w:val="7030A0"/>
          <w:sz w:val="24"/>
          <w:szCs w:val="24"/>
        </w:rPr>
        <w:t>.</w:t>
      </w: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>
        <w:rPr>
          <w:rFonts w:ascii="Trebuchet MS" w:hAnsi="Trebuchet MS" w:cs="Tahoma"/>
          <w:sz w:val="24"/>
          <w:szCs w:val="24"/>
        </w:rPr>
        <w:br/>
      </w:r>
      <w:r w:rsidR="0034324B" w:rsidRPr="00B61EEB">
        <w:rPr>
          <w:rFonts w:ascii="Trebuchet MS" w:hAnsi="Trebuchet MS" w:cs="Tahoma"/>
          <w:sz w:val="24"/>
          <w:szCs w:val="24"/>
        </w:rPr>
        <w:t>As a consequence, the future of religion is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conceived to be cyclical and the linear</w:t>
      </w:r>
    </w:p>
    <w:p w:rsidR="0034324B" w:rsidRPr="00B61EEB" w:rsidRDefault="0034324B" w:rsidP="00B61EE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inevitability of classical secularization theory is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repudiated. The echo of Weber is apparent in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the second sentence of the following predictive</w:t>
      </w:r>
      <w:r w:rsidR="00B61EEB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conclusion:</w:t>
      </w:r>
      <w:r w:rsidR="00B61EEB">
        <w:rPr>
          <w:rFonts w:ascii="Trebuchet MS" w:hAnsi="Trebuchet MS" w:cs="Tahoma"/>
          <w:sz w:val="24"/>
          <w:szCs w:val="24"/>
        </w:rPr>
        <w:br/>
      </w: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“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In the future, as in the past, religion will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be shaped by secular forces but not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destroyed… Secularization has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unchained the human spirit, not stifled it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in a rationalized bureaucratic outbox…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Secularization has meant a decisive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change in the religious life of liberal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democracies, however. We doubt that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any religious organization will ever enjoy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the degree of monopoly held by the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state churches of Europe generations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ago, or even the hegemony achieved by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some denominations for a time in the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United States. Final separation of church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and state will be healthy for religion, for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what it loses in coercive power it will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gain in spiritual virtue. When the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religious market is fully free, people will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still be at liberty to commit themselves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utterly to one particular religion and join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the community of a permanent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congregation. But many will prefer lives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of spiritual quest and sacred adventure,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paralleling careers of secular mobility,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experiencing one religious involvement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after another. It would be wrong to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imagine that all such folk are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unsuccessful chronic seekers or trivial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dabblers and false to conclude the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religions that serve them are nothing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but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inconsequential consumer items</w:t>
      </w:r>
      <w:r w:rsidR="00B61EEB" w:rsidRPr="00B61EEB">
        <w:rPr>
          <w:rFonts w:ascii="Trebuchet MS" w:hAnsi="Trebuchet MS" w:cs="Tahoma"/>
          <w:color w:val="7030A0"/>
          <w:sz w:val="24"/>
          <w:szCs w:val="24"/>
        </w:rPr>
        <w:t>”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(Stark and </w:t>
      </w:r>
      <w:r w:rsidR="00B61EEB">
        <w:rPr>
          <w:rFonts w:ascii="Trebuchet MS" w:hAnsi="Trebuchet MS" w:cs="Tahoma"/>
          <w:color w:val="7030A0"/>
          <w:sz w:val="24"/>
          <w:szCs w:val="24"/>
        </w:rPr>
        <w:t xml:space="preserve"> B</w:t>
      </w:r>
      <w:r w:rsidRPr="00B61EEB">
        <w:rPr>
          <w:rFonts w:ascii="Trebuchet MS" w:hAnsi="Trebuchet MS" w:cs="Tahoma"/>
          <w:color w:val="7030A0"/>
          <w:sz w:val="24"/>
          <w:szCs w:val="24"/>
        </w:rPr>
        <w:t>ainbridge: 1985, 527-9)</w:t>
      </w:r>
      <w:r w:rsidRPr="00B61EEB">
        <w:rPr>
          <w:rFonts w:ascii="Trebuchet MS" w:hAnsi="Trebuchet MS" w:cs="Tahoma"/>
          <w:color w:val="7030A0"/>
          <w:sz w:val="24"/>
          <w:szCs w:val="24"/>
        </w:rPr>
        <w:t>.</w:t>
      </w:r>
    </w:p>
    <w:p w:rsidR="0034324B" w:rsidRPr="00B61EEB" w:rsidRDefault="0034324B" w:rsidP="0034324B">
      <w:pPr>
        <w:rPr>
          <w:rFonts w:ascii="Trebuchet MS" w:hAnsi="Trebuchet MS" w:cs="Tahoma"/>
          <w:color w:val="7030A0"/>
          <w:sz w:val="24"/>
          <w:szCs w:val="24"/>
        </w:rPr>
      </w:pPr>
    </w:p>
    <w:p w:rsidR="0034324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Critics of RCT fall into three camps. First there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are those who argue that RCT is merely one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way of exploring the possibilities of the new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paradigm for the study of resilient religion:</w:t>
      </w:r>
    </w:p>
    <w:p w:rsidR="00D96F76" w:rsidRPr="00B61EEB" w:rsidRDefault="00D96F76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“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…as I understand the new paradigm,</w:t>
      </w:r>
      <w:r w:rsidR="00D96F76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rational choice theories contribute to it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but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do not define or constitute it</w:t>
      </w:r>
      <w:r w:rsidR="00B61EEB" w:rsidRPr="00B61EEB">
        <w:rPr>
          <w:rFonts w:ascii="Trebuchet MS" w:hAnsi="Trebuchet MS" w:cs="Tahoma"/>
          <w:color w:val="7030A0"/>
          <w:sz w:val="24"/>
          <w:szCs w:val="24"/>
        </w:rPr>
        <w:t>”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(Warner: 2005, 66).</w:t>
      </w:r>
    </w:p>
    <w:p w:rsidR="00D96F76" w:rsidRDefault="00D96F76" w:rsidP="00D96F76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>
        <w:rPr>
          <w:rFonts w:ascii="Trebuchet MS" w:hAnsi="Trebuchet MS" w:cs="Tahoma"/>
          <w:sz w:val="24"/>
          <w:szCs w:val="24"/>
        </w:rPr>
        <w:br/>
      </w:r>
      <w:r w:rsidR="0034324B" w:rsidRPr="00B61EEB">
        <w:rPr>
          <w:rFonts w:ascii="Trebuchet MS" w:hAnsi="Trebuchet MS" w:cs="Tahoma"/>
          <w:sz w:val="24"/>
          <w:szCs w:val="24"/>
        </w:rPr>
        <w:t>R. Stephen Warner argued that RCT tends to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overstate the economic interpretative frame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and remains over-dependent upon Kelley’s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(1972) ‘strictness theory’ as the decisive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determinant of congregational viability. For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example, Warner (2005) has studied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growth of Metropolitan Community Churches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that espouse a strongly pro-gay agenda; such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numerical success does not conform</w:t>
      </w:r>
      <w:r w:rsidR="0034324B" w:rsidRPr="00B61EEB"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to high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sz w:val="24"/>
          <w:szCs w:val="24"/>
        </w:rPr>
        <w:t>tension or strictness theory.</w:t>
      </w:r>
      <w:r>
        <w:rPr>
          <w:rFonts w:ascii="Trebuchet MS" w:hAnsi="Trebuchet MS" w:cs="Tahoma"/>
          <w:sz w:val="24"/>
          <w:szCs w:val="24"/>
        </w:rPr>
        <w:t xml:space="preserve">  </w:t>
      </w:r>
    </w:p>
    <w:p w:rsidR="00D96F76" w:rsidRDefault="00D96F76" w:rsidP="00D96F76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34324B" w:rsidRPr="00B61EEB" w:rsidRDefault="0034324B" w:rsidP="00D96F76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lastRenderedPageBreak/>
        <w:t>Second, some argue that, just as RCT makes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sense of American empirical data,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secularization theory, albeit in modified form,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makes better sense of the Western European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context (Davie: 2007). After all, according to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RCT Western Europe should be a hotbed of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 xml:space="preserve">new religious sects and cults, given the </w:t>
      </w:r>
      <w:r w:rsidR="00D96F76">
        <w:rPr>
          <w:rFonts w:ascii="Trebuchet MS" w:hAnsi="Trebuchet MS" w:cs="Tahoma"/>
          <w:sz w:val="24"/>
          <w:szCs w:val="24"/>
        </w:rPr>
        <w:t xml:space="preserve">  s</w:t>
      </w:r>
      <w:r w:rsidRPr="00B61EEB">
        <w:rPr>
          <w:rFonts w:ascii="Trebuchet MS" w:hAnsi="Trebuchet MS" w:cs="Tahoma"/>
          <w:sz w:val="24"/>
          <w:szCs w:val="24"/>
        </w:rPr>
        <w:t>evere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decline of traditional, institutional religion.</w:t>
      </w:r>
      <w:r w:rsidR="00D96F76">
        <w:rPr>
          <w:rFonts w:ascii="Trebuchet MS" w:hAnsi="Trebuchet MS" w:cs="Tahoma"/>
          <w:sz w:val="24"/>
          <w:szCs w:val="24"/>
        </w:rPr>
        <w:t xml:space="preserve">  </w:t>
      </w:r>
      <w:r w:rsidRPr="00B61EEB">
        <w:rPr>
          <w:rFonts w:ascii="Trebuchet MS" w:hAnsi="Trebuchet MS" w:cs="Tahoma"/>
          <w:sz w:val="24"/>
          <w:szCs w:val="24"/>
        </w:rPr>
        <w:t>From this perspective, RCT and secularization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theory both contribute enduring insights, but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neither can claim universal validity at the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expense of the other. Incredulity towards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metanarratives (Lyotard: 1979, 1984) could be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extended to both secularization theory and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RCT.</w:t>
      </w:r>
    </w:p>
    <w:p w:rsidR="0034324B" w:rsidRPr="00B61EEB" w:rsidRDefault="0034324B" w:rsidP="0034324B">
      <w:pPr>
        <w:rPr>
          <w:rFonts w:ascii="Trebuchet MS" w:hAnsi="Trebuchet MS" w:cs="Tahoma"/>
          <w:sz w:val="24"/>
          <w:szCs w:val="24"/>
        </w:rPr>
      </w:pPr>
    </w:p>
    <w:p w:rsidR="0034324B" w:rsidRPr="00B61EEB" w:rsidRDefault="0034324B" w:rsidP="00D96F76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B61EEB">
        <w:rPr>
          <w:rFonts w:ascii="Trebuchet MS" w:hAnsi="Trebuchet MS" w:cs="Tahoma"/>
          <w:sz w:val="24"/>
          <w:szCs w:val="24"/>
        </w:rPr>
        <w:t>The third and most trenchant criticism of RCT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 xml:space="preserve">is exemplified by Bruce, who 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expressed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exasperation at the ‘malign influence of a small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clique of US sociologists of religion’ (1999, 1).</w:t>
      </w:r>
      <w:r w:rsidR="00D96F76">
        <w:rPr>
          <w:rFonts w:ascii="Trebuchet MS" w:hAnsi="Trebuchet MS" w:cs="Tahoma"/>
          <w:sz w:val="24"/>
          <w:szCs w:val="24"/>
        </w:rPr>
        <w:t xml:space="preserve">  </w:t>
      </w:r>
      <w:r w:rsidRPr="00B61EEB">
        <w:rPr>
          <w:rFonts w:ascii="Trebuchet MS" w:hAnsi="Trebuchet MS" w:cs="Tahoma"/>
          <w:sz w:val="24"/>
          <w:szCs w:val="24"/>
        </w:rPr>
        <w:t>For Bruce, the theory is doubly wrong. First, in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its assumptions, RCT presumes a rational and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 xml:space="preserve">economic explanation of religious </w:t>
      </w:r>
      <w:r w:rsidR="00D96F76">
        <w:rPr>
          <w:rFonts w:ascii="Trebuchet MS" w:hAnsi="Trebuchet MS" w:cs="Tahoma"/>
          <w:sz w:val="24"/>
          <w:szCs w:val="24"/>
        </w:rPr>
        <w:t xml:space="preserve">  b</w:t>
      </w:r>
      <w:r w:rsidRPr="00B61EEB">
        <w:rPr>
          <w:rFonts w:ascii="Trebuchet MS" w:hAnsi="Trebuchet MS" w:cs="Tahoma"/>
          <w:sz w:val="24"/>
          <w:szCs w:val="24"/>
        </w:rPr>
        <w:t>ehaviour.</w:t>
      </w:r>
      <w:r w:rsidR="00D96F76">
        <w:rPr>
          <w:rFonts w:ascii="Trebuchet MS" w:hAnsi="Trebuchet MS" w:cs="Tahoma"/>
          <w:sz w:val="24"/>
          <w:szCs w:val="24"/>
        </w:rPr>
        <w:t xml:space="preserve">  </w:t>
      </w:r>
      <w:r w:rsidRPr="00B61EEB">
        <w:rPr>
          <w:rFonts w:ascii="Trebuchet MS" w:hAnsi="Trebuchet MS" w:cs="Tahoma"/>
          <w:sz w:val="24"/>
          <w:szCs w:val="24"/>
        </w:rPr>
        <w:t>However, in the area of religious convictions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people are highly unlikely to make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dispassionate rational choices, and may feel,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particularly in the context of an established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church or a religious monoculture, that the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very notion of religious choice is inappropriate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and superfluous. Second, in its conclusions,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RCT claims that secularization is a self-limiting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cycle that creates opportunities for religious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innovators to emerge. For Bruce it is self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evident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 xml:space="preserve">that religious activity has </w:t>
      </w:r>
      <w:r w:rsidR="00D96F76">
        <w:rPr>
          <w:rFonts w:ascii="Trebuchet MS" w:hAnsi="Trebuchet MS" w:cs="Tahoma"/>
          <w:sz w:val="24"/>
          <w:szCs w:val="24"/>
        </w:rPr>
        <w:t xml:space="preserve"> d</w:t>
      </w:r>
      <w:r w:rsidRPr="00B61EEB">
        <w:rPr>
          <w:rFonts w:ascii="Trebuchet MS" w:hAnsi="Trebuchet MS" w:cs="Tahoma"/>
          <w:sz w:val="24"/>
          <w:szCs w:val="24"/>
        </w:rPr>
        <w:t>eclined in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Europe, not merely because there has been a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failure on the supply side, but because religion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has receded to the margins, becoming an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optional lifestyle accessory to which most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younger Europeans are more or less</w:t>
      </w:r>
      <w:r w:rsidR="00D96F76">
        <w:rPr>
          <w:rFonts w:ascii="Trebuchet MS" w:hAnsi="Trebuchet MS" w:cs="Tahoma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sz w:val="24"/>
          <w:szCs w:val="24"/>
        </w:rPr>
        <w:t>indifferent.</w:t>
      </w:r>
    </w:p>
    <w:p w:rsidR="0034324B" w:rsidRPr="00B61EEB" w:rsidRDefault="0034324B" w:rsidP="0034324B">
      <w:pPr>
        <w:rPr>
          <w:rFonts w:ascii="Trebuchet MS" w:hAnsi="Trebuchet MS" w:cs="Tahoma"/>
          <w:sz w:val="24"/>
          <w:szCs w:val="24"/>
        </w:rPr>
      </w:pPr>
    </w:p>
    <w:p w:rsidR="0034324B" w:rsidRPr="00B61EEB" w:rsidRDefault="00B61EE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“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This is the cancer of choice. To the</w:t>
      </w:r>
      <w:r w:rsidR="00D96F76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34324B" w:rsidRPr="00B61EEB">
        <w:rPr>
          <w:rFonts w:ascii="Trebuchet MS" w:hAnsi="Trebuchet MS" w:cs="Tahoma"/>
          <w:color w:val="7030A0"/>
          <w:sz w:val="24"/>
          <w:szCs w:val="24"/>
        </w:rPr>
        <w:t>extent that we are free to choose our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religion, religion cannot have the power</w:t>
      </w:r>
      <w:r w:rsidR="00D96F76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and authority necessary to make it any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more than a private leisure activity. Far</w:t>
      </w:r>
      <w:r w:rsidR="00D96F76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from creating a world in which religion</w:t>
      </w:r>
    </w:p>
    <w:p w:rsidR="0034324B" w:rsidRPr="00B61EEB" w:rsidRDefault="0034324B" w:rsidP="0034324B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B61EEB">
        <w:rPr>
          <w:rFonts w:ascii="Trebuchet MS" w:hAnsi="Trebuchet MS" w:cs="Tahoma"/>
          <w:color w:val="7030A0"/>
          <w:sz w:val="24"/>
          <w:szCs w:val="24"/>
        </w:rPr>
        <w:t>can thrive, diversity and competition</w:t>
      </w:r>
      <w:r w:rsidR="00D96F76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undermi</w:t>
      </w:r>
      <w:r w:rsidRPr="00B61EEB">
        <w:rPr>
          <w:rFonts w:ascii="Trebuchet MS" w:hAnsi="Trebuchet MS" w:cs="Tahoma"/>
          <w:color w:val="7030A0"/>
          <w:sz w:val="24"/>
          <w:szCs w:val="24"/>
        </w:rPr>
        <w:t>ne the plausibility of religion</w:t>
      </w:r>
      <w:r w:rsidR="00B61EEB" w:rsidRPr="00B61EEB">
        <w:rPr>
          <w:rFonts w:ascii="Trebuchet MS" w:hAnsi="Trebuchet MS" w:cs="Tahoma"/>
          <w:color w:val="7030A0"/>
          <w:sz w:val="24"/>
          <w:szCs w:val="24"/>
        </w:rPr>
        <w:t>”</w:t>
      </w:r>
      <w:r w:rsidRPr="00B61EEB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B61EEB">
        <w:rPr>
          <w:rFonts w:ascii="Trebuchet MS" w:hAnsi="Trebuchet MS" w:cs="Tahoma"/>
          <w:color w:val="7030A0"/>
          <w:sz w:val="24"/>
          <w:szCs w:val="24"/>
        </w:rPr>
        <w:t>(Bruce: 1999, 186)</w:t>
      </w:r>
      <w:r w:rsidR="00D96F76">
        <w:rPr>
          <w:rFonts w:ascii="Trebuchet MS" w:hAnsi="Trebuchet MS" w:cs="Tahoma"/>
          <w:color w:val="7030A0"/>
          <w:sz w:val="24"/>
          <w:szCs w:val="24"/>
        </w:rPr>
        <w:t>.</w:t>
      </w:r>
    </w:p>
    <w:p w:rsidR="0034324B" w:rsidRPr="00B61EEB" w:rsidRDefault="0034324B" w:rsidP="0034324B">
      <w:pPr>
        <w:rPr>
          <w:rFonts w:ascii="Trebuchet MS" w:hAnsi="Trebuchet MS" w:cs="Tahoma"/>
          <w:color w:val="7030A0"/>
          <w:sz w:val="24"/>
          <w:szCs w:val="24"/>
        </w:rPr>
      </w:pPr>
    </w:p>
    <w:p w:rsidR="0034324B" w:rsidRPr="00B61EEB" w:rsidRDefault="0034324B" w:rsidP="0034324B">
      <w:pPr>
        <w:rPr>
          <w:rFonts w:ascii="Trebuchet MS" w:hAnsi="Trebuchet MS"/>
          <w:color w:val="7030A0"/>
          <w:sz w:val="24"/>
          <w:szCs w:val="24"/>
        </w:rPr>
      </w:pPr>
    </w:p>
    <w:sectPr w:rsidR="0034324B" w:rsidRPr="00B61EE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B2436" w:rsidRDefault="005B2436" w:rsidP="00B3640D">
      <w:pPr>
        <w:spacing w:after="0" w:line="240" w:lineRule="auto"/>
      </w:pPr>
      <w:r>
        <w:separator/>
      </w:r>
    </w:p>
  </w:endnote>
  <w:endnote w:type="continuationSeparator" w:id="0">
    <w:p w:rsidR="005B2436" w:rsidRDefault="005B2436" w:rsidP="00B364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MS-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91006569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640D" w:rsidRDefault="00B3640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3640D" w:rsidRDefault="00B3640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B2436" w:rsidRDefault="005B2436" w:rsidP="00B3640D">
      <w:pPr>
        <w:spacing w:after="0" w:line="240" w:lineRule="auto"/>
      </w:pPr>
      <w:r>
        <w:separator/>
      </w:r>
    </w:p>
  </w:footnote>
  <w:footnote w:type="continuationSeparator" w:id="0">
    <w:p w:rsidR="005B2436" w:rsidRDefault="005B2436" w:rsidP="00B364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1DE3"/>
    <w:rsid w:val="001A1DE3"/>
    <w:rsid w:val="0034324B"/>
    <w:rsid w:val="005B2436"/>
    <w:rsid w:val="00B3640D"/>
    <w:rsid w:val="00B61EEB"/>
    <w:rsid w:val="00D96F76"/>
    <w:rsid w:val="00E03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40D"/>
  </w:style>
  <w:style w:type="paragraph" w:styleId="Footer">
    <w:name w:val="footer"/>
    <w:basedOn w:val="Normal"/>
    <w:link w:val="FooterChar"/>
    <w:uiPriority w:val="99"/>
    <w:unhideWhenUsed/>
    <w:rsid w:val="00B36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40D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40D"/>
  </w:style>
  <w:style w:type="paragraph" w:styleId="Footer">
    <w:name w:val="footer"/>
    <w:basedOn w:val="Normal"/>
    <w:link w:val="FooterChar"/>
    <w:uiPriority w:val="99"/>
    <w:unhideWhenUsed/>
    <w:rsid w:val="00B36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4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1197</Words>
  <Characters>6827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5</cp:revision>
  <dcterms:created xsi:type="dcterms:W3CDTF">2013-04-13T16:18:00Z</dcterms:created>
  <dcterms:modified xsi:type="dcterms:W3CDTF">2013-04-13T16:30:00Z</dcterms:modified>
</cp:coreProperties>
</file>