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07"/>
      </w:tblGrid>
      <w:tr w:rsidR="00F927A1" w:rsidRPr="005D3F07" w14:paraId="68CAA39D" w14:textId="77777777" w:rsidTr="00D17358">
        <w:trPr>
          <w:trHeight w:val="4174"/>
        </w:trPr>
        <w:tc>
          <w:tcPr>
            <w:tcW w:w="10907" w:type="dxa"/>
          </w:tcPr>
          <w:p w14:paraId="02F8EE88" w14:textId="4C666A8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17358">
              <w:rPr>
                <w:rFonts w:ascii="Times New Roman" w:hAnsi="Times New Roman" w:cs="Times New Roman"/>
                <w:b/>
                <w:color w:val="auto"/>
                <w:sz w:val="48"/>
              </w:rPr>
              <w:t xml:space="preserve">Ceri Lewis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D3CD9D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D17358">
              <w:rPr>
                <w:rFonts w:ascii="Times New Roman" w:hAnsi="Times New Roman" w:cs="Times New Roman"/>
                <w:b/>
                <w:color w:val="auto"/>
                <w:sz w:val="48"/>
              </w:rPr>
              <w:t>Ceri.rees@hotmail.co.uk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DA1C5D6"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17358">
              <w:rPr>
                <w:rFonts w:ascii="Times New Roman" w:hAnsi="Times New Roman" w:cs="Times New Roman"/>
                <w:b/>
                <w:color w:val="auto"/>
                <w:sz w:val="48"/>
              </w:rPr>
              <w:t>2521891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3F6718DC" w14:textId="77777777" w:rsidR="00D17358" w:rsidRDefault="00D17358" w:rsidP="00FF7EBB">
            <w:pPr>
              <w:jc w:val="both"/>
              <w:rPr>
                <w:i/>
                <w:sz w:val="24"/>
                <w:szCs w:val="24"/>
              </w:rPr>
            </w:pPr>
          </w:p>
          <w:p w14:paraId="24426EDE" w14:textId="77777777" w:rsidR="00A275AB" w:rsidRPr="009E19DE" w:rsidRDefault="00A275AB" w:rsidP="00A275AB">
            <w:pPr>
              <w:jc w:val="both"/>
              <w:rPr>
                <w:iCs/>
                <w:sz w:val="24"/>
                <w:szCs w:val="24"/>
              </w:rPr>
            </w:pPr>
            <w:r w:rsidRPr="009E19DE">
              <w:rPr>
                <w:iCs/>
                <w:sz w:val="24"/>
                <w:szCs w:val="24"/>
              </w:rPr>
              <w:t>This case study provides an opportunity to critically reflect upon the safeguarding process and the role of social work in protecting adults at risk. The individual concerned resides in a rural area of Wales, where access to services and amenities is limited and often dependent upon public or private transport. Prior to the safeguarding intervention, the individual lived in a more urban location with easier access to shops, community resources, and support networks. However, due to concerns regarding exploitation and the associated risks to their wellbeing and safety, a decision was made to support a move to an alternative area. </w:t>
            </w:r>
          </w:p>
          <w:p w14:paraId="23A3EFD9" w14:textId="77777777" w:rsidR="00A275AB" w:rsidRPr="009E19DE" w:rsidRDefault="00A275AB" w:rsidP="00A275AB">
            <w:pPr>
              <w:jc w:val="both"/>
              <w:rPr>
                <w:iCs/>
                <w:sz w:val="24"/>
                <w:szCs w:val="24"/>
              </w:rPr>
            </w:pPr>
            <w:r w:rsidRPr="009E19DE">
              <w:rPr>
                <w:iCs/>
                <w:sz w:val="24"/>
                <w:szCs w:val="24"/>
              </w:rPr>
              <w:t>The relocation process presented several complexities and professional dilemmas. Given the ongoing risk of exploitation, there was a clear need to act swiftly to safeguard the individual. However, balancing the individual's rights, wishes, and autonomy against the need for protection required careful professional judgement and multi-agency collaboration. Furthermore, differing professional perspectives and the actions of those exploiting the individual created additional challenges during the planning and implementation of the move. </w:t>
            </w:r>
          </w:p>
          <w:p w14:paraId="63353052" w14:textId="77777777" w:rsidR="00A275AB" w:rsidRPr="009E19DE" w:rsidRDefault="00A275AB" w:rsidP="00A275AB">
            <w:pPr>
              <w:jc w:val="both"/>
              <w:rPr>
                <w:iCs/>
                <w:sz w:val="24"/>
                <w:szCs w:val="24"/>
              </w:rPr>
            </w:pPr>
            <w:r w:rsidRPr="009E19DE">
              <w:rPr>
                <w:iCs/>
                <w:sz w:val="24"/>
                <w:szCs w:val="24"/>
              </w:rPr>
              <w:t>1 can communicate in both English and Welsh. However, 1 confirmed that English is their preferred language and the language they use most often in daily life, as it is the language they are most familiar and comfortable with. Therefore, 1 chose to engage in English throughout the assessment. 1's language preference, cultural identity and personal values have been considered and respected in line with person-centred practice and the principles of the Active Offer, which promotes the provision of services in Welsh without individuals having to request them (Welsh Government, 2024). </w:t>
            </w:r>
          </w:p>
          <w:p w14:paraId="0A8BA77D" w14:textId="77777777" w:rsidR="00A275AB" w:rsidRPr="00A275AB" w:rsidRDefault="00A275AB" w:rsidP="00A275AB">
            <w:pPr>
              <w:jc w:val="both"/>
              <w:rPr>
                <w:i/>
                <w:sz w:val="24"/>
                <w:szCs w:val="24"/>
              </w:rPr>
            </w:pPr>
            <w:r w:rsidRPr="009E19DE">
              <w:rPr>
                <w:iCs/>
                <w:sz w:val="24"/>
                <w:szCs w:val="24"/>
              </w:rPr>
              <w:t>1 is whose desired outcome is to live safely within their community, free from fear and able to feel secure in their</w:t>
            </w:r>
            <w:r w:rsidRPr="00A275AB">
              <w:rPr>
                <w:i/>
                <w:sz w:val="24"/>
                <w:szCs w:val="24"/>
              </w:rPr>
              <w:t xml:space="preserve"> own home. Despite previous interventions and support, </w:t>
            </w:r>
            <w:r w:rsidRPr="00404527">
              <w:rPr>
                <w:iCs/>
                <w:sz w:val="24"/>
                <w:szCs w:val="24"/>
              </w:rPr>
              <w:t>the individual has</w:t>
            </w:r>
            <w:r w:rsidRPr="00A275AB">
              <w:rPr>
                <w:i/>
                <w:sz w:val="24"/>
                <w:szCs w:val="24"/>
              </w:rPr>
              <w:t xml:space="preserve"> </w:t>
            </w:r>
            <w:r w:rsidRPr="00404527">
              <w:rPr>
                <w:iCs/>
                <w:sz w:val="24"/>
                <w:szCs w:val="24"/>
              </w:rPr>
              <w:lastRenderedPageBreak/>
              <w:t>experienced repeated episodes of exploitation, often finding themselves vulnerable to others who seek to take advantage of them. This has created an ongoing tension between respecting the individual's right to make their own decisions and the professional responsibility to safeguard them from harm. The case therefore highlights the complexities of safeguarding practice, the importance of collaborative working, and the application of professional judgement within an adult protection context.</w:t>
            </w:r>
            <w:r w:rsidRPr="00A275AB">
              <w:rPr>
                <w:i/>
                <w:sz w:val="24"/>
                <w:szCs w:val="24"/>
              </w:rPr>
              <w:t> </w:t>
            </w:r>
          </w:p>
          <w:p w14:paraId="2AA516E4" w14:textId="77777777" w:rsidR="00A275AB" w:rsidRPr="00A275AB" w:rsidRDefault="00A275AB" w:rsidP="00A275AB">
            <w:pPr>
              <w:jc w:val="both"/>
              <w:rPr>
                <w:i/>
                <w:sz w:val="24"/>
                <w:szCs w:val="24"/>
              </w:rPr>
            </w:pPr>
            <w:r w:rsidRPr="00A275AB">
              <w:rPr>
                <w:i/>
                <w:sz w:val="24"/>
                <w:szCs w:val="24"/>
              </w:rPr>
              <w:t>.  </w:t>
            </w:r>
          </w:p>
          <w:p w14:paraId="1A6BF050" w14:textId="77777777" w:rsidR="00A275AB" w:rsidRPr="00A275AB" w:rsidRDefault="00A275AB" w:rsidP="00A275AB">
            <w:pPr>
              <w:jc w:val="both"/>
              <w:rPr>
                <w:i/>
                <w:sz w:val="24"/>
                <w:szCs w:val="24"/>
              </w:rPr>
            </w:pPr>
            <w:r w:rsidRPr="00A275AB">
              <w:rPr>
                <w:i/>
                <w:sz w:val="24"/>
                <w:szCs w:val="24"/>
              </w:rPr>
              <w:t> </w:t>
            </w:r>
          </w:p>
          <w:p w14:paraId="39EEEB7A" w14:textId="77777777" w:rsidR="00A275AB" w:rsidRPr="00404527" w:rsidRDefault="00A275AB" w:rsidP="00A275AB">
            <w:pPr>
              <w:jc w:val="both"/>
              <w:rPr>
                <w:iCs/>
                <w:sz w:val="24"/>
                <w:szCs w:val="24"/>
              </w:rPr>
            </w:pPr>
            <w:r w:rsidRPr="00404527">
              <w:rPr>
                <w:iCs/>
                <w:sz w:val="24"/>
                <w:szCs w:val="24"/>
              </w:rPr>
              <w:t>Safeguarding  </w:t>
            </w:r>
          </w:p>
          <w:p w14:paraId="1DCC8CED" w14:textId="77777777" w:rsidR="00A275AB" w:rsidRPr="00404527" w:rsidRDefault="00A275AB" w:rsidP="00A275AB">
            <w:pPr>
              <w:jc w:val="both"/>
              <w:rPr>
                <w:iCs/>
                <w:sz w:val="24"/>
                <w:szCs w:val="24"/>
              </w:rPr>
            </w:pPr>
            <w:r w:rsidRPr="00404527">
              <w:rPr>
                <w:iCs/>
                <w:sz w:val="24"/>
                <w:szCs w:val="24"/>
              </w:rPr>
              <w:t>My role within the Vulnerable People Team involves responding to safeguarding concerns and promoting the wellbeing of individuals who may be at risk of abuse, neglect, or exploitation. Working within the safeguarding arena is both a significant responsibility and a fundamental aspect of social work practice. To undertake this role effectively, it is essential that I remain knowledgeable and up to date with the legislative and policy frameworks that underpin practice in Wales. </w:t>
            </w:r>
          </w:p>
          <w:p w14:paraId="4B471F43" w14:textId="77777777" w:rsidR="00A275AB" w:rsidRPr="00404527" w:rsidRDefault="00A275AB" w:rsidP="00A275AB">
            <w:pPr>
              <w:jc w:val="both"/>
              <w:rPr>
                <w:iCs/>
                <w:sz w:val="24"/>
                <w:szCs w:val="24"/>
              </w:rPr>
            </w:pPr>
            <w:r w:rsidRPr="00404527">
              <w:rPr>
                <w:iCs/>
                <w:sz w:val="24"/>
                <w:szCs w:val="24"/>
              </w:rPr>
              <w:t>The primary legislation informing my practice is the Social Services and Well-being (Wales) Act 2014, which provides the legal framework for improving the wellbeing of children, adults and carers who require care and support (Welsh Government, 2014). The Act represented a significant shift in social care practice by placing individuals at the centre of decision-making and promoting principles of voice, choice, control, prevention and co-production. These principles ensure that individuals are actively involved in decisions that affect their lives and that professionals focus on strengths and outcomes rather than deficits alone (Social Care Wales, 2024). </w:t>
            </w:r>
          </w:p>
          <w:p w14:paraId="02872BE7" w14:textId="77777777" w:rsidR="00A275AB" w:rsidRPr="00404527" w:rsidRDefault="00A275AB" w:rsidP="00A275AB">
            <w:pPr>
              <w:jc w:val="both"/>
              <w:rPr>
                <w:iCs/>
                <w:sz w:val="24"/>
                <w:szCs w:val="24"/>
              </w:rPr>
            </w:pPr>
            <w:r w:rsidRPr="00404527">
              <w:rPr>
                <w:iCs/>
                <w:sz w:val="24"/>
                <w:szCs w:val="24"/>
              </w:rPr>
              <w:t>Alongside this, I am confident in applying the Mental Capacity Act 2005 in practice. Whilst the Act is commonly utilised within Adult Services, I believe there is value in embedding its principles more consistently when working with younger adults who may experience fluctuating capacity or vulnerabilities that affect decision-making. The Mental Capacity Act (2005) emphasises the presumption of capacity, supports individuals to make their own decisions wherever possible, and ensures that any intervention undertaken on behalf of an individual who lacks capacity is made in their best interests using the least restrictive option available. These principles align closely with the ethos of social work in promoting autonomy while balancing safeguarding responsibilities. </w:t>
            </w:r>
          </w:p>
          <w:p w14:paraId="16ABF93D" w14:textId="77777777" w:rsidR="00A275AB" w:rsidRPr="00404527" w:rsidRDefault="00A275AB" w:rsidP="00A275AB">
            <w:pPr>
              <w:jc w:val="both"/>
              <w:rPr>
                <w:iCs/>
                <w:sz w:val="24"/>
                <w:szCs w:val="24"/>
              </w:rPr>
            </w:pPr>
            <w:r w:rsidRPr="00404527">
              <w:rPr>
                <w:iCs/>
                <w:sz w:val="24"/>
                <w:szCs w:val="24"/>
              </w:rPr>
              <w:t>My practice is also informed by wider human rights frameworks, including the Human Rights Act 1998 and the United Nations Convention on the Rights of the Child (UNCRC). These frameworks emphasise the importance of dignity, participation, respect, and protection from harm. Upholding the rights and freedoms of individuals is a fundamental principle of social work and directly aligns with the values of the profession. However, where there is evidence that an individual is experiencing significant harm or is at risk of abuse or neglect, social workers have a responsibility to act proportionately and decisively to ensure that risks are appropriately assessed and managed. </w:t>
            </w:r>
          </w:p>
          <w:p w14:paraId="5E85551B" w14:textId="71F05F5E" w:rsidR="00A275AB" w:rsidRPr="00404527" w:rsidRDefault="00A275AB" w:rsidP="00A275AB">
            <w:pPr>
              <w:jc w:val="both"/>
              <w:rPr>
                <w:iCs/>
                <w:sz w:val="24"/>
                <w:szCs w:val="24"/>
              </w:rPr>
            </w:pPr>
            <w:r w:rsidRPr="00404527">
              <w:rPr>
                <w:iCs/>
                <w:sz w:val="24"/>
                <w:szCs w:val="24"/>
              </w:rPr>
              <w:t xml:space="preserve">Prior to undertaking a home visit, I attended a Health and Safety Meeting to consider the potential risks associated with visiting the property. Information shared during the meeting identified concerns regarding the home environment and the vulnerabilities </w:t>
            </w:r>
            <w:r w:rsidR="00404527" w:rsidRPr="00404527">
              <w:rPr>
                <w:iCs/>
                <w:sz w:val="24"/>
                <w:szCs w:val="24"/>
              </w:rPr>
              <w:t>surrounding 1</w:t>
            </w:r>
            <w:r w:rsidRPr="00404527">
              <w:rPr>
                <w:iCs/>
                <w:sz w:val="24"/>
                <w:szCs w:val="24"/>
              </w:rPr>
              <w:t>. As a result, I completed a dynamic risk assessment before and during the visit, considering environmental risks, my personal safety, and any factors that may have impacted upon 1's wellbeing. Risk assessment is an essential component of safeguarding practice and enab</w:t>
            </w:r>
            <w:r w:rsidRPr="00A275AB">
              <w:rPr>
                <w:i/>
                <w:sz w:val="24"/>
                <w:szCs w:val="24"/>
              </w:rPr>
              <w:t xml:space="preserve">led </w:t>
            </w:r>
            <w:r w:rsidRPr="00404527">
              <w:rPr>
                <w:iCs/>
                <w:sz w:val="24"/>
                <w:szCs w:val="24"/>
              </w:rPr>
              <w:lastRenderedPageBreak/>
              <w:t>me to balance my duty of care towards 1 whilst also ensuring my own safety and that of others involved. By planning the visit appropriately and following organisational health and safety procedures, I was able to safely engage with 1 and gather information that informed my assessment of risk. </w:t>
            </w:r>
          </w:p>
          <w:p w14:paraId="3C1EC347" w14:textId="77777777" w:rsidR="00A275AB" w:rsidRPr="00404527" w:rsidRDefault="00A275AB" w:rsidP="00A275AB">
            <w:pPr>
              <w:jc w:val="both"/>
              <w:rPr>
                <w:iCs/>
                <w:sz w:val="24"/>
                <w:szCs w:val="24"/>
              </w:rPr>
            </w:pPr>
            <w:r w:rsidRPr="00404527">
              <w:rPr>
                <w:iCs/>
                <w:sz w:val="24"/>
                <w:szCs w:val="24"/>
              </w:rPr>
              <w:t>Communication was a key aspect of my intervention with 1. Throughout my involvement, I sought to build a trusting and professional relationship by communicating openly, honestly and respectfully. During the home visit, I ensured that information was shared in a way that 1 could understand and provided reassurance regarding the concerns that had been raised. This enabled me to gain a fuller understanding of 1's circumstances, wishes and experiences whilst also allowing 1 the opportunity to express what mattered to her. This approach reflected the principles of voice, choice and control contained within the Social Services and Well-being (Wales) Act 2014, ensuring that 1 remained involved in discussions about her care and support wherever possible (Welsh Government, 2014). </w:t>
            </w:r>
          </w:p>
          <w:p w14:paraId="033645CD" w14:textId="77777777" w:rsidR="00A275AB" w:rsidRPr="00404527" w:rsidRDefault="00A275AB" w:rsidP="00A275AB">
            <w:pPr>
              <w:jc w:val="both"/>
              <w:rPr>
                <w:iCs/>
                <w:sz w:val="24"/>
                <w:szCs w:val="24"/>
              </w:rPr>
            </w:pPr>
            <w:r w:rsidRPr="00404527">
              <w:rPr>
                <w:iCs/>
                <w:sz w:val="24"/>
                <w:szCs w:val="24"/>
              </w:rPr>
              <w:t>Following the visit and my assessment of the concerns identified, I acted promptly in response to risks relating to 1's safety within the home environment. Given 1's vulnerabilities and the potential risks identified, I made the decision to initiate a safeguarding referral at the earliest opportunity. I was open and transparent with 1 about this process, explaining that a safeguarding referral would need to be submitted. Although 1 expressed some reluctance, she acknowledged that intervention was necessary to prevent concerns from continuing and escalating. This reflected a person-centred approach whereby 1 was informed and involved in decisions affecting her welfare, even when those decisions were challenging. </w:t>
            </w:r>
          </w:p>
          <w:p w14:paraId="54207621" w14:textId="77777777" w:rsidR="00A275AB" w:rsidRPr="00404527" w:rsidRDefault="00A275AB" w:rsidP="00A275AB">
            <w:pPr>
              <w:jc w:val="both"/>
              <w:rPr>
                <w:iCs/>
                <w:sz w:val="24"/>
                <w:szCs w:val="24"/>
              </w:rPr>
            </w:pPr>
            <w:r w:rsidRPr="00404527">
              <w:rPr>
                <w:iCs/>
                <w:sz w:val="24"/>
                <w:szCs w:val="24"/>
              </w:rPr>
              <w:t xml:space="preserve">Following discussions with Multi agency safeguarding Hub and management, a Section 126 enquiry was initiated under the Social Services and Well-being (Wales) Act 2014. A Section 126 enquiry is triggered when a local authority has reasonable cause to suspect that an adult has care and support needs, is experiencing or is at risk of abuse or neglect and is unable to protect themselves because of those needs. The purpose of the enquiry is to establish the nature of the risk, determine whether safeguarding action is required, and identify how the individual's wellbeing can be promoted. In accordance with the Wales Safeguarding Procedures, Section 126 enquiries should normally be completed within seven working days of the safeguarding report being received by the local authority. This ensures that risks are assessed and addressed in a timely and proportionate manner whilst maintaining a focus on achieving outcomes that matter to the individual, </w:t>
            </w:r>
            <w:proofErr w:type="gramStart"/>
            <w:r w:rsidRPr="00404527">
              <w:rPr>
                <w:iCs/>
                <w:sz w:val="24"/>
                <w:szCs w:val="24"/>
              </w:rPr>
              <w:t>Where</w:t>
            </w:r>
            <w:proofErr w:type="gramEnd"/>
            <w:r w:rsidRPr="00404527">
              <w:rPr>
                <w:iCs/>
                <w:sz w:val="24"/>
                <w:szCs w:val="24"/>
              </w:rPr>
              <w:t xml:space="preserve"> this timescale cannot be met, clear reasons for any delay should be recorded. (Wales Safeguarding Procedures, 2024). </w:t>
            </w:r>
          </w:p>
          <w:p w14:paraId="7C60B3B8" w14:textId="77777777" w:rsidR="00A275AB" w:rsidRPr="00404527" w:rsidRDefault="00A275AB" w:rsidP="00A275AB">
            <w:pPr>
              <w:jc w:val="both"/>
              <w:rPr>
                <w:iCs/>
                <w:sz w:val="24"/>
                <w:szCs w:val="24"/>
              </w:rPr>
            </w:pPr>
            <w:r w:rsidRPr="00404527">
              <w:rPr>
                <w:iCs/>
                <w:sz w:val="24"/>
                <w:szCs w:val="24"/>
              </w:rPr>
              <w:t> </w:t>
            </w:r>
          </w:p>
          <w:p w14:paraId="24DB819F" w14:textId="77777777" w:rsidR="00A275AB" w:rsidRPr="00404527" w:rsidRDefault="00A275AB" w:rsidP="00A275AB">
            <w:pPr>
              <w:jc w:val="both"/>
              <w:rPr>
                <w:iCs/>
                <w:sz w:val="24"/>
                <w:szCs w:val="24"/>
              </w:rPr>
            </w:pPr>
            <w:r w:rsidRPr="00A275AB">
              <w:rPr>
                <w:i/>
                <w:sz w:val="24"/>
                <w:szCs w:val="24"/>
              </w:rPr>
              <w:t>. </w:t>
            </w:r>
          </w:p>
          <w:p w14:paraId="14087A45" w14:textId="77777777" w:rsidR="00A275AB" w:rsidRPr="00404527" w:rsidRDefault="00A275AB" w:rsidP="00A275AB">
            <w:pPr>
              <w:jc w:val="both"/>
              <w:rPr>
                <w:iCs/>
                <w:sz w:val="24"/>
                <w:szCs w:val="24"/>
              </w:rPr>
            </w:pPr>
            <w:r w:rsidRPr="00404527">
              <w:rPr>
                <w:iCs/>
                <w:sz w:val="24"/>
                <w:szCs w:val="24"/>
              </w:rPr>
              <w:t>Throughout the safeguarding process, a key consideration was ensuring that the intervention remained focused on what mattered to 1. Welsh safeguarding practice emphasises that adults at risk should be supported to express their views, wishes and desired outcomes wherever possible. Professionals are expected to work collaboratively with individuals, their representatives and advocates to achieve outcomes that reflect their preferences and rights. Where an individual lacks capacity to make an informed decision, any safeguarding intervention must balance protection from harm with the least restrictive approach, ensuring that practice remains legally and ethically proportionate (Mental Capacity Act, 2005). </w:t>
            </w:r>
          </w:p>
          <w:p w14:paraId="244763D0" w14:textId="77777777" w:rsidR="00A275AB" w:rsidRPr="00A275AB" w:rsidRDefault="00A275AB" w:rsidP="00A275AB">
            <w:pPr>
              <w:jc w:val="both"/>
              <w:rPr>
                <w:i/>
                <w:sz w:val="24"/>
                <w:szCs w:val="24"/>
              </w:rPr>
            </w:pPr>
            <w:r w:rsidRPr="00404527">
              <w:rPr>
                <w:iCs/>
                <w:sz w:val="24"/>
                <w:szCs w:val="24"/>
              </w:rPr>
              <w:t xml:space="preserve">This approach reflects the values of social work as defined by the International Federation of Social Workers (2014), which emphasises social justice, human rights, empowerment and </w:t>
            </w:r>
            <w:r w:rsidRPr="00404527">
              <w:rPr>
                <w:iCs/>
                <w:sz w:val="24"/>
                <w:szCs w:val="24"/>
              </w:rPr>
              <w:lastRenderedPageBreak/>
              <w:t>collective responsibility. The case reinforced the importance of balancing empowerment with protection whilst working collaboratively to reduce risk and improve outcomes</w:t>
            </w:r>
            <w:r w:rsidRPr="00A275AB">
              <w:rPr>
                <w:i/>
                <w:sz w:val="24"/>
                <w:szCs w:val="24"/>
              </w:rPr>
              <w:t>. </w:t>
            </w:r>
          </w:p>
          <w:p w14:paraId="61CCE59F" w14:textId="77777777" w:rsidR="00A275AB" w:rsidRPr="00A275AB" w:rsidRDefault="00A275AB" w:rsidP="00A275AB">
            <w:pPr>
              <w:jc w:val="both"/>
              <w:rPr>
                <w:i/>
                <w:sz w:val="24"/>
                <w:szCs w:val="24"/>
              </w:rPr>
            </w:pPr>
            <w:r w:rsidRPr="00A275AB">
              <w:rPr>
                <w:i/>
                <w:sz w:val="24"/>
                <w:szCs w:val="24"/>
              </w:rPr>
              <w:t> </w:t>
            </w:r>
          </w:p>
          <w:p w14:paraId="0C91F469" w14:textId="77777777" w:rsidR="00A275AB" w:rsidRPr="00404527" w:rsidRDefault="00A275AB" w:rsidP="00A275AB">
            <w:pPr>
              <w:jc w:val="both"/>
              <w:rPr>
                <w:iCs/>
                <w:sz w:val="24"/>
                <w:szCs w:val="24"/>
              </w:rPr>
            </w:pPr>
            <w:r w:rsidRPr="00404527">
              <w:rPr>
                <w:iCs/>
                <w:sz w:val="24"/>
                <w:szCs w:val="24"/>
              </w:rPr>
              <w:t>In Wales, safeguarding adults is supported by a clear statutory framework under the Social Services and Well-being (Wales) Act 2014. This reflects a rights-based approach, ensuring that vulnerable adults are protected while maintaining their involvement in decision-making wherever possible. (Wales safeguarding Procedures.2024) </w:t>
            </w:r>
          </w:p>
          <w:p w14:paraId="565A05FB" w14:textId="18A468FB" w:rsidR="00A275AB" w:rsidRPr="00404527" w:rsidRDefault="00A275AB" w:rsidP="00A275AB">
            <w:pPr>
              <w:jc w:val="both"/>
              <w:rPr>
                <w:iCs/>
                <w:sz w:val="24"/>
                <w:szCs w:val="24"/>
              </w:rPr>
            </w:pPr>
            <w:r w:rsidRPr="00404527">
              <w:rPr>
                <w:iCs/>
                <w:sz w:val="24"/>
                <w:szCs w:val="24"/>
              </w:rPr>
              <w:t xml:space="preserve">The Social Care Wales Code of Professional Practice (Social Care Wales, 2024) reinforces these principles by requiring practitioners to promote individuals' rights, wellbeing, strengths, and voice. During a Section 126 enquiry, social workers are expected not only to identify and manage risk but also to ensure that adults are involved in decisions affecting their lives. This reflects the Code's emphasis on respecting people's views and wishes while balancing the duty to protect them from harm. </w:t>
            </w:r>
            <w:r w:rsidR="00CA1502" w:rsidRPr="00404527">
              <w:rPr>
                <w:iCs/>
                <w:sz w:val="24"/>
                <w:szCs w:val="24"/>
              </w:rPr>
              <w:t>(Wales</w:t>
            </w:r>
            <w:r w:rsidRPr="00404527">
              <w:rPr>
                <w:iCs/>
                <w:sz w:val="24"/>
                <w:szCs w:val="24"/>
              </w:rPr>
              <w:t xml:space="preserve"> safeguarding procedures,2024) </w:t>
            </w:r>
          </w:p>
          <w:p w14:paraId="56A463F8" w14:textId="77777777" w:rsidR="00A275AB" w:rsidRPr="00404527" w:rsidRDefault="00A275AB" w:rsidP="00A275AB">
            <w:pPr>
              <w:jc w:val="both"/>
              <w:rPr>
                <w:iCs/>
                <w:sz w:val="24"/>
                <w:szCs w:val="24"/>
              </w:rPr>
            </w:pPr>
            <w:r w:rsidRPr="00404527">
              <w:rPr>
                <w:iCs/>
                <w:sz w:val="24"/>
                <w:szCs w:val="24"/>
              </w:rPr>
              <w:t>In contrast, South Africa does not have a single equivalent statutory safeguarding enquiry process. Instead, safeguarding responsibilities are distributed across legislation including the Older Persons Act (2006), the Mental Health Care Act (2002), and the Children's Act (2005). Social workers operate within a developmental social welfare model that recognises the impact of poverty, inequality, unemployment, and social exclusion on vulnerability. Consequently, interventions often address both immediate protection and the wider factors contributing to harm and exploitation. </w:t>
            </w:r>
          </w:p>
          <w:p w14:paraId="7B9C0F9C" w14:textId="77777777" w:rsidR="00A275AB" w:rsidRPr="00404527" w:rsidRDefault="00A275AB" w:rsidP="00A275AB">
            <w:pPr>
              <w:jc w:val="both"/>
              <w:rPr>
                <w:iCs/>
                <w:sz w:val="24"/>
                <w:szCs w:val="24"/>
              </w:rPr>
            </w:pPr>
            <w:r w:rsidRPr="00404527">
              <w:rPr>
                <w:iCs/>
                <w:sz w:val="24"/>
                <w:szCs w:val="24"/>
              </w:rPr>
              <w:t>From an anti-oppressive perspective, both countries aim to challenge discrimination and promote inclusion. However, the contexts differ significantly. In Wales, practitioners work within a structured safeguarding framework supported by statutory guidance and multi-agency partnerships. In South Africa, social workers frequently encounter challenges associated with historical inequalities, resource limitations, and disparities in service provision. These differences demonstrate how safeguarding must respond to the social, economic, and political context in which it operates. </w:t>
            </w:r>
          </w:p>
          <w:p w14:paraId="2D0FD0CE" w14:textId="77777777" w:rsidR="00A275AB" w:rsidRPr="00404527" w:rsidRDefault="00A275AB" w:rsidP="00A275AB">
            <w:pPr>
              <w:jc w:val="both"/>
              <w:rPr>
                <w:iCs/>
                <w:sz w:val="24"/>
                <w:szCs w:val="24"/>
              </w:rPr>
            </w:pPr>
            <w:r w:rsidRPr="00404527">
              <w:rPr>
                <w:iCs/>
                <w:sz w:val="24"/>
                <w:szCs w:val="24"/>
              </w:rPr>
              <w:t>A human rights perspective highlights strengths within both approaches. Wales demonstrates accountability through clearly defined legal duties and enquiry processes, while South Africa's developmental model places greater emphasis on community empowerment and addressing social injustice. Although achieved through different mechanisms, both approaches seek to promote dignity, participation and social justice. </w:t>
            </w:r>
          </w:p>
          <w:p w14:paraId="52CA2F80" w14:textId="77777777" w:rsidR="00A275AB" w:rsidRPr="00404527" w:rsidRDefault="00A275AB" w:rsidP="00A275AB">
            <w:pPr>
              <w:jc w:val="both"/>
              <w:rPr>
                <w:iCs/>
                <w:sz w:val="24"/>
                <w:szCs w:val="24"/>
              </w:rPr>
            </w:pPr>
            <w:r w:rsidRPr="00404527">
              <w:rPr>
                <w:iCs/>
                <w:sz w:val="24"/>
                <w:szCs w:val="24"/>
              </w:rPr>
              <w:t>Reflecting on this comparison has reinforced my understanding that safeguarding extends beyond responding to allegations of abuse. While Section 126 enquiries play a vital role in protecting adults at risk, practitioners must also consider wider factors such as poverty, discrimination, social exclusion and access to services. This aligns with the International Federation of Social Workers' (2014) emphasis on human rights, collective responsibility, empowerment and social justice (IFSW, 2014). In Wales, these principles are embedded within the Social Services and Well-being (Wales) Act 2014, which promotes wellbeing, prevention, co-production, and ensuring individuals have voice and control over decisions that affect their lives (Welsh Government, 2014). The Wales Safeguarding Procedures (2024) further reinforce a rights-based and person-centred approach, recognising that effective safeguarding is not only about reducing risk but also about supporting individuals to achieve their personal outcomes while maintaining their rights, dignity and independence (Wales Safeguarding Procedures, 2024). </w:t>
            </w:r>
          </w:p>
          <w:p w14:paraId="318D11F9" w14:textId="77777777" w:rsidR="00A275AB" w:rsidRPr="00404527" w:rsidRDefault="00A275AB" w:rsidP="00A275AB">
            <w:pPr>
              <w:jc w:val="both"/>
              <w:rPr>
                <w:iCs/>
                <w:sz w:val="24"/>
                <w:szCs w:val="24"/>
              </w:rPr>
            </w:pPr>
            <w:r w:rsidRPr="00404527">
              <w:rPr>
                <w:iCs/>
                <w:sz w:val="24"/>
                <w:szCs w:val="24"/>
              </w:rPr>
              <w:t> </w:t>
            </w:r>
          </w:p>
          <w:p w14:paraId="0BF75A72" w14:textId="77777777" w:rsidR="00A275AB" w:rsidRPr="00A275AB" w:rsidRDefault="00A275AB" w:rsidP="00A275AB">
            <w:pPr>
              <w:jc w:val="both"/>
              <w:rPr>
                <w:i/>
                <w:sz w:val="24"/>
                <w:szCs w:val="24"/>
              </w:rPr>
            </w:pPr>
            <w:r w:rsidRPr="00A275AB">
              <w:rPr>
                <w:i/>
                <w:sz w:val="24"/>
                <w:szCs w:val="24"/>
              </w:rPr>
              <w:lastRenderedPageBreak/>
              <w:t> </w:t>
            </w:r>
          </w:p>
          <w:p w14:paraId="2B558ADA" w14:textId="77777777" w:rsidR="00A275AB" w:rsidRPr="00A275AB" w:rsidRDefault="00A275AB" w:rsidP="00A275AB">
            <w:pPr>
              <w:jc w:val="both"/>
              <w:rPr>
                <w:i/>
                <w:sz w:val="24"/>
                <w:szCs w:val="24"/>
              </w:rPr>
            </w:pPr>
            <w:r w:rsidRPr="00A275AB">
              <w:rPr>
                <w:i/>
                <w:sz w:val="24"/>
                <w:szCs w:val="24"/>
              </w:rPr>
              <w:t> </w:t>
            </w:r>
          </w:p>
          <w:p w14:paraId="0BBC92F5" w14:textId="77777777" w:rsidR="00A275AB" w:rsidRPr="00404527" w:rsidRDefault="00A275AB" w:rsidP="00A275AB">
            <w:pPr>
              <w:jc w:val="both"/>
              <w:rPr>
                <w:iCs/>
                <w:sz w:val="24"/>
                <w:szCs w:val="24"/>
              </w:rPr>
            </w:pPr>
            <w:r w:rsidRPr="00404527">
              <w:rPr>
                <w:iCs/>
                <w:sz w:val="24"/>
                <w:szCs w:val="24"/>
              </w:rPr>
              <w:t>Ethical dilemmas  </w:t>
            </w:r>
          </w:p>
          <w:p w14:paraId="5C5E7899" w14:textId="77777777" w:rsidR="00A275AB" w:rsidRPr="00404527" w:rsidRDefault="00A275AB" w:rsidP="00A275AB">
            <w:pPr>
              <w:jc w:val="both"/>
              <w:rPr>
                <w:iCs/>
                <w:sz w:val="24"/>
                <w:szCs w:val="24"/>
              </w:rPr>
            </w:pPr>
            <w:r w:rsidRPr="00404527">
              <w:rPr>
                <w:iCs/>
                <w:sz w:val="24"/>
                <w:szCs w:val="24"/>
              </w:rPr>
              <w:t> </w:t>
            </w:r>
          </w:p>
          <w:p w14:paraId="2F457D3E" w14:textId="77777777" w:rsidR="00A275AB" w:rsidRPr="00404527" w:rsidRDefault="00A275AB" w:rsidP="00A275AB">
            <w:pPr>
              <w:jc w:val="both"/>
              <w:rPr>
                <w:iCs/>
                <w:sz w:val="24"/>
                <w:szCs w:val="24"/>
              </w:rPr>
            </w:pPr>
            <w:proofErr w:type="gramStart"/>
            <w:r w:rsidRPr="00404527">
              <w:rPr>
                <w:iCs/>
                <w:sz w:val="24"/>
                <w:szCs w:val="24"/>
              </w:rPr>
              <w:t>In light of</w:t>
            </w:r>
            <w:proofErr w:type="gramEnd"/>
            <w:r w:rsidRPr="00404527">
              <w:rPr>
                <w:iCs/>
                <w:sz w:val="24"/>
                <w:szCs w:val="24"/>
              </w:rPr>
              <w:t xml:space="preserve"> the safeguarding investigation, I encountered several ethical dilemmas when attending meetings with professionals. There were differing professional opinions regarding whether moving 1 to alternative accommodation would reduce the risks associated with the exploitation she was experiencing. Some professionals felt that relocating 1 would not resolve the issues and that the exploitation would continue regardless of her location. This created tension within discussions and highlighted potential power imbalances within multi-agency meetings, making it more challenging for 1's wishes and voice to be fully heard. </w:t>
            </w:r>
          </w:p>
          <w:p w14:paraId="17E29070" w14:textId="77777777" w:rsidR="00A275AB" w:rsidRPr="00404527" w:rsidRDefault="00A275AB" w:rsidP="00A275AB">
            <w:pPr>
              <w:jc w:val="both"/>
              <w:rPr>
                <w:iCs/>
                <w:sz w:val="24"/>
                <w:szCs w:val="24"/>
              </w:rPr>
            </w:pPr>
            <w:r w:rsidRPr="00404527">
              <w:rPr>
                <w:iCs/>
                <w:sz w:val="24"/>
                <w:szCs w:val="24"/>
              </w:rPr>
              <w:t>I felt it was important to act as an advocate for 1 and ensure that her views were represented, particularly when she was unable to attend meetings or express her wishes confidently. The Social Care Wales Code of Professional Practice emphasises the importance of promoting the voice, choice, control and well-being of individuals while supporting them to remain safe (Social Care Wales, 2024). Although I was relatively new in my role, I recognised my professional responsibility to challenge practice respectfully where necessary. I used my professional curiosity and decision-making skills to ask further questions, challenge assumptions and explore alternative safeguarding options based on my research, relevant legislation and evidence-based practice. </w:t>
            </w:r>
          </w:p>
          <w:p w14:paraId="69CBD527" w14:textId="77777777" w:rsidR="00A275AB" w:rsidRPr="00404527" w:rsidRDefault="00A275AB" w:rsidP="00A275AB">
            <w:pPr>
              <w:jc w:val="both"/>
              <w:rPr>
                <w:iCs/>
                <w:sz w:val="24"/>
                <w:szCs w:val="24"/>
              </w:rPr>
            </w:pPr>
            <w:r w:rsidRPr="00404527">
              <w:rPr>
                <w:iCs/>
                <w:sz w:val="24"/>
                <w:szCs w:val="24"/>
              </w:rPr>
              <w:t>I utilised professional judgement by consulting with colleagues and other professionals who had experience in exploitation, safeguarding and housing. This enabled me to increase my knowledge and confidence when contributing to discussions. Whilst remaining values-based and person-centred, I was able to communicate my views in a productive and professional manner. As a result, I worked collaboratively with housing services to explore alternative accommodation options for 1. This required patience, effective communication, organisational skills and ongoing multi-agency collaboration whilst continuing to assess and manage risks during home visits. </w:t>
            </w:r>
          </w:p>
          <w:p w14:paraId="4BBD2969" w14:textId="77777777" w:rsidR="00A275AB" w:rsidRPr="00404527" w:rsidRDefault="00A275AB" w:rsidP="00A275AB">
            <w:pPr>
              <w:jc w:val="both"/>
              <w:rPr>
                <w:iCs/>
                <w:sz w:val="24"/>
                <w:szCs w:val="24"/>
              </w:rPr>
            </w:pPr>
            <w:r w:rsidRPr="00404527">
              <w:rPr>
                <w:iCs/>
                <w:sz w:val="24"/>
                <w:szCs w:val="24"/>
              </w:rPr>
              <w:t>Bronfenbrenner's Ecological Systems Theory (1979) helped me to understand that the difficulties facing 1 could not be viewed in isolation. Her experiences were influenced by multiple interacting systems, including her immediate environment, relationships with individuals exploiting her, her housing circumstances, community influences and the wider safeguarding network. By adopting an</w:t>
            </w:r>
            <w:r w:rsidRPr="00A275AB">
              <w:rPr>
                <w:i/>
                <w:sz w:val="24"/>
                <w:szCs w:val="24"/>
              </w:rPr>
              <w:t xml:space="preserve"> </w:t>
            </w:r>
            <w:r w:rsidRPr="00404527">
              <w:rPr>
                <w:iCs/>
                <w:sz w:val="24"/>
                <w:szCs w:val="24"/>
              </w:rPr>
              <w:t>ecological perspective, I was able to recognise the importance of coordinated multi-agency intervention rather than focusing solely on individual behaviour. This reinforced the need for collaborative working between social care, housing, police, safeguarding services and specialist support agencies. Bronfenbrenner's Ecological Systems Theory (1979) supported my understanding of 1's experiences by encouraging a holistic assessment of the environmental, social and relational factors influencing her vulnerability, rather than focusing solely on individual behaviour. The theory highlighted how multiple interacting systems contributed to the exploitation she was experiencing. </w:t>
            </w:r>
          </w:p>
          <w:p w14:paraId="32EA7EBB" w14:textId="77777777" w:rsidR="00A275AB" w:rsidRPr="00404527" w:rsidRDefault="00A275AB" w:rsidP="00A275AB">
            <w:pPr>
              <w:jc w:val="both"/>
              <w:rPr>
                <w:iCs/>
                <w:sz w:val="24"/>
                <w:szCs w:val="24"/>
              </w:rPr>
            </w:pPr>
            <w:r w:rsidRPr="00404527">
              <w:rPr>
                <w:iCs/>
                <w:sz w:val="24"/>
                <w:szCs w:val="24"/>
              </w:rPr>
              <w:t>However, applying this perspective within a multi-agency context was not without challenges. Whilst social work promotes a holistic approach, partner agencies often operate within different statutory frameworks and priorities. For example, the police required evidential thresholds to justify ongoing intervention, whereas my assessment considered the impact of coercion, trauma and exploitation on 1's wellbeing. Similarly, housing services were initially reluctant to support a move due to concerns that exploitation may recur. This required me</w:t>
            </w:r>
            <w:r w:rsidRPr="00A275AB">
              <w:rPr>
                <w:i/>
                <w:sz w:val="24"/>
                <w:szCs w:val="24"/>
              </w:rPr>
              <w:t xml:space="preserve"> to </w:t>
            </w:r>
            <w:r w:rsidRPr="00404527">
              <w:rPr>
                <w:iCs/>
                <w:sz w:val="24"/>
                <w:szCs w:val="24"/>
              </w:rPr>
              <w:lastRenderedPageBreak/>
              <w:t>utilise professional advocacy and communication skills to evidence the immediate risks to 1 and the potential impact on her wellbeing if she remained in the property. Reflecting on this experience strengthened my understanding of the importance of advocacy, professional judgement and effective multi-agency working in safeguarding practice (Bronfenbrenner, 1979; Social Care Wales, 2024). </w:t>
            </w:r>
          </w:p>
          <w:p w14:paraId="690CA0C0" w14:textId="77777777" w:rsidR="00A275AB" w:rsidRPr="00404527" w:rsidRDefault="00A275AB" w:rsidP="00A275AB">
            <w:pPr>
              <w:jc w:val="both"/>
              <w:rPr>
                <w:iCs/>
                <w:sz w:val="24"/>
                <w:szCs w:val="24"/>
              </w:rPr>
            </w:pPr>
            <w:r w:rsidRPr="00404527">
              <w:rPr>
                <w:iCs/>
                <w:sz w:val="24"/>
                <w:szCs w:val="24"/>
              </w:rPr>
              <w:t> </w:t>
            </w:r>
          </w:p>
          <w:p w14:paraId="247FD745" w14:textId="77777777" w:rsidR="00A275AB" w:rsidRPr="00404527" w:rsidRDefault="00A275AB" w:rsidP="00A275AB">
            <w:pPr>
              <w:jc w:val="both"/>
              <w:rPr>
                <w:iCs/>
                <w:sz w:val="24"/>
                <w:szCs w:val="24"/>
              </w:rPr>
            </w:pPr>
            <w:r w:rsidRPr="00404527">
              <w:rPr>
                <w:iCs/>
                <w:sz w:val="24"/>
                <w:szCs w:val="24"/>
              </w:rPr>
              <w:t>A further ethical dilemma arose from the inconsistency in 1's wishes and expressed outcomes. On some occasions, 1 stated that she wanted help to move and live in a safer environment, whilst on other occasions she stated that she no longer wished to pursue this option. It became apparent that 1 was frightened and felt intimidated by the individuals exploiting her. There were occasions when professionals attended the property and the perpetrators were present, making it difficult to have open and honest conversations with 1 regarding her safety and well-being. We therefore had to carefully consider how to enquire about her safety without increasing risk or alerting those involved in the exploitation.  In this situation, it was necessary to work collaboratively with other professionals to develop and implement a comprehensive safety plan to reduce the risk of harm to 1. Due to the significant risks present, communication with 1 had to be carefully planned and only take place when it was safe to do so, such as during appointments or periods of hospital admission, to minimise the possibility of others overhearing conversations or influencing her decisions. This required ongoing risk assessment, professional curiosity, and multi-agency coordination to ensure that safeguarding measures remained effective. </w:t>
            </w:r>
          </w:p>
          <w:p w14:paraId="57722CA9" w14:textId="77777777" w:rsidR="00A275AB" w:rsidRPr="00404527" w:rsidRDefault="00A275AB" w:rsidP="00A275AB">
            <w:pPr>
              <w:jc w:val="both"/>
              <w:rPr>
                <w:iCs/>
                <w:sz w:val="24"/>
                <w:szCs w:val="24"/>
              </w:rPr>
            </w:pPr>
            <w:r w:rsidRPr="00404527">
              <w:rPr>
                <w:iCs/>
                <w:sz w:val="24"/>
                <w:szCs w:val="24"/>
              </w:rPr>
              <w:t>A key aspect of my role was building a trusting and supportive relationship with 1. Initially, this took time, as 1 was understandably fearful and lacked confidence in engaging with services. Through active listening, empathy, and consistent communication, I was able to establish rapport and demonstrate that my primary focus was her safety and wellbeing. Relationship-based practice is recognised as a fundamental element of effective social work, enabling individuals to feel heard, valued, and empowered (Ruch et al., 2018). </w:t>
            </w:r>
          </w:p>
          <w:p w14:paraId="52282AE2" w14:textId="77777777" w:rsidR="00A275AB" w:rsidRPr="00404527" w:rsidRDefault="00A275AB" w:rsidP="00A275AB">
            <w:pPr>
              <w:jc w:val="both"/>
              <w:rPr>
                <w:iCs/>
                <w:sz w:val="24"/>
                <w:szCs w:val="24"/>
              </w:rPr>
            </w:pPr>
            <w:r w:rsidRPr="00404527">
              <w:rPr>
                <w:iCs/>
                <w:sz w:val="24"/>
                <w:szCs w:val="24"/>
              </w:rPr>
              <w:t xml:space="preserve">As trust developed, I was able to support 1 to engage with specialist domestic abuse services and the police. </w:t>
            </w:r>
            <w:proofErr w:type="gramStart"/>
            <w:r w:rsidRPr="00404527">
              <w:rPr>
                <w:iCs/>
                <w:sz w:val="24"/>
                <w:szCs w:val="24"/>
              </w:rPr>
              <w:t>A number of</w:t>
            </w:r>
            <w:proofErr w:type="gramEnd"/>
            <w:r w:rsidRPr="00404527">
              <w:rPr>
                <w:iCs/>
                <w:sz w:val="24"/>
                <w:szCs w:val="24"/>
              </w:rPr>
              <w:t xml:space="preserve"> protective measures were implemented, including a police marker being placed on the property, security cameras being installed, and emergency contact arrangements being established on her phone. In addition, temporary safe accommodation was secured to allow 1 a period of safety away from the source of harm. This created opportunities to work alongside partner agencies to strengthen her confidence, independence, and ability to consider longer-term options for leaving the abusive situation. </w:t>
            </w:r>
          </w:p>
          <w:p w14:paraId="6A01F19F" w14:textId="77777777" w:rsidR="00A275AB" w:rsidRPr="00404527" w:rsidRDefault="00A275AB" w:rsidP="00A275AB">
            <w:pPr>
              <w:jc w:val="both"/>
              <w:rPr>
                <w:iCs/>
                <w:sz w:val="24"/>
                <w:szCs w:val="24"/>
              </w:rPr>
            </w:pPr>
            <w:r w:rsidRPr="00404527">
              <w:rPr>
                <w:iCs/>
                <w:sz w:val="24"/>
                <w:szCs w:val="24"/>
              </w:rPr>
              <w:t xml:space="preserve">Effective safeguarding required me to act decisively and communicate with the appropriate professionals at the appropriate time. This included liaising with hospital staff to implement additional safety measures, developing a code word system to discreetly identify risk, and maintaining vigilance during visits and appointments. To support coordinated multi-agency working, I established a secure communication process between professionals involved in the case, ensuring that information was shared appropriately and that risks were continually reviewed. This reflects the principles contained within the </w:t>
            </w:r>
            <w:r w:rsidRPr="00404527">
              <w:rPr>
                <w:b/>
                <w:bCs/>
                <w:iCs/>
                <w:sz w:val="24"/>
                <w:szCs w:val="24"/>
              </w:rPr>
              <w:t>Social Services and Well-being (Wales) Act 2014</w:t>
            </w:r>
            <w:r w:rsidRPr="00404527">
              <w:rPr>
                <w:iCs/>
                <w:sz w:val="24"/>
                <w:szCs w:val="24"/>
              </w:rPr>
              <w:t xml:space="preserve">, which emphasises partnership working and the promotion of an individual's wellbeing, and the </w:t>
            </w:r>
            <w:r w:rsidRPr="00404527">
              <w:rPr>
                <w:b/>
                <w:bCs/>
                <w:iCs/>
                <w:sz w:val="24"/>
                <w:szCs w:val="24"/>
              </w:rPr>
              <w:t>Social Care Wales Code of Professional Practice</w:t>
            </w:r>
            <w:r w:rsidRPr="00404527">
              <w:rPr>
                <w:iCs/>
                <w:sz w:val="24"/>
                <w:szCs w:val="24"/>
              </w:rPr>
              <w:t>, which requires social workers to work collaboratively, protect individuals from harm, and maintain professional accountability (Social Care Wales, 2017). Reflecting on this experience highlighted the</w:t>
            </w:r>
            <w:r w:rsidRPr="00A275AB">
              <w:rPr>
                <w:i/>
                <w:sz w:val="24"/>
                <w:szCs w:val="24"/>
              </w:rPr>
              <w:t xml:space="preserve"> </w:t>
            </w:r>
            <w:r w:rsidRPr="00404527">
              <w:rPr>
                <w:iCs/>
                <w:sz w:val="24"/>
                <w:szCs w:val="24"/>
              </w:rPr>
              <w:lastRenderedPageBreak/>
              <w:t>importance of communication, professional judgement, relationship-based practice and multi-agency collaboration in achieving positive safeguarding outcomes. </w:t>
            </w:r>
          </w:p>
          <w:p w14:paraId="679F5293" w14:textId="77777777" w:rsidR="00A275AB" w:rsidRPr="00404527" w:rsidRDefault="00A275AB" w:rsidP="00A275AB">
            <w:pPr>
              <w:jc w:val="both"/>
              <w:rPr>
                <w:iCs/>
                <w:sz w:val="24"/>
                <w:szCs w:val="24"/>
              </w:rPr>
            </w:pPr>
            <w:r w:rsidRPr="00404527">
              <w:rPr>
                <w:iCs/>
                <w:sz w:val="24"/>
                <w:szCs w:val="24"/>
              </w:rPr>
              <w:t> </w:t>
            </w:r>
          </w:p>
          <w:p w14:paraId="662FCE3B" w14:textId="77777777" w:rsidR="00A275AB" w:rsidRPr="00404527" w:rsidRDefault="00A275AB" w:rsidP="00A275AB">
            <w:pPr>
              <w:jc w:val="both"/>
              <w:rPr>
                <w:iCs/>
                <w:sz w:val="24"/>
                <w:szCs w:val="24"/>
              </w:rPr>
            </w:pPr>
            <w:r w:rsidRPr="00404527">
              <w:rPr>
                <w:iCs/>
                <w:sz w:val="24"/>
                <w:szCs w:val="24"/>
              </w:rPr>
              <w:t xml:space="preserve">The concerns regarding exploitation included indicators commonly associated with cuckooing, whereby vulnerable individuals are targeted by others who take over their property for criminal or exploitative purposes xxx Wales Safeguarding Board, 2024). The presence of individuals within 1's home, concerns regarding coercion and control, and the apparent influence others had over her decision-making raised significant safeguarding concerns. This required ongoing risk assessment through direct observation, multi-agency information sharing and regular review of emerging concerns. Risk assessments were updated following significant incidents or changes in circumstances to ensure safeguarding measures remained proportionate and </w:t>
            </w:r>
            <w:proofErr w:type="gramStart"/>
            <w:r w:rsidRPr="00404527">
              <w:rPr>
                <w:iCs/>
                <w:sz w:val="24"/>
                <w:szCs w:val="24"/>
              </w:rPr>
              <w:t>effective.(</w:t>
            </w:r>
            <w:proofErr w:type="gramEnd"/>
            <w:r w:rsidRPr="00404527">
              <w:rPr>
                <w:iCs/>
                <w:sz w:val="24"/>
                <w:szCs w:val="24"/>
              </w:rPr>
              <w:t xml:space="preserve"> Social care wales,2024) </w:t>
            </w:r>
          </w:p>
          <w:p w14:paraId="53079ECD" w14:textId="77777777" w:rsidR="00A275AB" w:rsidRPr="00404527" w:rsidRDefault="00A275AB" w:rsidP="00A275AB">
            <w:pPr>
              <w:jc w:val="both"/>
              <w:rPr>
                <w:iCs/>
                <w:sz w:val="24"/>
                <w:szCs w:val="24"/>
              </w:rPr>
            </w:pPr>
            <w:r w:rsidRPr="00404527">
              <w:rPr>
                <w:iCs/>
                <w:sz w:val="24"/>
                <w:szCs w:val="24"/>
              </w:rPr>
              <w:t> </w:t>
            </w:r>
          </w:p>
          <w:p w14:paraId="6663F17E" w14:textId="77777777" w:rsidR="00A275AB" w:rsidRPr="009E19DE" w:rsidRDefault="00A275AB" w:rsidP="00A275AB">
            <w:pPr>
              <w:jc w:val="both"/>
              <w:rPr>
                <w:iCs/>
                <w:sz w:val="24"/>
                <w:szCs w:val="24"/>
              </w:rPr>
            </w:pPr>
            <w:r w:rsidRPr="009E19DE">
              <w:rPr>
                <w:iCs/>
                <w:sz w:val="24"/>
                <w:szCs w:val="24"/>
              </w:rPr>
              <w:t>The Cycle of Change Model (Prochaska &amp; DiClemente, 1983) provided a useful framework for understanding 1's fluctuating engagement with support. Rather than viewing her changes in decision-making as non-compliance, I recognised that 1 moved between contemplation, preparation and relapse stages. Her ambivalence appeared to be influenced by fear, trauma, coercion and dependency on those around her. Understanding this helped me maintain a non-judgemental approach and recognise that sustainable change often occurs gradually rather than in a linear manner. </w:t>
            </w:r>
          </w:p>
          <w:p w14:paraId="23345281" w14:textId="77777777" w:rsidR="00A275AB" w:rsidRPr="009E19DE" w:rsidRDefault="00A275AB" w:rsidP="00A275AB">
            <w:pPr>
              <w:jc w:val="both"/>
              <w:rPr>
                <w:iCs/>
                <w:sz w:val="24"/>
                <w:szCs w:val="24"/>
              </w:rPr>
            </w:pPr>
            <w:r w:rsidRPr="009E19DE">
              <w:rPr>
                <w:iCs/>
                <w:sz w:val="24"/>
                <w:szCs w:val="24"/>
              </w:rPr>
              <w:t>An additional consideration was 1's mental capacity and ability to make informed decisions. Through ongoing assessment and multi-agency discussions, it became evident that there were occasions when 1's decision-making was affected by substance misuse and the influence of others. I observed that when 1 was under the influence, her ability to make reasoned and informed decisions appeared impaired. This presented further ethical complexities as professionals were required to balance respect for autonomy with safeguarding responsibilities. Under the Mental Capacity Act (2005), capacity is decision-specific and cannot be assumed to be lacking solely because a person makes what others may consider an unwise decision. Therefore, careful consideration was required throughout the intervention. </w:t>
            </w:r>
          </w:p>
          <w:p w14:paraId="294DEFA3" w14:textId="77777777" w:rsidR="00A275AB" w:rsidRPr="009E19DE" w:rsidRDefault="00A275AB" w:rsidP="00A275AB">
            <w:pPr>
              <w:jc w:val="both"/>
              <w:rPr>
                <w:iCs/>
                <w:sz w:val="24"/>
                <w:szCs w:val="24"/>
              </w:rPr>
            </w:pPr>
            <w:r w:rsidRPr="009E19DE">
              <w:rPr>
                <w:iCs/>
                <w:sz w:val="24"/>
                <w:szCs w:val="24"/>
              </w:rPr>
              <w:t>I made the decision that a collaborative multi-agency approach was essential in managing the risks and complexities presented in this case. I organised Multi-Disciplinary Team (MDT) meetings and established a secure professional email communication system to ensure information sharing occurred appropriately and effectively. I ensured that all relevant agencies were involved, including the police, housing, Domestic Abuse Safety Unit (DASU), Enhanced Lives and safeguarding professionals. This promoted a coordinated response and improved consistency in decision-making. </w:t>
            </w:r>
          </w:p>
          <w:p w14:paraId="2DEF12B6" w14:textId="77777777" w:rsidR="00A275AB" w:rsidRPr="009E19DE" w:rsidRDefault="00A275AB" w:rsidP="00A275AB">
            <w:pPr>
              <w:jc w:val="both"/>
              <w:rPr>
                <w:iCs/>
                <w:sz w:val="24"/>
                <w:szCs w:val="24"/>
              </w:rPr>
            </w:pPr>
            <w:r w:rsidRPr="009E19DE">
              <w:rPr>
                <w:iCs/>
                <w:sz w:val="24"/>
                <w:szCs w:val="24"/>
              </w:rPr>
              <w:t>When undertaking visits, I also had to consider both the safety of 1 and my own safety as a practitioner. Health and safety discussions were arranged to ensure that professionals followed lone-working procedures and that appropriate risk management measures were in place. This reflected not only good safeguarding practice but also compliance with organisational responsibilities regarding staff welfare. </w:t>
            </w:r>
          </w:p>
          <w:p w14:paraId="47ADA96E" w14:textId="77777777" w:rsidR="00A275AB" w:rsidRPr="009E19DE" w:rsidRDefault="00A275AB" w:rsidP="00A275AB">
            <w:pPr>
              <w:jc w:val="both"/>
              <w:rPr>
                <w:iCs/>
                <w:sz w:val="24"/>
                <w:szCs w:val="24"/>
              </w:rPr>
            </w:pPr>
            <w:r w:rsidRPr="009E19DE">
              <w:rPr>
                <w:iCs/>
                <w:sz w:val="24"/>
                <w:szCs w:val="24"/>
              </w:rPr>
              <w:t xml:space="preserve">Maslow's Hierarchy of Needs (1943) provided another useful lens through which to understand 1's circumstances. Before focusing on longer-term goals such as empowerment, independence and self-determination, it was evident that more fundamental needs relating to safety and security required attention. The exploitation and instability experienced by 1 </w:t>
            </w:r>
            <w:r w:rsidRPr="009E19DE">
              <w:rPr>
                <w:iCs/>
                <w:sz w:val="24"/>
                <w:szCs w:val="24"/>
              </w:rPr>
              <w:lastRenderedPageBreak/>
              <w:t>significantly affected her ability to achieve these higher-level outcomes. This reinforced the importance of addressing immediate safeguarding concerns whilst simultaneously supporting autonomy and choice. Looking at this, I need to ne analytical in thinking about even though Critically, whilst Maslow suggests that basic needs must be met before higher-level needs can be achieved, 1 continued to demonstrate resilience, express her wishes and identify future goals despite significant adversity. This highlighted the limitations of applying theory rigidly and reinforced the need for a strengths-based approach that recognises both vulnerability and capability. Reflecting on this experience strengthened my understanding that effective social work requires a balance between protection and empowerment, ensuring that safeguarding interventions support, rather than restrict, an individual's rights, choice and control in accordance with the Social Services and Well-being (Wales) Act 2014 (Welsh Government, 2014). </w:t>
            </w:r>
          </w:p>
          <w:p w14:paraId="6C49CE94" w14:textId="77777777" w:rsidR="00A275AB" w:rsidRPr="009E19DE" w:rsidRDefault="00A275AB" w:rsidP="00A275AB">
            <w:pPr>
              <w:jc w:val="both"/>
              <w:rPr>
                <w:iCs/>
                <w:sz w:val="24"/>
                <w:szCs w:val="24"/>
              </w:rPr>
            </w:pPr>
            <w:r w:rsidRPr="009E19DE">
              <w:rPr>
                <w:iCs/>
                <w:sz w:val="24"/>
                <w:szCs w:val="24"/>
              </w:rPr>
              <w:t> </w:t>
            </w:r>
          </w:p>
          <w:p w14:paraId="6686FA00" w14:textId="77777777" w:rsidR="00A275AB" w:rsidRPr="009E19DE" w:rsidRDefault="00A275AB" w:rsidP="00A275AB">
            <w:pPr>
              <w:jc w:val="both"/>
              <w:rPr>
                <w:iCs/>
                <w:sz w:val="24"/>
                <w:szCs w:val="24"/>
              </w:rPr>
            </w:pPr>
            <w:r w:rsidRPr="009E19DE">
              <w:rPr>
                <w:iCs/>
                <w:sz w:val="24"/>
                <w:szCs w:val="24"/>
              </w:rPr>
              <w:t>Section 126 enquiry under the Social Services and Well-being (Wales) Act 2014 was progressed due to the level of risk identified and 1's previously expressed wishes. At times, however, 1 stated that she no longer wanted professional involvement despite expressing fears of reprisals and seeking police support. This required professionals to balance safeguarding responsibilities with respect for autonomy and rights. Although 1 had capacity to make her own decisions, the impact of coercion, intimidation, and exploitation remained important considerations within risk assessment. </w:t>
            </w:r>
          </w:p>
          <w:p w14:paraId="6331C41D" w14:textId="77777777" w:rsidR="00A275AB" w:rsidRPr="009E19DE" w:rsidRDefault="00A275AB" w:rsidP="00A275AB">
            <w:pPr>
              <w:jc w:val="both"/>
              <w:rPr>
                <w:iCs/>
                <w:sz w:val="24"/>
                <w:szCs w:val="24"/>
              </w:rPr>
            </w:pPr>
            <w:r w:rsidRPr="009E19DE">
              <w:rPr>
                <w:iCs/>
                <w:sz w:val="24"/>
                <w:szCs w:val="24"/>
              </w:rPr>
              <w:t>Through developing a relationship with 1, I recognised that the circumstances she was experiencing had become normalised. Situations that professionals viewed as high risk had become part of her everyday life. This highlighted the importance of relationship-based practice, consistency, and trust. Rather than expecting immediate change, I learned that supporting engagement requires patience, persistence, and effective partnership working. The experience strengthened my understanding of balancing empowerment, safeguarding, human rights, and professional accountability when working with individuals experiencing exploitation and complex trauma (Social Care Wales, 2026). </w:t>
            </w:r>
          </w:p>
          <w:p w14:paraId="073D7EE1" w14:textId="77777777" w:rsidR="00A275AB" w:rsidRPr="009E19DE" w:rsidRDefault="00A275AB" w:rsidP="00A275AB">
            <w:pPr>
              <w:jc w:val="both"/>
              <w:rPr>
                <w:iCs/>
                <w:sz w:val="24"/>
                <w:szCs w:val="24"/>
              </w:rPr>
            </w:pPr>
            <w:r w:rsidRPr="009E19DE">
              <w:rPr>
                <w:iCs/>
                <w:sz w:val="24"/>
                <w:szCs w:val="24"/>
              </w:rPr>
              <w:t>Stats  </w:t>
            </w:r>
          </w:p>
          <w:p w14:paraId="5D393841" w14:textId="77777777" w:rsidR="00A275AB" w:rsidRPr="009E19DE" w:rsidRDefault="00A275AB" w:rsidP="00A275AB">
            <w:pPr>
              <w:jc w:val="both"/>
              <w:rPr>
                <w:iCs/>
                <w:sz w:val="24"/>
                <w:szCs w:val="24"/>
              </w:rPr>
            </w:pPr>
            <w:r w:rsidRPr="009E19DE">
              <w:rPr>
                <w:iCs/>
                <w:sz w:val="24"/>
                <w:szCs w:val="24"/>
              </w:rPr>
              <w:t>The risks experienced by 1 were consistent with indicators of cuckooing, a form of criminal exploitation where perpetrators take over the home of a vulnerable individual to facilitate criminal activity (XXX Wales Safeguarding Board, 2020). Research suggests that individuals experiencing mental health difficulties, substance misuse, social isolation and housing instability are particularly vulnerable to this form of exploitation. XXX Wales Police identified 60 victims of cuckooing in 2022, 30 victims in 2023 and 20 victims during the first six months of 2024, with the majority having indicators relating to substance misuse and mental health needs (XXX Wales Police, 2024). These findings reflect Maslow's (1943) theory that where safety and security needs are compromised, individuals may struggle to achieve higher levels of well-being and self-determination. This was evident in 1's circumstances, where fear, intimidation and dependence on others appeared to influence her decision-making and engagement with safeguarding interventions. </w:t>
            </w:r>
          </w:p>
          <w:p w14:paraId="7730107E" w14:textId="77777777" w:rsidR="00A275AB" w:rsidRPr="009E19DE" w:rsidRDefault="00A275AB" w:rsidP="00A275AB">
            <w:pPr>
              <w:jc w:val="both"/>
              <w:rPr>
                <w:iCs/>
                <w:sz w:val="24"/>
                <w:szCs w:val="24"/>
              </w:rPr>
            </w:pPr>
            <w:r w:rsidRPr="009E19DE">
              <w:rPr>
                <w:b/>
                <w:bCs/>
                <w:iCs/>
                <w:sz w:val="24"/>
                <w:szCs w:val="24"/>
              </w:rPr>
              <w:t>Reflection Using Driscoll's (1994) Reflective Model</w:t>
            </w:r>
            <w:r w:rsidRPr="009E19DE">
              <w:rPr>
                <w:iCs/>
                <w:sz w:val="24"/>
                <w:szCs w:val="24"/>
              </w:rPr>
              <w:t> </w:t>
            </w:r>
          </w:p>
          <w:p w14:paraId="09F5ADC9" w14:textId="77777777" w:rsidR="00A275AB" w:rsidRPr="009E19DE" w:rsidRDefault="00A275AB" w:rsidP="00A275AB">
            <w:pPr>
              <w:jc w:val="both"/>
              <w:rPr>
                <w:iCs/>
                <w:sz w:val="24"/>
                <w:szCs w:val="24"/>
              </w:rPr>
            </w:pPr>
            <w:r w:rsidRPr="009E19DE">
              <w:rPr>
                <w:b/>
                <w:bCs/>
                <w:iCs/>
                <w:sz w:val="24"/>
                <w:szCs w:val="24"/>
              </w:rPr>
              <w:t>What?</w:t>
            </w:r>
            <w:r w:rsidRPr="009E19DE">
              <w:rPr>
                <w:iCs/>
                <w:sz w:val="24"/>
                <w:szCs w:val="24"/>
              </w:rPr>
              <w:t> </w:t>
            </w:r>
          </w:p>
          <w:p w14:paraId="31189CD0" w14:textId="77777777" w:rsidR="00A275AB" w:rsidRPr="009E19DE" w:rsidRDefault="00A275AB" w:rsidP="00A275AB">
            <w:pPr>
              <w:jc w:val="both"/>
              <w:rPr>
                <w:iCs/>
                <w:sz w:val="24"/>
                <w:szCs w:val="24"/>
              </w:rPr>
            </w:pPr>
            <w:r w:rsidRPr="009E19DE">
              <w:rPr>
                <w:iCs/>
                <w:sz w:val="24"/>
                <w:szCs w:val="24"/>
              </w:rPr>
              <w:t>This case involved concerns relating to exploitation and presented significant complexity, requiring a coordinated multi-agency approach to ensure the individual's safety and wellbeing. Throughout the intervention, I worked collaboratively with professionals from different</w:t>
            </w:r>
            <w:r w:rsidRPr="00A275AB">
              <w:rPr>
                <w:i/>
                <w:sz w:val="24"/>
                <w:szCs w:val="24"/>
              </w:rPr>
              <w:t xml:space="preserve"> </w:t>
            </w:r>
            <w:r w:rsidRPr="009E19DE">
              <w:rPr>
                <w:iCs/>
                <w:sz w:val="24"/>
                <w:szCs w:val="24"/>
              </w:rPr>
              <w:lastRenderedPageBreak/>
              <w:t>agencies to assess risk, share information appropriately, and develop a safeguarding plan that balanced protection with the individual's right to make decisions about their own life. The case raised ethical dilemmas around respecting autonomy while promoting safety and reducing the risk of harm. </w:t>
            </w:r>
          </w:p>
          <w:p w14:paraId="18449229" w14:textId="77777777" w:rsidR="00A275AB" w:rsidRPr="009E19DE" w:rsidRDefault="00A275AB" w:rsidP="00A275AB">
            <w:pPr>
              <w:jc w:val="both"/>
              <w:rPr>
                <w:iCs/>
                <w:sz w:val="24"/>
                <w:szCs w:val="24"/>
              </w:rPr>
            </w:pPr>
            <w:r w:rsidRPr="009E19DE">
              <w:rPr>
                <w:iCs/>
                <w:sz w:val="24"/>
                <w:szCs w:val="24"/>
              </w:rPr>
              <w:t>As a newly qualified social worker, I found aspects of the case challenging due to the level of risk involved and the complexity of decision-making required. However, the involvement of partner agencies and the expertise of the multidisciplinary team enabled effective information sharing, risk analysis, and informed decision-making. </w:t>
            </w:r>
          </w:p>
          <w:p w14:paraId="19A7E405" w14:textId="77777777" w:rsidR="00A275AB" w:rsidRPr="009E19DE" w:rsidRDefault="00A275AB" w:rsidP="00A275AB">
            <w:pPr>
              <w:jc w:val="both"/>
              <w:rPr>
                <w:iCs/>
                <w:sz w:val="24"/>
                <w:szCs w:val="24"/>
              </w:rPr>
            </w:pPr>
            <w:r w:rsidRPr="009E19DE">
              <w:rPr>
                <w:b/>
                <w:bCs/>
                <w:iCs/>
                <w:sz w:val="24"/>
                <w:szCs w:val="24"/>
              </w:rPr>
              <w:t>So What?</w:t>
            </w:r>
            <w:r w:rsidRPr="009E19DE">
              <w:rPr>
                <w:iCs/>
                <w:sz w:val="24"/>
                <w:szCs w:val="24"/>
              </w:rPr>
              <w:t> </w:t>
            </w:r>
          </w:p>
          <w:p w14:paraId="58E36556" w14:textId="77777777" w:rsidR="00A275AB" w:rsidRPr="009E19DE" w:rsidRDefault="00A275AB" w:rsidP="00A275AB">
            <w:pPr>
              <w:jc w:val="both"/>
              <w:rPr>
                <w:iCs/>
                <w:sz w:val="24"/>
                <w:szCs w:val="24"/>
              </w:rPr>
            </w:pPr>
            <w:r w:rsidRPr="009E19DE">
              <w:rPr>
                <w:iCs/>
                <w:sz w:val="24"/>
                <w:szCs w:val="24"/>
              </w:rPr>
              <w:t>Reflecting on this experience has enabled me to recognise the importance of collaborative working in safeguarding practice. This case reinforced the value of partnership working when responding to exploitation and complex safeguarding concerns. Effective collaboration ensured that risks were identified comprehensively while maintaining a person-centred approach (Social Care Wales, 2024). </w:t>
            </w:r>
          </w:p>
          <w:p w14:paraId="26B3860F" w14:textId="77777777" w:rsidR="00A275AB" w:rsidRPr="009E19DE" w:rsidRDefault="00A275AB" w:rsidP="00A275AB">
            <w:pPr>
              <w:jc w:val="both"/>
              <w:rPr>
                <w:iCs/>
                <w:sz w:val="24"/>
                <w:szCs w:val="24"/>
              </w:rPr>
            </w:pPr>
            <w:r w:rsidRPr="009E19DE">
              <w:rPr>
                <w:iCs/>
                <w:sz w:val="24"/>
                <w:szCs w:val="24"/>
              </w:rPr>
              <w:t>The experience also increased my confidence in working with adults at risk of exploitation. Although professional opinions sometimes differed and ethical tensions emerged, I learned that safeguarding is often a gradual process rather than an immediate solution. Positive outcomes can take time to achieve, requiring practitioners to remain patient, persistent, and reflective. </w:t>
            </w:r>
          </w:p>
          <w:p w14:paraId="502AC3EA" w14:textId="77777777" w:rsidR="00A275AB" w:rsidRPr="009E19DE" w:rsidRDefault="00A275AB" w:rsidP="00A275AB">
            <w:pPr>
              <w:jc w:val="both"/>
              <w:rPr>
                <w:iCs/>
                <w:sz w:val="24"/>
                <w:szCs w:val="24"/>
              </w:rPr>
            </w:pPr>
            <w:r w:rsidRPr="009E19DE">
              <w:rPr>
                <w:iCs/>
                <w:sz w:val="24"/>
                <w:szCs w:val="24"/>
              </w:rPr>
              <w:t>Furthermore, this case highlighted the importance of professional curiosity and trusting my instincts when concerns arise. Research suggests that professional curiosity is essential in safeguarding practice as it supports practitioners to explore issues beyond what is immediately visible and helps prevent disguised compliance from masking ongoing risks (Braye et al., 2015). Through this experience, I became more confident in advocating for the individual's needs, even when difficult conversations were required. </w:t>
            </w:r>
          </w:p>
          <w:p w14:paraId="13AAD961" w14:textId="77777777" w:rsidR="00A275AB" w:rsidRPr="009E19DE" w:rsidRDefault="00A275AB" w:rsidP="00A275AB">
            <w:pPr>
              <w:jc w:val="both"/>
              <w:rPr>
                <w:iCs/>
                <w:sz w:val="24"/>
                <w:szCs w:val="24"/>
              </w:rPr>
            </w:pPr>
            <w:r w:rsidRPr="009E19DE">
              <w:rPr>
                <w:iCs/>
                <w:sz w:val="24"/>
                <w:szCs w:val="24"/>
              </w:rPr>
              <w:t>The case also strengthened my understanding of balancing empowerment and protection. While some decisions made by the individual could be viewed as unwise, the Social Services and Well-being (Wales) Act 2014 requires practitioners to respect individuals' rights, wishes, and autonomy wherever possible. This reinforced that safeguarding is not about eliminating all risk but supporting informed decision-making while reducing the likelihood of significant harm (Welsh Government, 2014). </w:t>
            </w:r>
          </w:p>
          <w:p w14:paraId="1C620AE6" w14:textId="77777777" w:rsidR="00A275AB" w:rsidRPr="009E19DE" w:rsidRDefault="00A275AB" w:rsidP="00A275AB">
            <w:pPr>
              <w:jc w:val="both"/>
              <w:rPr>
                <w:iCs/>
                <w:sz w:val="24"/>
                <w:szCs w:val="24"/>
              </w:rPr>
            </w:pPr>
            <w:r w:rsidRPr="009E19DE">
              <w:rPr>
                <w:iCs/>
                <w:sz w:val="24"/>
                <w:szCs w:val="24"/>
              </w:rPr>
              <w:t>The intervention was informed by the principles of wellbeing, participation, voice, and control embedded within Welsh legislation. Despite significant safeguarding concerns, it was essential that the individual's views remained central to decision-making, reflecting both statutory requirements and professional values (Social Care Wales, 2024; Welsh Government, 2014). </w:t>
            </w:r>
          </w:p>
          <w:p w14:paraId="7848D6EB" w14:textId="77777777" w:rsidR="00A275AB" w:rsidRPr="009E19DE" w:rsidRDefault="00A275AB" w:rsidP="00A275AB">
            <w:pPr>
              <w:jc w:val="both"/>
              <w:rPr>
                <w:iCs/>
                <w:sz w:val="24"/>
                <w:szCs w:val="24"/>
              </w:rPr>
            </w:pPr>
            <w:r w:rsidRPr="009E19DE">
              <w:rPr>
                <w:b/>
                <w:bCs/>
                <w:iCs/>
                <w:sz w:val="24"/>
                <w:szCs w:val="24"/>
              </w:rPr>
              <w:t>Now What?</w:t>
            </w:r>
            <w:r w:rsidRPr="009E19DE">
              <w:rPr>
                <w:iCs/>
                <w:sz w:val="24"/>
                <w:szCs w:val="24"/>
              </w:rPr>
              <w:t> </w:t>
            </w:r>
          </w:p>
          <w:p w14:paraId="1D69EC82" w14:textId="77777777" w:rsidR="00A275AB" w:rsidRPr="009E19DE" w:rsidRDefault="00A275AB" w:rsidP="00A275AB">
            <w:pPr>
              <w:jc w:val="both"/>
              <w:rPr>
                <w:iCs/>
                <w:sz w:val="24"/>
                <w:szCs w:val="24"/>
              </w:rPr>
            </w:pPr>
            <w:r w:rsidRPr="009E19DE">
              <w:rPr>
                <w:iCs/>
                <w:sz w:val="24"/>
                <w:szCs w:val="24"/>
              </w:rPr>
              <w:t>Moving forward, I will continue to utilise supervision effectively when managing complex safeguarding cases. Supervision provides an important space for reflection, critical analysis, emotional support, and professional development, particularly when ethical dilemmas arise (BASW, 2021). I recognise the value of discussing challenging situations with experienced colleagues to ensure decisions remain evidence-based and proportionate. </w:t>
            </w:r>
          </w:p>
          <w:p w14:paraId="03A309E0" w14:textId="33D0E719" w:rsidR="00A275AB" w:rsidRPr="009E19DE" w:rsidRDefault="00A275AB" w:rsidP="00A275AB">
            <w:pPr>
              <w:jc w:val="both"/>
              <w:rPr>
                <w:iCs/>
                <w:sz w:val="24"/>
                <w:szCs w:val="24"/>
              </w:rPr>
            </w:pPr>
            <w:r w:rsidRPr="009E19DE">
              <w:rPr>
                <w:iCs/>
                <w:sz w:val="24"/>
                <w:szCs w:val="24"/>
              </w:rPr>
              <w:t xml:space="preserve">I will also continue to develop my confidence when advocating for individuals and challenging decisions where necessary. This experience has reinforced that being new in a role does not diminish the value of my professional observations or responsibilities. </w:t>
            </w:r>
          </w:p>
          <w:p w14:paraId="20BE9744" w14:textId="77777777" w:rsidR="00A275AB" w:rsidRPr="009E19DE" w:rsidRDefault="00A275AB" w:rsidP="00A275AB">
            <w:pPr>
              <w:jc w:val="both"/>
              <w:rPr>
                <w:iCs/>
                <w:sz w:val="24"/>
                <w:szCs w:val="24"/>
              </w:rPr>
            </w:pPr>
            <w:r w:rsidRPr="009E19DE">
              <w:rPr>
                <w:iCs/>
                <w:sz w:val="24"/>
                <w:szCs w:val="24"/>
              </w:rPr>
              <w:lastRenderedPageBreak/>
              <w:t>Finally, this reflection has demonstrated the importance of person-centred safeguarding practice. In future, I will continue to uphold individuals' rights, respect their choices, and work in partnership with others to promote wellbeing and reduce the risk of exploitation. </w:t>
            </w:r>
          </w:p>
          <w:p w14:paraId="65BDBFD5" w14:textId="77777777" w:rsidR="009E19DE" w:rsidRPr="009E19DE" w:rsidRDefault="009E19DE" w:rsidP="00A275AB">
            <w:pPr>
              <w:jc w:val="both"/>
              <w:rPr>
                <w:iCs/>
                <w:sz w:val="24"/>
                <w:szCs w:val="24"/>
              </w:rPr>
            </w:pPr>
          </w:p>
          <w:p w14:paraId="1B0A41B2" w14:textId="3FCA0794" w:rsidR="009E19DE" w:rsidRPr="009E19DE" w:rsidRDefault="009E19DE" w:rsidP="00A275AB">
            <w:pPr>
              <w:jc w:val="both"/>
              <w:rPr>
                <w:iCs/>
                <w:sz w:val="24"/>
                <w:szCs w:val="24"/>
              </w:rPr>
            </w:pPr>
            <w:r>
              <w:rPr>
                <w:i/>
                <w:sz w:val="24"/>
                <w:szCs w:val="24"/>
              </w:rPr>
              <w:t>W</w:t>
            </w:r>
            <w:r>
              <w:rPr>
                <w:iCs/>
                <w:sz w:val="24"/>
                <w:szCs w:val="24"/>
              </w:rPr>
              <w:t>ord Count 4400</w:t>
            </w:r>
          </w:p>
          <w:p w14:paraId="4ABDCAB8" w14:textId="77777777" w:rsidR="00A275AB" w:rsidRPr="00A275AB" w:rsidRDefault="00A275AB" w:rsidP="00A275AB">
            <w:pPr>
              <w:jc w:val="both"/>
              <w:rPr>
                <w:i/>
                <w:sz w:val="24"/>
                <w:szCs w:val="24"/>
              </w:rPr>
            </w:pPr>
            <w:r w:rsidRPr="00A275AB">
              <w:rPr>
                <w:i/>
                <w:sz w:val="24"/>
                <w:szCs w:val="24"/>
              </w:rPr>
              <w:t> </w:t>
            </w:r>
          </w:p>
          <w:p w14:paraId="6E16C577" w14:textId="77777777" w:rsidR="00A275AB" w:rsidRPr="00A275AB" w:rsidRDefault="00A275AB" w:rsidP="00A275AB">
            <w:pPr>
              <w:jc w:val="both"/>
              <w:rPr>
                <w:i/>
                <w:sz w:val="24"/>
                <w:szCs w:val="24"/>
              </w:rPr>
            </w:pPr>
            <w:r w:rsidRPr="00A275AB">
              <w:rPr>
                <w:i/>
                <w:sz w:val="24"/>
                <w:szCs w:val="24"/>
              </w:rPr>
              <w:t> </w:t>
            </w:r>
          </w:p>
          <w:p w14:paraId="7AA25126" w14:textId="152056E0" w:rsidR="00A275AB" w:rsidRPr="00A275AB" w:rsidRDefault="00A275AB" w:rsidP="00A275AB">
            <w:pPr>
              <w:jc w:val="both"/>
              <w:rPr>
                <w:i/>
                <w:sz w:val="24"/>
                <w:szCs w:val="24"/>
              </w:rPr>
            </w:pPr>
            <w:r w:rsidRPr="00A275AB">
              <w:rPr>
                <w:i/>
                <w:noProof/>
                <w:sz w:val="24"/>
                <w:szCs w:val="24"/>
              </w:rPr>
              <w:drawing>
                <wp:inline distT="0" distB="0" distL="0" distR="0" wp14:anchorId="1FD407F8" wp14:editId="51B7D983">
                  <wp:extent cx="22860" cy="22860"/>
                  <wp:effectExtent l="0" t="0" r="0" b="0"/>
                  <wp:docPr id="2660481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860" cy="22860"/>
                          </a:xfrm>
                          <a:prstGeom prst="rect">
                            <a:avLst/>
                          </a:prstGeom>
                          <a:noFill/>
                          <a:ln>
                            <a:noFill/>
                          </a:ln>
                        </pic:spPr>
                      </pic:pic>
                    </a:graphicData>
                  </a:graphic>
                </wp:inline>
              </w:drawing>
            </w:r>
            <w:r w:rsidRPr="00A275AB">
              <w:rPr>
                <w:i/>
                <w:sz w:val="24"/>
                <w:szCs w:val="24"/>
              </w:rPr>
              <w:t> </w:t>
            </w:r>
          </w:p>
          <w:p w14:paraId="401026CD" w14:textId="77777777" w:rsidR="00A275AB" w:rsidRPr="00A275AB" w:rsidRDefault="00A275AB" w:rsidP="00A275AB">
            <w:pPr>
              <w:jc w:val="both"/>
              <w:rPr>
                <w:i/>
                <w:sz w:val="24"/>
                <w:szCs w:val="24"/>
              </w:rPr>
            </w:pPr>
            <w:r w:rsidRPr="00A275AB">
              <w:rPr>
                <w:i/>
                <w:sz w:val="24"/>
                <w:szCs w:val="24"/>
              </w:rPr>
              <w:t> </w:t>
            </w:r>
          </w:p>
          <w:p w14:paraId="46AD5406" w14:textId="77777777" w:rsidR="00A275AB" w:rsidRPr="00A275AB" w:rsidRDefault="00A275AB" w:rsidP="00A275AB">
            <w:pPr>
              <w:jc w:val="both"/>
              <w:rPr>
                <w:i/>
                <w:sz w:val="24"/>
                <w:szCs w:val="24"/>
              </w:rPr>
            </w:pPr>
            <w:r w:rsidRPr="00A275AB">
              <w:rPr>
                <w:i/>
                <w:sz w:val="24"/>
                <w:szCs w:val="24"/>
              </w:rPr>
              <w:t> </w:t>
            </w:r>
          </w:p>
          <w:p w14:paraId="027D43F3" w14:textId="77777777" w:rsidR="00A275AB" w:rsidRPr="00A275AB" w:rsidRDefault="00A275AB" w:rsidP="00A275AB">
            <w:pPr>
              <w:jc w:val="both"/>
              <w:rPr>
                <w:i/>
                <w:sz w:val="24"/>
                <w:szCs w:val="24"/>
              </w:rPr>
            </w:pPr>
            <w:r w:rsidRPr="00A275AB">
              <w:rPr>
                <w:i/>
                <w:sz w:val="24"/>
                <w:szCs w:val="24"/>
              </w:rPr>
              <w:t> </w:t>
            </w:r>
          </w:p>
          <w:p w14:paraId="1AA4659F" w14:textId="77777777" w:rsidR="00A275AB" w:rsidRPr="00A275AB" w:rsidRDefault="00A275AB" w:rsidP="00A275AB">
            <w:pPr>
              <w:jc w:val="both"/>
              <w:rPr>
                <w:i/>
                <w:sz w:val="24"/>
                <w:szCs w:val="24"/>
              </w:rPr>
            </w:pPr>
            <w:r w:rsidRPr="00A275AB">
              <w:rPr>
                <w:i/>
                <w:sz w:val="24"/>
                <w:szCs w:val="24"/>
              </w:rPr>
              <w:t> </w:t>
            </w:r>
          </w:p>
          <w:p w14:paraId="2FDB3BEA" w14:textId="77777777" w:rsidR="00A275AB" w:rsidRPr="00A275AB" w:rsidRDefault="00A275AB" w:rsidP="00A275AB">
            <w:pPr>
              <w:jc w:val="both"/>
              <w:rPr>
                <w:i/>
                <w:sz w:val="24"/>
                <w:szCs w:val="24"/>
              </w:rPr>
            </w:pPr>
            <w:r w:rsidRPr="00A275AB">
              <w:rPr>
                <w:i/>
                <w:sz w:val="24"/>
                <w:szCs w:val="24"/>
              </w:rPr>
              <w:t> </w:t>
            </w:r>
          </w:p>
          <w:p w14:paraId="08963E80" w14:textId="77777777" w:rsidR="00A275AB" w:rsidRPr="00A275AB" w:rsidRDefault="00A275AB" w:rsidP="00A275AB">
            <w:pPr>
              <w:jc w:val="both"/>
              <w:rPr>
                <w:i/>
                <w:sz w:val="24"/>
                <w:szCs w:val="24"/>
              </w:rPr>
            </w:pPr>
            <w:r w:rsidRPr="00A275AB">
              <w:rPr>
                <w:i/>
                <w:sz w:val="24"/>
                <w:szCs w:val="24"/>
              </w:rPr>
              <w:t> </w:t>
            </w:r>
          </w:p>
          <w:p w14:paraId="06E87AB6" w14:textId="77777777" w:rsidR="00A275AB" w:rsidRPr="00A275AB" w:rsidRDefault="00A275AB" w:rsidP="00A275AB">
            <w:pPr>
              <w:jc w:val="both"/>
              <w:rPr>
                <w:i/>
                <w:sz w:val="24"/>
                <w:szCs w:val="24"/>
              </w:rPr>
            </w:pPr>
            <w:r w:rsidRPr="00A275AB">
              <w:rPr>
                <w:i/>
                <w:sz w:val="24"/>
                <w:szCs w:val="24"/>
              </w:rPr>
              <w:t> </w:t>
            </w:r>
          </w:p>
          <w:p w14:paraId="1FB8532A" w14:textId="77777777" w:rsidR="00A275AB" w:rsidRPr="00A275AB" w:rsidRDefault="00A275AB" w:rsidP="00A275AB">
            <w:pPr>
              <w:jc w:val="both"/>
              <w:rPr>
                <w:i/>
                <w:sz w:val="24"/>
                <w:szCs w:val="24"/>
              </w:rPr>
            </w:pPr>
            <w:r w:rsidRPr="00A275AB">
              <w:rPr>
                <w:i/>
                <w:sz w:val="24"/>
                <w:szCs w:val="24"/>
              </w:rPr>
              <w:t> </w:t>
            </w:r>
          </w:p>
          <w:p w14:paraId="7D5B2AD3" w14:textId="77777777" w:rsidR="00A275AB" w:rsidRPr="00A275AB" w:rsidRDefault="00A275AB" w:rsidP="00A275AB">
            <w:pPr>
              <w:jc w:val="both"/>
              <w:rPr>
                <w:i/>
                <w:sz w:val="24"/>
                <w:szCs w:val="24"/>
              </w:rPr>
            </w:pPr>
            <w:r w:rsidRPr="00A275AB">
              <w:rPr>
                <w:i/>
                <w:sz w:val="24"/>
                <w:szCs w:val="24"/>
              </w:rPr>
              <w:t> </w:t>
            </w:r>
          </w:p>
          <w:p w14:paraId="2D86E62D" w14:textId="77777777" w:rsidR="00A275AB" w:rsidRPr="00A275AB" w:rsidRDefault="00A275AB" w:rsidP="00A275AB">
            <w:pPr>
              <w:jc w:val="both"/>
              <w:rPr>
                <w:i/>
                <w:sz w:val="24"/>
                <w:szCs w:val="24"/>
              </w:rPr>
            </w:pPr>
            <w:r w:rsidRPr="00A275AB">
              <w:rPr>
                <w:i/>
                <w:sz w:val="24"/>
                <w:szCs w:val="24"/>
              </w:rPr>
              <w:t> </w:t>
            </w:r>
          </w:p>
          <w:p w14:paraId="2B391A33" w14:textId="77777777" w:rsidR="00A275AB" w:rsidRPr="00A275AB" w:rsidRDefault="00A275AB" w:rsidP="00A275AB">
            <w:pPr>
              <w:jc w:val="both"/>
              <w:rPr>
                <w:i/>
                <w:sz w:val="24"/>
                <w:szCs w:val="24"/>
              </w:rPr>
            </w:pPr>
            <w:r w:rsidRPr="00A275AB">
              <w:rPr>
                <w:i/>
                <w:sz w:val="24"/>
                <w:szCs w:val="24"/>
              </w:rPr>
              <w:t> </w:t>
            </w:r>
          </w:p>
          <w:p w14:paraId="48AEE5CD" w14:textId="77777777" w:rsidR="00A275AB" w:rsidRPr="00A275AB" w:rsidRDefault="00A275AB" w:rsidP="00A275AB">
            <w:pPr>
              <w:jc w:val="both"/>
              <w:rPr>
                <w:i/>
                <w:sz w:val="24"/>
                <w:szCs w:val="24"/>
              </w:rPr>
            </w:pPr>
            <w:r w:rsidRPr="00A275AB">
              <w:rPr>
                <w:i/>
                <w:sz w:val="24"/>
                <w:szCs w:val="24"/>
              </w:rPr>
              <w:t> </w:t>
            </w:r>
          </w:p>
          <w:p w14:paraId="78B2CA0D" w14:textId="77777777" w:rsidR="00A275AB" w:rsidRPr="00A275AB" w:rsidRDefault="00A275AB" w:rsidP="00A275AB">
            <w:pPr>
              <w:jc w:val="both"/>
              <w:rPr>
                <w:i/>
                <w:sz w:val="24"/>
                <w:szCs w:val="24"/>
              </w:rPr>
            </w:pPr>
            <w:r w:rsidRPr="00A275AB">
              <w:rPr>
                <w:i/>
                <w:sz w:val="24"/>
                <w:szCs w:val="24"/>
              </w:rPr>
              <w:t> </w:t>
            </w:r>
          </w:p>
          <w:p w14:paraId="7DFE5A17" w14:textId="77777777" w:rsidR="00A275AB" w:rsidRPr="00A275AB" w:rsidRDefault="00A275AB" w:rsidP="00A275AB">
            <w:pPr>
              <w:jc w:val="both"/>
              <w:rPr>
                <w:i/>
                <w:sz w:val="24"/>
                <w:szCs w:val="24"/>
              </w:rPr>
            </w:pPr>
            <w:r w:rsidRPr="00A275AB">
              <w:rPr>
                <w:i/>
                <w:sz w:val="24"/>
                <w:szCs w:val="24"/>
              </w:rPr>
              <w:t> </w:t>
            </w:r>
          </w:p>
          <w:p w14:paraId="21D330D9" w14:textId="77777777" w:rsidR="00A275AB" w:rsidRPr="00A275AB" w:rsidRDefault="00A275AB" w:rsidP="00A275AB">
            <w:pPr>
              <w:jc w:val="both"/>
              <w:rPr>
                <w:i/>
                <w:sz w:val="24"/>
                <w:szCs w:val="24"/>
              </w:rPr>
            </w:pPr>
            <w:r w:rsidRPr="00A275AB">
              <w:rPr>
                <w:i/>
                <w:sz w:val="24"/>
                <w:szCs w:val="24"/>
              </w:rPr>
              <w:t> </w:t>
            </w:r>
          </w:p>
          <w:p w14:paraId="3E05BE7D" w14:textId="77777777" w:rsidR="00A275AB" w:rsidRPr="00A275AB" w:rsidRDefault="00A275AB" w:rsidP="00A275AB">
            <w:pPr>
              <w:jc w:val="both"/>
              <w:rPr>
                <w:i/>
                <w:sz w:val="24"/>
                <w:szCs w:val="24"/>
              </w:rPr>
            </w:pPr>
            <w:r w:rsidRPr="00A275AB">
              <w:rPr>
                <w:i/>
                <w:sz w:val="24"/>
                <w:szCs w:val="24"/>
              </w:rPr>
              <w:t> </w:t>
            </w:r>
          </w:p>
          <w:p w14:paraId="7D698A16" w14:textId="77777777" w:rsidR="00A275AB" w:rsidRPr="00A275AB" w:rsidRDefault="00A275AB" w:rsidP="00A275AB">
            <w:pPr>
              <w:jc w:val="both"/>
              <w:rPr>
                <w:i/>
                <w:sz w:val="24"/>
                <w:szCs w:val="24"/>
              </w:rPr>
            </w:pPr>
            <w:r w:rsidRPr="00A275AB">
              <w:rPr>
                <w:i/>
                <w:sz w:val="24"/>
                <w:szCs w:val="24"/>
              </w:rPr>
              <w:t> </w:t>
            </w:r>
          </w:p>
          <w:p w14:paraId="54E37589" w14:textId="77777777" w:rsidR="00A275AB" w:rsidRPr="00A275AB" w:rsidRDefault="00A275AB" w:rsidP="00A275AB">
            <w:pPr>
              <w:jc w:val="both"/>
              <w:rPr>
                <w:i/>
                <w:sz w:val="24"/>
                <w:szCs w:val="24"/>
              </w:rPr>
            </w:pPr>
            <w:r w:rsidRPr="00A275AB">
              <w:rPr>
                <w:i/>
                <w:sz w:val="24"/>
                <w:szCs w:val="24"/>
              </w:rPr>
              <w:t> </w:t>
            </w:r>
          </w:p>
          <w:p w14:paraId="3520F93D" w14:textId="77777777" w:rsidR="00A275AB" w:rsidRPr="00A275AB" w:rsidRDefault="00A275AB" w:rsidP="00A275AB">
            <w:pPr>
              <w:jc w:val="both"/>
              <w:rPr>
                <w:i/>
                <w:sz w:val="24"/>
                <w:szCs w:val="24"/>
              </w:rPr>
            </w:pPr>
            <w:r w:rsidRPr="00A275AB">
              <w:rPr>
                <w:i/>
                <w:sz w:val="24"/>
                <w:szCs w:val="24"/>
              </w:rPr>
              <w:t> </w:t>
            </w:r>
          </w:p>
          <w:p w14:paraId="4D066549" w14:textId="77777777" w:rsidR="00A275AB" w:rsidRPr="00A275AB" w:rsidRDefault="00A275AB" w:rsidP="00A275AB">
            <w:pPr>
              <w:jc w:val="both"/>
              <w:rPr>
                <w:i/>
                <w:sz w:val="24"/>
                <w:szCs w:val="24"/>
              </w:rPr>
            </w:pPr>
            <w:r w:rsidRPr="00A275AB">
              <w:rPr>
                <w:i/>
                <w:sz w:val="24"/>
                <w:szCs w:val="24"/>
              </w:rPr>
              <w:t> </w:t>
            </w:r>
          </w:p>
          <w:p w14:paraId="09689058" w14:textId="77777777" w:rsidR="00A275AB" w:rsidRPr="00A275AB" w:rsidRDefault="00A275AB" w:rsidP="00A275AB">
            <w:pPr>
              <w:jc w:val="both"/>
              <w:rPr>
                <w:i/>
                <w:sz w:val="24"/>
                <w:szCs w:val="24"/>
              </w:rPr>
            </w:pPr>
            <w:r w:rsidRPr="00A275AB">
              <w:rPr>
                <w:i/>
                <w:sz w:val="24"/>
                <w:szCs w:val="24"/>
              </w:rPr>
              <w:t> </w:t>
            </w:r>
          </w:p>
          <w:p w14:paraId="0B7625E3" w14:textId="77777777" w:rsidR="00A275AB" w:rsidRPr="00A275AB" w:rsidRDefault="00A275AB" w:rsidP="00A275AB">
            <w:pPr>
              <w:jc w:val="both"/>
              <w:rPr>
                <w:i/>
                <w:sz w:val="24"/>
                <w:szCs w:val="24"/>
              </w:rPr>
            </w:pPr>
            <w:r w:rsidRPr="00A275AB">
              <w:rPr>
                <w:i/>
                <w:sz w:val="24"/>
                <w:szCs w:val="24"/>
              </w:rPr>
              <w:t> </w:t>
            </w:r>
          </w:p>
          <w:p w14:paraId="4E98257E" w14:textId="77777777" w:rsidR="00A275AB" w:rsidRPr="00A275AB" w:rsidRDefault="00A275AB" w:rsidP="00A275AB">
            <w:pPr>
              <w:jc w:val="both"/>
              <w:rPr>
                <w:i/>
                <w:sz w:val="24"/>
                <w:szCs w:val="24"/>
              </w:rPr>
            </w:pPr>
            <w:r w:rsidRPr="00A275AB">
              <w:rPr>
                <w:i/>
                <w:sz w:val="24"/>
                <w:szCs w:val="24"/>
              </w:rPr>
              <w:t> </w:t>
            </w:r>
          </w:p>
          <w:p w14:paraId="11377547" w14:textId="77777777" w:rsidR="00D17358" w:rsidRPr="00A275AB" w:rsidRDefault="00D17358" w:rsidP="00FF7EBB">
            <w:pPr>
              <w:jc w:val="both"/>
              <w:rPr>
                <w:iCs/>
                <w:sz w:val="24"/>
                <w:szCs w:val="24"/>
              </w:rPr>
            </w:pPr>
          </w:p>
          <w:p w14:paraId="2C7888F2" w14:textId="77777777" w:rsidR="00D17358" w:rsidRDefault="00D17358" w:rsidP="00FF7EBB">
            <w:pPr>
              <w:jc w:val="both"/>
              <w:rPr>
                <w:i/>
                <w:sz w:val="24"/>
                <w:szCs w:val="24"/>
              </w:rPr>
            </w:pPr>
          </w:p>
          <w:p w14:paraId="20E20242" w14:textId="77777777" w:rsidR="00D17358" w:rsidRDefault="00D17358" w:rsidP="00FF7EBB">
            <w:pPr>
              <w:jc w:val="both"/>
              <w:rPr>
                <w:i/>
                <w:sz w:val="24"/>
                <w:szCs w:val="24"/>
              </w:rPr>
            </w:pPr>
          </w:p>
          <w:p w14:paraId="7BEEEFAA" w14:textId="77777777" w:rsidR="00D17358" w:rsidRDefault="00D17358" w:rsidP="00FF7EBB">
            <w:pPr>
              <w:jc w:val="both"/>
              <w:rPr>
                <w:i/>
                <w:sz w:val="24"/>
                <w:szCs w:val="24"/>
              </w:rPr>
            </w:pP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9BC671" w14:textId="77777777" w:rsidR="009A5999" w:rsidRDefault="009A5999">
      <w:r>
        <w:separator/>
      </w:r>
    </w:p>
  </w:endnote>
  <w:endnote w:type="continuationSeparator" w:id="0">
    <w:p w14:paraId="2E90DC80" w14:textId="77777777" w:rsidR="009A5999" w:rsidRDefault="009A59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9BD853" w14:textId="77777777" w:rsidR="009A5999" w:rsidRDefault="009A5999">
      <w:r>
        <w:separator/>
      </w:r>
    </w:p>
  </w:footnote>
  <w:footnote w:type="continuationSeparator" w:id="0">
    <w:p w14:paraId="12E5C5D2" w14:textId="77777777" w:rsidR="009A5999" w:rsidRDefault="009A59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527"/>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4F7F59"/>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0BDD"/>
    <w:rsid w:val="00991FDA"/>
    <w:rsid w:val="00992ACA"/>
    <w:rsid w:val="009A5999"/>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19DE"/>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AB"/>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1502"/>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7358"/>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46F"/>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4953</Words>
  <Characters>28238</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Lewis</cp:lastModifiedBy>
  <cp:revision>2</cp:revision>
  <cp:lastPrinted>2020-02-11T19:20:00Z</cp:lastPrinted>
  <dcterms:created xsi:type="dcterms:W3CDTF">2026-10-06T21:34:00Z</dcterms:created>
  <dcterms:modified xsi:type="dcterms:W3CDTF">2026-10-06T21:34:00Z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