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38529" w14:textId="77777777" w:rsidR="003D4510" w:rsidRDefault="003D4510" w:rsidP="003D4510">
      <w:pPr>
        <w:pStyle w:val="COVERPAGETEXT"/>
      </w:pPr>
      <w:bookmarkStart w:id="0" w:name="_Hlk189644755"/>
      <w:bookmarkEnd w:id="0"/>
      <w:r>
        <w:rPr>
          <w:noProof/>
        </w:rPr>
        <w:drawing>
          <wp:inline distT="0" distB="0" distL="0" distR="0" wp14:anchorId="16F513FE" wp14:editId="530CAA0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AE862EA" w14:textId="77777777" w:rsidR="003D4510" w:rsidRDefault="003D4510" w:rsidP="003D4510">
      <w:pPr>
        <w:pStyle w:val="COVERPAGETEXT"/>
      </w:pPr>
    </w:p>
    <w:p w14:paraId="20278FF0" w14:textId="77777777" w:rsidR="003D4510" w:rsidRPr="00BB05A0" w:rsidRDefault="003D4510" w:rsidP="003D4510">
      <w:pPr>
        <w:pStyle w:val="COVERPAGETEXT"/>
        <w:jc w:val="both"/>
      </w:pPr>
    </w:p>
    <w:p w14:paraId="28C9B75E" w14:textId="77777777" w:rsidR="003D4510" w:rsidRPr="003A3BAC" w:rsidRDefault="003D4510" w:rsidP="003D4510">
      <w:pPr>
        <w:pStyle w:val="COVERPAGETEXT"/>
        <w:rPr>
          <w:rFonts w:ascii="Times New Roman" w:hAnsi="Times New Roman" w:cs="Times New Roman"/>
        </w:rPr>
      </w:pPr>
      <w:r w:rsidRPr="003A3BAC">
        <w:rPr>
          <w:rFonts w:ascii="Times New Roman" w:hAnsi="Times New Roman" w:cs="Times New Roman"/>
        </w:rPr>
        <w:t>Andrew Campbell</w:t>
      </w:r>
    </w:p>
    <w:p w14:paraId="5D8C4812" w14:textId="77777777" w:rsidR="003D4510" w:rsidRPr="003A3BAC" w:rsidRDefault="003D4510" w:rsidP="003D4510">
      <w:pPr>
        <w:pStyle w:val="COVERPAGETEXT"/>
        <w:rPr>
          <w:rFonts w:ascii="Times New Roman" w:hAnsi="Times New Roman" w:cs="Times New Roman"/>
        </w:rPr>
      </w:pPr>
    </w:p>
    <w:p w14:paraId="69B5B9D8" w14:textId="77777777" w:rsidR="003D4510" w:rsidRPr="003A3BAC" w:rsidRDefault="003D4510" w:rsidP="003D4510">
      <w:pPr>
        <w:pStyle w:val="COVERPAGETEXT"/>
        <w:rPr>
          <w:rFonts w:ascii="Times New Roman" w:hAnsi="Times New Roman" w:cs="Times New Roman"/>
        </w:rPr>
      </w:pPr>
    </w:p>
    <w:p w14:paraId="7BA79577" w14:textId="77777777" w:rsidR="003D4510" w:rsidRPr="003A3BAC" w:rsidRDefault="003D4510" w:rsidP="003D4510">
      <w:pPr>
        <w:pStyle w:val="COVERPAGETEXT"/>
        <w:rPr>
          <w:rFonts w:ascii="Times New Roman" w:hAnsi="Times New Roman" w:cs="Times New Roman"/>
        </w:rPr>
      </w:pPr>
    </w:p>
    <w:p w14:paraId="045B6873" w14:textId="77777777" w:rsidR="003D4510" w:rsidRPr="003A3BAC" w:rsidRDefault="003D4510" w:rsidP="003D4510">
      <w:pPr>
        <w:pStyle w:val="COVERPAGETEXT"/>
        <w:rPr>
          <w:rFonts w:ascii="Times New Roman" w:hAnsi="Times New Roman" w:cs="Times New Roman"/>
        </w:rPr>
      </w:pPr>
    </w:p>
    <w:p w14:paraId="41C2C291" w14:textId="77777777" w:rsidR="003D4510" w:rsidRPr="003A3BAC" w:rsidRDefault="003D4510" w:rsidP="003D4510">
      <w:pPr>
        <w:pStyle w:val="COVERPAGETEXT"/>
        <w:rPr>
          <w:rFonts w:ascii="Times New Roman" w:hAnsi="Times New Roman" w:cs="Times New Roman"/>
        </w:rPr>
      </w:pPr>
    </w:p>
    <w:p w14:paraId="67AF16C1" w14:textId="77777777" w:rsidR="003D4510" w:rsidRPr="003A3BAC" w:rsidRDefault="003D4510" w:rsidP="003D4510">
      <w:pPr>
        <w:pStyle w:val="COVERPAGETEXT"/>
        <w:rPr>
          <w:rFonts w:ascii="Times New Roman" w:hAnsi="Times New Roman" w:cs="Times New Roman"/>
        </w:rPr>
      </w:pPr>
      <w:r w:rsidRPr="003A3BAC">
        <w:rPr>
          <w:rFonts w:ascii="Times New Roman" w:hAnsi="Times New Roman" w:cs="Times New Roman"/>
        </w:rPr>
        <w:t>School of Applied Computing</w:t>
      </w:r>
    </w:p>
    <w:p w14:paraId="4308E166" w14:textId="77777777" w:rsidR="003D4510" w:rsidRPr="003A3BAC" w:rsidRDefault="003D4510" w:rsidP="003D4510">
      <w:pPr>
        <w:pStyle w:val="COVERPAGETEXT"/>
        <w:rPr>
          <w:rFonts w:ascii="Times New Roman" w:hAnsi="Times New Roman" w:cs="Times New Roman"/>
        </w:rPr>
      </w:pPr>
      <w:r w:rsidRPr="003A3BAC">
        <w:rPr>
          <w:rFonts w:ascii="Times New Roman" w:hAnsi="Times New Roman" w:cs="Times New Roman"/>
        </w:rPr>
        <w:t>Ordnance, Munitions and Explosives</w:t>
      </w:r>
    </w:p>
    <w:p w14:paraId="46BBE67D" w14:textId="77777777" w:rsidR="003D4510" w:rsidRPr="003A3BAC" w:rsidRDefault="003D4510" w:rsidP="003D4510">
      <w:pPr>
        <w:pStyle w:val="COVERPAGETEXT"/>
        <w:rPr>
          <w:rFonts w:ascii="Times New Roman" w:hAnsi="Times New Roman" w:cs="Times New Roman"/>
        </w:rPr>
      </w:pPr>
    </w:p>
    <w:p w14:paraId="31861A7C" w14:textId="77777777" w:rsidR="003D4510" w:rsidRPr="003A3BAC" w:rsidRDefault="003D4510" w:rsidP="003D4510">
      <w:pPr>
        <w:pStyle w:val="COVERPAGETEXT"/>
        <w:rPr>
          <w:rFonts w:ascii="Times New Roman" w:hAnsi="Times New Roman" w:cs="Times New Roman"/>
        </w:rPr>
      </w:pPr>
    </w:p>
    <w:p w14:paraId="00B2CF0F" w14:textId="77777777" w:rsidR="003D4510" w:rsidRPr="003A3BAC" w:rsidRDefault="003D4510" w:rsidP="003D4510">
      <w:pPr>
        <w:pStyle w:val="COVERPAGETEXT"/>
        <w:rPr>
          <w:rFonts w:ascii="Times New Roman" w:hAnsi="Times New Roman" w:cs="Times New Roman"/>
        </w:rPr>
      </w:pPr>
    </w:p>
    <w:p w14:paraId="66BE14EA" w14:textId="5E62B667" w:rsidR="003D4510" w:rsidRPr="003A3BAC" w:rsidRDefault="006F28C8" w:rsidP="003D4510">
      <w:pPr>
        <w:pStyle w:val="COVERPAGETEXT"/>
        <w:rPr>
          <w:rFonts w:ascii="Times New Roman" w:hAnsi="Times New Roman" w:cs="Times New Roman"/>
        </w:rPr>
      </w:pPr>
      <w:r>
        <w:rPr>
          <w:rFonts w:ascii="Times New Roman" w:hAnsi="Times New Roman" w:cs="Times New Roman"/>
        </w:rPr>
        <w:t>Principles of OME</w:t>
      </w:r>
    </w:p>
    <w:p w14:paraId="25354421" w14:textId="036E6B8B" w:rsidR="003D4510" w:rsidRPr="003A3BAC" w:rsidRDefault="003D4510" w:rsidP="003D4510">
      <w:pPr>
        <w:pStyle w:val="COVERPAGETEXT"/>
        <w:rPr>
          <w:rFonts w:ascii="Times New Roman" w:hAnsi="Times New Roman" w:cs="Times New Roman"/>
        </w:rPr>
      </w:pPr>
      <w:r w:rsidRPr="003A3BAC">
        <w:rPr>
          <w:rFonts w:ascii="Times New Roman" w:hAnsi="Times New Roman" w:cs="Times New Roman"/>
        </w:rPr>
        <w:t>Academic Year: 202</w:t>
      </w:r>
      <w:r w:rsidR="006F28C8">
        <w:rPr>
          <w:rFonts w:ascii="Times New Roman" w:hAnsi="Times New Roman" w:cs="Times New Roman"/>
        </w:rPr>
        <w:t>5-2026</w:t>
      </w:r>
    </w:p>
    <w:p w14:paraId="0783733E" w14:textId="77777777" w:rsidR="003D4510" w:rsidRPr="003A3BAC" w:rsidRDefault="003D4510" w:rsidP="003D4510">
      <w:pPr>
        <w:pStyle w:val="COVERPAGETEXT"/>
        <w:rPr>
          <w:rFonts w:ascii="Times New Roman" w:hAnsi="Times New Roman" w:cs="Times New Roman"/>
        </w:rPr>
      </w:pPr>
    </w:p>
    <w:p w14:paraId="58E8CF6A" w14:textId="77777777" w:rsidR="003D4510" w:rsidRPr="003A3BAC" w:rsidRDefault="003D4510" w:rsidP="003D4510">
      <w:pPr>
        <w:pStyle w:val="COVERPAGETEXT"/>
        <w:rPr>
          <w:rFonts w:ascii="Times New Roman" w:hAnsi="Times New Roman" w:cs="Times New Roman"/>
        </w:rPr>
      </w:pPr>
    </w:p>
    <w:p w14:paraId="7669F0B1" w14:textId="77777777" w:rsidR="003D4510" w:rsidRPr="003A3BAC" w:rsidRDefault="003D4510" w:rsidP="003D4510">
      <w:pPr>
        <w:pStyle w:val="COVERPAGETEXT"/>
        <w:rPr>
          <w:rFonts w:ascii="Times New Roman" w:hAnsi="Times New Roman" w:cs="Times New Roman"/>
        </w:rPr>
      </w:pPr>
    </w:p>
    <w:p w14:paraId="5943B8AD" w14:textId="77777777" w:rsidR="003D4510" w:rsidRPr="003A3BAC" w:rsidRDefault="003D4510" w:rsidP="003D4510">
      <w:pPr>
        <w:pStyle w:val="COVERPAGETEXT"/>
        <w:rPr>
          <w:rFonts w:ascii="Times New Roman" w:hAnsi="Times New Roman" w:cs="Times New Roman"/>
        </w:rPr>
      </w:pPr>
      <w:r w:rsidRPr="003A3BAC">
        <w:rPr>
          <w:rFonts w:ascii="Times New Roman" w:hAnsi="Times New Roman" w:cs="Times New Roman"/>
        </w:rPr>
        <w:t>Supervisor:</w:t>
      </w:r>
      <w:r w:rsidRPr="003A3BAC">
        <w:rPr>
          <w:rFonts w:ascii="Times New Roman" w:hAnsi="Times New Roman" w:cs="Times New Roman"/>
        </w:rPr>
        <w:tab/>
        <w:t xml:space="preserve"> </w:t>
      </w:r>
      <w:r>
        <w:rPr>
          <w:rFonts w:ascii="Times New Roman" w:hAnsi="Times New Roman" w:cs="Times New Roman"/>
        </w:rPr>
        <w:t>Gareth Collett</w:t>
      </w:r>
    </w:p>
    <w:p w14:paraId="1610A0CA" w14:textId="786BE6BA" w:rsidR="003D4510" w:rsidRPr="003A3BAC" w:rsidRDefault="006F28C8" w:rsidP="003D4510">
      <w:pPr>
        <w:pStyle w:val="COVERPAGETEXT"/>
        <w:rPr>
          <w:rFonts w:ascii="Times New Roman" w:hAnsi="Times New Roman" w:cs="Times New Roman"/>
        </w:rPr>
      </w:pPr>
      <w:r>
        <w:rPr>
          <w:rFonts w:ascii="Times New Roman" w:hAnsi="Times New Roman" w:cs="Times New Roman"/>
        </w:rPr>
        <w:t>December</w:t>
      </w:r>
      <w:r w:rsidR="003D4510" w:rsidRPr="003A3BAC">
        <w:rPr>
          <w:rFonts w:ascii="Times New Roman" w:hAnsi="Times New Roman" w:cs="Times New Roman"/>
        </w:rPr>
        <w:t xml:space="preserve"> 2025</w:t>
      </w:r>
    </w:p>
    <w:p w14:paraId="2AE24639" w14:textId="5269C208" w:rsidR="00E87457" w:rsidRPr="006C3705" w:rsidRDefault="00E87457" w:rsidP="0069110C">
      <w:pPr>
        <w:jc w:val="center"/>
        <w:rPr>
          <w:rFonts w:ascii="Times New Roman" w:hAnsi="Times New Roman" w:cs="Times New Roman"/>
          <w:sz w:val="48"/>
          <w:szCs w:val="48"/>
        </w:rPr>
      </w:pPr>
    </w:p>
    <w:p w14:paraId="5B5C3A1B" w14:textId="77777777" w:rsidR="0069110C" w:rsidRDefault="0069110C" w:rsidP="0069110C">
      <w:pPr>
        <w:jc w:val="center"/>
        <w:rPr>
          <w:rFonts w:ascii="Times New Roman" w:hAnsi="Times New Roman" w:cs="Times New Roman"/>
        </w:rPr>
      </w:pPr>
    </w:p>
    <w:p w14:paraId="01739FAF" w14:textId="77777777" w:rsidR="006F28C8" w:rsidRDefault="006F28C8" w:rsidP="0069110C">
      <w:pPr>
        <w:jc w:val="center"/>
        <w:rPr>
          <w:rFonts w:ascii="Times New Roman" w:hAnsi="Times New Roman" w:cs="Times New Roman"/>
        </w:rPr>
      </w:pPr>
    </w:p>
    <w:p w14:paraId="6306F7D0" w14:textId="77777777" w:rsidR="006F28C8" w:rsidRDefault="006F28C8" w:rsidP="0069110C">
      <w:pPr>
        <w:jc w:val="center"/>
        <w:rPr>
          <w:rFonts w:ascii="Times New Roman" w:hAnsi="Times New Roman" w:cs="Times New Roman"/>
        </w:rPr>
      </w:pPr>
    </w:p>
    <w:p w14:paraId="33CFDCE1" w14:textId="77777777" w:rsidR="006F28C8" w:rsidRDefault="006F28C8" w:rsidP="0069110C">
      <w:pPr>
        <w:jc w:val="center"/>
        <w:rPr>
          <w:rFonts w:ascii="Times New Roman" w:hAnsi="Times New Roman" w:cs="Times New Roman"/>
        </w:rPr>
      </w:pPr>
    </w:p>
    <w:p w14:paraId="0DE3A60E" w14:textId="77777777" w:rsidR="0069110C" w:rsidRDefault="0069110C" w:rsidP="0069110C">
      <w:pPr>
        <w:jc w:val="center"/>
        <w:rPr>
          <w:rFonts w:ascii="Times New Roman" w:hAnsi="Times New Roman" w:cs="Times New Roman"/>
        </w:rPr>
      </w:pPr>
    </w:p>
    <w:p w14:paraId="731BEEBE" w14:textId="5C1ADFD8" w:rsidR="0069110C" w:rsidRPr="006C3705" w:rsidRDefault="006C3705" w:rsidP="006C3705">
      <w:pPr>
        <w:pStyle w:val="Heading1"/>
        <w:numPr>
          <w:ilvl w:val="0"/>
          <w:numId w:val="1"/>
        </w:numPr>
        <w:rPr>
          <w:rFonts w:ascii="Times New Roman" w:hAnsi="Times New Roman" w:cs="Times New Roman"/>
        </w:rPr>
      </w:pPr>
      <w:r w:rsidRPr="006C3705">
        <w:rPr>
          <w:rFonts w:ascii="Times New Roman" w:hAnsi="Times New Roman" w:cs="Times New Roman"/>
        </w:rPr>
        <w:lastRenderedPageBreak/>
        <w:t>Introduction</w:t>
      </w:r>
    </w:p>
    <w:p w14:paraId="3A586E73" w14:textId="77777777" w:rsidR="006C3705" w:rsidRDefault="006C3705" w:rsidP="006C3705"/>
    <w:p w14:paraId="1464BA23" w14:textId="0136526C" w:rsidR="006C3705" w:rsidRDefault="006C3705" w:rsidP="006C3705">
      <w:pPr>
        <w:jc w:val="both"/>
        <w:rPr>
          <w:rFonts w:ascii="Times New Roman" w:hAnsi="Times New Roman" w:cs="Times New Roman"/>
        </w:rPr>
      </w:pPr>
      <w:r>
        <w:rPr>
          <w:rFonts w:ascii="Times New Roman" w:hAnsi="Times New Roman" w:cs="Times New Roman"/>
        </w:rPr>
        <w:t xml:space="preserve">   </w:t>
      </w:r>
      <w:r w:rsidR="00260D8D">
        <w:rPr>
          <w:rFonts w:ascii="Times New Roman" w:hAnsi="Times New Roman" w:cs="Times New Roman"/>
        </w:rPr>
        <w:t>An explosion can ultimately be defined as the rapid release of energy; this report will focus on a chemical explosion and the role that critical diameter and density play by creating an example explosive train using a primary and a secondary explosive. To be able to create reliable detonations we must understand this process and the above factors.</w:t>
      </w:r>
    </w:p>
    <w:p w14:paraId="056577D0" w14:textId="17A63C2E" w:rsidR="008B25DD" w:rsidRDefault="00260D8D" w:rsidP="006C3705">
      <w:pPr>
        <w:jc w:val="both"/>
        <w:rPr>
          <w:rFonts w:ascii="Times New Roman" w:hAnsi="Times New Roman" w:cs="Times New Roman"/>
        </w:rPr>
      </w:pPr>
      <w:r>
        <w:rPr>
          <w:rFonts w:ascii="Times New Roman" w:hAnsi="Times New Roman" w:cs="Times New Roman"/>
        </w:rPr>
        <w:t xml:space="preserve">  The critical diameter of an explosive is when the diameter of a cylindrical pellet of the explosive is to low and it will no longer detonate as the detonation wave from loses stability due to surface effects</w:t>
      </w:r>
      <w:sdt>
        <w:sdtPr>
          <w:rPr>
            <w:rFonts w:ascii="Times New Roman" w:hAnsi="Times New Roman" w:cs="Times New Roman"/>
          </w:rPr>
          <w:id w:val="2103605206"/>
          <w:citation/>
        </w:sdtPr>
        <w:sdtEndPr/>
        <w:sdtContent>
          <w:r>
            <w:rPr>
              <w:rFonts w:ascii="Times New Roman" w:hAnsi="Times New Roman" w:cs="Times New Roman"/>
            </w:rPr>
            <w:fldChar w:fldCharType="begin"/>
          </w:r>
          <w:r>
            <w:rPr>
              <w:rFonts w:ascii="Times New Roman" w:hAnsi="Times New Roman" w:cs="Times New Roman"/>
            </w:rPr>
            <w:instrText xml:space="preserve"> CITATION JAk22 \l 2057 </w:instrText>
          </w:r>
          <w:r>
            <w:rPr>
              <w:rFonts w:ascii="Times New Roman" w:hAnsi="Times New Roman" w:cs="Times New Roman"/>
            </w:rPr>
            <w:fldChar w:fldCharType="separate"/>
          </w:r>
          <w:r>
            <w:rPr>
              <w:rFonts w:ascii="Times New Roman" w:hAnsi="Times New Roman" w:cs="Times New Roman"/>
              <w:noProof/>
            </w:rPr>
            <w:t xml:space="preserve"> </w:t>
          </w:r>
          <w:r w:rsidRPr="00260D8D">
            <w:rPr>
              <w:rFonts w:ascii="Times New Roman" w:hAnsi="Times New Roman" w:cs="Times New Roman"/>
              <w:noProof/>
            </w:rPr>
            <w:t>[1]</w:t>
          </w:r>
          <w:r>
            <w:rPr>
              <w:rFonts w:ascii="Times New Roman" w:hAnsi="Times New Roman" w:cs="Times New Roman"/>
            </w:rPr>
            <w:fldChar w:fldCharType="end"/>
          </w:r>
        </w:sdtContent>
      </w:sdt>
      <w:r>
        <w:rPr>
          <w:rFonts w:ascii="Times New Roman" w:hAnsi="Times New Roman" w:cs="Times New Roman"/>
        </w:rPr>
        <w:t>. The critical density is the theoretical m</w:t>
      </w:r>
      <w:r w:rsidR="00271F25">
        <w:rPr>
          <w:rFonts w:ascii="Times New Roman" w:hAnsi="Times New Roman" w:cs="Times New Roman"/>
        </w:rPr>
        <w:t>inimum</w:t>
      </w:r>
      <w:r>
        <w:rPr>
          <w:rFonts w:ascii="Times New Roman" w:hAnsi="Times New Roman" w:cs="Times New Roman"/>
        </w:rPr>
        <w:t xml:space="preserve"> density of an explosive</w:t>
      </w:r>
      <w:r w:rsidR="008B25DD">
        <w:rPr>
          <w:rFonts w:ascii="Times New Roman" w:hAnsi="Times New Roman" w:cs="Times New Roman"/>
        </w:rPr>
        <w:t xml:space="preserve"> where it can detonate with it being </w:t>
      </w:r>
      <w:r w:rsidR="00271F25">
        <w:rPr>
          <w:rFonts w:ascii="Times New Roman" w:hAnsi="Times New Roman" w:cs="Times New Roman"/>
        </w:rPr>
        <w:t xml:space="preserve">unable to detonate below this. </w:t>
      </w:r>
      <w:r w:rsidR="008B25DD">
        <w:rPr>
          <w:rFonts w:ascii="Times New Roman" w:hAnsi="Times New Roman" w:cs="Times New Roman"/>
        </w:rPr>
        <w:t xml:space="preserve"> </w:t>
      </w:r>
    </w:p>
    <w:p w14:paraId="730D6A09" w14:textId="3444FD96" w:rsidR="008B25DD" w:rsidRDefault="008B25DD" w:rsidP="006C3705">
      <w:pPr>
        <w:jc w:val="both"/>
        <w:rPr>
          <w:rFonts w:ascii="Times New Roman" w:hAnsi="Times New Roman" w:cs="Times New Roman"/>
        </w:rPr>
      </w:pPr>
      <w:r>
        <w:rPr>
          <w:rFonts w:ascii="Times New Roman" w:hAnsi="Times New Roman" w:cs="Times New Roman"/>
        </w:rPr>
        <w:t xml:space="preserve">  The explosives that will be used in this report are Mercury Fulminate and Picric Acid (2,4,6 trinitrophenol). These were two previously commonly used explosives among militaries but fell out of use as new explosives with more desirable characteristics became available. </w:t>
      </w:r>
      <w:r w:rsidR="00A641DC">
        <w:rPr>
          <w:rFonts w:ascii="Times New Roman" w:hAnsi="Times New Roman" w:cs="Times New Roman"/>
        </w:rPr>
        <w:t xml:space="preserve">This report will provide an overview of their service and characteristics before explaining the model explosive train and how the critical diameter and density can affect it. This will then be summarised in a diagram of the process. </w:t>
      </w:r>
    </w:p>
    <w:p w14:paraId="6D7B042A" w14:textId="77777777" w:rsidR="00A641DC" w:rsidRDefault="00A641DC" w:rsidP="006C3705">
      <w:pPr>
        <w:jc w:val="both"/>
        <w:rPr>
          <w:rFonts w:ascii="Times New Roman" w:hAnsi="Times New Roman" w:cs="Times New Roman"/>
        </w:rPr>
      </w:pPr>
    </w:p>
    <w:p w14:paraId="186F0967" w14:textId="77777777" w:rsidR="00A641DC" w:rsidRPr="00A641DC" w:rsidRDefault="00A641DC" w:rsidP="00A641DC">
      <w:pPr>
        <w:pStyle w:val="ListParagraph"/>
        <w:keepNext/>
        <w:keepLines/>
        <w:numPr>
          <w:ilvl w:val="0"/>
          <w:numId w:val="1"/>
        </w:numPr>
        <w:spacing w:before="360" w:after="80"/>
        <w:contextualSpacing w:val="0"/>
        <w:outlineLvl w:val="0"/>
        <w:rPr>
          <w:rFonts w:ascii="Times New Roman" w:eastAsiaTheme="majorEastAsia" w:hAnsi="Times New Roman" w:cs="Times New Roman"/>
          <w:vanish/>
          <w:color w:val="0F4761" w:themeColor="accent1" w:themeShade="BF"/>
          <w:sz w:val="40"/>
          <w:szCs w:val="40"/>
        </w:rPr>
      </w:pPr>
    </w:p>
    <w:p w14:paraId="1214C04F" w14:textId="0E825542" w:rsidR="00A641DC" w:rsidRPr="00A641DC" w:rsidRDefault="00A641DC" w:rsidP="00A641DC">
      <w:pPr>
        <w:pStyle w:val="Heading1"/>
        <w:numPr>
          <w:ilvl w:val="1"/>
          <w:numId w:val="1"/>
        </w:numPr>
        <w:rPr>
          <w:rFonts w:ascii="Times New Roman" w:hAnsi="Times New Roman" w:cs="Times New Roman"/>
        </w:rPr>
      </w:pPr>
      <w:r>
        <w:rPr>
          <w:rFonts w:ascii="Times New Roman" w:hAnsi="Times New Roman" w:cs="Times New Roman"/>
        </w:rPr>
        <w:t xml:space="preserve">Mercury Fulminate </w:t>
      </w:r>
    </w:p>
    <w:p w14:paraId="426E0345" w14:textId="14B80446" w:rsidR="00260D8D" w:rsidRDefault="00260D8D" w:rsidP="006C3705">
      <w:pPr>
        <w:jc w:val="both"/>
        <w:rPr>
          <w:rFonts w:ascii="Times New Roman" w:hAnsi="Times New Roman" w:cs="Times New Roman"/>
        </w:rPr>
      </w:pPr>
      <w:r>
        <w:rPr>
          <w:rFonts w:ascii="Times New Roman" w:hAnsi="Times New Roman" w:cs="Times New Roman"/>
        </w:rPr>
        <w:t xml:space="preserve">   </w:t>
      </w:r>
    </w:p>
    <w:p w14:paraId="312B0665" w14:textId="77777777" w:rsidR="00260D8D" w:rsidRDefault="00260D8D" w:rsidP="006C3705">
      <w:pPr>
        <w:jc w:val="both"/>
        <w:rPr>
          <w:rFonts w:ascii="Times New Roman" w:hAnsi="Times New Roman" w:cs="Times New Roman"/>
        </w:rPr>
      </w:pPr>
    </w:p>
    <w:p w14:paraId="73459C72" w14:textId="7C517B13" w:rsidR="00260D8D" w:rsidRDefault="002E4D84" w:rsidP="006C3705">
      <w:pPr>
        <w:jc w:val="both"/>
        <w:rPr>
          <w:rFonts w:ascii="Times New Roman" w:hAnsi="Times New Roman" w:cs="Times New Roman"/>
        </w:rPr>
      </w:pPr>
      <w:r>
        <w:rPr>
          <w:rFonts w:ascii="Times New Roman" w:hAnsi="Times New Roman" w:cs="Times New Roman"/>
        </w:rPr>
        <w:t xml:space="preserve">  </w:t>
      </w:r>
      <w:r w:rsidR="00271F25">
        <w:rPr>
          <w:rFonts w:ascii="Times New Roman" w:hAnsi="Times New Roman" w:cs="Times New Roman"/>
        </w:rPr>
        <w:t>Mercury Fulminate is the first ever substance used as a primary explosive first discovered by alchemists in the 17</w:t>
      </w:r>
      <w:r w:rsidR="00271F25" w:rsidRPr="00271F25">
        <w:rPr>
          <w:rFonts w:ascii="Times New Roman" w:hAnsi="Times New Roman" w:cs="Times New Roman"/>
          <w:vertAlign w:val="superscript"/>
        </w:rPr>
        <w:t>th</w:t>
      </w:r>
      <w:r w:rsidR="00271F25">
        <w:rPr>
          <w:rFonts w:ascii="Times New Roman" w:hAnsi="Times New Roman" w:cs="Times New Roman"/>
        </w:rPr>
        <w:t xml:space="preserve"> century however, it would take until the turn of the 18</w:t>
      </w:r>
      <w:r w:rsidR="00271F25" w:rsidRPr="00271F25">
        <w:rPr>
          <w:rFonts w:ascii="Times New Roman" w:hAnsi="Times New Roman" w:cs="Times New Roman"/>
          <w:vertAlign w:val="superscript"/>
        </w:rPr>
        <w:t>th</w:t>
      </w:r>
      <w:r w:rsidR="00271F25">
        <w:rPr>
          <w:rFonts w:ascii="Times New Roman" w:hAnsi="Times New Roman" w:cs="Times New Roman"/>
        </w:rPr>
        <w:t xml:space="preserve"> century for it to be rediscovered and properly investigated by Edward Howard who published his results with the Royal Society</w:t>
      </w:r>
      <w:sdt>
        <w:sdtPr>
          <w:rPr>
            <w:rFonts w:ascii="Times New Roman" w:hAnsi="Times New Roman" w:cs="Times New Roman"/>
          </w:rPr>
          <w:id w:val="-490177300"/>
          <w:citation/>
        </w:sdtPr>
        <w:sdtEndPr/>
        <w:sdtContent>
          <w:r w:rsidR="00271F25">
            <w:rPr>
              <w:rFonts w:ascii="Times New Roman" w:hAnsi="Times New Roman" w:cs="Times New Roman"/>
            </w:rPr>
            <w:fldChar w:fldCharType="begin"/>
          </w:r>
          <w:r w:rsidR="00271F25">
            <w:rPr>
              <w:rFonts w:ascii="Times New Roman" w:hAnsi="Times New Roman" w:cs="Times New Roman"/>
            </w:rPr>
            <w:instrText xml:space="preserve"> CITATION Rob13 \l 2057 </w:instrText>
          </w:r>
          <w:r w:rsidR="00271F25">
            <w:rPr>
              <w:rFonts w:ascii="Times New Roman" w:hAnsi="Times New Roman" w:cs="Times New Roman"/>
            </w:rPr>
            <w:fldChar w:fldCharType="separate"/>
          </w:r>
          <w:r w:rsidR="00271F25">
            <w:rPr>
              <w:rFonts w:ascii="Times New Roman" w:hAnsi="Times New Roman" w:cs="Times New Roman"/>
              <w:noProof/>
            </w:rPr>
            <w:t xml:space="preserve"> </w:t>
          </w:r>
          <w:r w:rsidR="00271F25" w:rsidRPr="00271F25">
            <w:rPr>
              <w:rFonts w:ascii="Times New Roman" w:hAnsi="Times New Roman" w:cs="Times New Roman"/>
              <w:noProof/>
            </w:rPr>
            <w:t>[2]</w:t>
          </w:r>
          <w:r w:rsidR="00271F25">
            <w:rPr>
              <w:rFonts w:ascii="Times New Roman" w:hAnsi="Times New Roman" w:cs="Times New Roman"/>
            </w:rPr>
            <w:fldChar w:fldCharType="end"/>
          </w:r>
        </w:sdtContent>
      </w:sdt>
      <w:r w:rsidR="00271F25">
        <w:rPr>
          <w:rFonts w:ascii="Times New Roman" w:hAnsi="Times New Roman" w:cs="Times New Roman"/>
        </w:rPr>
        <w:t xml:space="preserve">. Scottish clergyman Alexander Forsyth patented its use as a percussion initiator in 1807 showing its early use as an initiator in explosive ordnance. </w:t>
      </w:r>
      <w:r w:rsidR="00F53F8B">
        <w:rPr>
          <w:rFonts w:ascii="Times New Roman" w:hAnsi="Times New Roman" w:cs="Times New Roman"/>
        </w:rPr>
        <w:t>Throughout the second half of the 19</w:t>
      </w:r>
      <w:r w:rsidR="00F53F8B" w:rsidRPr="00F53F8B">
        <w:rPr>
          <w:rFonts w:ascii="Times New Roman" w:hAnsi="Times New Roman" w:cs="Times New Roman"/>
          <w:vertAlign w:val="superscript"/>
        </w:rPr>
        <w:t>th</w:t>
      </w:r>
      <w:r w:rsidR="00F53F8B">
        <w:rPr>
          <w:rFonts w:ascii="Times New Roman" w:hAnsi="Times New Roman" w:cs="Times New Roman"/>
        </w:rPr>
        <w:t xml:space="preserve"> century the use of Mercury Fulminate as a primary explosive became ubiquitous</w:t>
      </w:r>
      <w:sdt>
        <w:sdtPr>
          <w:rPr>
            <w:rFonts w:ascii="Times New Roman" w:hAnsi="Times New Roman" w:cs="Times New Roman"/>
          </w:rPr>
          <w:id w:val="-381177739"/>
          <w:citation/>
        </w:sdtPr>
        <w:sdtEndPr/>
        <w:sdtContent>
          <w:r w:rsidR="00F53F8B">
            <w:rPr>
              <w:rFonts w:ascii="Times New Roman" w:hAnsi="Times New Roman" w:cs="Times New Roman"/>
            </w:rPr>
            <w:fldChar w:fldCharType="begin"/>
          </w:r>
          <w:r w:rsidR="00F53F8B">
            <w:rPr>
              <w:rFonts w:ascii="Times New Roman" w:hAnsi="Times New Roman" w:cs="Times New Roman"/>
            </w:rPr>
            <w:instrText xml:space="preserve"> CITATION Rob13 \l 2057 </w:instrText>
          </w:r>
          <w:r w:rsidR="00F53F8B">
            <w:rPr>
              <w:rFonts w:ascii="Times New Roman" w:hAnsi="Times New Roman" w:cs="Times New Roman"/>
            </w:rPr>
            <w:fldChar w:fldCharType="separate"/>
          </w:r>
          <w:r w:rsidR="00F53F8B">
            <w:rPr>
              <w:rFonts w:ascii="Times New Roman" w:hAnsi="Times New Roman" w:cs="Times New Roman"/>
              <w:noProof/>
            </w:rPr>
            <w:t xml:space="preserve"> </w:t>
          </w:r>
          <w:r w:rsidR="00F53F8B" w:rsidRPr="00F53F8B">
            <w:rPr>
              <w:rFonts w:ascii="Times New Roman" w:hAnsi="Times New Roman" w:cs="Times New Roman"/>
              <w:noProof/>
            </w:rPr>
            <w:t>[2]</w:t>
          </w:r>
          <w:r w:rsidR="00F53F8B">
            <w:rPr>
              <w:rFonts w:ascii="Times New Roman" w:hAnsi="Times New Roman" w:cs="Times New Roman"/>
            </w:rPr>
            <w:fldChar w:fldCharType="end"/>
          </w:r>
        </w:sdtContent>
      </w:sdt>
      <w:r w:rsidR="00F53F8B">
        <w:rPr>
          <w:rFonts w:ascii="Times New Roman" w:hAnsi="Times New Roman" w:cs="Times New Roman"/>
        </w:rPr>
        <w:t xml:space="preserve">. For example, by World War I it was used by all major powers as the primary explosive in battleship shells </w:t>
      </w:r>
      <w:sdt>
        <w:sdtPr>
          <w:rPr>
            <w:rFonts w:ascii="Times New Roman" w:hAnsi="Times New Roman" w:cs="Times New Roman"/>
          </w:rPr>
          <w:id w:val="1420374556"/>
          <w:citation/>
        </w:sdtPr>
        <w:sdtEndPr/>
        <w:sdtContent>
          <w:r w:rsidR="00F53F8B">
            <w:rPr>
              <w:rFonts w:ascii="Times New Roman" w:hAnsi="Times New Roman" w:cs="Times New Roman"/>
            </w:rPr>
            <w:fldChar w:fldCharType="begin"/>
          </w:r>
          <w:r w:rsidR="00F53F8B">
            <w:rPr>
              <w:rFonts w:ascii="Times New Roman" w:hAnsi="Times New Roman" w:cs="Times New Roman"/>
            </w:rPr>
            <w:instrText xml:space="preserve"> CITATION Nor12 \l 2057 </w:instrText>
          </w:r>
          <w:r w:rsidR="00F53F8B">
            <w:rPr>
              <w:rFonts w:ascii="Times New Roman" w:hAnsi="Times New Roman" w:cs="Times New Roman"/>
            </w:rPr>
            <w:fldChar w:fldCharType="separate"/>
          </w:r>
          <w:r w:rsidR="00F53F8B" w:rsidRPr="00F53F8B">
            <w:rPr>
              <w:rFonts w:ascii="Times New Roman" w:hAnsi="Times New Roman" w:cs="Times New Roman"/>
              <w:noProof/>
            </w:rPr>
            <w:t>[3]</w:t>
          </w:r>
          <w:r w:rsidR="00F53F8B">
            <w:rPr>
              <w:rFonts w:ascii="Times New Roman" w:hAnsi="Times New Roman" w:cs="Times New Roman"/>
            </w:rPr>
            <w:fldChar w:fldCharType="end"/>
          </w:r>
        </w:sdtContent>
      </w:sdt>
      <w:r>
        <w:rPr>
          <w:rFonts w:ascii="Times New Roman" w:hAnsi="Times New Roman" w:cs="Times New Roman"/>
        </w:rPr>
        <w:t xml:space="preserve"> and reached a peak production output of 357 tons in 1917</w:t>
      </w:r>
      <w:r w:rsidR="007D5FA8">
        <w:rPr>
          <w:rFonts w:ascii="Times New Roman" w:hAnsi="Times New Roman" w:cs="Times New Roman"/>
        </w:rPr>
        <w:t xml:space="preserve"> within the German Empire alone</w:t>
      </w:r>
      <w:sdt>
        <w:sdtPr>
          <w:rPr>
            <w:rFonts w:ascii="Times New Roman" w:hAnsi="Times New Roman" w:cs="Times New Roman"/>
          </w:rPr>
          <w:id w:val="392157988"/>
          <w:citation/>
        </w:sdtPr>
        <w:sdtEndPr/>
        <w:sdtContent>
          <w:r>
            <w:rPr>
              <w:rFonts w:ascii="Times New Roman" w:hAnsi="Times New Roman" w:cs="Times New Roman"/>
            </w:rPr>
            <w:fldChar w:fldCharType="begin"/>
          </w:r>
          <w:r>
            <w:rPr>
              <w:rFonts w:ascii="Times New Roman" w:hAnsi="Times New Roman" w:cs="Times New Roman"/>
            </w:rPr>
            <w:instrText xml:space="preserve"> CITATION Rob13 \l 2057 </w:instrText>
          </w:r>
          <w:r>
            <w:rPr>
              <w:rFonts w:ascii="Times New Roman" w:hAnsi="Times New Roman" w:cs="Times New Roman"/>
            </w:rPr>
            <w:fldChar w:fldCharType="separate"/>
          </w:r>
          <w:r>
            <w:rPr>
              <w:rFonts w:ascii="Times New Roman" w:hAnsi="Times New Roman" w:cs="Times New Roman"/>
              <w:noProof/>
            </w:rPr>
            <w:t xml:space="preserve"> </w:t>
          </w:r>
          <w:r w:rsidRPr="002E4D84">
            <w:rPr>
              <w:rFonts w:ascii="Times New Roman" w:hAnsi="Times New Roman" w:cs="Times New Roman"/>
              <w:noProof/>
            </w:rPr>
            <w:t>[2]</w:t>
          </w:r>
          <w:r>
            <w:rPr>
              <w:rFonts w:ascii="Times New Roman" w:hAnsi="Times New Roman" w:cs="Times New Roman"/>
            </w:rPr>
            <w:fldChar w:fldCharType="end"/>
          </w:r>
        </w:sdtContent>
      </w:sdt>
      <w:r w:rsidR="00F53F8B">
        <w:rPr>
          <w:rFonts w:ascii="Times New Roman" w:hAnsi="Times New Roman" w:cs="Times New Roman"/>
        </w:rPr>
        <w:t xml:space="preserve">. </w:t>
      </w:r>
      <w:r>
        <w:rPr>
          <w:rFonts w:ascii="Times New Roman" w:hAnsi="Times New Roman" w:cs="Times New Roman"/>
        </w:rPr>
        <w:t>It</w:t>
      </w:r>
      <w:r w:rsidR="00F53F8B">
        <w:rPr>
          <w:rFonts w:ascii="Times New Roman" w:hAnsi="Times New Roman" w:cs="Times New Roman"/>
        </w:rPr>
        <w:t xml:space="preserve"> would remain in common use in the west until the end of World War but, would be displaced </w:t>
      </w:r>
      <w:r>
        <w:rPr>
          <w:rFonts w:ascii="Times New Roman" w:hAnsi="Times New Roman" w:cs="Times New Roman"/>
        </w:rPr>
        <w:t>by newer primary explosives principally Lead Azide</w:t>
      </w:r>
      <w:sdt>
        <w:sdtPr>
          <w:rPr>
            <w:rFonts w:ascii="Times New Roman" w:hAnsi="Times New Roman" w:cs="Times New Roman"/>
          </w:rPr>
          <w:id w:val="-1698999669"/>
          <w:citation/>
        </w:sdtPr>
        <w:sdtEndPr/>
        <w:sdtContent>
          <w:r>
            <w:rPr>
              <w:rFonts w:ascii="Times New Roman" w:hAnsi="Times New Roman" w:cs="Times New Roman"/>
            </w:rPr>
            <w:fldChar w:fldCharType="begin"/>
          </w:r>
          <w:r>
            <w:rPr>
              <w:rFonts w:ascii="Times New Roman" w:hAnsi="Times New Roman" w:cs="Times New Roman"/>
            </w:rPr>
            <w:instrText xml:space="preserve"> CITATION Rob13 \l 2057 </w:instrText>
          </w:r>
          <w:r>
            <w:rPr>
              <w:rFonts w:ascii="Times New Roman" w:hAnsi="Times New Roman" w:cs="Times New Roman"/>
            </w:rPr>
            <w:fldChar w:fldCharType="separate"/>
          </w:r>
          <w:r>
            <w:rPr>
              <w:rFonts w:ascii="Times New Roman" w:hAnsi="Times New Roman" w:cs="Times New Roman"/>
              <w:noProof/>
            </w:rPr>
            <w:t xml:space="preserve"> </w:t>
          </w:r>
          <w:r w:rsidRPr="002E4D84">
            <w:rPr>
              <w:rFonts w:ascii="Times New Roman" w:hAnsi="Times New Roman" w:cs="Times New Roman"/>
              <w:noProof/>
            </w:rPr>
            <w:t>[2]</w:t>
          </w:r>
          <w:r>
            <w:rPr>
              <w:rFonts w:ascii="Times New Roman" w:hAnsi="Times New Roman" w:cs="Times New Roman"/>
            </w:rPr>
            <w:fldChar w:fldCharType="end"/>
          </w:r>
        </w:sdtContent>
      </w:sdt>
      <w:r>
        <w:rPr>
          <w:rFonts w:ascii="Times New Roman" w:hAnsi="Times New Roman" w:cs="Times New Roman"/>
        </w:rPr>
        <w:t xml:space="preserve">. </w:t>
      </w:r>
      <w:r w:rsidR="00F53F8B">
        <w:rPr>
          <w:rFonts w:ascii="Times New Roman" w:hAnsi="Times New Roman" w:cs="Times New Roman"/>
        </w:rPr>
        <w:t xml:space="preserve"> </w:t>
      </w:r>
    </w:p>
    <w:p w14:paraId="55E16C49" w14:textId="1BB72F41" w:rsidR="002E4D84" w:rsidRDefault="002E4D84" w:rsidP="006C3705">
      <w:pPr>
        <w:jc w:val="both"/>
        <w:rPr>
          <w:rFonts w:ascii="Times New Roman" w:hAnsi="Times New Roman" w:cs="Times New Roman"/>
        </w:rPr>
      </w:pPr>
    </w:p>
    <w:p w14:paraId="57E33F45" w14:textId="067A5151" w:rsidR="002E4D84" w:rsidRDefault="002E4D84" w:rsidP="006C3705">
      <w:pPr>
        <w:jc w:val="both"/>
        <w:rPr>
          <w:rFonts w:ascii="Times New Roman" w:hAnsi="Times New Roman" w:cs="Times New Roman"/>
        </w:rPr>
      </w:pPr>
      <w:r>
        <w:rPr>
          <w:rFonts w:ascii="Times New Roman" w:hAnsi="Times New Roman" w:cs="Times New Roman"/>
        </w:rPr>
        <w:t xml:space="preserve">     Mercury Fulminate</w:t>
      </w:r>
      <w:r w:rsidR="00F01BC8">
        <w:rPr>
          <w:rFonts w:ascii="Times New Roman" w:hAnsi="Times New Roman" w:cs="Times New Roman"/>
        </w:rPr>
        <w:t xml:space="preserve"> (HgC</w:t>
      </w:r>
      <w:r w:rsidR="00F01BC8">
        <w:rPr>
          <w:rFonts w:ascii="Times New Roman" w:hAnsi="Times New Roman" w:cs="Times New Roman"/>
          <w:vertAlign w:val="subscript"/>
        </w:rPr>
        <w:t>2</w:t>
      </w:r>
      <w:r w:rsidR="00F01BC8">
        <w:rPr>
          <w:rFonts w:ascii="Times New Roman" w:hAnsi="Times New Roman" w:cs="Times New Roman"/>
        </w:rPr>
        <w:t>N</w:t>
      </w:r>
      <w:r w:rsidR="00F01BC8">
        <w:rPr>
          <w:rFonts w:ascii="Times New Roman" w:hAnsi="Times New Roman" w:cs="Times New Roman"/>
          <w:vertAlign w:val="subscript"/>
        </w:rPr>
        <w:t>2</w:t>
      </w:r>
      <w:r w:rsidR="00F01BC8">
        <w:rPr>
          <w:rFonts w:ascii="Times New Roman" w:hAnsi="Times New Roman" w:cs="Times New Roman"/>
        </w:rPr>
        <w:t>O</w:t>
      </w:r>
      <w:r w:rsidR="00F01BC8">
        <w:rPr>
          <w:rFonts w:ascii="Times New Roman" w:hAnsi="Times New Roman" w:cs="Times New Roman"/>
          <w:vertAlign w:val="subscript"/>
        </w:rPr>
        <w:t>2)</w:t>
      </w:r>
      <w:r>
        <w:rPr>
          <w:rFonts w:ascii="Times New Roman" w:hAnsi="Times New Roman" w:cs="Times New Roman"/>
        </w:rPr>
        <w:t xml:space="preserve"> is most commonly found in </w:t>
      </w:r>
      <w:r w:rsidR="00920D38">
        <w:rPr>
          <w:rFonts w:ascii="Times New Roman" w:hAnsi="Times New Roman" w:cs="Times New Roman"/>
        </w:rPr>
        <w:t>the</w:t>
      </w:r>
      <w:r>
        <w:rPr>
          <w:rFonts w:ascii="Times New Roman" w:hAnsi="Times New Roman" w:cs="Times New Roman"/>
        </w:rPr>
        <w:t xml:space="preserve"> form of a powder being either, Grey, White or Brown in colour, these colours are dependent on the purity of the Mercury Fulminate. Brown is the </w:t>
      </w:r>
      <w:r w:rsidR="00920D38">
        <w:rPr>
          <w:rFonts w:ascii="Times New Roman" w:hAnsi="Times New Roman" w:cs="Times New Roman"/>
        </w:rPr>
        <w:t>purest</w:t>
      </w:r>
      <w:r>
        <w:rPr>
          <w:rFonts w:ascii="Times New Roman" w:hAnsi="Times New Roman" w:cs="Times New Roman"/>
        </w:rPr>
        <w:t>, then white with grey being generally undesirable (it gains its colour from having unreacted Mercury contained within it)</w:t>
      </w:r>
      <w:sdt>
        <w:sdtPr>
          <w:rPr>
            <w:rFonts w:ascii="Times New Roman" w:hAnsi="Times New Roman" w:cs="Times New Roman"/>
          </w:rPr>
          <w:id w:val="-1365595508"/>
          <w:citation/>
        </w:sdtPr>
        <w:sdtEndPr/>
        <w:sdtContent>
          <w:r>
            <w:rPr>
              <w:rFonts w:ascii="Times New Roman" w:hAnsi="Times New Roman" w:cs="Times New Roman"/>
            </w:rPr>
            <w:fldChar w:fldCharType="begin"/>
          </w:r>
          <w:r>
            <w:rPr>
              <w:rFonts w:ascii="Times New Roman" w:hAnsi="Times New Roman" w:cs="Times New Roman"/>
            </w:rPr>
            <w:instrText xml:space="preserve"> CITATION Rob13 \l 2057 </w:instrText>
          </w:r>
          <w:r>
            <w:rPr>
              <w:rFonts w:ascii="Times New Roman" w:hAnsi="Times New Roman" w:cs="Times New Roman"/>
            </w:rPr>
            <w:fldChar w:fldCharType="separate"/>
          </w:r>
          <w:r>
            <w:rPr>
              <w:rFonts w:ascii="Times New Roman" w:hAnsi="Times New Roman" w:cs="Times New Roman"/>
              <w:noProof/>
            </w:rPr>
            <w:t xml:space="preserve"> </w:t>
          </w:r>
          <w:r w:rsidRPr="002E4D84">
            <w:rPr>
              <w:rFonts w:ascii="Times New Roman" w:hAnsi="Times New Roman" w:cs="Times New Roman"/>
              <w:noProof/>
            </w:rPr>
            <w:t>[2]</w:t>
          </w:r>
          <w:r>
            <w:rPr>
              <w:rFonts w:ascii="Times New Roman" w:hAnsi="Times New Roman" w:cs="Times New Roman"/>
            </w:rPr>
            <w:fldChar w:fldCharType="end"/>
          </w:r>
        </w:sdtContent>
      </w:sdt>
      <w:r w:rsidR="009F56F8">
        <w:rPr>
          <w:rFonts w:ascii="Times New Roman" w:hAnsi="Times New Roman" w:cs="Times New Roman"/>
        </w:rPr>
        <w:t xml:space="preserve">. </w:t>
      </w:r>
      <w:r w:rsidR="00920D38">
        <w:rPr>
          <w:rFonts w:ascii="Times New Roman" w:hAnsi="Times New Roman" w:cs="Times New Roman"/>
        </w:rPr>
        <w:t xml:space="preserve">It will decompose from interaction with a number of chemical agents as well as being photosensitive, impact and </w:t>
      </w:r>
      <w:r w:rsidR="00920D38">
        <w:rPr>
          <w:rFonts w:ascii="Times New Roman" w:hAnsi="Times New Roman" w:cs="Times New Roman"/>
        </w:rPr>
        <w:lastRenderedPageBreak/>
        <w:t>friction sensitive</w:t>
      </w:r>
      <w:r w:rsidR="00A2658E">
        <w:rPr>
          <w:rFonts w:ascii="Times New Roman" w:hAnsi="Times New Roman" w:cs="Times New Roman"/>
        </w:rPr>
        <w:t>, impact sensitivity can be reduced by storing it in water and thus this is a common method</w:t>
      </w:r>
      <w:sdt>
        <w:sdtPr>
          <w:rPr>
            <w:rFonts w:ascii="Times New Roman" w:hAnsi="Times New Roman" w:cs="Times New Roman"/>
          </w:rPr>
          <w:id w:val="180403642"/>
          <w:citation/>
        </w:sdtPr>
        <w:sdtEndPr/>
        <w:sdtContent>
          <w:r w:rsidR="00A2658E">
            <w:rPr>
              <w:rFonts w:ascii="Times New Roman" w:hAnsi="Times New Roman" w:cs="Times New Roman"/>
            </w:rPr>
            <w:fldChar w:fldCharType="begin"/>
          </w:r>
          <w:r w:rsidR="00A2658E">
            <w:rPr>
              <w:rFonts w:ascii="Times New Roman" w:hAnsi="Times New Roman" w:cs="Times New Roman"/>
            </w:rPr>
            <w:instrText xml:space="preserve"> CITATION Rob13 \l 2057 </w:instrText>
          </w:r>
          <w:r w:rsidR="00A2658E">
            <w:rPr>
              <w:rFonts w:ascii="Times New Roman" w:hAnsi="Times New Roman" w:cs="Times New Roman"/>
            </w:rPr>
            <w:fldChar w:fldCharType="separate"/>
          </w:r>
          <w:r w:rsidR="00A2658E">
            <w:rPr>
              <w:rFonts w:ascii="Times New Roman" w:hAnsi="Times New Roman" w:cs="Times New Roman"/>
              <w:noProof/>
            </w:rPr>
            <w:t xml:space="preserve"> </w:t>
          </w:r>
          <w:r w:rsidR="00A2658E" w:rsidRPr="00A2658E">
            <w:rPr>
              <w:rFonts w:ascii="Times New Roman" w:hAnsi="Times New Roman" w:cs="Times New Roman"/>
              <w:noProof/>
            </w:rPr>
            <w:t>[2]</w:t>
          </w:r>
          <w:r w:rsidR="00A2658E">
            <w:rPr>
              <w:rFonts w:ascii="Times New Roman" w:hAnsi="Times New Roman" w:cs="Times New Roman"/>
            </w:rPr>
            <w:fldChar w:fldCharType="end"/>
          </w:r>
        </w:sdtContent>
      </w:sdt>
      <w:r w:rsidR="00A2658E">
        <w:rPr>
          <w:rFonts w:ascii="Times New Roman" w:hAnsi="Times New Roman" w:cs="Times New Roman"/>
        </w:rPr>
        <w:t xml:space="preserve">. </w:t>
      </w:r>
    </w:p>
    <w:p w14:paraId="11EA42B8" w14:textId="581ED287" w:rsidR="00F01BC8" w:rsidRDefault="00F01BC8" w:rsidP="006C3705">
      <w:pPr>
        <w:jc w:val="both"/>
        <w:rPr>
          <w:rFonts w:ascii="Times New Roman" w:hAnsi="Times New Roman" w:cs="Times New Roman"/>
        </w:rPr>
      </w:pPr>
      <w:r>
        <w:rPr>
          <w:rFonts w:ascii="Times New Roman" w:hAnsi="Times New Roman" w:cs="Times New Roman"/>
        </w:rPr>
        <w:t xml:space="preserve">  </w:t>
      </w:r>
    </w:p>
    <w:p w14:paraId="4570505D" w14:textId="1A8007D4" w:rsidR="00E74E6B" w:rsidRDefault="00F01BC8" w:rsidP="006C3705">
      <w:pPr>
        <w:jc w:val="both"/>
        <w:rPr>
          <w:rFonts w:ascii="Times New Roman" w:hAnsi="Times New Roman" w:cs="Times New Roman"/>
        </w:rPr>
      </w:pPr>
      <w:r>
        <w:rPr>
          <w:rFonts w:ascii="Times New Roman" w:hAnsi="Times New Roman" w:cs="Times New Roman"/>
        </w:rPr>
        <w:t xml:space="preserve">  For a primary explosive Mercury Fulminate has a relatively high critical diameter with it being circa 5mm for an unconfined explosion</w:t>
      </w:r>
      <w:sdt>
        <w:sdtPr>
          <w:rPr>
            <w:rFonts w:ascii="Times New Roman" w:hAnsi="Times New Roman" w:cs="Times New Roman"/>
          </w:rPr>
          <w:id w:val="-570433069"/>
          <w:citation/>
        </w:sdtPr>
        <w:sdtEndPr/>
        <w:sdtContent>
          <w:r>
            <w:rPr>
              <w:rFonts w:ascii="Times New Roman" w:hAnsi="Times New Roman" w:cs="Times New Roman"/>
            </w:rPr>
            <w:fldChar w:fldCharType="begin"/>
          </w:r>
          <w:r>
            <w:rPr>
              <w:rFonts w:ascii="Times New Roman" w:hAnsi="Times New Roman" w:cs="Times New Roman"/>
            </w:rPr>
            <w:instrText xml:space="preserve"> CITATION Mel58 \l 2057 </w:instrText>
          </w:r>
          <w:r>
            <w:rPr>
              <w:rFonts w:ascii="Times New Roman" w:hAnsi="Times New Roman" w:cs="Times New Roman"/>
            </w:rPr>
            <w:fldChar w:fldCharType="separate"/>
          </w:r>
          <w:r>
            <w:rPr>
              <w:rFonts w:ascii="Times New Roman" w:hAnsi="Times New Roman" w:cs="Times New Roman"/>
              <w:noProof/>
            </w:rPr>
            <w:t xml:space="preserve"> </w:t>
          </w:r>
          <w:r w:rsidRPr="00F01BC8">
            <w:rPr>
              <w:rFonts w:ascii="Times New Roman" w:hAnsi="Times New Roman" w:cs="Times New Roman"/>
              <w:noProof/>
            </w:rPr>
            <w:t>[4]</w:t>
          </w:r>
          <w:r>
            <w:rPr>
              <w:rFonts w:ascii="Times New Roman" w:hAnsi="Times New Roman" w:cs="Times New Roman"/>
            </w:rPr>
            <w:fldChar w:fldCharType="end"/>
          </w:r>
        </w:sdtContent>
      </w:sdt>
      <w:r>
        <w:rPr>
          <w:rFonts w:ascii="Times New Roman" w:hAnsi="Times New Roman" w:cs="Times New Roman"/>
        </w:rPr>
        <w:t>. This can be reduced drastically be confinement or hea</w:t>
      </w:r>
      <w:r w:rsidR="00253AAE">
        <w:rPr>
          <w:rFonts w:ascii="Times New Roman" w:hAnsi="Times New Roman" w:cs="Times New Roman"/>
        </w:rPr>
        <w:t>ting</w:t>
      </w:r>
      <w:r w:rsidR="007776DB">
        <w:rPr>
          <w:rFonts w:ascii="Times New Roman" w:hAnsi="Times New Roman" w:cs="Times New Roman"/>
        </w:rPr>
        <w:t xml:space="preserve"> with </w:t>
      </w:r>
      <w:r w:rsidR="00081ED2">
        <w:rPr>
          <w:rFonts w:ascii="Times New Roman" w:hAnsi="Times New Roman" w:cs="Times New Roman"/>
        </w:rPr>
        <w:t>crystals of 0.046mm diameter experiencing detonation at 170</w:t>
      </w:r>
      <w:r w:rsidR="00081ED2">
        <w:rPr>
          <w:rFonts w:ascii="Times New Roman" w:hAnsi="Times New Roman" w:cs="Times New Roman"/>
          <w:vertAlign w:val="superscript"/>
        </w:rPr>
        <w:t>◦</w:t>
      </w:r>
      <w:r w:rsidR="00081ED2">
        <w:rPr>
          <w:rFonts w:ascii="Times New Roman" w:hAnsi="Times New Roman" w:cs="Times New Roman"/>
        </w:rPr>
        <w:t>C</w:t>
      </w:r>
      <w:sdt>
        <w:sdtPr>
          <w:rPr>
            <w:rFonts w:ascii="Times New Roman" w:hAnsi="Times New Roman" w:cs="Times New Roman"/>
          </w:rPr>
          <w:id w:val="474647263"/>
          <w:citation/>
        </w:sdtPr>
        <w:sdtEndPr/>
        <w:sdtContent>
          <w:r w:rsidR="00B25819">
            <w:rPr>
              <w:rFonts w:ascii="Times New Roman" w:hAnsi="Times New Roman" w:cs="Times New Roman"/>
            </w:rPr>
            <w:fldChar w:fldCharType="begin"/>
          </w:r>
          <w:r w:rsidR="00B25819">
            <w:rPr>
              <w:rFonts w:ascii="Times New Roman" w:hAnsi="Times New Roman" w:cs="Times New Roman"/>
            </w:rPr>
            <w:instrText xml:space="preserve"> CITATION Kar56 \l 2057 </w:instrText>
          </w:r>
          <w:r w:rsidR="00B25819">
            <w:rPr>
              <w:rFonts w:ascii="Times New Roman" w:hAnsi="Times New Roman" w:cs="Times New Roman"/>
            </w:rPr>
            <w:fldChar w:fldCharType="separate"/>
          </w:r>
          <w:r w:rsidR="00B25819">
            <w:rPr>
              <w:rFonts w:ascii="Times New Roman" w:hAnsi="Times New Roman" w:cs="Times New Roman"/>
              <w:noProof/>
            </w:rPr>
            <w:t xml:space="preserve"> </w:t>
          </w:r>
          <w:r w:rsidR="00B25819" w:rsidRPr="00B25819">
            <w:rPr>
              <w:rFonts w:ascii="Times New Roman" w:hAnsi="Times New Roman" w:cs="Times New Roman"/>
              <w:noProof/>
            </w:rPr>
            <w:t>[5]</w:t>
          </w:r>
          <w:r w:rsidR="00B25819">
            <w:rPr>
              <w:rFonts w:ascii="Times New Roman" w:hAnsi="Times New Roman" w:cs="Times New Roman"/>
            </w:rPr>
            <w:fldChar w:fldCharType="end"/>
          </w:r>
        </w:sdtContent>
      </w:sdt>
      <w:r w:rsidR="00B25819">
        <w:rPr>
          <w:rFonts w:ascii="Times New Roman" w:hAnsi="Times New Roman" w:cs="Times New Roman"/>
        </w:rPr>
        <w:t xml:space="preserve">. </w:t>
      </w:r>
      <w:r w:rsidR="00296954">
        <w:rPr>
          <w:rFonts w:ascii="Times New Roman" w:hAnsi="Times New Roman" w:cs="Times New Roman"/>
        </w:rPr>
        <w:t>This concurs with other literature</w:t>
      </w:r>
      <w:r w:rsidR="004F70E5">
        <w:rPr>
          <w:rFonts w:ascii="Times New Roman" w:hAnsi="Times New Roman" w:cs="Times New Roman"/>
        </w:rPr>
        <w:t xml:space="preserve"> </w:t>
      </w:r>
      <w:sdt>
        <w:sdtPr>
          <w:rPr>
            <w:rFonts w:ascii="Times New Roman" w:hAnsi="Times New Roman" w:cs="Times New Roman"/>
          </w:rPr>
          <w:id w:val="-1123453435"/>
          <w:citation/>
        </w:sdtPr>
        <w:sdtEndPr/>
        <w:sdtContent>
          <w:r w:rsidR="000F5D05">
            <w:rPr>
              <w:rFonts w:ascii="Times New Roman" w:hAnsi="Times New Roman" w:cs="Times New Roman"/>
            </w:rPr>
            <w:fldChar w:fldCharType="begin"/>
          </w:r>
          <w:r w:rsidR="000F5D05">
            <w:rPr>
              <w:rFonts w:ascii="Times New Roman" w:hAnsi="Times New Roman" w:cs="Times New Roman"/>
            </w:rPr>
            <w:instrText xml:space="preserve"> CITATION Rob13 \l 2057 </w:instrText>
          </w:r>
          <w:r w:rsidR="000F5D05">
            <w:rPr>
              <w:rFonts w:ascii="Times New Roman" w:hAnsi="Times New Roman" w:cs="Times New Roman"/>
            </w:rPr>
            <w:fldChar w:fldCharType="separate"/>
          </w:r>
          <w:r w:rsidR="000F5D05" w:rsidRPr="000F5D05">
            <w:rPr>
              <w:rFonts w:ascii="Times New Roman" w:hAnsi="Times New Roman" w:cs="Times New Roman"/>
              <w:noProof/>
            </w:rPr>
            <w:t>[2]</w:t>
          </w:r>
          <w:r w:rsidR="000F5D05">
            <w:rPr>
              <w:rFonts w:ascii="Times New Roman" w:hAnsi="Times New Roman" w:cs="Times New Roman"/>
            </w:rPr>
            <w:fldChar w:fldCharType="end"/>
          </w:r>
        </w:sdtContent>
      </w:sdt>
      <w:sdt>
        <w:sdtPr>
          <w:rPr>
            <w:rFonts w:ascii="Times New Roman" w:hAnsi="Times New Roman" w:cs="Times New Roman"/>
          </w:rPr>
          <w:id w:val="947120519"/>
          <w:citation/>
        </w:sdtPr>
        <w:sdtEndPr/>
        <w:sdtContent>
          <w:r w:rsidR="000F5D05">
            <w:rPr>
              <w:rFonts w:ascii="Times New Roman" w:hAnsi="Times New Roman" w:cs="Times New Roman"/>
            </w:rPr>
            <w:fldChar w:fldCharType="begin"/>
          </w:r>
          <w:r w:rsidR="000F5D05">
            <w:rPr>
              <w:rFonts w:ascii="Times New Roman" w:hAnsi="Times New Roman" w:cs="Times New Roman"/>
            </w:rPr>
            <w:instrText xml:space="preserve"> CITATION JAk22 \l 2057 </w:instrText>
          </w:r>
          <w:r w:rsidR="000F5D05">
            <w:rPr>
              <w:rFonts w:ascii="Times New Roman" w:hAnsi="Times New Roman" w:cs="Times New Roman"/>
            </w:rPr>
            <w:fldChar w:fldCharType="separate"/>
          </w:r>
          <w:r w:rsidR="000F5D05">
            <w:rPr>
              <w:rFonts w:ascii="Times New Roman" w:hAnsi="Times New Roman" w:cs="Times New Roman"/>
              <w:noProof/>
            </w:rPr>
            <w:t xml:space="preserve"> </w:t>
          </w:r>
          <w:r w:rsidR="000F5D05" w:rsidRPr="000F5D05">
            <w:rPr>
              <w:rFonts w:ascii="Times New Roman" w:hAnsi="Times New Roman" w:cs="Times New Roman"/>
              <w:noProof/>
            </w:rPr>
            <w:t>[1]</w:t>
          </w:r>
          <w:r w:rsidR="000F5D05">
            <w:rPr>
              <w:rFonts w:ascii="Times New Roman" w:hAnsi="Times New Roman" w:cs="Times New Roman"/>
            </w:rPr>
            <w:fldChar w:fldCharType="end"/>
          </w:r>
        </w:sdtContent>
      </w:sdt>
      <w:r w:rsidR="007D5FA8">
        <w:rPr>
          <w:rFonts w:ascii="Times New Roman" w:hAnsi="Times New Roman" w:cs="Times New Roman"/>
        </w:rPr>
        <w:t xml:space="preserve"> that states that Mercury Fulminate undergoes a </w:t>
      </w:r>
      <w:r w:rsidR="00E313EE">
        <w:rPr>
          <w:rFonts w:ascii="Times New Roman" w:hAnsi="Times New Roman" w:cs="Times New Roman"/>
        </w:rPr>
        <w:t>deflagration to detonation transition but is still readily detonated.</w:t>
      </w:r>
      <w:r w:rsidR="00792D56">
        <w:rPr>
          <w:rFonts w:ascii="Times New Roman" w:hAnsi="Times New Roman" w:cs="Times New Roman"/>
        </w:rPr>
        <w:t xml:space="preserve"> Upon </w:t>
      </w:r>
      <w:r w:rsidR="00E74E6B">
        <w:rPr>
          <w:rFonts w:ascii="Times New Roman" w:hAnsi="Times New Roman" w:cs="Times New Roman"/>
        </w:rPr>
        <w:t>detonation Mercury Fulminate undergoes the following transition</w:t>
      </w:r>
      <w:sdt>
        <w:sdtPr>
          <w:rPr>
            <w:rFonts w:ascii="Times New Roman" w:hAnsi="Times New Roman" w:cs="Times New Roman"/>
          </w:rPr>
          <w:id w:val="-533645880"/>
          <w:citation/>
        </w:sdtPr>
        <w:sdtEndPr/>
        <w:sdtContent>
          <w:r w:rsidR="003F45EA">
            <w:rPr>
              <w:rFonts w:ascii="Times New Roman" w:hAnsi="Times New Roman" w:cs="Times New Roman"/>
            </w:rPr>
            <w:fldChar w:fldCharType="begin"/>
          </w:r>
          <w:r w:rsidR="003F45EA">
            <w:rPr>
              <w:rFonts w:ascii="Times New Roman" w:hAnsi="Times New Roman" w:cs="Times New Roman"/>
            </w:rPr>
            <w:instrText xml:space="preserve"> CITATION Rob13 \l 2057 </w:instrText>
          </w:r>
          <w:r w:rsidR="003F45EA">
            <w:rPr>
              <w:rFonts w:ascii="Times New Roman" w:hAnsi="Times New Roman" w:cs="Times New Roman"/>
            </w:rPr>
            <w:fldChar w:fldCharType="separate"/>
          </w:r>
          <w:r w:rsidR="003F45EA">
            <w:rPr>
              <w:rFonts w:ascii="Times New Roman" w:hAnsi="Times New Roman" w:cs="Times New Roman"/>
              <w:noProof/>
            </w:rPr>
            <w:t xml:space="preserve"> </w:t>
          </w:r>
          <w:r w:rsidR="003F45EA" w:rsidRPr="003F45EA">
            <w:rPr>
              <w:rFonts w:ascii="Times New Roman" w:hAnsi="Times New Roman" w:cs="Times New Roman"/>
              <w:noProof/>
            </w:rPr>
            <w:t>[2]</w:t>
          </w:r>
          <w:r w:rsidR="003F45EA">
            <w:rPr>
              <w:rFonts w:ascii="Times New Roman" w:hAnsi="Times New Roman" w:cs="Times New Roman"/>
            </w:rPr>
            <w:fldChar w:fldCharType="end"/>
          </w:r>
        </w:sdtContent>
      </w:sdt>
      <w:r w:rsidR="00E74E6B">
        <w:rPr>
          <w:rFonts w:ascii="Times New Roman" w:hAnsi="Times New Roman" w:cs="Times New Roman"/>
        </w:rPr>
        <w:t>:</w:t>
      </w:r>
    </w:p>
    <w:p w14:paraId="33FD2484" w14:textId="3A9EAD14" w:rsidR="00F01BC8" w:rsidRDefault="00812C39" w:rsidP="00E74E6B">
      <w:pPr>
        <w:jc w:val="center"/>
        <w:rPr>
          <w:rFonts w:ascii="Times New Roman" w:hAnsi="Times New Roman" w:cs="Times New Roman"/>
          <w:vertAlign w:val="subscript"/>
        </w:rPr>
      </w:pPr>
      <w:r>
        <w:rPr>
          <w:rFonts w:ascii="Times New Roman" w:hAnsi="Times New Roman" w:cs="Times New Roman"/>
        </w:rPr>
        <w:t>Hg(CNO)</w:t>
      </w:r>
      <w:r>
        <w:rPr>
          <w:rFonts w:ascii="Times New Roman" w:hAnsi="Times New Roman" w:cs="Times New Roman"/>
          <w:vertAlign w:val="subscript"/>
        </w:rPr>
        <w:t>2</w:t>
      </w:r>
      <w:r>
        <w:rPr>
          <w:rFonts w:ascii="Times New Roman" w:hAnsi="Times New Roman" w:cs="Times New Roman"/>
        </w:rPr>
        <w:t xml:space="preserve"> → Hg + 2CO + N</w:t>
      </w:r>
      <w:r>
        <w:rPr>
          <w:rFonts w:ascii="Times New Roman" w:hAnsi="Times New Roman" w:cs="Times New Roman"/>
          <w:vertAlign w:val="subscript"/>
        </w:rPr>
        <w:t>2</w:t>
      </w:r>
      <w:r w:rsidR="002B33A7">
        <w:rPr>
          <w:rFonts w:ascii="Times New Roman" w:hAnsi="Times New Roman" w:cs="Times New Roman"/>
          <w:vertAlign w:val="subscript"/>
        </w:rPr>
        <w:t xml:space="preserve"> </w:t>
      </w:r>
    </w:p>
    <w:p w14:paraId="08F2EC03" w14:textId="60EC804A" w:rsidR="002B33A7" w:rsidRPr="00BB308E" w:rsidRDefault="002B33A7" w:rsidP="002B33A7">
      <w:pPr>
        <w:jc w:val="both"/>
        <w:rPr>
          <w:rFonts w:ascii="Times New Roman" w:hAnsi="Times New Roman" w:cs="Times New Roman"/>
        </w:rPr>
      </w:pPr>
      <w:r>
        <w:rPr>
          <w:rFonts w:ascii="Times New Roman" w:hAnsi="Times New Roman" w:cs="Times New Roman"/>
        </w:rPr>
        <w:t xml:space="preserve">  </w:t>
      </w:r>
      <w:r w:rsidR="001713EC">
        <w:rPr>
          <w:rFonts w:ascii="Times New Roman" w:hAnsi="Times New Roman" w:cs="Times New Roman"/>
        </w:rPr>
        <w:t xml:space="preserve">Mercury Fulminate is </w:t>
      </w:r>
      <w:r w:rsidR="000A59E0">
        <w:rPr>
          <w:rFonts w:ascii="Times New Roman" w:hAnsi="Times New Roman" w:cs="Times New Roman"/>
        </w:rPr>
        <w:t>easy to dead press</w:t>
      </w:r>
      <w:r w:rsidR="00F503F4">
        <w:rPr>
          <w:rFonts w:ascii="Times New Roman" w:hAnsi="Times New Roman" w:cs="Times New Roman"/>
        </w:rPr>
        <w:t xml:space="preserve"> (</w:t>
      </w:r>
      <w:r w:rsidR="00A324FB">
        <w:rPr>
          <w:rFonts w:ascii="Times New Roman" w:hAnsi="Times New Roman" w:cs="Times New Roman"/>
        </w:rPr>
        <w:t xml:space="preserve">this effect starts to occur at densities greater than </w:t>
      </w:r>
      <w:r w:rsidR="00BF5848">
        <w:rPr>
          <w:rFonts w:ascii="Times New Roman" w:hAnsi="Times New Roman" w:cs="Times New Roman"/>
        </w:rPr>
        <w:t>3.6 g cm</w:t>
      </w:r>
      <w:r w:rsidR="00BF5848">
        <w:rPr>
          <w:rFonts w:ascii="Times New Roman" w:hAnsi="Times New Roman" w:cs="Times New Roman"/>
          <w:vertAlign w:val="superscript"/>
        </w:rPr>
        <w:t>-3</w:t>
      </w:r>
      <w:r w:rsidR="00BF5848">
        <w:rPr>
          <w:rFonts w:ascii="Times New Roman" w:hAnsi="Times New Roman" w:cs="Times New Roman"/>
        </w:rPr>
        <w:t>)</w:t>
      </w:r>
      <w:r w:rsidR="00D56F41">
        <w:rPr>
          <w:rFonts w:ascii="Times New Roman" w:hAnsi="Times New Roman" w:cs="Times New Roman"/>
        </w:rPr>
        <w:t>, this results in it losing its explosive properties thus it must be comparatively lightly packed</w:t>
      </w:r>
      <w:r w:rsidR="00BF5848">
        <w:rPr>
          <w:rFonts w:ascii="Times New Roman" w:hAnsi="Times New Roman" w:cs="Times New Roman"/>
        </w:rPr>
        <w:t xml:space="preserve"> with a density </w:t>
      </w:r>
      <w:r w:rsidR="00BB308E">
        <w:rPr>
          <w:rFonts w:ascii="Times New Roman" w:hAnsi="Times New Roman" w:cs="Times New Roman"/>
        </w:rPr>
        <w:t>of 3.</w:t>
      </w:r>
      <w:r w:rsidR="009A22BC">
        <w:rPr>
          <w:rFonts w:ascii="Times New Roman" w:hAnsi="Times New Roman" w:cs="Times New Roman"/>
        </w:rPr>
        <w:t>2</w:t>
      </w:r>
      <w:r w:rsidR="00BB308E">
        <w:rPr>
          <w:rFonts w:ascii="Times New Roman" w:hAnsi="Times New Roman" w:cs="Times New Roman"/>
        </w:rPr>
        <w:t xml:space="preserve"> g cm</w:t>
      </w:r>
      <w:r w:rsidR="00BB308E">
        <w:rPr>
          <w:rFonts w:ascii="Times New Roman" w:hAnsi="Times New Roman" w:cs="Times New Roman"/>
          <w:vertAlign w:val="superscript"/>
        </w:rPr>
        <w:t>-3</w:t>
      </w:r>
      <w:r w:rsidR="00BB308E">
        <w:rPr>
          <w:rFonts w:ascii="Times New Roman" w:hAnsi="Times New Roman" w:cs="Times New Roman"/>
        </w:rPr>
        <w:t xml:space="preserve"> giving the best </w:t>
      </w:r>
      <w:r w:rsidR="007A6A72">
        <w:rPr>
          <w:rFonts w:ascii="Times New Roman" w:hAnsi="Times New Roman" w:cs="Times New Roman"/>
        </w:rPr>
        <w:t>initiating capability</w:t>
      </w:r>
      <w:sdt>
        <w:sdtPr>
          <w:rPr>
            <w:rFonts w:ascii="Times New Roman" w:hAnsi="Times New Roman" w:cs="Times New Roman"/>
          </w:rPr>
          <w:id w:val="-2003655385"/>
          <w:citation/>
        </w:sdtPr>
        <w:sdtEndPr/>
        <w:sdtContent>
          <w:r w:rsidR="007A6A72">
            <w:rPr>
              <w:rFonts w:ascii="Times New Roman" w:hAnsi="Times New Roman" w:cs="Times New Roman"/>
            </w:rPr>
            <w:fldChar w:fldCharType="begin"/>
          </w:r>
          <w:r w:rsidR="007A6A72">
            <w:rPr>
              <w:rFonts w:ascii="Times New Roman" w:hAnsi="Times New Roman" w:cs="Times New Roman"/>
            </w:rPr>
            <w:instrText xml:space="preserve"> CITATION Ern21 \l 2057 </w:instrText>
          </w:r>
          <w:r w:rsidR="007A6A72">
            <w:rPr>
              <w:rFonts w:ascii="Times New Roman" w:hAnsi="Times New Roman" w:cs="Times New Roman"/>
            </w:rPr>
            <w:fldChar w:fldCharType="separate"/>
          </w:r>
          <w:r w:rsidR="007A6A72">
            <w:rPr>
              <w:rFonts w:ascii="Times New Roman" w:hAnsi="Times New Roman" w:cs="Times New Roman"/>
              <w:noProof/>
            </w:rPr>
            <w:t xml:space="preserve"> </w:t>
          </w:r>
          <w:r w:rsidR="007A6A72" w:rsidRPr="007A6A72">
            <w:rPr>
              <w:rFonts w:ascii="Times New Roman" w:hAnsi="Times New Roman" w:cs="Times New Roman"/>
              <w:noProof/>
            </w:rPr>
            <w:t>[6]</w:t>
          </w:r>
          <w:r w:rsidR="007A6A72">
            <w:rPr>
              <w:rFonts w:ascii="Times New Roman" w:hAnsi="Times New Roman" w:cs="Times New Roman"/>
            </w:rPr>
            <w:fldChar w:fldCharType="end"/>
          </w:r>
        </w:sdtContent>
      </w:sdt>
      <w:r w:rsidR="00BB308E">
        <w:rPr>
          <w:rFonts w:ascii="Times New Roman" w:hAnsi="Times New Roman" w:cs="Times New Roman"/>
        </w:rPr>
        <w:t>.</w:t>
      </w:r>
    </w:p>
    <w:p w14:paraId="246280EF" w14:textId="5F9382F3" w:rsidR="003F45EA" w:rsidRDefault="003F45EA" w:rsidP="00CC32A3">
      <w:pPr>
        <w:pStyle w:val="Caption"/>
      </w:pPr>
      <w:bookmarkStart w:id="1" w:name="_Toc217047690"/>
      <w:r>
        <w:rPr>
          <w:rFonts w:ascii="Times New Roman" w:hAnsi="Times New Roman" w:cs="Times New Roman"/>
          <w:vertAlign w:val="subscript"/>
        </w:rPr>
        <w:softHyphen/>
      </w:r>
      <w:r w:rsidR="00CC32A3">
        <w:t xml:space="preserve">Table </w:t>
      </w:r>
      <w:fldSimple w:instr=" SEQ Table \* ARABIC ">
        <w:r w:rsidR="00B64BFC">
          <w:rPr>
            <w:noProof/>
          </w:rPr>
          <w:t>1</w:t>
        </w:r>
      </w:fldSimple>
      <w:r w:rsidR="00CC32A3">
        <w:t>: Properties of Mercury Fulminate</w:t>
      </w:r>
      <w:r w:rsidR="009857CF">
        <w:t xml:space="preserve"> </w:t>
      </w:r>
      <w:sdt>
        <w:sdtPr>
          <w:id w:val="2078393174"/>
          <w:citation/>
        </w:sdtPr>
        <w:sdtEndPr/>
        <w:sdtContent>
          <w:r w:rsidR="009857CF">
            <w:fldChar w:fldCharType="begin"/>
          </w:r>
          <w:r w:rsidR="009857CF">
            <w:instrText xml:space="preserve"> CITATION Ern21 \l 2057 </w:instrText>
          </w:r>
          <w:r w:rsidR="009857CF">
            <w:fldChar w:fldCharType="separate"/>
          </w:r>
          <w:r w:rsidR="009857CF" w:rsidRPr="009857CF">
            <w:rPr>
              <w:noProof/>
            </w:rPr>
            <w:t>[6]</w:t>
          </w:r>
          <w:r w:rsidR="009857CF">
            <w:fldChar w:fldCharType="end"/>
          </w:r>
        </w:sdtContent>
      </w:sdt>
      <w:bookmarkEnd w:id="1"/>
    </w:p>
    <w:tbl>
      <w:tblPr>
        <w:tblStyle w:val="PlainTable4"/>
        <w:tblW w:w="0" w:type="auto"/>
        <w:tblLook w:val="04A0" w:firstRow="1" w:lastRow="0" w:firstColumn="1" w:lastColumn="0" w:noHBand="0" w:noVBand="1"/>
      </w:tblPr>
      <w:tblGrid>
        <w:gridCol w:w="4508"/>
        <w:gridCol w:w="4508"/>
      </w:tblGrid>
      <w:tr w:rsidR="00513FBD" w:rsidRPr="001B6B5B" w14:paraId="63A0462B" w14:textId="77777777" w:rsidTr="00463D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F206FA" w14:textId="1C72540F" w:rsidR="00513FBD" w:rsidRPr="001B6B5B" w:rsidRDefault="00C55E9C" w:rsidP="00C30B37">
            <w:pPr>
              <w:rPr>
                <w:rFonts w:ascii="Times New Roman" w:hAnsi="Times New Roman" w:cs="Times New Roman"/>
                <w:b w:val="0"/>
                <w:bCs w:val="0"/>
              </w:rPr>
            </w:pPr>
            <w:r w:rsidRPr="001B6B5B">
              <w:rPr>
                <w:rFonts w:ascii="Times New Roman" w:hAnsi="Times New Roman" w:cs="Times New Roman"/>
                <w:b w:val="0"/>
                <w:bCs w:val="0"/>
              </w:rPr>
              <w:t>Aspect</w:t>
            </w:r>
          </w:p>
        </w:tc>
        <w:tc>
          <w:tcPr>
            <w:tcW w:w="4508" w:type="dxa"/>
          </w:tcPr>
          <w:p w14:paraId="46025C6B" w14:textId="26294136" w:rsidR="00513FBD" w:rsidRPr="001B6B5B" w:rsidRDefault="00C55E9C" w:rsidP="00C30B3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1B6B5B">
              <w:rPr>
                <w:rFonts w:ascii="Times New Roman" w:hAnsi="Times New Roman" w:cs="Times New Roman"/>
                <w:b w:val="0"/>
                <w:bCs w:val="0"/>
              </w:rPr>
              <w:t>Grey</w:t>
            </w:r>
            <w:r w:rsidR="001B6B5B" w:rsidRPr="001B6B5B">
              <w:rPr>
                <w:rFonts w:ascii="Times New Roman" w:hAnsi="Times New Roman" w:cs="Times New Roman"/>
                <w:b w:val="0"/>
                <w:bCs w:val="0"/>
              </w:rPr>
              <w:t>/White/Brown Crystals</w:t>
            </w:r>
          </w:p>
        </w:tc>
      </w:tr>
      <w:tr w:rsidR="00C55E9C" w:rsidRPr="001B6B5B" w14:paraId="511D9C9D" w14:textId="77777777" w:rsidTr="0046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742D90" w14:textId="1F6045D5" w:rsidR="00C55E9C" w:rsidRPr="001B6B5B" w:rsidRDefault="001B6B5B" w:rsidP="00C30B37">
            <w:pPr>
              <w:rPr>
                <w:rFonts w:ascii="Times New Roman" w:hAnsi="Times New Roman" w:cs="Times New Roman"/>
                <w:b w:val="0"/>
                <w:bCs w:val="0"/>
              </w:rPr>
            </w:pPr>
            <w:r>
              <w:rPr>
                <w:rFonts w:ascii="Times New Roman" w:hAnsi="Times New Roman" w:cs="Times New Roman"/>
                <w:b w:val="0"/>
                <w:bCs w:val="0"/>
              </w:rPr>
              <w:t>Formula</w:t>
            </w:r>
          </w:p>
        </w:tc>
        <w:tc>
          <w:tcPr>
            <w:tcW w:w="4508" w:type="dxa"/>
          </w:tcPr>
          <w:p w14:paraId="49049D91" w14:textId="2EF5D8D3" w:rsidR="00C55E9C" w:rsidRPr="001B6B5B" w:rsidRDefault="001B6B5B" w:rsidP="00C30B3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w:t>
            </w:r>
            <w:r>
              <w:rPr>
                <w:rFonts w:ascii="Times New Roman" w:hAnsi="Times New Roman" w:cs="Times New Roman"/>
                <w:vertAlign w:val="subscript"/>
              </w:rPr>
              <w:t>2</w:t>
            </w:r>
            <w:r>
              <w:rPr>
                <w:rFonts w:ascii="Times New Roman" w:hAnsi="Times New Roman" w:cs="Times New Roman"/>
              </w:rPr>
              <w:t>N</w:t>
            </w:r>
            <w:r>
              <w:rPr>
                <w:rFonts w:ascii="Times New Roman" w:hAnsi="Times New Roman" w:cs="Times New Roman"/>
                <w:vertAlign w:val="subscript"/>
              </w:rPr>
              <w:t>2</w:t>
            </w:r>
            <w:r>
              <w:rPr>
                <w:rFonts w:ascii="Times New Roman" w:hAnsi="Times New Roman" w:cs="Times New Roman"/>
              </w:rPr>
              <w:t>O</w:t>
            </w:r>
            <w:r>
              <w:rPr>
                <w:rFonts w:ascii="Times New Roman" w:hAnsi="Times New Roman" w:cs="Times New Roman"/>
                <w:vertAlign w:val="subscript"/>
              </w:rPr>
              <w:t>2</w:t>
            </w:r>
            <w:r>
              <w:rPr>
                <w:rFonts w:ascii="Times New Roman" w:hAnsi="Times New Roman" w:cs="Times New Roman"/>
              </w:rPr>
              <w:t>Hg</w:t>
            </w:r>
          </w:p>
        </w:tc>
      </w:tr>
      <w:tr w:rsidR="00C55E9C" w:rsidRPr="001B6B5B" w14:paraId="52A6FF38" w14:textId="77777777" w:rsidTr="00463D58">
        <w:tc>
          <w:tcPr>
            <w:cnfStyle w:val="001000000000" w:firstRow="0" w:lastRow="0" w:firstColumn="1" w:lastColumn="0" w:oddVBand="0" w:evenVBand="0" w:oddHBand="0" w:evenHBand="0" w:firstRowFirstColumn="0" w:firstRowLastColumn="0" w:lastRowFirstColumn="0" w:lastRowLastColumn="0"/>
            <w:tcW w:w="4508" w:type="dxa"/>
          </w:tcPr>
          <w:p w14:paraId="6B08ACD1" w14:textId="6439DBD7" w:rsidR="00C55E9C" w:rsidRPr="001B6B5B" w:rsidRDefault="00E92198" w:rsidP="00C30B37">
            <w:pPr>
              <w:rPr>
                <w:rFonts w:ascii="Times New Roman" w:hAnsi="Times New Roman" w:cs="Times New Roman"/>
                <w:b w:val="0"/>
                <w:bCs w:val="0"/>
              </w:rPr>
            </w:pPr>
            <w:r>
              <w:rPr>
                <w:rFonts w:ascii="Times New Roman" w:hAnsi="Times New Roman" w:cs="Times New Roman"/>
                <w:b w:val="0"/>
                <w:bCs w:val="0"/>
              </w:rPr>
              <w:t>Molar Mass</w:t>
            </w:r>
          </w:p>
        </w:tc>
        <w:tc>
          <w:tcPr>
            <w:tcW w:w="4508" w:type="dxa"/>
          </w:tcPr>
          <w:p w14:paraId="46DACAE8" w14:textId="4B2BCF69" w:rsidR="00C55E9C" w:rsidRPr="00E92198" w:rsidRDefault="00E92198" w:rsidP="00C30B3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284.624 g mol</w:t>
            </w:r>
            <w:r>
              <w:rPr>
                <w:rFonts w:ascii="Times New Roman" w:hAnsi="Times New Roman" w:cs="Times New Roman"/>
                <w:vertAlign w:val="superscript"/>
              </w:rPr>
              <w:t>-1</w:t>
            </w:r>
          </w:p>
        </w:tc>
      </w:tr>
      <w:tr w:rsidR="00C55E9C" w:rsidRPr="001B6B5B" w14:paraId="039B1CB9" w14:textId="77777777" w:rsidTr="0046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81B1D9" w14:textId="74E1C9E9" w:rsidR="00C55E9C" w:rsidRPr="001B6B5B" w:rsidRDefault="00905F79" w:rsidP="00C30B37">
            <w:pPr>
              <w:rPr>
                <w:rFonts w:ascii="Times New Roman" w:hAnsi="Times New Roman" w:cs="Times New Roman"/>
                <w:b w:val="0"/>
                <w:bCs w:val="0"/>
              </w:rPr>
            </w:pPr>
            <w:r>
              <w:rPr>
                <w:rFonts w:ascii="Times New Roman" w:hAnsi="Times New Roman" w:cs="Times New Roman"/>
                <w:b w:val="0"/>
                <w:bCs w:val="0"/>
              </w:rPr>
              <w:t>ρ, Density</w:t>
            </w:r>
          </w:p>
        </w:tc>
        <w:tc>
          <w:tcPr>
            <w:tcW w:w="4508" w:type="dxa"/>
          </w:tcPr>
          <w:p w14:paraId="7790A872" w14:textId="32FF32ED" w:rsidR="00C55E9C" w:rsidRPr="00902D5D" w:rsidRDefault="00902D5D" w:rsidP="00C30B3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ertAlign w:val="superscript"/>
              </w:rPr>
            </w:pPr>
            <w:r>
              <w:rPr>
                <w:rFonts w:ascii="Times New Roman" w:hAnsi="Times New Roman" w:cs="Times New Roman"/>
              </w:rPr>
              <w:t>4.467 g cm</w:t>
            </w:r>
            <w:r>
              <w:rPr>
                <w:rFonts w:ascii="Times New Roman" w:hAnsi="Times New Roman" w:cs="Times New Roman"/>
                <w:vertAlign w:val="superscript"/>
              </w:rPr>
              <w:t>-3</w:t>
            </w:r>
          </w:p>
        </w:tc>
      </w:tr>
      <w:tr w:rsidR="00C55E9C" w:rsidRPr="001B6B5B" w14:paraId="5B7CF08D" w14:textId="77777777" w:rsidTr="00463D58">
        <w:tc>
          <w:tcPr>
            <w:cnfStyle w:val="001000000000" w:firstRow="0" w:lastRow="0" w:firstColumn="1" w:lastColumn="0" w:oddVBand="0" w:evenVBand="0" w:oddHBand="0" w:evenHBand="0" w:firstRowFirstColumn="0" w:firstRowLastColumn="0" w:lastRowFirstColumn="0" w:lastRowLastColumn="0"/>
            <w:tcW w:w="4508" w:type="dxa"/>
          </w:tcPr>
          <w:p w14:paraId="2F44E74B" w14:textId="58474D43" w:rsidR="00C55E9C" w:rsidRPr="001B6B5B" w:rsidRDefault="003873D8" w:rsidP="00C30B37">
            <w:pPr>
              <w:rPr>
                <w:rFonts w:ascii="Times New Roman" w:hAnsi="Times New Roman" w:cs="Times New Roman"/>
                <w:b w:val="0"/>
                <w:bCs w:val="0"/>
              </w:rPr>
            </w:pPr>
            <w:r>
              <w:rPr>
                <w:rFonts w:ascii="Times New Roman" w:hAnsi="Times New Roman" w:cs="Times New Roman"/>
                <w:b w:val="0"/>
                <w:bCs w:val="0"/>
              </w:rPr>
              <w:t>Heat of Formation</w:t>
            </w:r>
          </w:p>
        </w:tc>
        <w:tc>
          <w:tcPr>
            <w:tcW w:w="4508" w:type="dxa"/>
          </w:tcPr>
          <w:p w14:paraId="016A0636" w14:textId="12A5C167" w:rsidR="00C55E9C" w:rsidRPr="003873D8" w:rsidRDefault="003873D8" w:rsidP="00C30B3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-267.99 kJ mol</w:t>
            </w:r>
            <w:r>
              <w:rPr>
                <w:rFonts w:ascii="Times New Roman" w:hAnsi="Times New Roman" w:cs="Times New Roman"/>
                <w:vertAlign w:val="superscript"/>
              </w:rPr>
              <w:t>-1</w:t>
            </w:r>
          </w:p>
        </w:tc>
      </w:tr>
      <w:tr w:rsidR="00C55E9C" w:rsidRPr="001B6B5B" w14:paraId="785E53E9" w14:textId="77777777" w:rsidTr="0046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BCEE2B" w14:textId="772C2F77" w:rsidR="00C55E9C" w:rsidRPr="001B6B5B" w:rsidRDefault="0070732F" w:rsidP="00C30B37">
            <w:pPr>
              <w:rPr>
                <w:rFonts w:ascii="Times New Roman" w:hAnsi="Times New Roman" w:cs="Times New Roman"/>
                <w:b w:val="0"/>
                <w:bCs w:val="0"/>
              </w:rPr>
            </w:pPr>
            <w:r>
              <w:rPr>
                <w:rFonts w:ascii="Times New Roman" w:hAnsi="Times New Roman" w:cs="Times New Roman"/>
                <w:b w:val="0"/>
                <w:bCs w:val="0"/>
              </w:rPr>
              <w:t>Heat of Explosion</w:t>
            </w:r>
          </w:p>
        </w:tc>
        <w:tc>
          <w:tcPr>
            <w:tcW w:w="4508" w:type="dxa"/>
          </w:tcPr>
          <w:p w14:paraId="7D09B47E" w14:textId="792B6E2D" w:rsidR="00C55E9C" w:rsidRPr="0070732F" w:rsidRDefault="0070732F" w:rsidP="00C30B3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-1117 kJ mol</w:t>
            </w:r>
            <w:r>
              <w:rPr>
                <w:rFonts w:ascii="Times New Roman" w:hAnsi="Times New Roman" w:cs="Times New Roman"/>
                <w:vertAlign w:val="superscript"/>
              </w:rPr>
              <w:t>-1</w:t>
            </w:r>
          </w:p>
        </w:tc>
      </w:tr>
      <w:tr w:rsidR="00C55E9C" w:rsidRPr="001B6B5B" w14:paraId="362C199F" w14:textId="77777777" w:rsidTr="00463D58">
        <w:tc>
          <w:tcPr>
            <w:cnfStyle w:val="001000000000" w:firstRow="0" w:lastRow="0" w:firstColumn="1" w:lastColumn="0" w:oddVBand="0" w:evenVBand="0" w:oddHBand="0" w:evenHBand="0" w:firstRowFirstColumn="0" w:firstRowLastColumn="0" w:lastRowFirstColumn="0" w:lastRowLastColumn="0"/>
            <w:tcW w:w="4508" w:type="dxa"/>
          </w:tcPr>
          <w:p w14:paraId="0F7978F6" w14:textId="4435EA4E" w:rsidR="00C55E9C" w:rsidRPr="001B6B5B" w:rsidRDefault="0070732F" w:rsidP="00C30B37">
            <w:pPr>
              <w:rPr>
                <w:rFonts w:ascii="Times New Roman" w:hAnsi="Times New Roman" w:cs="Times New Roman"/>
                <w:b w:val="0"/>
                <w:bCs w:val="0"/>
              </w:rPr>
            </w:pPr>
            <w:r>
              <w:rPr>
                <w:rFonts w:ascii="Times New Roman" w:hAnsi="Times New Roman" w:cs="Times New Roman"/>
                <w:b w:val="0"/>
                <w:bCs w:val="0"/>
              </w:rPr>
              <w:t>Oxygen Balance</w:t>
            </w:r>
          </w:p>
        </w:tc>
        <w:tc>
          <w:tcPr>
            <w:tcW w:w="4508" w:type="dxa"/>
          </w:tcPr>
          <w:p w14:paraId="42223A87" w14:textId="3CF06D20" w:rsidR="00C55E9C" w:rsidRPr="001B6B5B" w:rsidRDefault="0070732F" w:rsidP="00C30B3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-16.86%</w:t>
            </w:r>
          </w:p>
        </w:tc>
      </w:tr>
      <w:tr w:rsidR="00C55E9C" w:rsidRPr="001B6B5B" w14:paraId="31B1A9CB" w14:textId="77777777" w:rsidTr="00463D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ED1A20" w14:textId="7A376179" w:rsidR="00C55E9C" w:rsidRPr="001B6B5B" w:rsidRDefault="00E34F4F" w:rsidP="00C30B37">
            <w:pPr>
              <w:rPr>
                <w:rFonts w:ascii="Times New Roman" w:hAnsi="Times New Roman" w:cs="Times New Roman"/>
                <w:b w:val="0"/>
                <w:bCs w:val="0"/>
              </w:rPr>
            </w:pPr>
            <w:r>
              <w:rPr>
                <w:rFonts w:ascii="Times New Roman" w:hAnsi="Times New Roman" w:cs="Times New Roman"/>
                <w:b w:val="0"/>
                <w:bCs w:val="0"/>
              </w:rPr>
              <w:t>Friction</w:t>
            </w:r>
          </w:p>
        </w:tc>
        <w:tc>
          <w:tcPr>
            <w:tcW w:w="4508" w:type="dxa"/>
          </w:tcPr>
          <w:p w14:paraId="061012E6" w14:textId="34C058C7" w:rsidR="00C55E9C" w:rsidRPr="001B6B5B" w:rsidRDefault="00E34F4F" w:rsidP="00C30B3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7 J (BAM)</w:t>
            </w:r>
          </w:p>
        </w:tc>
      </w:tr>
      <w:tr w:rsidR="00C55E9C" w:rsidRPr="001B6B5B" w14:paraId="07573973" w14:textId="77777777" w:rsidTr="00463D58">
        <w:tc>
          <w:tcPr>
            <w:cnfStyle w:val="001000000000" w:firstRow="0" w:lastRow="0" w:firstColumn="1" w:lastColumn="0" w:oddVBand="0" w:evenVBand="0" w:oddHBand="0" w:evenHBand="0" w:firstRowFirstColumn="0" w:firstRowLastColumn="0" w:lastRowFirstColumn="0" w:lastRowLastColumn="0"/>
            <w:tcW w:w="4508" w:type="dxa"/>
          </w:tcPr>
          <w:p w14:paraId="4AF50657" w14:textId="46438ED2" w:rsidR="00C55E9C" w:rsidRPr="001B6B5B" w:rsidRDefault="00E34F4F" w:rsidP="00C30B37">
            <w:pPr>
              <w:rPr>
                <w:rFonts w:ascii="Times New Roman" w:hAnsi="Times New Roman" w:cs="Times New Roman"/>
                <w:b w:val="0"/>
                <w:bCs w:val="0"/>
              </w:rPr>
            </w:pPr>
            <w:r>
              <w:rPr>
                <w:rFonts w:ascii="Times New Roman" w:hAnsi="Times New Roman" w:cs="Times New Roman"/>
                <w:b w:val="0"/>
                <w:bCs w:val="0"/>
              </w:rPr>
              <w:t xml:space="preserve">Impact </w:t>
            </w:r>
          </w:p>
        </w:tc>
        <w:tc>
          <w:tcPr>
            <w:tcW w:w="4508" w:type="dxa"/>
          </w:tcPr>
          <w:p w14:paraId="350120E1" w14:textId="011A4FE3" w:rsidR="00C55E9C" w:rsidRPr="001B6B5B" w:rsidRDefault="00E34F4F" w:rsidP="00C30B3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 J (BAM)</w:t>
            </w:r>
          </w:p>
        </w:tc>
      </w:tr>
    </w:tbl>
    <w:p w14:paraId="5481534C" w14:textId="77777777" w:rsidR="00C30B37" w:rsidRDefault="00C30B37" w:rsidP="00C30B37"/>
    <w:p w14:paraId="1A68C9B3" w14:textId="22ACD4C5" w:rsidR="009857CF" w:rsidRPr="002050A1" w:rsidRDefault="009857CF" w:rsidP="009857CF">
      <w:pPr>
        <w:pStyle w:val="Heading1"/>
        <w:numPr>
          <w:ilvl w:val="1"/>
          <w:numId w:val="1"/>
        </w:numPr>
        <w:rPr>
          <w:rFonts w:ascii="Times New Roman" w:hAnsi="Times New Roman" w:cs="Times New Roman"/>
        </w:rPr>
      </w:pPr>
      <w:r w:rsidRPr="002050A1">
        <w:rPr>
          <w:rFonts w:ascii="Times New Roman" w:hAnsi="Times New Roman" w:cs="Times New Roman"/>
        </w:rPr>
        <w:t>Picric Acid</w:t>
      </w:r>
    </w:p>
    <w:p w14:paraId="3CB8592B" w14:textId="77777777" w:rsidR="009857CF" w:rsidRDefault="009857CF" w:rsidP="009857CF"/>
    <w:p w14:paraId="48C5E9D5" w14:textId="089988AE" w:rsidR="00285AC3" w:rsidRDefault="00BD30B1" w:rsidP="009857CF">
      <w:pPr>
        <w:rPr>
          <w:rFonts w:ascii="Times New Roman" w:hAnsi="Times New Roman" w:cs="Times New Roman"/>
        </w:rPr>
      </w:pPr>
      <w:r>
        <w:rPr>
          <w:rFonts w:ascii="Times New Roman" w:hAnsi="Times New Roman" w:cs="Times New Roman"/>
        </w:rPr>
        <w:t xml:space="preserve">Picric Acid </w:t>
      </w:r>
      <w:r w:rsidR="00942ECB">
        <w:rPr>
          <w:rFonts w:ascii="Times New Roman" w:hAnsi="Times New Roman" w:cs="Times New Roman"/>
        </w:rPr>
        <w:t>(2,4,6 Trinitrophenol, C</w:t>
      </w:r>
      <w:r w:rsidR="00942ECB">
        <w:rPr>
          <w:rFonts w:ascii="Times New Roman" w:hAnsi="Times New Roman" w:cs="Times New Roman"/>
          <w:vertAlign w:val="subscript"/>
        </w:rPr>
        <w:t>6</w:t>
      </w:r>
      <w:r w:rsidR="00E32EB5">
        <w:rPr>
          <w:rFonts w:ascii="Times New Roman" w:hAnsi="Times New Roman" w:cs="Times New Roman"/>
        </w:rPr>
        <w:t>H</w:t>
      </w:r>
      <w:r w:rsidR="00E32EB5">
        <w:rPr>
          <w:rFonts w:ascii="Times New Roman" w:hAnsi="Times New Roman" w:cs="Times New Roman"/>
          <w:vertAlign w:val="subscript"/>
        </w:rPr>
        <w:t>3</w:t>
      </w:r>
      <w:r w:rsidR="00E32EB5">
        <w:rPr>
          <w:rFonts w:ascii="Times New Roman" w:hAnsi="Times New Roman" w:cs="Times New Roman"/>
        </w:rPr>
        <w:t>N</w:t>
      </w:r>
      <w:r w:rsidR="00E32EB5">
        <w:rPr>
          <w:rFonts w:ascii="Times New Roman" w:hAnsi="Times New Roman" w:cs="Times New Roman"/>
          <w:vertAlign w:val="subscript"/>
        </w:rPr>
        <w:t>3</w:t>
      </w:r>
      <w:r w:rsidR="00E32EB5">
        <w:rPr>
          <w:rFonts w:ascii="Times New Roman" w:hAnsi="Times New Roman" w:cs="Times New Roman"/>
        </w:rPr>
        <w:t>O</w:t>
      </w:r>
      <w:r w:rsidR="00E32EB5">
        <w:rPr>
          <w:rFonts w:ascii="Times New Roman" w:hAnsi="Times New Roman" w:cs="Times New Roman"/>
          <w:vertAlign w:val="subscript"/>
        </w:rPr>
        <w:t>7</w:t>
      </w:r>
      <w:r w:rsidR="00E32EB5">
        <w:rPr>
          <w:rFonts w:ascii="Times New Roman" w:hAnsi="Times New Roman" w:cs="Times New Roman"/>
        </w:rPr>
        <w:t>)</w:t>
      </w:r>
      <w:r w:rsidR="00942ECB">
        <w:rPr>
          <w:rFonts w:ascii="Times New Roman" w:hAnsi="Times New Roman" w:cs="Times New Roman"/>
        </w:rPr>
        <w:t xml:space="preserve"> </w:t>
      </w:r>
      <w:r>
        <w:rPr>
          <w:rFonts w:ascii="Times New Roman" w:hAnsi="Times New Roman" w:cs="Times New Roman"/>
        </w:rPr>
        <w:t xml:space="preserve">was first reported as </w:t>
      </w:r>
      <w:r w:rsidR="009C5D8B">
        <w:rPr>
          <w:rFonts w:ascii="Times New Roman" w:hAnsi="Times New Roman" w:cs="Times New Roman"/>
        </w:rPr>
        <w:t xml:space="preserve">a substance by the chemist Glauber in 1742 </w:t>
      </w:r>
      <w:sdt>
        <w:sdtPr>
          <w:rPr>
            <w:rFonts w:ascii="Times New Roman" w:hAnsi="Times New Roman" w:cs="Times New Roman"/>
          </w:rPr>
          <w:id w:val="-1391264415"/>
          <w:citation/>
        </w:sdtPr>
        <w:sdtEndPr/>
        <w:sdtContent>
          <w:r w:rsidR="009F43BD">
            <w:rPr>
              <w:rFonts w:ascii="Times New Roman" w:hAnsi="Times New Roman" w:cs="Times New Roman"/>
            </w:rPr>
            <w:fldChar w:fldCharType="begin"/>
          </w:r>
          <w:r w:rsidR="009F43BD">
            <w:rPr>
              <w:rFonts w:ascii="Times New Roman" w:hAnsi="Times New Roman" w:cs="Times New Roman"/>
            </w:rPr>
            <w:instrText xml:space="preserve"> CITATION Tho22 \l 2057 </w:instrText>
          </w:r>
          <w:r w:rsidR="009F43BD">
            <w:rPr>
              <w:rFonts w:ascii="Times New Roman" w:hAnsi="Times New Roman" w:cs="Times New Roman"/>
            </w:rPr>
            <w:fldChar w:fldCharType="separate"/>
          </w:r>
          <w:r w:rsidR="009F43BD" w:rsidRPr="009F43BD">
            <w:rPr>
              <w:rFonts w:ascii="Times New Roman" w:hAnsi="Times New Roman" w:cs="Times New Roman"/>
              <w:noProof/>
            </w:rPr>
            <w:t>[7]</w:t>
          </w:r>
          <w:r w:rsidR="009F43BD">
            <w:rPr>
              <w:rFonts w:ascii="Times New Roman" w:hAnsi="Times New Roman" w:cs="Times New Roman"/>
            </w:rPr>
            <w:fldChar w:fldCharType="end"/>
          </w:r>
        </w:sdtContent>
      </w:sdt>
      <w:r w:rsidR="009326D5">
        <w:rPr>
          <w:rFonts w:ascii="Times New Roman" w:hAnsi="Times New Roman" w:cs="Times New Roman"/>
        </w:rPr>
        <w:t xml:space="preserve"> however, it would take continued work </w:t>
      </w:r>
      <w:r w:rsidR="00472885">
        <w:rPr>
          <w:rFonts w:ascii="Times New Roman" w:hAnsi="Times New Roman" w:cs="Times New Roman"/>
        </w:rPr>
        <w:t>before it would be adopted as explosive</w:t>
      </w:r>
      <w:r w:rsidR="00E61767">
        <w:rPr>
          <w:rFonts w:ascii="Times New Roman" w:hAnsi="Times New Roman" w:cs="Times New Roman"/>
        </w:rPr>
        <w:t xml:space="preserve"> with the UK adopting it as Lyddite in 1888</w:t>
      </w:r>
      <w:sdt>
        <w:sdtPr>
          <w:rPr>
            <w:rFonts w:ascii="Times New Roman" w:hAnsi="Times New Roman" w:cs="Times New Roman"/>
          </w:rPr>
          <w:id w:val="1884910193"/>
          <w:citation/>
        </w:sdtPr>
        <w:sdtEndPr/>
        <w:sdtContent>
          <w:r w:rsidR="00E61767">
            <w:rPr>
              <w:rFonts w:ascii="Times New Roman" w:hAnsi="Times New Roman" w:cs="Times New Roman"/>
            </w:rPr>
            <w:fldChar w:fldCharType="begin"/>
          </w:r>
          <w:r w:rsidR="00E61767">
            <w:rPr>
              <w:rFonts w:ascii="Times New Roman" w:hAnsi="Times New Roman" w:cs="Times New Roman"/>
            </w:rPr>
            <w:instrText xml:space="preserve"> CITATION JAk22 \l 2057 </w:instrText>
          </w:r>
          <w:r w:rsidR="00E61767">
            <w:rPr>
              <w:rFonts w:ascii="Times New Roman" w:hAnsi="Times New Roman" w:cs="Times New Roman"/>
            </w:rPr>
            <w:fldChar w:fldCharType="separate"/>
          </w:r>
          <w:r w:rsidR="00E61767">
            <w:rPr>
              <w:rFonts w:ascii="Times New Roman" w:hAnsi="Times New Roman" w:cs="Times New Roman"/>
              <w:noProof/>
            </w:rPr>
            <w:t xml:space="preserve"> </w:t>
          </w:r>
          <w:r w:rsidR="00E61767" w:rsidRPr="00E61767">
            <w:rPr>
              <w:rFonts w:ascii="Times New Roman" w:hAnsi="Times New Roman" w:cs="Times New Roman"/>
              <w:noProof/>
            </w:rPr>
            <w:t>[1]</w:t>
          </w:r>
          <w:r w:rsidR="00E61767">
            <w:rPr>
              <w:rFonts w:ascii="Times New Roman" w:hAnsi="Times New Roman" w:cs="Times New Roman"/>
            </w:rPr>
            <w:fldChar w:fldCharType="end"/>
          </w:r>
        </w:sdtContent>
      </w:sdt>
      <w:r w:rsidR="00E61767">
        <w:rPr>
          <w:rFonts w:ascii="Times New Roman" w:hAnsi="Times New Roman" w:cs="Times New Roman"/>
        </w:rPr>
        <w:t xml:space="preserve">. </w:t>
      </w:r>
      <w:r w:rsidR="007C492E">
        <w:rPr>
          <w:rFonts w:ascii="Times New Roman" w:hAnsi="Times New Roman" w:cs="Times New Roman"/>
        </w:rPr>
        <w:t xml:space="preserve">This provided a large increase in explosive power </w:t>
      </w:r>
      <w:r w:rsidR="00A77E53">
        <w:rPr>
          <w:rFonts w:ascii="Times New Roman" w:hAnsi="Times New Roman" w:cs="Times New Roman"/>
        </w:rPr>
        <w:t xml:space="preserve">over black powder which was still the most common filling in shells to that point. </w:t>
      </w:r>
      <w:r w:rsidR="000F51AE">
        <w:rPr>
          <w:rFonts w:ascii="Times New Roman" w:hAnsi="Times New Roman" w:cs="Times New Roman"/>
        </w:rPr>
        <w:t xml:space="preserve">The Royal Navy in particular were </w:t>
      </w:r>
      <w:r w:rsidR="00C36E49">
        <w:rPr>
          <w:rFonts w:ascii="Times New Roman" w:hAnsi="Times New Roman" w:cs="Times New Roman"/>
        </w:rPr>
        <w:t xml:space="preserve">very taken with the damage a Picric Acid bursting charge could potentially do in naval warfare and </w:t>
      </w:r>
      <w:r w:rsidR="00DC36DB">
        <w:rPr>
          <w:rFonts w:ascii="Times New Roman" w:hAnsi="Times New Roman" w:cs="Times New Roman"/>
        </w:rPr>
        <w:t>as such it was the main filler used in British Battleship shells at the Battle of Jutland</w:t>
      </w:r>
      <w:sdt>
        <w:sdtPr>
          <w:rPr>
            <w:rFonts w:ascii="Times New Roman" w:hAnsi="Times New Roman" w:cs="Times New Roman"/>
          </w:rPr>
          <w:id w:val="1311360368"/>
          <w:citation/>
        </w:sdtPr>
        <w:sdtEndPr/>
        <w:sdtContent>
          <w:r w:rsidR="001A6F2B">
            <w:rPr>
              <w:rFonts w:ascii="Times New Roman" w:hAnsi="Times New Roman" w:cs="Times New Roman"/>
            </w:rPr>
            <w:fldChar w:fldCharType="begin"/>
          </w:r>
          <w:r w:rsidR="001A6F2B">
            <w:rPr>
              <w:rFonts w:ascii="Times New Roman" w:hAnsi="Times New Roman" w:cs="Times New Roman"/>
            </w:rPr>
            <w:instrText xml:space="preserve"> CITATION Nor12 \l 2057 </w:instrText>
          </w:r>
          <w:r w:rsidR="001A6F2B">
            <w:rPr>
              <w:rFonts w:ascii="Times New Roman" w:hAnsi="Times New Roman" w:cs="Times New Roman"/>
            </w:rPr>
            <w:fldChar w:fldCharType="separate"/>
          </w:r>
          <w:r w:rsidR="001A6F2B">
            <w:rPr>
              <w:rFonts w:ascii="Times New Roman" w:hAnsi="Times New Roman" w:cs="Times New Roman"/>
              <w:noProof/>
            </w:rPr>
            <w:t xml:space="preserve"> </w:t>
          </w:r>
          <w:r w:rsidR="001A6F2B" w:rsidRPr="001A6F2B">
            <w:rPr>
              <w:rFonts w:ascii="Times New Roman" w:hAnsi="Times New Roman" w:cs="Times New Roman"/>
              <w:noProof/>
            </w:rPr>
            <w:t>[3]</w:t>
          </w:r>
          <w:r w:rsidR="001A6F2B">
            <w:rPr>
              <w:rFonts w:ascii="Times New Roman" w:hAnsi="Times New Roman" w:cs="Times New Roman"/>
            </w:rPr>
            <w:fldChar w:fldCharType="end"/>
          </w:r>
        </w:sdtContent>
      </w:sdt>
      <w:r w:rsidR="001A6F2B">
        <w:rPr>
          <w:rFonts w:ascii="Times New Roman" w:hAnsi="Times New Roman" w:cs="Times New Roman"/>
        </w:rPr>
        <w:t xml:space="preserve">. </w:t>
      </w:r>
      <w:r w:rsidR="004572D8">
        <w:rPr>
          <w:rFonts w:ascii="Times New Roman" w:hAnsi="Times New Roman" w:cs="Times New Roman"/>
        </w:rPr>
        <w:t xml:space="preserve">It was there that some of the disadvantages </w:t>
      </w:r>
      <w:r w:rsidR="005739E9">
        <w:rPr>
          <w:rFonts w:ascii="Times New Roman" w:hAnsi="Times New Roman" w:cs="Times New Roman"/>
        </w:rPr>
        <w:t>of it became apparent with British shells suffering from both a high dud rate and premature detonation</w:t>
      </w:r>
      <w:r w:rsidR="00302A80">
        <w:rPr>
          <w:rFonts w:ascii="Times New Roman" w:hAnsi="Times New Roman" w:cs="Times New Roman"/>
        </w:rPr>
        <w:t xml:space="preserve">. </w:t>
      </w:r>
      <w:r w:rsidR="004611F0">
        <w:rPr>
          <w:rFonts w:ascii="Times New Roman" w:hAnsi="Times New Roman" w:cs="Times New Roman"/>
        </w:rPr>
        <w:t xml:space="preserve">Picric acid when in contact with most common metals, such as those used in </w:t>
      </w:r>
      <w:r w:rsidR="005F646F">
        <w:rPr>
          <w:rFonts w:ascii="Times New Roman" w:hAnsi="Times New Roman" w:cs="Times New Roman"/>
        </w:rPr>
        <w:t xml:space="preserve">the Royal Navy shells at the time, forms </w:t>
      </w:r>
      <w:r w:rsidR="007810C5">
        <w:rPr>
          <w:rFonts w:ascii="Times New Roman" w:hAnsi="Times New Roman" w:cs="Times New Roman"/>
        </w:rPr>
        <w:t>highly sensitive salts that could lead to a premature detonation of the shell prior to its complete penetration of the armoured belt</w:t>
      </w:r>
      <w:sdt>
        <w:sdtPr>
          <w:rPr>
            <w:rFonts w:ascii="Times New Roman" w:hAnsi="Times New Roman" w:cs="Times New Roman"/>
          </w:rPr>
          <w:id w:val="2062291566"/>
          <w:citation/>
        </w:sdtPr>
        <w:sdtEndPr/>
        <w:sdtContent>
          <w:r w:rsidR="007810C5">
            <w:rPr>
              <w:rFonts w:ascii="Times New Roman" w:hAnsi="Times New Roman" w:cs="Times New Roman"/>
            </w:rPr>
            <w:fldChar w:fldCharType="begin"/>
          </w:r>
          <w:r w:rsidR="007810C5">
            <w:rPr>
              <w:rFonts w:ascii="Times New Roman" w:hAnsi="Times New Roman" w:cs="Times New Roman"/>
            </w:rPr>
            <w:instrText xml:space="preserve"> CITATION JAk22 \l 2057 </w:instrText>
          </w:r>
          <w:r w:rsidR="007810C5">
            <w:rPr>
              <w:rFonts w:ascii="Times New Roman" w:hAnsi="Times New Roman" w:cs="Times New Roman"/>
            </w:rPr>
            <w:fldChar w:fldCharType="separate"/>
          </w:r>
          <w:r w:rsidR="007810C5">
            <w:rPr>
              <w:rFonts w:ascii="Times New Roman" w:hAnsi="Times New Roman" w:cs="Times New Roman"/>
              <w:noProof/>
            </w:rPr>
            <w:t xml:space="preserve"> </w:t>
          </w:r>
          <w:r w:rsidR="007810C5" w:rsidRPr="007810C5">
            <w:rPr>
              <w:rFonts w:ascii="Times New Roman" w:hAnsi="Times New Roman" w:cs="Times New Roman"/>
              <w:noProof/>
            </w:rPr>
            <w:t>[1]</w:t>
          </w:r>
          <w:r w:rsidR="007810C5">
            <w:rPr>
              <w:rFonts w:ascii="Times New Roman" w:hAnsi="Times New Roman" w:cs="Times New Roman"/>
            </w:rPr>
            <w:fldChar w:fldCharType="end"/>
          </w:r>
        </w:sdtContent>
      </w:sdt>
      <w:r w:rsidR="007810C5">
        <w:rPr>
          <w:rFonts w:ascii="Times New Roman" w:hAnsi="Times New Roman" w:cs="Times New Roman"/>
        </w:rPr>
        <w:t>.</w:t>
      </w:r>
      <w:r w:rsidR="009A0B8E">
        <w:rPr>
          <w:rFonts w:ascii="Times New Roman" w:hAnsi="Times New Roman" w:cs="Times New Roman"/>
        </w:rPr>
        <w:t xml:space="preserve"> It is also not unreasonable to conclude that this may have aided in the magazine detonations that occurred among some of the British Battlecruisers (although inadequate ammunition hand</w:t>
      </w:r>
      <w:r w:rsidR="001C49EA">
        <w:rPr>
          <w:rFonts w:ascii="Times New Roman" w:hAnsi="Times New Roman" w:cs="Times New Roman"/>
        </w:rPr>
        <w:t xml:space="preserve">ling </w:t>
      </w:r>
      <w:r w:rsidR="001C49EA">
        <w:rPr>
          <w:rFonts w:ascii="Times New Roman" w:hAnsi="Times New Roman" w:cs="Times New Roman"/>
        </w:rPr>
        <w:lastRenderedPageBreak/>
        <w:t>procedures that saw flash doors being left open to aid in rate of fire are commonly attested to as the primary cause).</w:t>
      </w:r>
      <w:r w:rsidR="007810C5">
        <w:rPr>
          <w:rFonts w:ascii="Times New Roman" w:hAnsi="Times New Roman" w:cs="Times New Roman"/>
        </w:rPr>
        <w:t xml:space="preserve"> </w:t>
      </w:r>
      <w:r w:rsidR="000C4E33">
        <w:rPr>
          <w:rFonts w:ascii="Times New Roman" w:hAnsi="Times New Roman" w:cs="Times New Roman"/>
        </w:rPr>
        <w:t xml:space="preserve">It was for this reason that the US Navy used </w:t>
      </w:r>
      <w:r w:rsidR="00567475">
        <w:rPr>
          <w:rFonts w:ascii="Times New Roman" w:hAnsi="Times New Roman" w:cs="Times New Roman"/>
        </w:rPr>
        <w:t>TNT in its shells instead of Picric Acid</w:t>
      </w:r>
      <w:sdt>
        <w:sdtPr>
          <w:rPr>
            <w:rFonts w:ascii="Times New Roman" w:hAnsi="Times New Roman" w:cs="Times New Roman"/>
          </w:rPr>
          <w:id w:val="2006014530"/>
          <w:citation/>
        </w:sdtPr>
        <w:sdtEndPr/>
        <w:sdtContent>
          <w:r w:rsidR="00684FD1">
            <w:rPr>
              <w:rFonts w:ascii="Times New Roman" w:hAnsi="Times New Roman" w:cs="Times New Roman"/>
            </w:rPr>
            <w:fldChar w:fldCharType="begin"/>
          </w:r>
          <w:r w:rsidR="00684FD1">
            <w:rPr>
              <w:rFonts w:ascii="Times New Roman" w:hAnsi="Times New Roman" w:cs="Times New Roman"/>
            </w:rPr>
            <w:instrText xml:space="preserve"> CITATION Nor12 \l 2057 </w:instrText>
          </w:r>
          <w:r w:rsidR="00684FD1">
            <w:rPr>
              <w:rFonts w:ascii="Times New Roman" w:hAnsi="Times New Roman" w:cs="Times New Roman"/>
            </w:rPr>
            <w:fldChar w:fldCharType="separate"/>
          </w:r>
          <w:r w:rsidR="00684FD1">
            <w:rPr>
              <w:rFonts w:ascii="Times New Roman" w:hAnsi="Times New Roman" w:cs="Times New Roman"/>
              <w:noProof/>
            </w:rPr>
            <w:t xml:space="preserve"> </w:t>
          </w:r>
          <w:r w:rsidR="00684FD1" w:rsidRPr="00684FD1">
            <w:rPr>
              <w:rFonts w:ascii="Times New Roman" w:hAnsi="Times New Roman" w:cs="Times New Roman"/>
              <w:noProof/>
            </w:rPr>
            <w:t>[3]</w:t>
          </w:r>
          <w:r w:rsidR="00684FD1">
            <w:rPr>
              <w:rFonts w:ascii="Times New Roman" w:hAnsi="Times New Roman" w:cs="Times New Roman"/>
            </w:rPr>
            <w:fldChar w:fldCharType="end"/>
          </w:r>
        </w:sdtContent>
      </w:sdt>
      <w:r w:rsidR="00684FD1">
        <w:rPr>
          <w:rFonts w:ascii="Times New Roman" w:hAnsi="Times New Roman" w:cs="Times New Roman"/>
        </w:rPr>
        <w:t xml:space="preserve">. </w:t>
      </w:r>
      <w:r w:rsidR="0081313C">
        <w:rPr>
          <w:rFonts w:ascii="Times New Roman" w:hAnsi="Times New Roman" w:cs="Times New Roman"/>
        </w:rPr>
        <w:t>Picric Acid continued to be used in the ‘Green Boy’ shells that were developed post Jutland but under a different formulation (Shellite) that reduced the amount used and added moderating agents to reduce sensitivity</w:t>
      </w:r>
      <w:r w:rsidR="00B24800">
        <w:rPr>
          <w:rFonts w:ascii="Times New Roman" w:hAnsi="Times New Roman" w:cs="Times New Roman"/>
        </w:rPr>
        <w:t>.</w:t>
      </w:r>
      <w:r w:rsidR="00D83541">
        <w:rPr>
          <w:rFonts w:ascii="Times New Roman" w:hAnsi="Times New Roman" w:cs="Times New Roman"/>
        </w:rPr>
        <w:t xml:space="preserve"> Shellite would continue to be used by the Royal Navy long after </w:t>
      </w:r>
      <w:r w:rsidR="0021751E">
        <w:rPr>
          <w:rFonts w:ascii="Times New Roman" w:hAnsi="Times New Roman" w:cs="Times New Roman"/>
        </w:rPr>
        <w:t>Picric Acid had stopped being used in Army munitions and would eventually be phased out following World War 2.</w:t>
      </w:r>
    </w:p>
    <w:p w14:paraId="38FC8120" w14:textId="333E47FC" w:rsidR="00285AC3" w:rsidRDefault="00285AC3" w:rsidP="009857CF">
      <w:pPr>
        <w:rPr>
          <w:rFonts w:ascii="Times New Roman" w:hAnsi="Times New Roman" w:cs="Times New Roman"/>
        </w:rPr>
      </w:pPr>
      <w:r>
        <w:rPr>
          <w:rFonts w:ascii="Times New Roman" w:hAnsi="Times New Roman" w:cs="Times New Roman"/>
        </w:rPr>
        <w:t xml:space="preserve">  Picric Acid </w:t>
      </w:r>
      <w:r w:rsidR="00C40BFC">
        <w:rPr>
          <w:rFonts w:ascii="Times New Roman" w:hAnsi="Times New Roman" w:cs="Times New Roman"/>
        </w:rPr>
        <w:t xml:space="preserve">was </w:t>
      </w:r>
      <w:r w:rsidR="00E8272C">
        <w:rPr>
          <w:rFonts w:ascii="Times New Roman" w:hAnsi="Times New Roman" w:cs="Times New Roman"/>
        </w:rPr>
        <w:t xml:space="preserve">cast pourable </w:t>
      </w:r>
      <w:r w:rsidR="007E04E7">
        <w:rPr>
          <w:rFonts w:ascii="Times New Roman" w:hAnsi="Times New Roman" w:cs="Times New Roman"/>
        </w:rPr>
        <w:t xml:space="preserve">which aided greatly in its ability to be used as a shell filling. However, </w:t>
      </w:r>
      <w:r w:rsidR="00D47B9C">
        <w:rPr>
          <w:rFonts w:ascii="Times New Roman" w:hAnsi="Times New Roman" w:cs="Times New Roman"/>
        </w:rPr>
        <w:t xml:space="preserve">it required a </w:t>
      </w:r>
      <w:r w:rsidR="005811B0">
        <w:rPr>
          <w:rFonts w:ascii="Times New Roman" w:hAnsi="Times New Roman" w:cs="Times New Roman"/>
        </w:rPr>
        <w:t>comparatively</w:t>
      </w:r>
      <w:r w:rsidR="00D47B9C">
        <w:rPr>
          <w:rFonts w:ascii="Times New Roman" w:hAnsi="Times New Roman" w:cs="Times New Roman"/>
        </w:rPr>
        <w:t xml:space="preserve"> high melting point</w:t>
      </w:r>
      <w:r w:rsidR="005811B0">
        <w:rPr>
          <w:rFonts w:ascii="Times New Roman" w:hAnsi="Times New Roman" w:cs="Times New Roman"/>
        </w:rPr>
        <w:t xml:space="preserve"> (121.8-122.4◦C)</w:t>
      </w:r>
      <w:r w:rsidR="00D47B9C">
        <w:rPr>
          <w:rFonts w:ascii="Times New Roman" w:hAnsi="Times New Roman" w:cs="Times New Roman"/>
        </w:rPr>
        <w:t xml:space="preserve"> wh</w:t>
      </w:r>
      <w:r w:rsidR="005713B4">
        <w:rPr>
          <w:rFonts w:ascii="Times New Roman" w:hAnsi="Times New Roman" w:cs="Times New Roman"/>
        </w:rPr>
        <w:t xml:space="preserve">ich is close to its Flash Point (133.9◦C). </w:t>
      </w:r>
      <w:r w:rsidR="00CD181C">
        <w:rPr>
          <w:rFonts w:ascii="Times New Roman" w:hAnsi="Times New Roman" w:cs="Times New Roman"/>
        </w:rPr>
        <w:t xml:space="preserve">Combined with its high toxicity </w:t>
      </w:r>
      <w:r w:rsidR="00C6631B">
        <w:rPr>
          <w:rFonts w:ascii="Times New Roman" w:hAnsi="Times New Roman" w:cs="Times New Roman"/>
        </w:rPr>
        <w:t>as well as being a strong acid this made it hazardous for workers</w:t>
      </w:r>
      <w:r w:rsidR="009D4DBB">
        <w:rPr>
          <w:rFonts w:ascii="Times New Roman" w:hAnsi="Times New Roman" w:cs="Times New Roman"/>
        </w:rPr>
        <w:t xml:space="preserve"> and encouraged the movement away from it as an explosive </w:t>
      </w:r>
      <w:r w:rsidR="00B64BFC">
        <w:rPr>
          <w:rFonts w:ascii="Times New Roman" w:hAnsi="Times New Roman" w:cs="Times New Roman"/>
        </w:rPr>
        <w:t>post-World</w:t>
      </w:r>
      <w:r w:rsidR="009D4DBB">
        <w:rPr>
          <w:rFonts w:ascii="Times New Roman" w:hAnsi="Times New Roman" w:cs="Times New Roman"/>
        </w:rPr>
        <w:t xml:space="preserve"> War 1</w:t>
      </w:r>
      <w:r w:rsidR="00526B65">
        <w:rPr>
          <w:rFonts w:ascii="Times New Roman" w:hAnsi="Times New Roman" w:cs="Times New Roman"/>
        </w:rPr>
        <w:t xml:space="preserve"> especially with the simplification of manufacture for TNT</w:t>
      </w:r>
      <w:sdt>
        <w:sdtPr>
          <w:rPr>
            <w:rFonts w:ascii="Times New Roman" w:hAnsi="Times New Roman" w:cs="Times New Roman"/>
          </w:rPr>
          <w:id w:val="-1853093207"/>
          <w:citation/>
        </w:sdtPr>
        <w:sdtEndPr/>
        <w:sdtContent>
          <w:r w:rsidR="00526B65">
            <w:rPr>
              <w:rFonts w:ascii="Times New Roman" w:hAnsi="Times New Roman" w:cs="Times New Roman"/>
            </w:rPr>
            <w:fldChar w:fldCharType="begin"/>
          </w:r>
          <w:r w:rsidR="00526B65">
            <w:rPr>
              <w:rFonts w:ascii="Times New Roman" w:hAnsi="Times New Roman" w:cs="Times New Roman"/>
            </w:rPr>
            <w:instrText xml:space="preserve"> CITATION JAZ13 \l 2057 </w:instrText>
          </w:r>
          <w:r w:rsidR="00526B65">
            <w:rPr>
              <w:rFonts w:ascii="Times New Roman" w:hAnsi="Times New Roman" w:cs="Times New Roman"/>
            </w:rPr>
            <w:fldChar w:fldCharType="separate"/>
          </w:r>
          <w:r w:rsidR="00526B65">
            <w:rPr>
              <w:rFonts w:ascii="Times New Roman" w:hAnsi="Times New Roman" w:cs="Times New Roman"/>
              <w:noProof/>
            </w:rPr>
            <w:t xml:space="preserve"> </w:t>
          </w:r>
          <w:r w:rsidR="00526B65" w:rsidRPr="00526B65">
            <w:rPr>
              <w:rFonts w:ascii="Times New Roman" w:hAnsi="Times New Roman" w:cs="Times New Roman"/>
              <w:noProof/>
            </w:rPr>
            <w:t>[8]</w:t>
          </w:r>
          <w:r w:rsidR="00526B65">
            <w:rPr>
              <w:rFonts w:ascii="Times New Roman" w:hAnsi="Times New Roman" w:cs="Times New Roman"/>
            </w:rPr>
            <w:fldChar w:fldCharType="end"/>
          </w:r>
        </w:sdtContent>
      </w:sdt>
      <w:r w:rsidR="00B64BFC">
        <w:rPr>
          <w:rFonts w:ascii="Times New Roman" w:hAnsi="Times New Roman" w:cs="Times New Roman"/>
        </w:rPr>
        <w:t xml:space="preserve">. </w:t>
      </w:r>
      <w:r w:rsidR="00526B65">
        <w:rPr>
          <w:rFonts w:ascii="Times New Roman" w:hAnsi="Times New Roman" w:cs="Times New Roman"/>
        </w:rPr>
        <w:t xml:space="preserve"> </w:t>
      </w:r>
    </w:p>
    <w:p w14:paraId="2F673746" w14:textId="77777777" w:rsidR="00B64BFC" w:rsidRDefault="00B64BFC" w:rsidP="009857CF">
      <w:pPr>
        <w:rPr>
          <w:rFonts w:ascii="Times New Roman" w:hAnsi="Times New Roman" w:cs="Times New Roman"/>
        </w:rPr>
      </w:pPr>
    </w:p>
    <w:p w14:paraId="363F47F9" w14:textId="4799E46E" w:rsidR="00B64BFC" w:rsidRPr="00BD30B1" w:rsidRDefault="00B64BFC" w:rsidP="00B64BFC">
      <w:pPr>
        <w:pStyle w:val="Caption"/>
        <w:rPr>
          <w:rFonts w:ascii="Times New Roman" w:hAnsi="Times New Roman" w:cs="Times New Roman"/>
        </w:rPr>
      </w:pPr>
      <w:bookmarkStart w:id="2" w:name="_Toc217047691"/>
      <w:r>
        <w:t xml:space="preserve">Table </w:t>
      </w:r>
      <w:fldSimple w:instr=" SEQ Table \* ARABIC ">
        <w:r>
          <w:rPr>
            <w:noProof/>
          </w:rPr>
          <w:t>2</w:t>
        </w:r>
      </w:fldSimple>
      <w:r>
        <w:t>:Properties of Picric Acid</w:t>
      </w:r>
      <w:r>
        <w:rPr>
          <w:rFonts w:ascii="Times New Roman" w:hAnsi="Times New Roman" w:cs="Times New Roman"/>
        </w:rPr>
        <w:t xml:space="preserve"> </w:t>
      </w:r>
      <w:sdt>
        <w:sdtPr>
          <w:rPr>
            <w:rFonts w:ascii="Times New Roman" w:hAnsi="Times New Roman" w:cs="Times New Roman"/>
          </w:rPr>
          <w:id w:val="552193499"/>
          <w:citation/>
        </w:sdtPr>
        <w:sdtEndPr/>
        <w:sdtContent>
          <w:r w:rsidR="003F5DFF">
            <w:rPr>
              <w:rFonts w:ascii="Times New Roman" w:hAnsi="Times New Roman" w:cs="Times New Roman"/>
            </w:rPr>
            <w:fldChar w:fldCharType="begin"/>
          </w:r>
          <w:r w:rsidR="003F5DFF">
            <w:rPr>
              <w:rFonts w:ascii="Times New Roman" w:hAnsi="Times New Roman" w:cs="Times New Roman"/>
            </w:rPr>
            <w:instrText xml:space="preserve"> CITATION Ern21 \l 2057 </w:instrText>
          </w:r>
          <w:r w:rsidR="003F5DFF">
            <w:rPr>
              <w:rFonts w:ascii="Times New Roman" w:hAnsi="Times New Roman" w:cs="Times New Roman"/>
            </w:rPr>
            <w:fldChar w:fldCharType="separate"/>
          </w:r>
          <w:r w:rsidR="003F5DFF" w:rsidRPr="003F5DFF">
            <w:rPr>
              <w:rFonts w:ascii="Times New Roman" w:hAnsi="Times New Roman" w:cs="Times New Roman"/>
              <w:noProof/>
            </w:rPr>
            <w:t>[6]</w:t>
          </w:r>
          <w:r w:rsidR="003F5DFF">
            <w:rPr>
              <w:rFonts w:ascii="Times New Roman" w:hAnsi="Times New Roman" w:cs="Times New Roman"/>
            </w:rPr>
            <w:fldChar w:fldCharType="end"/>
          </w:r>
        </w:sdtContent>
      </w:sdt>
      <w:bookmarkEnd w:id="2"/>
      <w:r>
        <w:rPr>
          <w:rFonts w:ascii="Times New Roman" w:hAnsi="Times New Roman" w:cs="Times New Roman"/>
        </w:rPr>
        <w:t xml:space="preserve"> </w:t>
      </w:r>
    </w:p>
    <w:tbl>
      <w:tblPr>
        <w:tblStyle w:val="PlainTable4"/>
        <w:tblW w:w="0" w:type="auto"/>
        <w:tblLook w:val="04A0" w:firstRow="1" w:lastRow="0" w:firstColumn="1" w:lastColumn="0" w:noHBand="0" w:noVBand="1"/>
      </w:tblPr>
      <w:tblGrid>
        <w:gridCol w:w="4508"/>
        <w:gridCol w:w="4508"/>
      </w:tblGrid>
      <w:tr w:rsidR="00B64BFC" w:rsidRPr="001B6B5B" w14:paraId="4225955B" w14:textId="77777777" w:rsidTr="009A3F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B8ED34" w14:textId="77777777" w:rsidR="00B64BFC" w:rsidRPr="001B6B5B" w:rsidRDefault="00B64BFC" w:rsidP="009A3FB1">
            <w:pPr>
              <w:rPr>
                <w:rFonts w:ascii="Times New Roman" w:hAnsi="Times New Roman" w:cs="Times New Roman"/>
                <w:b w:val="0"/>
                <w:bCs w:val="0"/>
              </w:rPr>
            </w:pPr>
            <w:r w:rsidRPr="001B6B5B">
              <w:rPr>
                <w:rFonts w:ascii="Times New Roman" w:hAnsi="Times New Roman" w:cs="Times New Roman"/>
                <w:b w:val="0"/>
                <w:bCs w:val="0"/>
              </w:rPr>
              <w:t>Aspect</w:t>
            </w:r>
          </w:p>
        </w:tc>
        <w:tc>
          <w:tcPr>
            <w:tcW w:w="4508" w:type="dxa"/>
          </w:tcPr>
          <w:p w14:paraId="3570C440" w14:textId="3089C478" w:rsidR="00B64BFC" w:rsidRPr="001B6B5B" w:rsidRDefault="0020178D" w:rsidP="009A3FB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b w:val="0"/>
                <w:bCs w:val="0"/>
              </w:rPr>
              <w:t>Yellow Crystals</w:t>
            </w:r>
          </w:p>
        </w:tc>
      </w:tr>
      <w:tr w:rsidR="00B64BFC" w:rsidRPr="001B6B5B" w14:paraId="7B3EA277" w14:textId="77777777" w:rsidTr="009A3F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DF9030"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Formula</w:t>
            </w:r>
          </w:p>
        </w:tc>
        <w:tc>
          <w:tcPr>
            <w:tcW w:w="4508" w:type="dxa"/>
          </w:tcPr>
          <w:p w14:paraId="39AB49E5" w14:textId="2689E04E" w:rsidR="00B64BFC" w:rsidRPr="00C027C7" w:rsidRDefault="00B64BFC" w:rsidP="009A3F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ertAlign w:val="subscript"/>
              </w:rPr>
            </w:pPr>
            <w:r>
              <w:rPr>
                <w:rFonts w:ascii="Times New Roman" w:hAnsi="Times New Roman" w:cs="Times New Roman"/>
              </w:rPr>
              <w:t>C</w:t>
            </w:r>
            <w:r w:rsidR="0087039C">
              <w:rPr>
                <w:rFonts w:ascii="Times New Roman" w:hAnsi="Times New Roman" w:cs="Times New Roman"/>
                <w:vertAlign w:val="subscript"/>
              </w:rPr>
              <w:t>6</w:t>
            </w:r>
            <w:r w:rsidR="00C027C7">
              <w:rPr>
                <w:rFonts w:ascii="Times New Roman" w:hAnsi="Times New Roman" w:cs="Times New Roman"/>
              </w:rPr>
              <w:t>H</w:t>
            </w:r>
            <w:r w:rsidR="00C027C7">
              <w:rPr>
                <w:rFonts w:ascii="Times New Roman" w:hAnsi="Times New Roman" w:cs="Times New Roman"/>
                <w:vertAlign w:val="subscript"/>
              </w:rPr>
              <w:t>3</w:t>
            </w:r>
            <w:r w:rsidR="00C027C7">
              <w:rPr>
                <w:rFonts w:ascii="Times New Roman" w:hAnsi="Times New Roman" w:cs="Times New Roman"/>
              </w:rPr>
              <w:t>N</w:t>
            </w:r>
            <w:r w:rsidR="00C027C7">
              <w:rPr>
                <w:rFonts w:ascii="Times New Roman" w:hAnsi="Times New Roman" w:cs="Times New Roman"/>
                <w:vertAlign w:val="subscript"/>
              </w:rPr>
              <w:t>3</w:t>
            </w:r>
            <w:r w:rsidR="00C027C7">
              <w:rPr>
                <w:rFonts w:ascii="Times New Roman" w:hAnsi="Times New Roman" w:cs="Times New Roman"/>
              </w:rPr>
              <w:t>O</w:t>
            </w:r>
            <w:r w:rsidR="00C027C7">
              <w:rPr>
                <w:rFonts w:ascii="Times New Roman" w:hAnsi="Times New Roman" w:cs="Times New Roman"/>
                <w:vertAlign w:val="subscript"/>
              </w:rPr>
              <w:t>7</w:t>
            </w:r>
          </w:p>
        </w:tc>
      </w:tr>
      <w:tr w:rsidR="00B64BFC" w:rsidRPr="001B6B5B" w14:paraId="599316ED" w14:textId="77777777" w:rsidTr="009A3FB1">
        <w:tc>
          <w:tcPr>
            <w:cnfStyle w:val="001000000000" w:firstRow="0" w:lastRow="0" w:firstColumn="1" w:lastColumn="0" w:oddVBand="0" w:evenVBand="0" w:oddHBand="0" w:evenHBand="0" w:firstRowFirstColumn="0" w:firstRowLastColumn="0" w:lastRowFirstColumn="0" w:lastRowLastColumn="0"/>
            <w:tcW w:w="4508" w:type="dxa"/>
          </w:tcPr>
          <w:p w14:paraId="2CEBABFD"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Molar Mass</w:t>
            </w:r>
          </w:p>
        </w:tc>
        <w:tc>
          <w:tcPr>
            <w:tcW w:w="4508" w:type="dxa"/>
          </w:tcPr>
          <w:p w14:paraId="6831CD05" w14:textId="78EA5011" w:rsidR="00B64BFC" w:rsidRPr="00E92198" w:rsidRDefault="000610DD" w:rsidP="009A3F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229.106</w:t>
            </w:r>
            <w:r w:rsidR="00B64BFC">
              <w:rPr>
                <w:rFonts w:ascii="Times New Roman" w:hAnsi="Times New Roman" w:cs="Times New Roman"/>
              </w:rPr>
              <w:t xml:space="preserve"> g mol</w:t>
            </w:r>
            <w:r w:rsidR="00B64BFC">
              <w:rPr>
                <w:rFonts w:ascii="Times New Roman" w:hAnsi="Times New Roman" w:cs="Times New Roman"/>
                <w:vertAlign w:val="superscript"/>
              </w:rPr>
              <w:t>-1</w:t>
            </w:r>
          </w:p>
        </w:tc>
      </w:tr>
      <w:tr w:rsidR="00B64BFC" w:rsidRPr="001B6B5B" w14:paraId="7915B496" w14:textId="77777777" w:rsidTr="009A3F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E36154"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ρ, Density</w:t>
            </w:r>
          </w:p>
        </w:tc>
        <w:tc>
          <w:tcPr>
            <w:tcW w:w="4508" w:type="dxa"/>
          </w:tcPr>
          <w:p w14:paraId="0019CE8D" w14:textId="32E36FF8" w:rsidR="00B64BFC" w:rsidRPr="00902D5D" w:rsidRDefault="000610DD" w:rsidP="009A3F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vertAlign w:val="superscript"/>
              </w:rPr>
            </w:pPr>
            <w:r>
              <w:rPr>
                <w:rFonts w:ascii="Times New Roman" w:hAnsi="Times New Roman" w:cs="Times New Roman"/>
              </w:rPr>
              <w:t>1.767</w:t>
            </w:r>
            <w:r w:rsidR="00B64BFC">
              <w:rPr>
                <w:rFonts w:ascii="Times New Roman" w:hAnsi="Times New Roman" w:cs="Times New Roman"/>
              </w:rPr>
              <w:t xml:space="preserve"> g cm</w:t>
            </w:r>
            <w:r w:rsidR="00B64BFC">
              <w:rPr>
                <w:rFonts w:ascii="Times New Roman" w:hAnsi="Times New Roman" w:cs="Times New Roman"/>
                <w:vertAlign w:val="superscript"/>
              </w:rPr>
              <w:t>-3</w:t>
            </w:r>
          </w:p>
        </w:tc>
      </w:tr>
      <w:tr w:rsidR="000610DD" w:rsidRPr="001B6B5B" w14:paraId="6F8084D6" w14:textId="77777777" w:rsidTr="009A3FB1">
        <w:tc>
          <w:tcPr>
            <w:cnfStyle w:val="001000000000" w:firstRow="0" w:lastRow="0" w:firstColumn="1" w:lastColumn="0" w:oddVBand="0" w:evenVBand="0" w:oddHBand="0" w:evenHBand="0" w:firstRowFirstColumn="0" w:firstRowLastColumn="0" w:lastRowFirstColumn="0" w:lastRowLastColumn="0"/>
            <w:tcW w:w="4508" w:type="dxa"/>
          </w:tcPr>
          <w:p w14:paraId="7559F5E9" w14:textId="4795FD18" w:rsidR="000610DD" w:rsidRDefault="000610DD" w:rsidP="009A3FB1">
            <w:pPr>
              <w:rPr>
                <w:rFonts w:ascii="Times New Roman" w:hAnsi="Times New Roman" w:cs="Times New Roman"/>
                <w:b w:val="0"/>
                <w:bCs w:val="0"/>
              </w:rPr>
            </w:pPr>
            <w:r>
              <w:rPr>
                <w:rFonts w:ascii="Times New Roman" w:hAnsi="Times New Roman" w:cs="Times New Roman"/>
                <w:b w:val="0"/>
                <w:bCs w:val="0"/>
              </w:rPr>
              <w:t>Critical Density</w:t>
            </w:r>
          </w:p>
        </w:tc>
        <w:tc>
          <w:tcPr>
            <w:tcW w:w="4508" w:type="dxa"/>
          </w:tcPr>
          <w:p w14:paraId="173BE302" w14:textId="504C5502" w:rsidR="000610DD" w:rsidRPr="008B53FE" w:rsidRDefault="00471936" w:rsidP="009A3F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0.9 g cm</w:t>
            </w:r>
            <w:r>
              <w:rPr>
                <w:rFonts w:ascii="Times New Roman" w:hAnsi="Times New Roman" w:cs="Times New Roman"/>
                <w:vertAlign w:val="superscript"/>
              </w:rPr>
              <w:t>-3</w:t>
            </w:r>
            <w:sdt>
              <w:sdtPr>
                <w:rPr>
                  <w:rFonts w:ascii="Times New Roman" w:hAnsi="Times New Roman" w:cs="Times New Roman"/>
                  <w:vertAlign w:val="superscript"/>
                </w:rPr>
                <w:id w:val="-554002915"/>
                <w:citation/>
              </w:sdtPr>
              <w:sdtEndPr/>
              <w:sdtContent>
                <w:r w:rsidR="008B53FE">
                  <w:rPr>
                    <w:rFonts w:ascii="Times New Roman" w:hAnsi="Times New Roman" w:cs="Times New Roman"/>
                    <w:vertAlign w:val="superscript"/>
                  </w:rPr>
                  <w:fldChar w:fldCharType="begin"/>
                </w:r>
                <w:r w:rsidR="008B53FE">
                  <w:rPr>
                    <w:rFonts w:ascii="Times New Roman" w:hAnsi="Times New Roman" w:cs="Times New Roman"/>
                  </w:rPr>
                  <w:instrText xml:space="preserve"> CITATION BDo81 \l 2057 </w:instrText>
                </w:r>
                <w:r w:rsidR="008B53FE">
                  <w:rPr>
                    <w:rFonts w:ascii="Times New Roman" w:hAnsi="Times New Roman" w:cs="Times New Roman"/>
                    <w:vertAlign w:val="superscript"/>
                  </w:rPr>
                  <w:fldChar w:fldCharType="separate"/>
                </w:r>
                <w:r w:rsidR="008B53FE">
                  <w:rPr>
                    <w:rFonts w:ascii="Times New Roman" w:hAnsi="Times New Roman" w:cs="Times New Roman"/>
                    <w:noProof/>
                  </w:rPr>
                  <w:t xml:space="preserve"> </w:t>
                </w:r>
                <w:r w:rsidR="008B53FE" w:rsidRPr="008B53FE">
                  <w:rPr>
                    <w:rFonts w:ascii="Times New Roman" w:hAnsi="Times New Roman" w:cs="Times New Roman"/>
                    <w:noProof/>
                  </w:rPr>
                  <w:t>[9]</w:t>
                </w:r>
                <w:r w:rsidR="008B53FE">
                  <w:rPr>
                    <w:rFonts w:ascii="Times New Roman" w:hAnsi="Times New Roman" w:cs="Times New Roman"/>
                    <w:vertAlign w:val="superscript"/>
                  </w:rPr>
                  <w:fldChar w:fldCharType="end"/>
                </w:r>
              </w:sdtContent>
            </w:sdt>
          </w:p>
        </w:tc>
      </w:tr>
      <w:tr w:rsidR="008B53FE" w:rsidRPr="001B6B5B" w14:paraId="24C383DF" w14:textId="77777777" w:rsidTr="009A3F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374F0E" w14:textId="253A227F" w:rsidR="008B53FE" w:rsidRDefault="008B53FE" w:rsidP="009A3FB1">
            <w:pPr>
              <w:rPr>
                <w:rFonts w:ascii="Times New Roman" w:hAnsi="Times New Roman" w:cs="Times New Roman"/>
                <w:b w:val="0"/>
                <w:bCs w:val="0"/>
              </w:rPr>
            </w:pPr>
            <w:r>
              <w:rPr>
                <w:rFonts w:ascii="Times New Roman" w:hAnsi="Times New Roman" w:cs="Times New Roman"/>
                <w:b w:val="0"/>
                <w:bCs w:val="0"/>
              </w:rPr>
              <w:t>Critical Diameter</w:t>
            </w:r>
          </w:p>
        </w:tc>
        <w:tc>
          <w:tcPr>
            <w:tcW w:w="4508" w:type="dxa"/>
          </w:tcPr>
          <w:p w14:paraId="4AE09511" w14:textId="62074D33" w:rsidR="008B53FE" w:rsidRDefault="008B53FE" w:rsidP="009A3F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5.2mm</w:t>
            </w:r>
            <w:sdt>
              <w:sdtPr>
                <w:rPr>
                  <w:rFonts w:ascii="Times New Roman" w:hAnsi="Times New Roman" w:cs="Times New Roman"/>
                </w:rPr>
                <w:id w:val="1562285959"/>
                <w:citation/>
              </w:sdtPr>
              <w:sdtEndPr/>
              <w:sdtContent>
                <w:r>
                  <w:rPr>
                    <w:rFonts w:ascii="Times New Roman" w:hAnsi="Times New Roman" w:cs="Times New Roman"/>
                  </w:rPr>
                  <w:fldChar w:fldCharType="begin"/>
                </w:r>
                <w:r>
                  <w:rPr>
                    <w:rFonts w:ascii="Times New Roman" w:hAnsi="Times New Roman" w:cs="Times New Roman"/>
                  </w:rPr>
                  <w:instrText xml:space="preserve"> CITATION BDo81 \l 2057 </w:instrText>
                </w:r>
                <w:r>
                  <w:rPr>
                    <w:rFonts w:ascii="Times New Roman" w:hAnsi="Times New Roman" w:cs="Times New Roman"/>
                  </w:rPr>
                  <w:fldChar w:fldCharType="separate"/>
                </w:r>
                <w:r>
                  <w:rPr>
                    <w:rFonts w:ascii="Times New Roman" w:hAnsi="Times New Roman" w:cs="Times New Roman"/>
                    <w:noProof/>
                  </w:rPr>
                  <w:t xml:space="preserve"> </w:t>
                </w:r>
                <w:r w:rsidRPr="008B53FE">
                  <w:rPr>
                    <w:rFonts w:ascii="Times New Roman" w:hAnsi="Times New Roman" w:cs="Times New Roman"/>
                    <w:noProof/>
                  </w:rPr>
                  <w:t>[9]</w:t>
                </w:r>
                <w:r>
                  <w:rPr>
                    <w:rFonts w:ascii="Times New Roman" w:hAnsi="Times New Roman" w:cs="Times New Roman"/>
                  </w:rPr>
                  <w:fldChar w:fldCharType="end"/>
                </w:r>
              </w:sdtContent>
            </w:sdt>
          </w:p>
        </w:tc>
      </w:tr>
      <w:tr w:rsidR="00B64BFC" w:rsidRPr="001B6B5B" w14:paraId="6BE8AC10" w14:textId="77777777" w:rsidTr="009A3FB1">
        <w:tc>
          <w:tcPr>
            <w:cnfStyle w:val="001000000000" w:firstRow="0" w:lastRow="0" w:firstColumn="1" w:lastColumn="0" w:oddVBand="0" w:evenVBand="0" w:oddHBand="0" w:evenHBand="0" w:firstRowFirstColumn="0" w:firstRowLastColumn="0" w:lastRowFirstColumn="0" w:lastRowLastColumn="0"/>
            <w:tcW w:w="4508" w:type="dxa"/>
          </w:tcPr>
          <w:p w14:paraId="50BDD5A1"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Heat of Formation</w:t>
            </w:r>
          </w:p>
        </w:tc>
        <w:tc>
          <w:tcPr>
            <w:tcW w:w="4508" w:type="dxa"/>
          </w:tcPr>
          <w:p w14:paraId="1DB961C6" w14:textId="0C6F4E9E" w:rsidR="00B64BFC" w:rsidRPr="003873D8" w:rsidRDefault="00B64BFC" w:rsidP="009A3F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w:t>
            </w:r>
            <w:r w:rsidR="000D1BAE">
              <w:rPr>
                <w:rFonts w:ascii="Times New Roman" w:hAnsi="Times New Roman" w:cs="Times New Roman"/>
              </w:rPr>
              <w:t xml:space="preserve">49 </w:t>
            </w:r>
            <w:r>
              <w:rPr>
                <w:rFonts w:ascii="Times New Roman" w:hAnsi="Times New Roman" w:cs="Times New Roman"/>
              </w:rPr>
              <w:t>kJ mol</w:t>
            </w:r>
            <w:r>
              <w:rPr>
                <w:rFonts w:ascii="Times New Roman" w:hAnsi="Times New Roman" w:cs="Times New Roman"/>
                <w:vertAlign w:val="superscript"/>
              </w:rPr>
              <w:t>-1</w:t>
            </w:r>
          </w:p>
        </w:tc>
      </w:tr>
      <w:tr w:rsidR="00B64BFC" w:rsidRPr="001B6B5B" w14:paraId="26F1E3E2" w14:textId="77777777" w:rsidTr="009A3F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1DD86C"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Heat of Explosion</w:t>
            </w:r>
          </w:p>
        </w:tc>
        <w:tc>
          <w:tcPr>
            <w:tcW w:w="4508" w:type="dxa"/>
          </w:tcPr>
          <w:p w14:paraId="0C0495C2" w14:textId="638412E4" w:rsidR="00B64BFC" w:rsidRPr="0070732F" w:rsidRDefault="00B64BFC" w:rsidP="009A3F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w:t>
            </w:r>
            <w:r w:rsidR="000D1BAE">
              <w:rPr>
                <w:rFonts w:ascii="Times New Roman" w:hAnsi="Times New Roman" w:cs="Times New Roman"/>
              </w:rPr>
              <w:t>040.6</w:t>
            </w:r>
            <w:r>
              <w:rPr>
                <w:rFonts w:ascii="Times New Roman" w:hAnsi="Times New Roman" w:cs="Times New Roman"/>
              </w:rPr>
              <w:t xml:space="preserve"> kJ mol</w:t>
            </w:r>
            <w:r>
              <w:rPr>
                <w:rFonts w:ascii="Times New Roman" w:hAnsi="Times New Roman" w:cs="Times New Roman"/>
                <w:vertAlign w:val="superscript"/>
              </w:rPr>
              <w:t>-1</w:t>
            </w:r>
          </w:p>
        </w:tc>
      </w:tr>
      <w:tr w:rsidR="00B64BFC" w:rsidRPr="001B6B5B" w14:paraId="5938860D" w14:textId="77777777" w:rsidTr="009A3FB1">
        <w:tc>
          <w:tcPr>
            <w:cnfStyle w:val="001000000000" w:firstRow="0" w:lastRow="0" w:firstColumn="1" w:lastColumn="0" w:oddVBand="0" w:evenVBand="0" w:oddHBand="0" w:evenHBand="0" w:firstRowFirstColumn="0" w:firstRowLastColumn="0" w:lastRowFirstColumn="0" w:lastRowLastColumn="0"/>
            <w:tcW w:w="4508" w:type="dxa"/>
          </w:tcPr>
          <w:p w14:paraId="28C0159E"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Oxygen Balance</w:t>
            </w:r>
          </w:p>
        </w:tc>
        <w:tc>
          <w:tcPr>
            <w:tcW w:w="4508" w:type="dxa"/>
          </w:tcPr>
          <w:p w14:paraId="6C0A10EF" w14:textId="1E229791" w:rsidR="00B64BFC" w:rsidRPr="001B6B5B" w:rsidRDefault="00B64BFC" w:rsidP="009A3F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r w:rsidR="006C3283">
              <w:rPr>
                <w:rFonts w:ascii="Times New Roman" w:hAnsi="Times New Roman" w:cs="Times New Roman"/>
              </w:rPr>
              <w:t>45.39</w:t>
            </w:r>
            <w:r>
              <w:rPr>
                <w:rFonts w:ascii="Times New Roman" w:hAnsi="Times New Roman" w:cs="Times New Roman"/>
              </w:rPr>
              <w:t>%</w:t>
            </w:r>
          </w:p>
        </w:tc>
      </w:tr>
      <w:tr w:rsidR="00B64BFC" w:rsidRPr="001B6B5B" w14:paraId="29D079A2" w14:textId="77777777" w:rsidTr="009A3F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7B89D8"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Friction</w:t>
            </w:r>
          </w:p>
        </w:tc>
        <w:tc>
          <w:tcPr>
            <w:tcW w:w="4508" w:type="dxa"/>
          </w:tcPr>
          <w:p w14:paraId="66641D9A" w14:textId="6D90690F" w:rsidR="00B64BFC" w:rsidRPr="001B6B5B" w:rsidRDefault="006C3283" w:rsidP="009A3FB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&gt;355</w:t>
            </w:r>
            <w:r w:rsidR="00B64BFC">
              <w:rPr>
                <w:rFonts w:ascii="Times New Roman" w:hAnsi="Times New Roman" w:cs="Times New Roman"/>
              </w:rPr>
              <w:t xml:space="preserve"> J (BAM)</w:t>
            </w:r>
          </w:p>
        </w:tc>
      </w:tr>
      <w:tr w:rsidR="00B64BFC" w:rsidRPr="001B6B5B" w14:paraId="550B7D3B" w14:textId="77777777" w:rsidTr="009A3FB1">
        <w:tc>
          <w:tcPr>
            <w:cnfStyle w:val="001000000000" w:firstRow="0" w:lastRow="0" w:firstColumn="1" w:lastColumn="0" w:oddVBand="0" w:evenVBand="0" w:oddHBand="0" w:evenHBand="0" w:firstRowFirstColumn="0" w:firstRowLastColumn="0" w:lastRowFirstColumn="0" w:lastRowLastColumn="0"/>
            <w:tcW w:w="4508" w:type="dxa"/>
          </w:tcPr>
          <w:p w14:paraId="3DD709C7" w14:textId="77777777" w:rsidR="00B64BFC" w:rsidRPr="001B6B5B" w:rsidRDefault="00B64BFC" w:rsidP="009A3FB1">
            <w:pPr>
              <w:rPr>
                <w:rFonts w:ascii="Times New Roman" w:hAnsi="Times New Roman" w:cs="Times New Roman"/>
                <w:b w:val="0"/>
                <w:bCs w:val="0"/>
              </w:rPr>
            </w:pPr>
            <w:r>
              <w:rPr>
                <w:rFonts w:ascii="Times New Roman" w:hAnsi="Times New Roman" w:cs="Times New Roman"/>
                <w:b w:val="0"/>
                <w:bCs w:val="0"/>
              </w:rPr>
              <w:t xml:space="preserve">Impact </w:t>
            </w:r>
          </w:p>
        </w:tc>
        <w:tc>
          <w:tcPr>
            <w:tcW w:w="4508" w:type="dxa"/>
          </w:tcPr>
          <w:p w14:paraId="7D9EED88" w14:textId="2E756678" w:rsidR="00B64BFC" w:rsidRPr="001B6B5B" w:rsidRDefault="006C3283" w:rsidP="009A3FB1">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7</w:t>
            </w:r>
            <w:r w:rsidR="00B64BFC">
              <w:rPr>
                <w:rFonts w:ascii="Times New Roman" w:hAnsi="Times New Roman" w:cs="Times New Roman"/>
              </w:rPr>
              <w:t xml:space="preserve"> J (BAM)</w:t>
            </w:r>
          </w:p>
        </w:tc>
      </w:tr>
    </w:tbl>
    <w:p w14:paraId="4FBD82FD" w14:textId="0562B17A" w:rsidR="00B64BFC" w:rsidRDefault="00B64BFC" w:rsidP="009857CF">
      <w:pPr>
        <w:rPr>
          <w:rFonts w:ascii="Times New Roman" w:hAnsi="Times New Roman" w:cs="Times New Roman"/>
        </w:rPr>
      </w:pPr>
    </w:p>
    <w:p w14:paraId="78D49348" w14:textId="77777777" w:rsidR="00A76ABE" w:rsidRPr="00F42775" w:rsidRDefault="00A76ABE" w:rsidP="009857CF">
      <w:pPr>
        <w:rPr>
          <w:rFonts w:ascii="Times New Roman" w:hAnsi="Times New Roman" w:cs="Times New Roman"/>
        </w:rPr>
      </w:pPr>
    </w:p>
    <w:p w14:paraId="78151D90" w14:textId="27675279" w:rsidR="00A76ABE" w:rsidRPr="00F42775" w:rsidRDefault="00A30708" w:rsidP="00A30708">
      <w:pPr>
        <w:pStyle w:val="Heading1"/>
        <w:numPr>
          <w:ilvl w:val="0"/>
          <w:numId w:val="1"/>
        </w:numPr>
        <w:rPr>
          <w:rFonts w:ascii="Times New Roman" w:hAnsi="Times New Roman" w:cs="Times New Roman"/>
        </w:rPr>
      </w:pPr>
      <w:r w:rsidRPr="00F42775">
        <w:rPr>
          <w:rFonts w:ascii="Times New Roman" w:hAnsi="Times New Roman" w:cs="Times New Roman"/>
        </w:rPr>
        <w:t xml:space="preserve"> Effect of Density and Diameter on </w:t>
      </w:r>
      <w:r w:rsidR="00F42775" w:rsidRPr="00F42775">
        <w:rPr>
          <w:rFonts w:ascii="Times New Roman" w:hAnsi="Times New Roman" w:cs="Times New Roman"/>
        </w:rPr>
        <w:t>a Detonation</w:t>
      </w:r>
    </w:p>
    <w:p w14:paraId="72C586E2" w14:textId="77777777" w:rsidR="00F42775" w:rsidRDefault="00F42775" w:rsidP="00F42775"/>
    <w:p w14:paraId="71A424F1" w14:textId="0F043C7D" w:rsidR="00F42775" w:rsidRDefault="00F42775" w:rsidP="00F42775">
      <w:pPr>
        <w:rPr>
          <w:rFonts w:ascii="Times New Roman" w:hAnsi="Times New Roman" w:cs="Times New Roman"/>
        </w:rPr>
      </w:pPr>
      <w:r>
        <w:t xml:space="preserve">  </w:t>
      </w:r>
      <w:r w:rsidR="0064009D">
        <w:rPr>
          <w:rFonts w:ascii="Times New Roman" w:hAnsi="Times New Roman" w:cs="Times New Roman"/>
        </w:rPr>
        <w:t xml:space="preserve">A chemical explosion is when a </w:t>
      </w:r>
      <w:r w:rsidR="00EB1C6B">
        <w:rPr>
          <w:rFonts w:ascii="Times New Roman" w:hAnsi="Times New Roman" w:cs="Times New Roman"/>
        </w:rPr>
        <w:t xml:space="preserve">chemical reaction occurs over an exceedingly short period of time </w:t>
      </w:r>
      <w:r w:rsidR="002D0658">
        <w:rPr>
          <w:rFonts w:ascii="Times New Roman" w:hAnsi="Times New Roman" w:cs="Times New Roman"/>
        </w:rPr>
        <w:t xml:space="preserve">producing a large amount of heat and gas. </w:t>
      </w:r>
      <w:r w:rsidR="00C676AD">
        <w:rPr>
          <w:rFonts w:ascii="Times New Roman" w:hAnsi="Times New Roman" w:cs="Times New Roman"/>
        </w:rPr>
        <w:t>In order for this process to be a detonation the decomposition of the material must be caused by a shockwave travelling at the speed of sound in the material</w:t>
      </w:r>
      <w:r w:rsidR="00AF4D89">
        <w:rPr>
          <w:rFonts w:ascii="Times New Roman" w:hAnsi="Times New Roman" w:cs="Times New Roman"/>
        </w:rPr>
        <w:t xml:space="preserve">. This shockwave can be caused by burning to detonation or by </w:t>
      </w:r>
      <w:r w:rsidR="00F64098">
        <w:rPr>
          <w:rFonts w:ascii="Times New Roman" w:hAnsi="Times New Roman" w:cs="Times New Roman"/>
        </w:rPr>
        <w:t>an initial shock</w:t>
      </w:r>
      <w:sdt>
        <w:sdtPr>
          <w:rPr>
            <w:rFonts w:ascii="Times New Roman" w:hAnsi="Times New Roman" w:cs="Times New Roman"/>
          </w:rPr>
          <w:id w:val="-325823355"/>
          <w:citation/>
        </w:sdtPr>
        <w:sdtEndPr/>
        <w:sdtContent>
          <w:r w:rsidR="00F64098">
            <w:rPr>
              <w:rFonts w:ascii="Times New Roman" w:hAnsi="Times New Roman" w:cs="Times New Roman"/>
            </w:rPr>
            <w:fldChar w:fldCharType="begin"/>
          </w:r>
          <w:r w:rsidR="00F64098">
            <w:rPr>
              <w:rFonts w:ascii="Times New Roman" w:hAnsi="Times New Roman" w:cs="Times New Roman"/>
            </w:rPr>
            <w:instrText xml:space="preserve"> CITATION JAk22 \l 2057 </w:instrText>
          </w:r>
          <w:r w:rsidR="00F64098">
            <w:rPr>
              <w:rFonts w:ascii="Times New Roman" w:hAnsi="Times New Roman" w:cs="Times New Roman"/>
            </w:rPr>
            <w:fldChar w:fldCharType="separate"/>
          </w:r>
          <w:r w:rsidR="00F64098">
            <w:rPr>
              <w:rFonts w:ascii="Times New Roman" w:hAnsi="Times New Roman" w:cs="Times New Roman"/>
              <w:noProof/>
            </w:rPr>
            <w:t xml:space="preserve"> </w:t>
          </w:r>
          <w:r w:rsidR="00F64098" w:rsidRPr="00F64098">
            <w:rPr>
              <w:rFonts w:ascii="Times New Roman" w:hAnsi="Times New Roman" w:cs="Times New Roman"/>
              <w:noProof/>
            </w:rPr>
            <w:t>[1]</w:t>
          </w:r>
          <w:r w:rsidR="00F64098">
            <w:rPr>
              <w:rFonts w:ascii="Times New Roman" w:hAnsi="Times New Roman" w:cs="Times New Roman"/>
            </w:rPr>
            <w:fldChar w:fldCharType="end"/>
          </w:r>
        </w:sdtContent>
      </w:sdt>
      <w:r w:rsidR="00F64098">
        <w:rPr>
          <w:rFonts w:ascii="Times New Roman" w:hAnsi="Times New Roman" w:cs="Times New Roman"/>
        </w:rPr>
        <w:t>.</w:t>
      </w:r>
    </w:p>
    <w:p w14:paraId="2FD50B3E" w14:textId="577A5EC2" w:rsidR="000C0971" w:rsidRDefault="000C0971" w:rsidP="00F42775">
      <w:pPr>
        <w:rPr>
          <w:rFonts w:ascii="Times New Roman" w:hAnsi="Times New Roman" w:cs="Times New Roman"/>
        </w:rPr>
      </w:pPr>
      <w:r>
        <w:rPr>
          <w:rFonts w:ascii="Times New Roman" w:hAnsi="Times New Roman" w:cs="Times New Roman"/>
        </w:rPr>
        <w:t xml:space="preserve">  Initiation by shock is most commonly used in the detonation of secondary explosives which by their nature require a larger stimulus than primary explosives. </w:t>
      </w:r>
      <w:r w:rsidR="00FF2011">
        <w:rPr>
          <w:rFonts w:ascii="Times New Roman" w:hAnsi="Times New Roman" w:cs="Times New Roman"/>
        </w:rPr>
        <w:t>Therefore,</w:t>
      </w:r>
      <w:r>
        <w:rPr>
          <w:rFonts w:ascii="Times New Roman" w:hAnsi="Times New Roman" w:cs="Times New Roman"/>
        </w:rPr>
        <w:t xml:space="preserve"> the detonation of </w:t>
      </w:r>
      <w:r w:rsidR="00BB0528">
        <w:rPr>
          <w:rFonts w:ascii="Times New Roman" w:hAnsi="Times New Roman" w:cs="Times New Roman"/>
        </w:rPr>
        <w:t xml:space="preserve">a primary explosive will create a shockwave that will create the impetus required to detonate a secondary explosive. </w:t>
      </w:r>
      <w:r w:rsidR="000949A0">
        <w:rPr>
          <w:rFonts w:ascii="Times New Roman" w:hAnsi="Times New Roman" w:cs="Times New Roman"/>
        </w:rPr>
        <w:t>When an explosive burns to detonation</w:t>
      </w:r>
      <w:r w:rsidR="00793677">
        <w:rPr>
          <w:rFonts w:ascii="Times New Roman" w:hAnsi="Times New Roman" w:cs="Times New Roman"/>
        </w:rPr>
        <w:t xml:space="preserve">, it is as a result of a build up of gasses and heat from confinement that accelerate the burning until the </w:t>
      </w:r>
      <w:r w:rsidR="003D7939">
        <w:rPr>
          <w:rFonts w:ascii="Times New Roman" w:hAnsi="Times New Roman" w:cs="Times New Roman"/>
        </w:rPr>
        <w:t xml:space="preserve">speed of burning </w:t>
      </w:r>
      <w:r w:rsidR="003D7939">
        <w:rPr>
          <w:rFonts w:ascii="Times New Roman" w:hAnsi="Times New Roman" w:cs="Times New Roman"/>
        </w:rPr>
        <w:lastRenderedPageBreak/>
        <w:t>reaches the speed of sound within the material causing a detonation</w:t>
      </w:r>
      <w:sdt>
        <w:sdtPr>
          <w:rPr>
            <w:rFonts w:ascii="Times New Roman" w:hAnsi="Times New Roman" w:cs="Times New Roman"/>
          </w:rPr>
          <w:id w:val="1952049134"/>
          <w:citation/>
        </w:sdtPr>
        <w:sdtEndPr/>
        <w:sdtContent>
          <w:r w:rsidR="00C356D4">
            <w:rPr>
              <w:rFonts w:ascii="Times New Roman" w:hAnsi="Times New Roman" w:cs="Times New Roman"/>
            </w:rPr>
            <w:fldChar w:fldCharType="begin"/>
          </w:r>
          <w:r w:rsidR="00C356D4">
            <w:rPr>
              <w:rFonts w:ascii="Times New Roman" w:hAnsi="Times New Roman" w:cs="Times New Roman"/>
            </w:rPr>
            <w:instrText xml:space="preserve"> CITATION Tho22 \l 2057 </w:instrText>
          </w:r>
          <w:r w:rsidR="00C356D4">
            <w:rPr>
              <w:rFonts w:ascii="Times New Roman" w:hAnsi="Times New Roman" w:cs="Times New Roman"/>
            </w:rPr>
            <w:fldChar w:fldCharType="separate"/>
          </w:r>
          <w:r w:rsidR="00C356D4">
            <w:rPr>
              <w:rFonts w:ascii="Times New Roman" w:hAnsi="Times New Roman" w:cs="Times New Roman"/>
              <w:noProof/>
            </w:rPr>
            <w:t xml:space="preserve"> </w:t>
          </w:r>
          <w:r w:rsidR="00C356D4" w:rsidRPr="00C356D4">
            <w:rPr>
              <w:rFonts w:ascii="Times New Roman" w:hAnsi="Times New Roman" w:cs="Times New Roman"/>
              <w:noProof/>
            </w:rPr>
            <w:t>[7]</w:t>
          </w:r>
          <w:r w:rsidR="00C356D4">
            <w:rPr>
              <w:rFonts w:ascii="Times New Roman" w:hAnsi="Times New Roman" w:cs="Times New Roman"/>
            </w:rPr>
            <w:fldChar w:fldCharType="end"/>
          </w:r>
        </w:sdtContent>
      </w:sdt>
      <w:r w:rsidR="003D7939">
        <w:rPr>
          <w:rFonts w:ascii="Times New Roman" w:hAnsi="Times New Roman" w:cs="Times New Roman"/>
        </w:rPr>
        <w:t xml:space="preserve">. </w:t>
      </w:r>
      <w:r w:rsidR="00EF6792">
        <w:rPr>
          <w:rFonts w:ascii="Times New Roman" w:hAnsi="Times New Roman" w:cs="Times New Roman"/>
        </w:rPr>
        <w:t>This is one of the ways Mercury Fulminate can detonate however, it experiences this transition extremely rapidly allowing it to be useful as a primary explosive</w:t>
      </w:r>
      <w:sdt>
        <w:sdtPr>
          <w:rPr>
            <w:rFonts w:ascii="Times New Roman" w:hAnsi="Times New Roman" w:cs="Times New Roman"/>
          </w:rPr>
          <w:id w:val="1105001260"/>
          <w:citation/>
        </w:sdtPr>
        <w:sdtEndPr/>
        <w:sdtContent>
          <w:r w:rsidR="00E0726E">
            <w:rPr>
              <w:rFonts w:ascii="Times New Roman" w:hAnsi="Times New Roman" w:cs="Times New Roman"/>
            </w:rPr>
            <w:fldChar w:fldCharType="begin"/>
          </w:r>
          <w:r w:rsidR="00E0726E">
            <w:rPr>
              <w:rFonts w:ascii="Times New Roman" w:hAnsi="Times New Roman" w:cs="Times New Roman"/>
            </w:rPr>
            <w:instrText xml:space="preserve"> CITATION Rob13 \l 2057 </w:instrText>
          </w:r>
          <w:r w:rsidR="00E0726E">
            <w:rPr>
              <w:rFonts w:ascii="Times New Roman" w:hAnsi="Times New Roman" w:cs="Times New Roman"/>
            </w:rPr>
            <w:fldChar w:fldCharType="separate"/>
          </w:r>
          <w:r w:rsidR="00E0726E">
            <w:rPr>
              <w:rFonts w:ascii="Times New Roman" w:hAnsi="Times New Roman" w:cs="Times New Roman"/>
              <w:noProof/>
            </w:rPr>
            <w:t xml:space="preserve"> </w:t>
          </w:r>
          <w:r w:rsidR="00E0726E" w:rsidRPr="00E0726E">
            <w:rPr>
              <w:rFonts w:ascii="Times New Roman" w:hAnsi="Times New Roman" w:cs="Times New Roman"/>
              <w:noProof/>
            </w:rPr>
            <w:t>[2]</w:t>
          </w:r>
          <w:r w:rsidR="00E0726E">
            <w:rPr>
              <w:rFonts w:ascii="Times New Roman" w:hAnsi="Times New Roman" w:cs="Times New Roman"/>
            </w:rPr>
            <w:fldChar w:fldCharType="end"/>
          </w:r>
        </w:sdtContent>
      </w:sdt>
      <w:r w:rsidR="00E0726E">
        <w:rPr>
          <w:rFonts w:ascii="Times New Roman" w:hAnsi="Times New Roman" w:cs="Times New Roman"/>
        </w:rPr>
        <w:t xml:space="preserve">. </w:t>
      </w:r>
    </w:p>
    <w:p w14:paraId="1E338A3C" w14:textId="6FB2BCFB" w:rsidR="00E0726E" w:rsidRDefault="005E7827" w:rsidP="00F42775">
      <w:pPr>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0" locked="0" layoutInCell="1" allowOverlap="1" wp14:anchorId="3C4D5B58" wp14:editId="0DCCE84E">
            <wp:simplePos x="0" y="0"/>
            <wp:positionH relativeFrom="margin">
              <wp:align>center</wp:align>
            </wp:positionH>
            <wp:positionV relativeFrom="paragraph">
              <wp:posOffset>1712595</wp:posOffset>
            </wp:positionV>
            <wp:extent cx="4678680" cy="3954947"/>
            <wp:effectExtent l="0" t="0" r="7620" b="7620"/>
            <wp:wrapTopAndBottom/>
            <wp:docPr id="1971211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78680" cy="3954947"/>
                    </a:xfrm>
                    <a:prstGeom prst="rect">
                      <a:avLst/>
                    </a:prstGeom>
                    <a:noFill/>
                  </pic:spPr>
                </pic:pic>
              </a:graphicData>
            </a:graphic>
          </wp:anchor>
        </w:drawing>
      </w:r>
      <w:r w:rsidR="00E0726E">
        <w:rPr>
          <w:rFonts w:ascii="Times New Roman" w:hAnsi="Times New Roman" w:cs="Times New Roman"/>
        </w:rPr>
        <w:t xml:space="preserve">  </w:t>
      </w:r>
      <w:r w:rsidR="006E755B">
        <w:rPr>
          <w:rFonts w:ascii="Times New Roman" w:hAnsi="Times New Roman" w:cs="Times New Roman"/>
        </w:rPr>
        <w:t xml:space="preserve">The Diameter of the explosive </w:t>
      </w:r>
      <w:r w:rsidR="00FB2DA8">
        <w:rPr>
          <w:rFonts w:ascii="Times New Roman" w:hAnsi="Times New Roman" w:cs="Times New Roman"/>
        </w:rPr>
        <w:t xml:space="preserve">can </w:t>
      </w:r>
      <w:r w:rsidR="00C356D4">
        <w:rPr>
          <w:rFonts w:ascii="Times New Roman" w:hAnsi="Times New Roman" w:cs="Times New Roman"/>
        </w:rPr>
        <w:t>affect</w:t>
      </w:r>
      <w:r w:rsidR="00FB2DA8">
        <w:rPr>
          <w:rFonts w:ascii="Times New Roman" w:hAnsi="Times New Roman" w:cs="Times New Roman"/>
        </w:rPr>
        <w:t xml:space="preserve"> the </w:t>
      </w:r>
      <w:r w:rsidR="00B20C65">
        <w:rPr>
          <w:rFonts w:ascii="Times New Roman" w:hAnsi="Times New Roman" w:cs="Times New Roman"/>
        </w:rPr>
        <w:t>velocity of the detonation</w:t>
      </w:r>
      <w:r w:rsidR="00FB03E2">
        <w:rPr>
          <w:rFonts w:ascii="Times New Roman" w:hAnsi="Times New Roman" w:cs="Times New Roman"/>
        </w:rPr>
        <w:t xml:space="preserve"> one of the key parameters determine </w:t>
      </w:r>
      <w:r w:rsidR="00CB7D8E">
        <w:rPr>
          <w:rFonts w:ascii="Times New Roman" w:hAnsi="Times New Roman" w:cs="Times New Roman"/>
        </w:rPr>
        <w:t xml:space="preserve">the performance of an explosive. </w:t>
      </w:r>
      <w:r w:rsidR="007B55A8">
        <w:rPr>
          <w:rFonts w:ascii="Times New Roman" w:hAnsi="Times New Roman" w:cs="Times New Roman"/>
        </w:rPr>
        <w:t xml:space="preserve">The shape of the shockwave is </w:t>
      </w:r>
      <w:r w:rsidR="001219FB">
        <w:rPr>
          <w:rFonts w:ascii="Times New Roman" w:hAnsi="Times New Roman" w:cs="Times New Roman"/>
        </w:rPr>
        <w:t xml:space="preserve">that of a convex curve when viewed in 2d when </w:t>
      </w:r>
      <w:r w:rsidR="003E0DB1">
        <w:rPr>
          <w:rFonts w:ascii="Times New Roman" w:hAnsi="Times New Roman" w:cs="Times New Roman"/>
        </w:rPr>
        <w:t>travelling</w:t>
      </w:r>
      <w:r w:rsidR="001219FB">
        <w:rPr>
          <w:rFonts w:ascii="Times New Roman" w:hAnsi="Times New Roman" w:cs="Times New Roman"/>
        </w:rPr>
        <w:t xml:space="preserve"> through a </w:t>
      </w:r>
      <w:r w:rsidR="003E0DB1">
        <w:rPr>
          <w:rFonts w:ascii="Times New Roman" w:hAnsi="Times New Roman" w:cs="Times New Roman"/>
        </w:rPr>
        <w:t xml:space="preserve">cylindrical pellet. The edges of the shockwave are travelling at a lower velocity because of the surface effects that they experience. </w:t>
      </w:r>
      <w:r w:rsidR="00C238D6">
        <w:rPr>
          <w:rFonts w:ascii="Times New Roman" w:hAnsi="Times New Roman" w:cs="Times New Roman"/>
        </w:rPr>
        <w:t>Therefore,</w:t>
      </w:r>
      <w:r w:rsidR="0030504B">
        <w:rPr>
          <w:rFonts w:ascii="Times New Roman" w:hAnsi="Times New Roman" w:cs="Times New Roman"/>
        </w:rPr>
        <w:t xml:space="preserve"> if the diameter of the cylinder is </w:t>
      </w:r>
      <w:r w:rsidR="00C238D6">
        <w:rPr>
          <w:rFonts w:ascii="Times New Roman" w:hAnsi="Times New Roman" w:cs="Times New Roman"/>
        </w:rPr>
        <w:t>too</w:t>
      </w:r>
      <w:r w:rsidR="0030504B">
        <w:rPr>
          <w:rFonts w:ascii="Times New Roman" w:hAnsi="Times New Roman" w:cs="Times New Roman"/>
        </w:rPr>
        <w:t xml:space="preserve"> small these surface effects prevent the propagation of the shockwave at the speed of sound in the material thus preventing a detonation</w:t>
      </w:r>
      <w:sdt>
        <w:sdtPr>
          <w:rPr>
            <w:rFonts w:ascii="Times New Roman" w:hAnsi="Times New Roman" w:cs="Times New Roman"/>
          </w:rPr>
          <w:id w:val="-655381529"/>
          <w:citation/>
        </w:sdtPr>
        <w:sdtEndPr/>
        <w:sdtContent>
          <w:r w:rsidR="00175E9D">
            <w:rPr>
              <w:rFonts w:ascii="Times New Roman" w:hAnsi="Times New Roman" w:cs="Times New Roman"/>
            </w:rPr>
            <w:fldChar w:fldCharType="begin"/>
          </w:r>
          <w:r w:rsidR="00175E9D">
            <w:rPr>
              <w:rFonts w:ascii="Times New Roman" w:hAnsi="Times New Roman" w:cs="Times New Roman"/>
            </w:rPr>
            <w:instrText xml:space="preserve"> CITATION Tho22 \l 2057 </w:instrText>
          </w:r>
          <w:r w:rsidR="00175E9D">
            <w:rPr>
              <w:rFonts w:ascii="Times New Roman" w:hAnsi="Times New Roman" w:cs="Times New Roman"/>
            </w:rPr>
            <w:fldChar w:fldCharType="separate"/>
          </w:r>
          <w:r w:rsidR="00175E9D">
            <w:rPr>
              <w:rFonts w:ascii="Times New Roman" w:hAnsi="Times New Roman" w:cs="Times New Roman"/>
              <w:noProof/>
            </w:rPr>
            <w:t xml:space="preserve"> </w:t>
          </w:r>
          <w:r w:rsidR="00175E9D" w:rsidRPr="00175E9D">
            <w:rPr>
              <w:rFonts w:ascii="Times New Roman" w:hAnsi="Times New Roman" w:cs="Times New Roman"/>
              <w:noProof/>
            </w:rPr>
            <w:t>[7]</w:t>
          </w:r>
          <w:r w:rsidR="00175E9D">
            <w:rPr>
              <w:rFonts w:ascii="Times New Roman" w:hAnsi="Times New Roman" w:cs="Times New Roman"/>
            </w:rPr>
            <w:fldChar w:fldCharType="end"/>
          </w:r>
        </w:sdtContent>
      </w:sdt>
      <w:r w:rsidR="0030504B">
        <w:rPr>
          <w:rFonts w:ascii="Times New Roman" w:hAnsi="Times New Roman" w:cs="Times New Roman"/>
        </w:rPr>
        <w:t xml:space="preserve">. </w:t>
      </w:r>
      <w:r w:rsidR="00C238D6">
        <w:rPr>
          <w:rFonts w:ascii="Times New Roman" w:hAnsi="Times New Roman" w:cs="Times New Roman"/>
        </w:rPr>
        <w:t xml:space="preserve">This is the critical diameter. Therefore, when constructing an explosive </w:t>
      </w:r>
      <w:r w:rsidR="00960A77">
        <w:rPr>
          <w:rFonts w:ascii="Times New Roman" w:hAnsi="Times New Roman" w:cs="Times New Roman"/>
        </w:rPr>
        <w:t>train,</w:t>
      </w:r>
      <w:r w:rsidR="00C238D6">
        <w:rPr>
          <w:rFonts w:ascii="Times New Roman" w:hAnsi="Times New Roman" w:cs="Times New Roman"/>
        </w:rPr>
        <w:t xml:space="preserve"> we must have our explosives above the critical diameter. </w:t>
      </w:r>
    </w:p>
    <w:p w14:paraId="513C7282" w14:textId="7BCE5135" w:rsidR="00162E98" w:rsidRDefault="005E7827" w:rsidP="005E7827">
      <w:pPr>
        <w:pStyle w:val="Caption"/>
        <w:rPr>
          <w:rFonts w:ascii="Times New Roman" w:hAnsi="Times New Roman" w:cs="Times New Roman"/>
        </w:rPr>
      </w:pPr>
      <w:bookmarkStart w:id="3" w:name="_Toc217047675"/>
      <w:bookmarkStart w:id="4" w:name="_Toc217047736"/>
      <w:r>
        <w:t xml:space="preserve">Figure </w:t>
      </w:r>
      <w:fldSimple w:instr=" SEQ Figure \* ARABIC ">
        <w:r w:rsidR="00DA08B7">
          <w:rPr>
            <w:noProof/>
          </w:rPr>
          <w:t>1</w:t>
        </w:r>
      </w:fldSimple>
      <w:r>
        <w:t xml:space="preserve">:Propagation of a Detonation wave highlighting the convex front </w:t>
      </w:r>
      <w:sdt>
        <w:sdtPr>
          <w:id w:val="417374549"/>
          <w:citation/>
        </w:sdtPr>
        <w:sdtEndPr/>
        <w:sdtContent>
          <w:r>
            <w:fldChar w:fldCharType="begin"/>
          </w:r>
          <w:r>
            <w:instrText xml:space="preserve"> CITATION JAk22 \l 2057 </w:instrText>
          </w:r>
          <w:r>
            <w:fldChar w:fldCharType="separate"/>
          </w:r>
          <w:r w:rsidRPr="005E7827">
            <w:rPr>
              <w:noProof/>
            </w:rPr>
            <w:t>[1]</w:t>
          </w:r>
          <w:r>
            <w:fldChar w:fldCharType="end"/>
          </w:r>
        </w:sdtContent>
      </w:sdt>
      <w:bookmarkEnd w:id="3"/>
      <w:bookmarkEnd w:id="4"/>
    </w:p>
    <w:p w14:paraId="46D7886C" w14:textId="7915B305" w:rsidR="00C238D6" w:rsidRDefault="00960A77" w:rsidP="00F42775">
      <w:pPr>
        <w:rPr>
          <w:rFonts w:ascii="Times New Roman" w:hAnsi="Times New Roman" w:cs="Times New Roman"/>
        </w:rPr>
      </w:pPr>
      <w:r>
        <w:rPr>
          <w:rFonts w:ascii="Times New Roman" w:hAnsi="Times New Roman" w:cs="Times New Roman"/>
        </w:rPr>
        <w:t xml:space="preserve"> This is similar for density. </w:t>
      </w:r>
      <w:r w:rsidR="00175E9D">
        <w:rPr>
          <w:rFonts w:ascii="Times New Roman" w:hAnsi="Times New Roman" w:cs="Times New Roman"/>
        </w:rPr>
        <w:t>For homogenous explosives the velocity of detonation will increase as the density of the material increases as it is easier for the shockwave to propagate</w:t>
      </w:r>
      <w:sdt>
        <w:sdtPr>
          <w:rPr>
            <w:rFonts w:ascii="Times New Roman" w:hAnsi="Times New Roman" w:cs="Times New Roman"/>
          </w:rPr>
          <w:id w:val="1797408368"/>
          <w:citation/>
        </w:sdtPr>
        <w:sdtEndPr/>
        <w:sdtContent>
          <w:r w:rsidR="00175E9D">
            <w:rPr>
              <w:rFonts w:ascii="Times New Roman" w:hAnsi="Times New Roman" w:cs="Times New Roman"/>
            </w:rPr>
            <w:fldChar w:fldCharType="begin"/>
          </w:r>
          <w:r w:rsidR="00175E9D">
            <w:rPr>
              <w:rFonts w:ascii="Times New Roman" w:hAnsi="Times New Roman" w:cs="Times New Roman"/>
            </w:rPr>
            <w:instrText xml:space="preserve"> CITATION Tho22 \l 2057 </w:instrText>
          </w:r>
          <w:r w:rsidR="00175E9D">
            <w:rPr>
              <w:rFonts w:ascii="Times New Roman" w:hAnsi="Times New Roman" w:cs="Times New Roman"/>
            </w:rPr>
            <w:fldChar w:fldCharType="separate"/>
          </w:r>
          <w:r w:rsidR="00175E9D">
            <w:rPr>
              <w:rFonts w:ascii="Times New Roman" w:hAnsi="Times New Roman" w:cs="Times New Roman"/>
              <w:noProof/>
            </w:rPr>
            <w:t xml:space="preserve"> </w:t>
          </w:r>
          <w:r w:rsidR="00175E9D" w:rsidRPr="00175E9D">
            <w:rPr>
              <w:rFonts w:ascii="Times New Roman" w:hAnsi="Times New Roman" w:cs="Times New Roman"/>
              <w:noProof/>
            </w:rPr>
            <w:t>[7]</w:t>
          </w:r>
          <w:r w:rsidR="00175E9D">
            <w:rPr>
              <w:rFonts w:ascii="Times New Roman" w:hAnsi="Times New Roman" w:cs="Times New Roman"/>
            </w:rPr>
            <w:fldChar w:fldCharType="end"/>
          </w:r>
        </w:sdtContent>
      </w:sdt>
      <w:r w:rsidR="00175E9D">
        <w:rPr>
          <w:rFonts w:ascii="Times New Roman" w:hAnsi="Times New Roman" w:cs="Times New Roman"/>
        </w:rPr>
        <w:t>. Thus, if the density of the material is to low a detonation cannot occur. This is the critical density.</w:t>
      </w:r>
    </w:p>
    <w:p w14:paraId="1AEE3CE6" w14:textId="77777777" w:rsidR="00175E9D" w:rsidRDefault="00175E9D" w:rsidP="00F42775">
      <w:pPr>
        <w:rPr>
          <w:rFonts w:ascii="Times New Roman" w:hAnsi="Times New Roman" w:cs="Times New Roman"/>
        </w:rPr>
      </w:pPr>
    </w:p>
    <w:p w14:paraId="519941E2" w14:textId="77777777" w:rsidR="00162E98" w:rsidRDefault="00162E98" w:rsidP="00F42775">
      <w:pPr>
        <w:rPr>
          <w:rFonts w:ascii="Times New Roman" w:hAnsi="Times New Roman" w:cs="Times New Roman"/>
        </w:rPr>
      </w:pPr>
    </w:p>
    <w:p w14:paraId="2025CD68" w14:textId="77777777" w:rsidR="00162E98" w:rsidRDefault="00162E98" w:rsidP="00F42775">
      <w:pPr>
        <w:rPr>
          <w:rFonts w:ascii="Times New Roman" w:hAnsi="Times New Roman" w:cs="Times New Roman"/>
        </w:rPr>
      </w:pPr>
    </w:p>
    <w:p w14:paraId="414DC819" w14:textId="77777777" w:rsidR="00162E98" w:rsidRDefault="00162E98" w:rsidP="00F42775">
      <w:pPr>
        <w:rPr>
          <w:rFonts w:ascii="Times New Roman" w:hAnsi="Times New Roman" w:cs="Times New Roman"/>
        </w:rPr>
      </w:pPr>
    </w:p>
    <w:p w14:paraId="47111DE6" w14:textId="3402A6BE" w:rsidR="00175E9D" w:rsidRDefault="00B23C6E" w:rsidP="00B23C6E">
      <w:pPr>
        <w:pStyle w:val="Heading1"/>
        <w:numPr>
          <w:ilvl w:val="0"/>
          <w:numId w:val="1"/>
        </w:numPr>
        <w:rPr>
          <w:rFonts w:ascii="Times New Roman" w:hAnsi="Times New Roman" w:cs="Times New Roman"/>
        </w:rPr>
      </w:pPr>
      <w:r w:rsidRPr="00B23C6E">
        <w:rPr>
          <w:rFonts w:ascii="Times New Roman" w:hAnsi="Times New Roman" w:cs="Times New Roman"/>
        </w:rPr>
        <w:lastRenderedPageBreak/>
        <w:t>Explosive Train</w:t>
      </w:r>
    </w:p>
    <w:p w14:paraId="7568AFB3" w14:textId="77777777" w:rsidR="00B23C6E" w:rsidRDefault="00B23C6E" w:rsidP="00B23C6E"/>
    <w:p w14:paraId="671F06F9" w14:textId="205415B8" w:rsidR="00B23C6E" w:rsidRDefault="00162E98" w:rsidP="00B23C6E">
      <w:pPr>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14:anchorId="7DA38E39" wp14:editId="54D1EA51">
            <wp:simplePos x="0" y="0"/>
            <wp:positionH relativeFrom="margin">
              <wp:align>center</wp:align>
            </wp:positionH>
            <wp:positionV relativeFrom="paragraph">
              <wp:posOffset>1617980</wp:posOffset>
            </wp:positionV>
            <wp:extent cx="4911725" cy="5843905"/>
            <wp:effectExtent l="0" t="0" r="3175" b="4445"/>
            <wp:wrapTopAndBottom/>
            <wp:docPr id="207027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725" cy="5843905"/>
                    </a:xfrm>
                    <a:prstGeom prst="rect">
                      <a:avLst/>
                    </a:prstGeom>
                    <a:noFill/>
                  </pic:spPr>
                </pic:pic>
              </a:graphicData>
            </a:graphic>
            <wp14:sizeRelH relativeFrom="margin">
              <wp14:pctWidth>0</wp14:pctWidth>
            </wp14:sizeRelH>
            <wp14:sizeRelV relativeFrom="margin">
              <wp14:pctHeight>0</wp14:pctHeight>
            </wp14:sizeRelV>
          </wp:anchor>
        </w:drawing>
      </w:r>
      <w:r w:rsidR="00FD14F9">
        <w:t xml:space="preserve">  </w:t>
      </w:r>
      <w:r w:rsidR="007C76B3">
        <w:rPr>
          <w:rFonts w:ascii="Times New Roman" w:hAnsi="Times New Roman" w:cs="Times New Roman"/>
        </w:rPr>
        <w:t xml:space="preserve">An explosive train describes how the components </w:t>
      </w:r>
      <w:r w:rsidR="006965CC">
        <w:rPr>
          <w:rFonts w:ascii="Times New Roman" w:hAnsi="Times New Roman" w:cs="Times New Roman"/>
        </w:rPr>
        <w:t>of an explosive device are arranged such that an initial insult will be able to be transmitted to the main charge causing a detonation from an intended insult</w:t>
      </w:r>
      <w:r w:rsidR="00B0079E">
        <w:rPr>
          <w:rFonts w:ascii="Times New Roman" w:hAnsi="Times New Roman" w:cs="Times New Roman"/>
        </w:rPr>
        <w:t xml:space="preserve">. It is standard for them to contain a primary explosive that will be set off producing a shockwave that will detonate the main charge </w:t>
      </w:r>
      <w:r w:rsidR="004B270B">
        <w:rPr>
          <w:rFonts w:ascii="Times New Roman" w:hAnsi="Times New Roman" w:cs="Times New Roman"/>
        </w:rPr>
        <w:t xml:space="preserve">containing a secondary explosive by </w:t>
      </w:r>
      <w:r w:rsidR="009F71AC">
        <w:rPr>
          <w:rFonts w:ascii="Times New Roman" w:hAnsi="Times New Roman" w:cs="Times New Roman"/>
        </w:rPr>
        <w:t>shock</w:t>
      </w:r>
      <w:sdt>
        <w:sdtPr>
          <w:rPr>
            <w:rFonts w:ascii="Times New Roman" w:hAnsi="Times New Roman" w:cs="Times New Roman"/>
          </w:rPr>
          <w:id w:val="-733150530"/>
          <w:citation/>
        </w:sdtPr>
        <w:sdtEndPr/>
        <w:sdtContent>
          <w:r w:rsidR="009F71AC">
            <w:rPr>
              <w:rFonts w:ascii="Times New Roman" w:hAnsi="Times New Roman" w:cs="Times New Roman"/>
            </w:rPr>
            <w:fldChar w:fldCharType="begin"/>
          </w:r>
          <w:r w:rsidR="009F71AC">
            <w:rPr>
              <w:rFonts w:ascii="Times New Roman" w:hAnsi="Times New Roman" w:cs="Times New Roman"/>
            </w:rPr>
            <w:instrText xml:space="preserve"> CITATION JAk22 \l 2057 </w:instrText>
          </w:r>
          <w:r w:rsidR="009F71AC">
            <w:rPr>
              <w:rFonts w:ascii="Times New Roman" w:hAnsi="Times New Roman" w:cs="Times New Roman"/>
            </w:rPr>
            <w:fldChar w:fldCharType="separate"/>
          </w:r>
          <w:r w:rsidR="009F71AC">
            <w:rPr>
              <w:rFonts w:ascii="Times New Roman" w:hAnsi="Times New Roman" w:cs="Times New Roman"/>
              <w:noProof/>
            </w:rPr>
            <w:t xml:space="preserve"> </w:t>
          </w:r>
          <w:r w:rsidR="009F71AC" w:rsidRPr="009F71AC">
            <w:rPr>
              <w:rFonts w:ascii="Times New Roman" w:hAnsi="Times New Roman" w:cs="Times New Roman"/>
              <w:noProof/>
            </w:rPr>
            <w:t>[1]</w:t>
          </w:r>
          <w:r w:rsidR="009F71AC">
            <w:rPr>
              <w:rFonts w:ascii="Times New Roman" w:hAnsi="Times New Roman" w:cs="Times New Roman"/>
            </w:rPr>
            <w:fldChar w:fldCharType="end"/>
          </w:r>
        </w:sdtContent>
      </w:sdt>
      <w:r w:rsidR="009F71AC">
        <w:rPr>
          <w:rFonts w:ascii="Times New Roman" w:hAnsi="Times New Roman" w:cs="Times New Roman"/>
        </w:rPr>
        <w:t xml:space="preserve">. </w:t>
      </w:r>
      <w:r w:rsidR="00A9335D">
        <w:rPr>
          <w:rFonts w:ascii="Times New Roman" w:hAnsi="Times New Roman" w:cs="Times New Roman"/>
        </w:rPr>
        <w:t>The explosive train that will used here is bas</w:t>
      </w:r>
      <w:r w:rsidR="004118CA">
        <w:rPr>
          <w:rFonts w:ascii="Times New Roman" w:hAnsi="Times New Roman" w:cs="Times New Roman"/>
        </w:rPr>
        <w:t xml:space="preserve">ed on that which could be found in a British Naval shell at the start of the First World War. </w:t>
      </w:r>
      <w:r w:rsidR="00E00AB3">
        <w:rPr>
          <w:rFonts w:ascii="Times New Roman" w:hAnsi="Times New Roman" w:cs="Times New Roman"/>
        </w:rPr>
        <w:t>An example can be seen below.</w:t>
      </w:r>
    </w:p>
    <w:p w14:paraId="6E7CC1D2" w14:textId="1F471486" w:rsidR="00162E98" w:rsidRDefault="00162E98" w:rsidP="00B23C6E">
      <w:pPr>
        <w:rPr>
          <w:rFonts w:ascii="Times New Roman" w:hAnsi="Times New Roman" w:cs="Times New Roman"/>
        </w:rPr>
      </w:pPr>
    </w:p>
    <w:p w14:paraId="059C81A0" w14:textId="4CACE431" w:rsidR="00E00AB3" w:rsidRDefault="005E7827" w:rsidP="005E7827">
      <w:pPr>
        <w:pStyle w:val="Caption"/>
        <w:rPr>
          <w:rFonts w:ascii="Times New Roman" w:hAnsi="Times New Roman" w:cs="Times New Roman"/>
        </w:rPr>
      </w:pPr>
      <w:bookmarkStart w:id="5" w:name="_Toc217047676"/>
      <w:bookmarkStart w:id="6" w:name="_Toc217047737"/>
      <w:r>
        <w:t xml:space="preserve">Figure </w:t>
      </w:r>
      <w:fldSimple w:instr=" SEQ Figure \* ARABIC ">
        <w:r w:rsidR="00DA08B7">
          <w:rPr>
            <w:noProof/>
          </w:rPr>
          <w:t>2</w:t>
        </w:r>
      </w:fldSimple>
      <w:r>
        <w:t>: British and German 12" HE Shells</w:t>
      </w:r>
      <w:sdt>
        <w:sdtPr>
          <w:id w:val="1488591912"/>
          <w:citation/>
        </w:sdtPr>
        <w:sdtEndPr/>
        <w:sdtContent>
          <w:r>
            <w:fldChar w:fldCharType="begin"/>
          </w:r>
          <w:r>
            <w:instrText xml:space="preserve"> CITATION Nor12 \l 2057 </w:instrText>
          </w:r>
          <w:r>
            <w:fldChar w:fldCharType="separate"/>
          </w:r>
          <w:r>
            <w:rPr>
              <w:noProof/>
            </w:rPr>
            <w:t xml:space="preserve"> </w:t>
          </w:r>
          <w:r w:rsidRPr="005E7827">
            <w:rPr>
              <w:noProof/>
            </w:rPr>
            <w:t>[3]</w:t>
          </w:r>
          <w:r>
            <w:fldChar w:fldCharType="end"/>
          </w:r>
        </w:sdtContent>
      </w:sdt>
      <w:bookmarkEnd w:id="5"/>
      <w:bookmarkEnd w:id="6"/>
    </w:p>
    <w:p w14:paraId="1A7410EE" w14:textId="5A2EC575" w:rsidR="00E00AB3" w:rsidRDefault="00E00AB3" w:rsidP="00B23C6E">
      <w:pPr>
        <w:rPr>
          <w:rFonts w:ascii="Times New Roman" w:hAnsi="Times New Roman" w:cs="Times New Roman"/>
        </w:rPr>
      </w:pPr>
      <w:r>
        <w:rPr>
          <w:rFonts w:ascii="Times New Roman" w:hAnsi="Times New Roman" w:cs="Times New Roman"/>
        </w:rPr>
        <w:lastRenderedPageBreak/>
        <w:t xml:space="preserve">  </w:t>
      </w:r>
      <w:r w:rsidR="007A7D27">
        <w:rPr>
          <w:rFonts w:ascii="Times New Roman" w:hAnsi="Times New Roman" w:cs="Times New Roman"/>
        </w:rPr>
        <w:t xml:space="preserve">Mercury Fulminate will be used as the primary explosive </w:t>
      </w:r>
      <w:r w:rsidR="00DD3894">
        <w:rPr>
          <w:rFonts w:ascii="Times New Roman" w:hAnsi="Times New Roman" w:cs="Times New Roman"/>
        </w:rPr>
        <w:t xml:space="preserve">used to detonate the Picric acid which will act as the main charge. </w:t>
      </w:r>
      <w:r w:rsidR="00197663">
        <w:rPr>
          <w:rFonts w:ascii="Times New Roman" w:hAnsi="Times New Roman" w:cs="Times New Roman"/>
        </w:rPr>
        <w:t xml:space="preserve">As this will be a shell fired at a high </w:t>
      </w:r>
      <w:r w:rsidR="004E1AAC">
        <w:rPr>
          <w:rFonts w:ascii="Times New Roman" w:hAnsi="Times New Roman" w:cs="Times New Roman"/>
        </w:rPr>
        <w:t>velocity,</w:t>
      </w:r>
      <w:r w:rsidR="00197663">
        <w:rPr>
          <w:rFonts w:ascii="Times New Roman" w:hAnsi="Times New Roman" w:cs="Times New Roman"/>
        </w:rPr>
        <w:t xml:space="preserve"> we can assume that there will be a large impact force </w:t>
      </w:r>
      <w:r w:rsidR="00633BCB">
        <w:rPr>
          <w:rFonts w:ascii="Times New Roman" w:hAnsi="Times New Roman" w:cs="Times New Roman"/>
        </w:rPr>
        <w:t xml:space="preserve">upon impact with the target. </w:t>
      </w:r>
      <w:r w:rsidR="00775959">
        <w:rPr>
          <w:rFonts w:ascii="Times New Roman" w:hAnsi="Times New Roman" w:cs="Times New Roman"/>
        </w:rPr>
        <w:t xml:space="preserve">This impact will cause insult to the Mercury Fulminate causing a detonation, the result of which </w:t>
      </w:r>
      <w:r w:rsidR="008B5AA7">
        <w:rPr>
          <w:rFonts w:ascii="Times New Roman" w:hAnsi="Times New Roman" w:cs="Times New Roman"/>
        </w:rPr>
        <w:t>will set off the Picric Acid creating the desired effect.</w:t>
      </w:r>
    </w:p>
    <w:p w14:paraId="4352523D" w14:textId="59C60BBF" w:rsidR="008B5AA7" w:rsidRDefault="008B5AA7" w:rsidP="00B23C6E">
      <w:pPr>
        <w:rPr>
          <w:rFonts w:ascii="Times New Roman" w:hAnsi="Times New Roman" w:cs="Times New Roman"/>
        </w:rPr>
      </w:pPr>
      <w:r>
        <w:rPr>
          <w:rFonts w:ascii="Times New Roman" w:hAnsi="Times New Roman" w:cs="Times New Roman"/>
        </w:rPr>
        <w:t xml:space="preserve">  When constructed this however, we must be mindful that the densities and the diameters of the explosives used allow </w:t>
      </w:r>
      <w:r w:rsidR="00781815">
        <w:rPr>
          <w:rFonts w:ascii="Times New Roman" w:hAnsi="Times New Roman" w:cs="Times New Roman"/>
        </w:rPr>
        <w:t>for a successful detonation</w:t>
      </w:r>
      <w:r w:rsidR="00E23040">
        <w:rPr>
          <w:rFonts w:ascii="Times New Roman" w:hAnsi="Times New Roman" w:cs="Times New Roman"/>
        </w:rPr>
        <w:t xml:space="preserve"> and that the effect of confinement will have on these values. By confining the explosives within a metal shell casing these will be lower a</w:t>
      </w:r>
      <w:r w:rsidR="00801CDF">
        <w:rPr>
          <w:rFonts w:ascii="Times New Roman" w:hAnsi="Times New Roman" w:cs="Times New Roman"/>
        </w:rPr>
        <w:t>llowing for an eas</w:t>
      </w:r>
      <w:r w:rsidR="00A46CAC">
        <w:rPr>
          <w:rFonts w:ascii="Times New Roman" w:hAnsi="Times New Roman" w:cs="Times New Roman"/>
        </w:rPr>
        <w:t>i</w:t>
      </w:r>
      <w:r w:rsidR="00801CDF">
        <w:rPr>
          <w:rFonts w:ascii="Times New Roman" w:hAnsi="Times New Roman" w:cs="Times New Roman"/>
        </w:rPr>
        <w:t>er detonation</w:t>
      </w:r>
      <w:r w:rsidR="00A46CAC">
        <w:rPr>
          <w:rFonts w:ascii="Times New Roman" w:hAnsi="Times New Roman" w:cs="Times New Roman"/>
        </w:rPr>
        <w:t xml:space="preserve">. </w:t>
      </w:r>
    </w:p>
    <w:p w14:paraId="043FD54D" w14:textId="2AE499FE" w:rsidR="0098672A" w:rsidRDefault="0098672A" w:rsidP="00B23C6E">
      <w:pPr>
        <w:rPr>
          <w:rFonts w:ascii="Times New Roman" w:hAnsi="Times New Roman" w:cs="Times New Roman"/>
        </w:rPr>
      </w:pPr>
      <w:r>
        <w:rPr>
          <w:rFonts w:ascii="Times New Roman" w:hAnsi="Times New Roman" w:cs="Times New Roman"/>
        </w:rPr>
        <w:t xml:space="preserve">  The density of the explosives shall be</w:t>
      </w:r>
      <w:r w:rsidR="006C3400">
        <w:rPr>
          <w:rFonts w:ascii="Times New Roman" w:hAnsi="Times New Roman" w:cs="Times New Roman"/>
        </w:rPr>
        <w:t>:</w:t>
      </w:r>
    </w:p>
    <w:p w14:paraId="231F5FD5" w14:textId="1662824D" w:rsidR="006C3400" w:rsidRDefault="006C3400" w:rsidP="00B23C6E">
      <w:pPr>
        <w:rPr>
          <w:rFonts w:ascii="Times New Roman" w:hAnsi="Times New Roman" w:cs="Times New Roman"/>
        </w:rPr>
      </w:pPr>
      <w:r>
        <w:rPr>
          <w:rFonts w:ascii="Times New Roman" w:hAnsi="Times New Roman" w:cs="Times New Roman"/>
        </w:rPr>
        <w:t>Mercury Fulminate- 3.3g cm</w:t>
      </w:r>
      <w:r>
        <w:rPr>
          <w:rFonts w:ascii="Times New Roman" w:hAnsi="Times New Roman" w:cs="Times New Roman"/>
          <w:vertAlign w:val="superscript"/>
        </w:rPr>
        <w:t>-3</w:t>
      </w:r>
    </w:p>
    <w:p w14:paraId="5A62C4E2" w14:textId="7BEEC74A" w:rsidR="006C3400" w:rsidRPr="00003CF4" w:rsidRDefault="006C3400" w:rsidP="00B23C6E">
      <w:pPr>
        <w:rPr>
          <w:rFonts w:ascii="Times New Roman" w:hAnsi="Times New Roman" w:cs="Times New Roman"/>
          <w:vertAlign w:val="superscript"/>
        </w:rPr>
      </w:pPr>
      <w:r>
        <w:rPr>
          <w:rFonts w:ascii="Times New Roman" w:hAnsi="Times New Roman" w:cs="Times New Roman"/>
        </w:rPr>
        <w:t xml:space="preserve">Picric Acid </w:t>
      </w:r>
      <w:r w:rsidR="00003CF4">
        <w:rPr>
          <w:rFonts w:ascii="Times New Roman" w:hAnsi="Times New Roman" w:cs="Times New Roman"/>
        </w:rPr>
        <w:t>–</w:t>
      </w:r>
      <w:r>
        <w:rPr>
          <w:rFonts w:ascii="Times New Roman" w:hAnsi="Times New Roman" w:cs="Times New Roman"/>
        </w:rPr>
        <w:t xml:space="preserve"> </w:t>
      </w:r>
      <w:r w:rsidR="00003CF4">
        <w:rPr>
          <w:rFonts w:ascii="Times New Roman" w:hAnsi="Times New Roman" w:cs="Times New Roman"/>
        </w:rPr>
        <w:t>1.6g cm</w:t>
      </w:r>
      <w:r w:rsidR="00003CF4">
        <w:rPr>
          <w:rFonts w:ascii="Times New Roman" w:hAnsi="Times New Roman" w:cs="Times New Roman"/>
          <w:vertAlign w:val="superscript"/>
        </w:rPr>
        <w:t>-3</w:t>
      </w:r>
    </w:p>
    <w:p w14:paraId="0DF809AC" w14:textId="655664EC" w:rsidR="004118CA" w:rsidRDefault="004118CA" w:rsidP="00B23C6E">
      <w:pPr>
        <w:rPr>
          <w:rFonts w:ascii="Times New Roman" w:hAnsi="Times New Roman" w:cs="Times New Roman"/>
        </w:rPr>
      </w:pPr>
      <w:r>
        <w:rPr>
          <w:rFonts w:ascii="Times New Roman" w:hAnsi="Times New Roman" w:cs="Times New Roman"/>
        </w:rPr>
        <w:t xml:space="preserve">  </w:t>
      </w:r>
      <w:r w:rsidR="00003CF4">
        <w:rPr>
          <w:rFonts w:ascii="Times New Roman" w:hAnsi="Times New Roman" w:cs="Times New Roman"/>
        </w:rPr>
        <w:t xml:space="preserve">This is above the critical density for Picric acid and a common density </w:t>
      </w:r>
      <w:r w:rsidR="006F350E">
        <w:rPr>
          <w:rFonts w:ascii="Times New Roman" w:hAnsi="Times New Roman" w:cs="Times New Roman"/>
        </w:rPr>
        <w:t xml:space="preserve">for it when used in explosive devices that will thus allow detonation. </w:t>
      </w:r>
      <w:r w:rsidR="00AF5FD5">
        <w:rPr>
          <w:rFonts w:ascii="Times New Roman" w:hAnsi="Times New Roman" w:cs="Times New Roman"/>
        </w:rPr>
        <w:t>For Mercury Fulminate 3.3 g cm</w:t>
      </w:r>
      <w:r w:rsidR="00AF5FD5">
        <w:rPr>
          <w:rFonts w:ascii="Times New Roman" w:hAnsi="Times New Roman" w:cs="Times New Roman"/>
          <w:vertAlign w:val="superscript"/>
        </w:rPr>
        <w:t>-3</w:t>
      </w:r>
      <w:r w:rsidR="00AF5FD5">
        <w:rPr>
          <w:rFonts w:ascii="Times New Roman" w:hAnsi="Times New Roman" w:cs="Times New Roman"/>
        </w:rPr>
        <w:t xml:space="preserve"> provides </w:t>
      </w:r>
      <w:r w:rsidR="00A94FF4">
        <w:rPr>
          <w:rFonts w:ascii="Times New Roman" w:hAnsi="Times New Roman" w:cs="Times New Roman"/>
        </w:rPr>
        <w:t xml:space="preserve">a high velocity of detonation without </w:t>
      </w:r>
      <w:r w:rsidR="00373365">
        <w:rPr>
          <w:rFonts w:ascii="Times New Roman" w:hAnsi="Times New Roman" w:cs="Times New Roman"/>
        </w:rPr>
        <w:t xml:space="preserve">it being at a density where it would be dead pressed. While during the course of </w:t>
      </w:r>
      <w:r w:rsidR="00EB223B">
        <w:rPr>
          <w:rFonts w:ascii="Times New Roman" w:hAnsi="Times New Roman" w:cs="Times New Roman"/>
        </w:rPr>
        <w:t xml:space="preserve">studying the literature the author was unable to find an exact value for the critical density of Mercury </w:t>
      </w:r>
      <w:r w:rsidR="00916BC0">
        <w:rPr>
          <w:rFonts w:ascii="Times New Roman" w:hAnsi="Times New Roman" w:cs="Times New Roman"/>
        </w:rPr>
        <w:t>Fulminate,</w:t>
      </w:r>
      <w:r w:rsidR="00EB223B">
        <w:rPr>
          <w:rFonts w:ascii="Times New Roman" w:hAnsi="Times New Roman" w:cs="Times New Roman"/>
        </w:rPr>
        <w:t xml:space="preserve"> </w:t>
      </w:r>
      <w:r w:rsidR="00FB1EB7">
        <w:rPr>
          <w:rFonts w:ascii="Times New Roman" w:hAnsi="Times New Roman" w:cs="Times New Roman"/>
        </w:rPr>
        <w:t>they did find result for detonation at densities as low as 1.25 g cm</w:t>
      </w:r>
      <w:r w:rsidR="00FB1EB7">
        <w:rPr>
          <w:rFonts w:ascii="Times New Roman" w:hAnsi="Times New Roman" w:cs="Times New Roman"/>
          <w:vertAlign w:val="superscript"/>
        </w:rPr>
        <w:t>-3</w:t>
      </w:r>
      <w:sdt>
        <w:sdtPr>
          <w:rPr>
            <w:rFonts w:ascii="Times New Roman" w:hAnsi="Times New Roman" w:cs="Times New Roman"/>
            <w:vertAlign w:val="superscript"/>
          </w:rPr>
          <w:id w:val="-875699925"/>
          <w:citation/>
        </w:sdtPr>
        <w:sdtEndPr/>
        <w:sdtContent>
          <w:r w:rsidR="00916BC0">
            <w:rPr>
              <w:rFonts w:ascii="Times New Roman" w:hAnsi="Times New Roman" w:cs="Times New Roman"/>
              <w:vertAlign w:val="superscript"/>
            </w:rPr>
            <w:fldChar w:fldCharType="begin"/>
          </w:r>
          <w:r w:rsidR="00916BC0">
            <w:rPr>
              <w:rFonts w:ascii="Times New Roman" w:hAnsi="Times New Roman" w:cs="Times New Roman"/>
              <w:vertAlign w:val="superscript"/>
            </w:rPr>
            <w:instrText xml:space="preserve"> CITATION JAk22 \l 2057 </w:instrText>
          </w:r>
          <w:r w:rsidR="00916BC0">
            <w:rPr>
              <w:rFonts w:ascii="Times New Roman" w:hAnsi="Times New Roman" w:cs="Times New Roman"/>
              <w:vertAlign w:val="superscript"/>
            </w:rPr>
            <w:fldChar w:fldCharType="separate"/>
          </w:r>
          <w:r w:rsidR="00916BC0">
            <w:rPr>
              <w:rFonts w:ascii="Times New Roman" w:hAnsi="Times New Roman" w:cs="Times New Roman"/>
              <w:noProof/>
              <w:vertAlign w:val="superscript"/>
            </w:rPr>
            <w:t xml:space="preserve"> </w:t>
          </w:r>
          <w:r w:rsidR="00916BC0" w:rsidRPr="00916BC0">
            <w:rPr>
              <w:rFonts w:ascii="Times New Roman" w:hAnsi="Times New Roman" w:cs="Times New Roman"/>
              <w:noProof/>
            </w:rPr>
            <w:t>[1]</w:t>
          </w:r>
          <w:r w:rsidR="00916BC0">
            <w:rPr>
              <w:rFonts w:ascii="Times New Roman" w:hAnsi="Times New Roman" w:cs="Times New Roman"/>
              <w:vertAlign w:val="superscript"/>
            </w:rPr>
            <w:fldChar w:fldCharType="end"/>
          </w:r>
        </w:sdtContent>
      </w:sdt>
      <w:r w:rsidR="00FB1EB7">
        <w:rPr>
          <w:rFonts w:ascii="Times New Roman" w:hAnsi="Times New Roman" w:cs="Times New Roman"/>
        </w:rPr>
        <w:t xml:space="preserve">. </w:t>
      </w:r>
      <w:r w:rsidR="00916BC0">
        <w:rPr>
          <w:rFonts w:ascii="Times New Roman" w:hAnsi="Times New Roman" w:cs="Times New Roman"/>
        </w:rPr>
        <w:t xml:space="preserve">Thus, this density is safely above that and should provide a reliable detonation and initiation of the Picric Acid. </w:t>
      </w:r>
    </w:p>
    <w:p w14:paraId="770E1BCA" w14:textId="1A710CC1" w:rsidR="00043236" w:rsidRDefault="00043236" w:rsidP="00B23C6E">
      <w:pPr>
        <w:rPr>
          <w:rFonts w:ascii="Times New Roman" w:hAnsi="Times New Roman" w:cs="Times New Roman"/>
        </w:rPr>
      </w:pPr>
      <w:r>
        <w:rPr>
          <w:rFonts w:ascii="Times New Roman" w:hAnsi="Times New Roman" w:cs="Times New Roman"/>
        </w:rPr>
        <w:t xml:space="preserve">  For the critical diameter the Picric Acid will safely be in excess of its critical diameter as it will be </w:t>
      </w:r>
      <w:r w:rsidR="00712ED4">
        <w:rPr>
          <w:rFonts w:ascii="Times New Roman" w:hAnsi="Times New Roman" w:cs="Times New Roman"/>
        </w:rPr>
        <w:t xml:space="preserve">large cast block poured into the shell with a diameter in the hundreds of millimetres well in excess of its unconfined critical diameter of 5mm. </w:t>
      </w:r>
      <w:r w:rsidR="002A644A">
        <w:rPr>
          <w:rFonts w:ascii="Times New Roman" w:hAnsi="Times New Roman" w:cs="Times New Roman"/>
        </w:rPr>
        <w:t xml:space="preserve">The Mercury Fulminate also has an unconfined critical diameter of 5mm. Knowing that confining it within a detonator will reduce that </w:t>
      </w:r>
      <w:r w:rsidR="00642F53">
        <w:rPr>
          <w:rFonts w:ascii="Times New Roman" w:hAnsi="Times New Roman" w:cs="Times New Roman"/>
        </w:rPr>
        <w:t>keeping it at that 5mm will provide a reliable margin of error to allow for reliable detonation of the Mercury Fulminate upon impact with the target.</w:t>
      </w:r>
    </w:p>
    <w:p w14:paraId="0679E5A7" w14:textId="048CD6D9" w:rsidR="00E70527" w:rsidRDefault="001C24D6" w:rsidP="00B23C6E">
      <w:pPr>
        <w:rPr>
          <w:rFonts w:ascii="Times New Roman" w:hAnsi="Times New Roman" w:cs="Times New Roman"/>
        </w:rPr>
      </w:pPr>
      <w:r>
        <w:rPr>
          <w:rFonts w:ascii="Times New Roman" w:hAnsi="Times New Roman" w:cs="Times New Roman"/>
        </w:rPr>
        <w:t xml:space="preserve">  </w:t>
      </w:r>
      <w:r w:rsidR="00DB61CD">
        <w:rPr>
          <w:rFonts w:ascii="Times New Roman" w:hAnsi="Times New Roman" w:cs="Times New Roman"/>
        </w:rPr>
        <w:t xml:space="preserve">The confinement of the train within a metal shell casing </w:t>
      </w:r>
      <w:r w:rsidR="00E27274">
        <w:rPr>
          <w:rFonts w:ascii="Times New Roman" w:hAnsi="Times New Roman" w:cs="Times New Roman"/>
        </w:rPr>
        <w:t>makes it easier for the explosive train to operate a</w:t>
      </w:r>
      <w:r w:rsidR="002A350E">
        <w:rPr>
          <w:rFonts w:ascii="Times New Roman" w:hAnsi="Times New Roman" w:cs="Times New Roman"/>
        </w:rPr>
        <w:t>s it will aid in the propagation of the shockwave with the device.</w:t>
      </w:r>
    </w:p>
    <w:p w14:paraId="5F4BE2EC" w14:textId="77777777" w:rsidR="00BC408D" w:rsidRDefault="00BC408D" w:rsidP="00B23C6E">
      <w:pPr>
        <w:rPr>
          <w:rFonts w:ascii="Times New Roman" w:hAnsi="Times New Roman" w:cs="Times New Roman"/>
        </w:rPr>
      </w:pPr>
    </w:p>
    <w:p w14:paraId="1B1F7BFD" w14:textId="662CF4A0" w:rsidR="00BC408D" w:rsidRDefault="00162E98" w:rsidP="00B23C6E">
      <w:pPr>
        <w:rPr>
          <w:rFonts w:ascii="Times New Roman" w:hAnsi="Times New Roman" w:cs="Times New Roman"/>
        </w:rPr>
      </w:pPr>
      <w:r w:rsidRPr="00162E98">
        <w:rPr>
          <w:rFonts w:ascii="Times New Roman" w:hAnsi="Times New Roman" w:cs="Times New Roman"/>
          <w:noProof/>
        </w:rPr>
        <w:lastRenderedPageBreak/>
        <w:drawing>
          <wp:inline distT="0" distB="0" distL="0" distR="0" wp14:anchorId="65B19DCD" wp14:editId="69FFAF17">
            <wp:extent cx="4663844" cy="5281118"/>
            <wp:effectExtent l="0" t="0" r="3810" b="0"/>
            <wp:docPr id="1537168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68252" name=""/>
                    <pic:cNvPicPr/>
                  </pic:nvPicPr>
                  <pic:blipFill>
                    <a:blip r:embed="rId9"/>
                    <a:stretch>
                      <a:fillRect/>
                    </a:stretch>
                  </pic:blipFill>
                  <pic:spPr>
                    <a:xfrm>
                      <a:off x="0" y="0"/>
                      <a:ext cx="4663844" cy="5281118"/>
                    </a:xfrm>
                    <a:prstGeom prst="rect">
                      <a:avLst/>
                    </a:prstGeom>
                  </pic:spPr>
                </pic:pic>
              </a:graphicData>
            </a:graphic>
          </wp:inline>
        </w:drawing>
      </w:r>
    </w:p>
    <w:p w14:paraId="51D41B49" w14:textId="14546AD4" w:rsidR="00BC408D" w:rsidRDefault="00DA08B7" w:rsidP="00DA08B7">
      <w:pPr>
        <w:pStyle w:val="Caption"/>
        <w:rPr>
          <w:rFonts w:ascii="Times New Roman" w:hAnsi="Times New Roman" w:cs="Times New Roman"/>
        </w:rPr>
      </w:pPr>
      <w:bookmarkStart w:id="7" w:name="_Toc217047738"/>
      <w:r>
        <w:t xml:space="preserve">Figure </w:t>
      </w:r>
      <w:fldSimple w:instr=" SEQ Figure \* ARABIC ">
        <w:r>
          <w:rPr>
            <w:noProof/>
          </w:rPr>
          <w:t>3</w:t>
        </w:r>
      </w:fldSimple>
      <w:r>
        <w:t>: Diagram of the Explosive Train</w:t>
      </w:r>
      <w:bookmarkEnd w:id="7"/>
    </w:p>
    <w:p w14:paraId="79EAD0CB" w14:textId="0589D253" w:rsidR="00BC408D" w:rsidRDefault="00BC408D" w:rsidP="00B23C6E">
      <w:pPr>
        <w:rPr>
          <w:rFonts w:ascii="Times New Roman" w:hAnsi="Times New Roman" w:cs="Times New Roman"/>
        </w:rPr>
      </w:pPr>
      <w:r>
        <w:rPr>
          <w:rFonts w:ascii="Times New Roman" w:hAnsi="Times New Roman" w:cs="Times New Roman"/>
        </w:rPr>
        <w:t xml:space="preserve">Using data from literature the velocity of detonation for this device will be </w:t>
      </w:r>
      <w:r w:rsidR="00C15552">
        <w:rPr>
          <w:rFonts w:ascii="Times New Roman" w:hAnsi="Times New Roman" w:cs="Times New Roman"/>
        </w:rPr>
        <w:t>7900 ms</w:t>
      </w:r>
      <w:r w:rsidR="00C15552">
        <w:rPr>
          <w:rFonts w:ascii="Times New Roman" w:hAnsi="Times New Roman" w:cs="Times New Roman"/>
          <w:vertAlign w:val="superscript"/>
        </w:rPr>
        <w:t>-1</w:t>
      </w:r>
      <w:sdt>
        <w:sdtPr>
          <w:rPr>
            <w:rFonts w:ascii="Times New Roman" w:hAnsi="Times New Roman" w:cs="Times New Roman"/>
            <w:vertAlign w:val="superscript"/>
          </w:rPr>
          <w:id w:val="1708902981"/>
          <w:citation/>
        </w:sdtPr>
        <w:sdtEndPr/>
        <w:sdtContent>
          <w:r w:rsidR="00427982">
            <w:rPr>
              <w:rFonts w:ascii="Times New Roman" w:hAnsi="Times New Roman" w:cs="Times New Roman"/>
              <w:vertAlign w:val="superscript"/>
            </w:rPr>
            <w:fldChar w:fldCharType="begin"/>
          </w:r>
          <w:r w:rsidR="00427982">
            <w:rPr>
              <w:rFonts w:ascii="Times New Roman" w:hAnsi="Times New Roman" w:cs="Times New Roman"/>
            </w:rPr>
            <w:instrText xml:space="preserve"> CITATION JAk22 \l 2057 </w:instrText>
          </w:r>
          <w:r w:rsidR="00427982">
            <w:rPr>
              <w:rFonts w:ascii="Times New Roman" w:hAnsi="Times New Roman" w:cs="Times New Roman"/>
              <w:vertAlign w:val="superscript"/>
            </w:rPr>
            <w:fldChar w:fldCharType="separate"/>
          </w:r>
          <w:r w:rsidR="00427982">
            <w:rPr>
              <w:rFonts w:ascii="Times New Roman" w:hAnsi="Times New Roman" w:cs="Times New Roman"/>
              <w:noProof/>
            </w:rPr>
            <w:t xml:space="preserve"> </w:t>
          </w:r>
          <w:r w:rsidR="00427982" w:rsidRPr="00427982">
            <w:rPr>
              <w:rFonts w:ascii="Times New Roman" w:hAnsi="Times New Roman" w:cs="Times New Roman"/>
              <w:noProof/>
            </w:rPr>
            <w:t>[1]</w:t>
          </w:r>
          <w:r w:rsidR="00427982">
            <w:rPr>
              <w:rFonts w:ascii="Times New Roman" w:hAnsi="Times New Roman" w:cs="Times New Roman"/>
              <w:vertAlign w:val="superscript"/>
            </w:rPr>
            <w:fldChar w:fldCharType="end"/>
          </w:r>
        </w:sdtContent>
      </w:sdt>
      <w:r w:rsidR="00427982">
        <w:rPr>
          <w:rFonts w:ascii="Times New Roman" w:hAnsi="Times New Roman" w:cs="Times New Roman"/>
        </w:rPr>
        <w:t xml:space="preserve">. </w:t>
      </w:r>
      <w:r w:rsidR="00C15552">
        <w:rPr>
          <w:rFonts w:ascii="Times New Roman" w:hAnsi="Times New Roman" w:cs="Times New Roman"/>
        </w:rPr>
        <w:t xml:space="preserve">This is higher than the just enough velocity of detonation </w:t>
      </w:r>
      <w:r w:rsidR="00E85805">
        <w:rPr>
          <w:rFonts w:ascii="Times New Roman" w:hAnsi="Times New Roman" w:cs="Times New Roman"/>
        </w:rPr>
        <w:t xml:space="preserve">of </w:t>
      </w:r>
      <w:r w:rsidR="00427982">
        <w:rPr>
          <w:rFonts w:ascii="Times New Roman" w:hAnsi="Times New Roman" w:cs="Times New Roman"/>
        </w:rPr>
        <w:t>5,450 ms</w:t>
      </w:r>
      <w:r w:rsidR="00427982">
        <w:rPr>
          <w:rFonts w:ascii="Times New Roman" w:hAnsi="Times New Roman" w:cs="Times New Roman"/>
          <w:vertAlign w:val="superscript"/>
        </w:rPr>
        <w:t>-1</w:t>
      </w:r>
      <w:r w:rsidR="00427982">
        <w:rPr>
          <w:rFonts w:ascii="Times New Roman" w:hAnsi="Times New Roman" w:cs="Times New Roman"/>
        </w:rPr>
        <w:t xml:space="preserve"> that would be obtained when </w:t>
      </w:r>
      <w:r w:rsidR="00E85805">
        <w:rPr>
          <w:rFonts w:ascii="Times New Roman" w:hAnsi="Times New Roman" w:cs="Times New Roman"/>
        </w:rPr>
        <w:t>using the critical density of picric acid</w:t>
      </w:r>
      <w:r w:rsidR="00427982">
        <w:rPr>
          <w:rFonts w:ascii="Times New Roman" w:hAnsi="Times New Roman" w:cs="Times New Roman"/>
        </w:rPr>
        <w:t>. This value was calculated using the equation</w:t>
      </w:r>
      <w:r w:rsidR="006C1B86">
        <w:rPr>
          <w:rFonts w:ascii="Times New Roman" w:hAnsi="Times New Roman" w:cs="Times New Roman"/>
        </w:rPr>
        <w:t>:</w:t>
      </w:r>
    </w:p>
    <w:p w14:paraId="58BD80C2" w14:textId="20E46EB2" w:rsidR="00B4227E" w:rsidRPr="00C15552" w:rsidRDefault="00C22605" w:rsidP="00B23C6E">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2</m:t>
              </m:r>
            </m:sub>
          </m:sSub>
          <m:r>
            <w:rPr>
              <w:rFonts w:ascii="Cambria Math" w:hAnsi="Cambria Math" w:cs="Times New Roman"/>
            </w:rPr>
            <m:t>+3500(</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2</m:t>
              </m:r>
            </m:sub>
          </m:sSub>
          <m:r>
            <w:rPr>
              <w:rFonts w:ascii="Cambria Math" w:hAnsi="Cambria Math" w:cs="Times New Roman"/>
            </w:rPr>
            <m:t>)</m:t>
          </m:r>
        </m:oMath>
      </m:oMathPara>
    </w:p>
    <w:p w14:paraId="6587FBF7" w14:textId="77777777" w:rsidR="002A350E" w:rsidRDefault="002A350E" w:rsidP="00B23C6E">
      <w:pPr>
        <w:rPr>
          <w:rFonts w:ascii="Times New Roman" w:hAnsi="Times New Roman" w:cs="Times New Roman"/>
        </w:rPr>
      </w:pPr>
    </w:p>
    <w:p w14:paraId="49767148" w14:textId="03B75D4C" w:rsidR="002A350E" w:rsidRDefault="00C727C1" w:rsidP="00B23C6E">
      <w:pPr>
        <w:rPr>
          <w:rFonts w:ascii="Times New Roman" w:hAnsi="Times New Roman" w:cs="Times New Roman"/>
        </w:rPr>
      </w:pPr>
      <w:r>
        <w:rPr>
          <w:rFonts w:ascii="Times New Roman" w:hAnsi="Times New Roman" w:cs="Times New Roman"/>
        </w:rPr>
        <w:t xml:space="preserve">Where </w:t>
      </w:r>
      <w:proofErr w:type="spellStart"/>
      <w:r>
        <w:rPr>
          <w:rFonts w:ascii="Times New Roman" w:hAnsi="Times New Roman" w:cs="Times New Roman"/>
        </w:rPr>
        <w:t>V</w:t>
      </w:r>
      <w:r>
        <w:rPr>
          <w:rFonts w:ascii="Times New Roman" w:hAnsi="Times New Roman" w:cs="Times New Roman"/>
          <w:vertAlign w:val="subscript"/>
        </w:rPr>
        <w:t>ρx</w:t>
      </w:r>
      <w:proofErr w:type="spellEnd"/>
      <w:r>
        <w:rPr>
          <w:rFonts w:ascii="Times New Roman" w:hAnsi="Times New Roman" w:cs="Times New Roman"/>
        </w:rPr>
        <w:t xml:space="preserve"> is the velocity of detonation for a given density</w:t>
      </w:r>
      <w:r w:rsidR="00A107CD">
        <w:rPr>
          <w:rFonts w:ascii="Times New Roman" w:hAnsi="Times New Roman" w:cs="Times New Roman"/>
        </w:rPr>
        <w:t xml:space="preserve"> and </w:t>
      </w:r>
      <w:proofErr w:type="spellStart"/>
      <w:r w:rsidR="00A107CD">
        <w:rPr>
          <w:rFonts w:ascii="Times New Roman" w:hAnsi="Times New Roman" w:cs="Times New Roman"/>
        </w:rPr>
        <w:t>ρ</w:t>
      </w:r>
      <w:r w:rsidR="00A107CD">
        <w:rPr>
          <w:rFonts w:ascii="Times New Roman" w:hAnsi="Times New Roman" w:cs="Times New Roman"/>
          <w:vertAlign w:val="subscript"/>
        </w:rPr>
        <w:t>x</w:t>
      </w:r>
      <w:proofErr w:type="spellEnd"/>
      <w:r w:rsidR="00A107CD">
        <w:rPr>
          <w:rFonts w:ascii="Times New Roman" w:hAnsi="Times New Roman" w:cs="Times New Roman"/>
          <w:vertAlign w:val="subscript"/>
        </w:rPr>
        <w:t xml:space="preserve"> </w:t>
      </w:r>
      <w:r w:rsidR="00A107CD">
        <w:rPr>
          <w:rFonts w:ascii="Times New Roman" w:hAnsi="Times New Roman" w:cs="Times New Roman"/>
        </w:rPr>
        <w:t>is the density of the explosive</w:t>
      </w:r>
      <w:sdt>
        <w:sdtPr>
          <w:rPr>
            <w:rFonts w:ascii="Times New Roman" w:hAnsi="Times New Roman" w:cs="Times New Roman"/>
          </w:rPr>
          <w:id w:val="-807867828"/>
          <w:citation/>
        </w:sdtPr>
        <w:sdtEndPr/>
        <w:sdtContent>
          <w:r w:rsidR="00A107CD">
            <w:rPr>
              <w:rFonts w:ascii="Times New Roman" w:hAnsi="Times New Roman" w:cs="Times New Roman"/>
            </w:rPr>
            <w:fldChar w:fldCharType="begin"/>
          </w:r>
          <w:r w:rsidR="00A107CD">
            <w:rPr>
              <w:rFonts w:ascii="Times New Roman" w:hAnsi="Times New Roman" w:cs="Times New Roman"/>
            </w:rPr>
            <w:instrText xml:space="preserve"> CITATION JAk22 \l 2057 </w:instrText>
          </w:r>
          <w:r w:rsidR="00A107CD">
            <w:rPr>
              <w:rFonts w:ascii="Times New Roman" w:hAnsi="Times New Roman" w:cs="Times New Roman"/>
            </w:rPr>
            <w:fldChar w:fldCharType="separate"/>
          </w:r>
          <w:r w:rsidR="00A107CD">
            <w:rPr>
              <w:rFonts w:ascii="Times New Roman" w:hAnsi="Times New Roman" w:cs="Times New Roman"/>
              <w:noProof/>
            </w:rPr>
            <w:t xml:space="preserve"> </w:t>
          </w:r>
          <w:r w:rsidR="00A107CD" w:rsidRPr="00A107CD">
            <w:rPr>
              <w:rFonts w:ascii="Times New Roman" w:hAnsi="Times New Roman" w:cs="Times New Roman"/>
              <w:noProof/>
            </w:rPr>
            <w:t>[1]</w:t>
          </w:r>
          <w:r w:rsidR="00A107CD">
            <w:rPr>
              <w:rFonts w:ascii="Times New Roman" w:hAnsi="Times New Roman" w:cs="Times New Roman"/>
            </w:rPr>
            <w:fldChar w:fldCharType="end"/>
          </w:r>
        </w:sdtContent>
      </w:sdt>
      <w:r w:rsidR="00A107CD">
        <w:rPr>
          <w:rFonts w:ascii="Times New Roman" w:hAnsi="Times New Roman" w:cs="Times New Roman"/>
        </w:rPr>
        <w:t>.</w:t>
      </w:r>
    </w:p>
    <w:p w14:paraId="6657FC80" w14:textId="1F3EBA8C" w:rsidR="00DA08B7" w:rsidRDefault="009C50BD" w:rsidP="00B23C6E">
      <w:pPr>
        <w:rPr>
          <w:rFonts w:ascii="Times New Roman" w:hAnsi="Times New Roman" w:cs="Times New Roman"/>
        </w:rPr>
      </w:pPr>
      <w:r>
        <w:rPr>
          <w:rFonts w:ascii="Times New Roman" w:hAnsi="Times New Roman" w:cs="Times New Roman"/>
        </w:rPr>
        <w:t xml:space="preserve">Mercury Fulminate </w:t>
      </w:r>
      <w:r w:rsidR="00615F5E">
        <w:rPr>
          <w:rFonts w:ascii="Times New Roman" w:hAnsi="Times New Roman" w:cs="Times New Roman"/>
        </w:rPr>
        <w:t xml:space="preserve">and Picric Acid form a viable explosive device that provides </w:t>
      </w:r>
      <w:r w:rsidR="00F4263A">
        <w:rPr>
          <w:rFonts w:ascii="Times New Roman" w:hAnsi="Times New Roman" w:cs="Times New Roman"/>
        </w:rPr>
        <w:t xml:space="preserve">satisfactory </w:t>
      </w:r>
      <w:r w:rsidR="00C22605">
        <w:rPr>
          <w:rFonts w:ascii="Times New Roman" w:hAnsi="Times New Roman" w:cs="Times New Roman"/>
        </w:rPr>
        <w:t>performance</w:t>
      </w:r>
      <w:r w:rsidR="00F4263A">
        <w:rPr>
          <w:rFonts w:ascii="Times New Roman" w:hAnsi="Times New Roman" w:cs="Times New Roman"/>
        </w:rPr>
        <w:t xml:space="preserve">. This is to be expected as they were common explosives in the past but are now both environmentally hazardous and </w:t>
      </w:r>
      <w:r w:rsidR="00C22605">
        <w:rPr>
          <w:rFonts w:ascii="Times New Roman" w:hAnsi="Times New Roman" w:cs="Times New Roman"/>
        </w:rPr>
        <w:t>too sensitive for modern safety margins. Examining what we have moved on from in the past and the process we did will help us as we look to move to a new generation of explosives in the future.</w:t>
      </w:r>
    </w:p>
    <w:p w14:paraId="0F212757" w14:textId="77777777" w:rsidR="00DA08B7" w:rsidRDefault="00DA08B7" w:rsidP="00B23C6E">
      <w:pPr>
        <w:rPr>
          <w:rFonts w:ascii="Times New Roman" w:hAnsi="Times New Roman" w:cs="Times New Roman"/>
        </w:rPr>
      </w:pPr>
    </w:p>
    <w:p w14:paraId="37E5CF57" w14:textId="77777777" w:rsidR="00DA08B7" w:rsidRDefault="00DA08B7" w:rsidP="00B23C6E">
      <w:pPr>
        <w:rPr>
          <w:rFonts w:ascii="Times New Roman" w:hAnsi="Times New Roman" w:cs="Times New Roman"/>
        </w:rPr>
      </w:pPr>
    </w:p>
    <w:p w14:paraId="458052DE" w14:textId="77777777" w:rsidR="00DA08B7" w:rsidRDefault="00DA08B7" w:rsidP="00B23C6E">
      <w:pPr>
        <w:rPr>
          <w:rFonts w:ascii="Times New Roman" w:hAnsi="Times New Roman" w:cs="Times New Roman"/>
        </w:rPr>
      </w:pPr>
    </w:p>
    <w:sdt>
      <w:sdtPr>
        <w:rPr>
          <w:rFonts w:asciiTheme="minorHAnsi" w:eastAsiaTheme="minorHAnsi" w:hAnsiTheme="minorHAnsi" w:cstheme="minorBidi"/>
          <w:color w:val="auto"/>
          <w:sz w:val="24"/>
          <w:szCs w:val="24"/>
        </w:rPr>
        <w:id w:val="360481289"/>
        <w:docPartObj>
          <w:docPartGallery w:val="Bibliographies"/>
          <w:docPartUnique/>
        </w:docPartObj>
      </w:sdtPr>
      <w:sdtEndPr/>
      <w:sdtContent>
        <w:p w14:paraId="62BFF9AE" w14:textId="5C0D713E" w:rsidR="00DA08B7" w:rsidRDefault="00DA08B7">
          <w:pPr>
            <w:pStyle w:val="Heading1"/>
          </w:pPr>
          <w:r>
            <w:t>Bibliography</w:t>
          </w:r>
        </w:p>
        <w:sdt>
          <w:sdtPr>
            <w:id w:val="111145805"/>
            <w:bibliography/>
          </w:sdtPr>
          <w:sdtEndPr/>
          <w:sdtContent>
            <w:p w14:paraId="5B23212B" w14:textId="77777777" w:rsidR="00DA08B7" w:rsidRDefault="00DA08B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A08B7" w14:paraId="2427B171" w14:textId="77777777">
                <w:trPr>
                  <w:divId w:val="1077748172"/>
                  <w:tblCellSpacing w:w="15" w:type="dxa"/>
                </w:trPr>
                <w:tc>
                  <w:tcPr>
                    <w:tcW w:w="50" w:type="pct"/>
                    <w:hideMark/>
                  </w:tcPr>
                  <w:p w14:paraId="301FE1CE" w14:textId="5FFBD4E4" w:rsidR="00DA08B7" w:rsidRDefault="00DA08B7">
                    <w:pPr>
                      <w:pStyle w:val="Bibliography"/>
                      <w:rPr>
                        <w:noProof/>
                        <w:kern w:val="0"/>
                        <w14:ligatures w14:val="none"/>
                      </w:rPr>
                    </w:pPr>
                    <w:r>
                      <w:rPr>
                        <w:noProof/>
                      </w:rPr>
                      <w:t xml:space="preserve">[1] </w:t>
                    </w:r>
                  </w:p>
                </w:tc>
                <w:tc>
                  <w:tcPr>
                    <w:tcW w:w="0" w:type="auto"/>
                    <w:hideMark/>
                  </w:tcPr>
                  <w:p w14:paraId="522658C0" w14:textId="77777777" w:rsidR="00DA08B7" w:rsidRDefault="00DA08B7">
                    <w:pPr>
                      <w:pStyle w:val="Bibliography"/>
                      <w:rPr>
                        <w:noProof/>
                      </w:rPr>
                    </w:pPr>
                    <w:r>
                      <w:rPr>
                        <w:noProof/>
                      </w:rPr>
                      <w:t xml:space="preserve">J.Akhaven, The Chemistry of Explosives 4th Edition, London: The Royal Society of Chemistry, 2022. </w:t>
                    </w:r>
                  </w:p>
                </w:tc>
              </w:tr>
              <w:tr w:rsidR="00DA08B7" w14:paraId="70AE3F80" w14:textId="77777777">
                <w:trPr>
                  <w:divId w:val="1077748172"/>
                  <w:tblCellSpacing w:w="15" w:type="dxa"/>
                </w:trPr>
                <w:tc>
                  <w:tcPr>
                    <w:tcW w:w="50" w:type="pct"/>
                    <w:hideMark/>
                  </w:tcPr>
                  <w:p w14:paraId="21CF00E9" w14:textId="77777777" w:rsidR="00DA08B7" w:rsidRDefault="00DA08B7">
                    <w:pPr>
                      <w:pStyle w:val="Bibliography"/>
                      <w:rPr>
                        <w:noProof/>
                      </w:rPr>
                    </w:pPr>
                    <w:r>
                      <w:rPr>
                        <w:noProof/>
                      </w:rPr>
                      <w:t xml:space="preserve">[2] </w:t>
                    </w:r>
                  </w:p>
                </w:tc>
                <w:tc>
                  <w:tcPr>
                    <w:tcW w:w="0" w:type="auto"/>
                    <w:hideMark/>
                  </w:tcPr>
                  <w:p w14:paraId="1D62C1B7" w14:textId="77777777" w:rsidR="00DA08B7" w:rsidRDefault="00DA08B7">
                    <w:pPr>
                      <w:pStyle w:val="Bibliography"/>
                      <w:rPr>
                        <w:noProof/>
                      </w:rPr>
                    </w:pPr>
                    <w:r>
                      <w:rPr>
                        <w:noProof/>
                      </w:rPr>
                      <w:t xml:space="preserve">J. P. Robert Maytas, Primary Explosives, Springer Science and Business Media, 2013. </w:t>
                    </w:r>
                  </w:p>
                </w:tc>
              </w:tr>
              <w:tr w:rsidR="00DA08B7" w14:paraId="53457B47" w14:textId="77777777">
                <w:trPr>
                  <w:divId w:val="1077748172"/>
                  <w:tblCellSpacing w:w="15" w:type="dxa"/>
                </w:trPr>
                <w:tc>
                  <w:tcPr>
                    <w:tcW w:w="50" w:type="pct"/>
                    <w:hideMark/>
                  </w:tcPr>
                  <w:p w14:paraId="67C71047" w14:textId="77777777" w:rsidR="00DA08B7" w:rsidRDefault="00DA08B7">
                    <w:pPr>
                      <w:pStyle w:val="Bibliography"/>
                      <w:rPr>
                        <w:noProof/>
                      </w:rPr>
                    </w:pPr>
                    <w:r>
                      <w:rPr>
                        <w:noProof/>
                      </w:rPr>
                      <w:t xml:space="preserve">[3] </w:t>
                    </w:r>
                  </w:p>
                </w:tc>
                <w:tc>
                  <w:tcPr>
                    <w:tcW w:w="0" w:type="auto"/>
                    <w:hideMark/>
                  </w:tcPr>
                  <w:p w14:paraId="5AC85A85" w14:textId="77777777" w:rsidR="00DA08B7" w:rsidRDefault="00DA08B7">
                    <w:pPr>
                      <w:pStyle w:val="Bibliography"/>
                      <w:rPr>
                        <w:noProof/>
                      </w:rPr>
                    </w:pPr>
                    <w:r>
                      <w:rPr>
                        <w:noProof/>
                      </w:rPr>
                      <w:t xml:space="preserve">N. Friedman, Naval weapons of World War One : guns, torpedoes, mines and ASW weapons of all nations; an illustrated directory, Barnsely: Seaforth, 2012. </w:t>
                    </w:r>
                  </w:p>
                </w:tc>
              </w:tr>
              <w:tr w:rsidR="00DA08B7" w14:paraId="7E68916B" w14:textId="77777777">
                <w:trPr>
                  <w:divId w:val="1077748172"/>
                  <w:tblCellSpacing w:w="15" w:type="dxa"/>
                </w:trPr>
                <w:tc>
                  <w:tcPr>
                    <w:tcW w:w="50" w:type="pct"/>
                    <w:hideMark/>
                  </w:tcPr>
                  <w:p w14:paraId="2B974044" w14:textId="77777777" w:rsidR="00DA08B7" w:rsidRDefault="00DA08B7">
                    <w:pPr>
                      <w:pStyle w:val="Bibliography"/>
                      <w:rPr>
                        <w:noProof/>
                      </w:rPr>
                    </w:pPr>
                    <w:r>
                      <w:rPr>
                        <w:noProof/>
                      </w:rPr>
                      <w:t xml:space="preserve">[4] </w:t>
                    </w:r>
                  </w:p>
                </w:tc>
                <w:tc>
                  <w:tcPr>
                    <w:tcW w:w="0" w:type="auto"/>
                    <w:hideMark/>
                  </w:tcPr>
                  <w:p w14:paraId="648932A3" w14:textId="77777777" w:rsidR="00DA08B7" w:rsidRDefault="00DA08B7">
                    <w:pPr>
                      <w:pStyle w:val="Bibliography"/>
                      <w:rPr>
                        <w:noProof/>
                      </w:rPr>
                    </w:pPr>
                    <w:r>
                      <w:rPr>
                        <w:noProof/>
                      </w:rPr>
                      <w:t xml:space="preserve">M. A. Cook, The Science of High Explosives, 1958. </w:t>
                    </w:r>
                  </w:p>
                </w:tc>
              </w:tr>
              <w:tr w:rsidR="00DA08B7" w14:paraId="4DE17836" w14:textId="77777777">
                <w:trPr>
                  <w:divId w:val="1077748172"/>
                  <w:tblCellSpacing w:w="15" w:type="dxa"/>
                </w:trPr>
                <w:tc>
                  <w:tcPr>
                    <w:tcW w:w="50" w:type="pct"/>
                    <w:hideMark/>
                  </w:tcPr>
                  <w:p w14:paraId="0C9FBFE4" w14:textId="77777777" w:rsidR="00DA08B7" w:rsidRDefault="00DA08B7">
                    <w:pPr>
                      <w:pStyle w:val="Bibliography"/>
                      <w:rPr>
                        <w:noProof/>
                      </w:rPr>
                    </w:pPr>
                    <w:r>
                      <w:rPr>
                        <w:noProof/>
                      </w:rPr>
                      <w:t xml:space="preserve">[5] </w:t>
                    </w:r>
                  </w:p>
                </w:tc>
                <w:tc>
                  <w:tcPr>
                    <w:tcW w:w="0" w:type="auto"/>
                    <w:hideMark/>
                  </w:tcPr>
                  <w:p w14:paraId="679157C8" w14:textId="77777777" w:rsidR="00DA08B7" w:rsidRDefault="00DA08B7">
                    <w:pPr>
                      <w:pStyle w:val="Bibliography"/>
                      <w:rPr>
                        <w:noProof/>
                      </w:rPr>
                    </w:pPr>
                    <w:r>
                      <w:rPr>
                        <w:noProof/>
                      </w:rPr>
                      <w:t>K. Singh, “Initiaion of Explosion in Crystals of Mercury Fulminate,” Institute of Armament Studies, Poona 3, 1956.</w:t>
                    </w:r>
                  </w:p>
                </w:tc>
              </w:tr>
              <w:tr w:rsidR="00DA08B7" w14:paraId="046D6415" w14:textId="77777777">
                <w:trPr>
                  <w:divId w:val="1077748172"/>
                  <w:tblCellSpacing w:w="15" w:type="dxa"/>
                </w:trPr>
                <w:tc>
                  <w:tcPr>
                    <w:tcW w:w="50" w:type="pct"/>
                    <w:hideMark/>
                  </w:tcPr>
                  <w:p w14:paraId="5DCD8050" w14:textId="77777777" w:rsidR="00DA08B7" w:rsidRDefault="00DA08B7">
                    <w:pPr>
                      <w:pStyle w:val="Bibliography"/>
                      <w:rPr>
                        <w:noProof/>
                      </w:rPr>
                    </w:pPr>
                    <w:r>
                      <w:rPr>
                        <w:noProof/>
                      </w:rPr>
                      <w:t xml:space="preserve">[6] </w:t>
                    </w:r>
                  </w:p>
                </w:tc>
                <w:tc>
                  <w:tcPr>
                    <w:tcW w:w="0" w:type="auto"/>
                    <w:hideMark/>
                  </w:tcPr>
                  <w:p w14:paraId="2FC06EF4" w14:textId="77777777" w:rsidR="00DA08B7" w:rsidRDefault="00DA08B7">
                    <w:pPr>
                      <w:pStyle w:val="Bibliography"/>
                      <w:rPr>
                        <w:noProof/>
                      </w:rPr>
                    </w:pPr>
                    <w:r>
                      <w:rPr>
                        <w:noProof/>
                      </w:rPr>
                      <w:t xml:space="preserve">E. C. Koch, High Explosivea, Propellants, Pyrotechnics, De Gruyter, 2021. </w:t>
                    </w:r>
                  </w:p>
                </w:tc>
              </w:tr>
              <w:tr w:rsidR="00DA08B7" w14:paraId="47603FCF" w14:textId="77777777">
                <w:trPr>
                  <w:divId w:val="1077748172"/>
                  <w:tblCellSpacing w:w="15" w:type="dxa"/>
                </w:trPr>
                <w:tc>
                  <w:tcPr>
                    <w:tcW w:w="50" w:type="pct"/>
                    <w:hideMark/>
                  </w:tcPr>
                  <w:p w14:paraId="73A51A25" w14:textId="77777777" w:rsidR="00DA08B7" w:rsidRDefault="00DA08B7">
                    <w:pPr>
                      <w:pStyle w:val="Bibliography"/>
                      <w:rPr>
                        <w:noProof/>
                      </w:rPr>
                    </w:pPr>
                    <w:r>
                      <w:rPr>
                        <w:noProof/>
                      </w:rPr>
                      <w:t xml:space="preserve">[7] </w:t>
                    </w:r>
                  </w:p>
                </w:tc>
                <w:tc>
                  <w:tcPr>
                    <w:tcW w:w="0" w:type="auto"/>
                    <w:hideMark/>
                  </w:tcPr>
                  <w:p w14:paraId="1FE8F734" w14:textId="77777777" w:rsidR="00DA08B7" w:rsidRDefault="00DA08B7">
                    <w:pPr>
                      <w:pStyle w:val="Bibliography"/>
                      <w:rPr>
                        <w:noProof/>
                      </w:rPr>
                    </w:pPr>
                    <w:r>
                      <w:rPr>
                        <w:noProof/>
                      </w:rPr>
                      <w:t xml:space="preserve">T. M. Klapotke, Chemistry of High Energy Materials, Berlin: De Gruyter, 2022. </w:t>
                    </w:r>
                  </w:p>
                </w:tc>
              </w:tr>
              <w:tr w:rsidR="00DA08B7" w14:paraId="33FCBBE0" w14:textId="77777777">
                <w:trPr>
                  <w:divId w:val="1077748172"/>
                  <w:tblCellSpacing w:w="15" w:type="dxa"/>
                </w:trPr>
                <w:tc>
                  <w:tcPr>
                    <w:tcW w:w="50" w:type="pct"/>
                    <w:hideMark/>
                  </w:tcPr>
                  <w:p w14:paraId="527CD1B3" w14:textId="77777777" w:rsidR="00DA08B7" w:rsidRDefault="00DA08B7">
                    <w:pPr>
                      <w:pStyle w:val="Bibliography"/>
                      <w:rPr>
                        <w:noProof/>
                      </w:rPr>
                    </w:pPr>
                    <w:r>
                      <w:rPr>
                        <w:noProof/>
                      </w:rPr>
                      <w:t xml:space="preserve">[8] </w:t>
                    </w:r>
                  </w:p>
                </w:tc>
                <w:tc>
                  <w:tcPr>
                    <w:tcW w:w="0" w:type="auto"/>
                    <w:hideMark/>
                  </w:tcPr>
                  <w:p w14:paraId="19859047" w14:textId="77777777" w:rsidR="00DA08B7" w:rsidRDefault="00DA08B7">
                    <w:pPr>
                      <w:pStyle w:val="Bibliography"/>
                      <w:rPr>
                        <w:noProof/>
                      </w:rPr>
                    </w:pPr>
                    <w:r>
                      <w:rPr>
                        <w:noProof/>
                      </w:rPr>
                      <w:t xml:space="preserve">J. A. Z. a. W. Walters, Explosive Effects and Applications, Springer Science and Business Media, 2013. </w:t>
                    </w:r>
                  </w:p>
                </w:tc>
              </w:tr>
              <w:tr w:rsidR="00DA08B7" w14:paraId="61A38FB6" w14:textId="77777777">
                <w:trPr>
                  <w:divId w:val="1077748172"/>
                  <w:tblCellSpacing w:w="15" w:type="dxa"/>
                </w:trPr>
                <w:tc>
                  <w:tcPr>
                    <w:tcW w:w="50" w:type="pct"/>
                    <w:hideMark/>
                  </w:tcPr>
                  <w:p w14:paraId="01C0502E" w14:textId="77777777" w:rsidR="00DA08B7" w:rsidRDefault="00DA08B7">
                    <w:pPr>
                      <w:pStyle w:val="Bibliography"/>
                      <w:rPr>
                        <w:noProof/>
                      </w:rPr>
                    </w:pPr>
                    <w:r>
                      <w:rPr>
                        <w:noProof/>
                      </w:rPr>
                      <w:t xml:space="preserve">[9] </w:t>
                    </w:r>
                  </w:p>
                </w:tc>
                <w:tc>
                  <w:tcPr>
                    <w:tcW w:w="0" w:type="auto"/>
                    <w:hideMark/>
                  </w:tcPr>
                  <w:p w14:paraId="49D092FB" w14:textId="77777777" w:rsidR="00DA08B7" w:rsidRDefault="00DA08B7">
                    <w:pPr>
                      <w:pStyle w:val="Bibliography"/>
                      <w:rPr>
                        <w:noProof/>
                      </w:rPr>
                    </w:pPr>
                    <w:r>
                      <w:rPr>
                        <w:noProof/>
                      </w:rPr>
                      <w:t>B.Dobratz, “LLNL Explosives handbook properties of chemical explosives and explosions and explosive stimulants,” 1981.</w:t>
                    </w:r>
                  </w:p>
                </w:tc>
              </w:tr>
            </w:tbl>
            <w:p w14:paraId="5ACD1281" w14:textId="77777777" w:rsidR="00DA08B7" w:rsidRDefault="00DA08B7">
              <w:pPr>
                <w:divId w:val="1077748172"/>
                <w:rPr>
                  <w:rFonts w:eastAsia="Times New Roman"/>
                  <w:noProof/>
                </w:rPr>
              </w:pPr>
            </w:p>
            <w:p w14:paraId="79DA821E" w14:textId="6C42DC61" w:rsidR="00DA08B7" w:rsidRDefault="00DA08B7">
              <w:r>
                <w:rPr>
                  <w:b/>
                  <w:bCs/>
                  <w:noProof/>
                </w:rPr>
                <w:fldChar w:fldCharType="end"/>
              </w:r>
            </w:p>
          </w:sdtContent>
        </w:sdt>
      </w:sdtContent>
    </w:sdt>
    <w:p w14:paraId="0EE9EE29" w14:textId="3B8FEEF8" w:rsidR="00DA08B7" w:rsidRDefault="00DA08B7">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17047736" w:history="1">
        <w:r w:rsidRPr="005D06BA">
          <w:rPr>
            <w:rStyle w:val="Hyperlink"/>
            <w:noProof/>
          </w:rPr>
          <w:t>Figure 1:Propagation of a Detonation wave highlighting the convex front [1]</w:t>
        </w:r>
        <w:r>
          <w:rPr>
            <w:noProof/>
            <w:webHidden/>
          </w:rPr>
          <w:tab/>
        </w:r>
        <w:r>
          <w:rPr>
            <w:noProof/>
            <w:webHidden/>
          </w:rPr>
          <w:fldChar w:fldCharType="begin"/>
        </w:r>
        <w:r>
          <w:rPr>
            <w:noProof/>
            <w:webHidden/>
          </w:rPr>
          <w:instrText xml:space="preserve"> PAGEREF _Toc217047736 \h </w:instrText>
        </w:r>
        <w:r>
          <w:rPr>
            <w:noProof/>
            <w:webHidden/>
          </w:rPr>
        </w:r>
        <w:r>
          <w:rPr>
            <w:noProof/>
            <w:webHidden/>
          </w:rPr>
          <w:fldChar w:fldCharType="separate"/>
        </w:r>
        <w:r>
          <w:rPr>
            <w:noProof/>
            <w:webHidden/>
          </w:rPr>
          <w:t>5</w:t>
        </w:r>
        <w:r>
          <w:rPr>
            <w:noProof/>
            <w:webHidden/>
          </w:rPr>
          <w:fldChar w:fldCharType="end"/>
        </w:r>
      </w:hyperlink>
    </w:p>
    <w:p w14:paraId="3F6255DD" w14:textId="014EF9F5" w:rsidR="00DA08B7" w:rsidRDefault="00DA08B7">
      <w:pPr>
        <w:pStyle w:val="TableofFigures"/>
        <w:tabs>
          <w:tab w:val="right" w:leader="dot" w:pos="9016"/>
        </w:tabs>
        <w:rPr>
          <w:rFonts w:eastAsiaTheme="minorEastAsia"/>
          <w:noProof/>
          <w:lang w:eastAsia="en-GB"/>
        </w:rPr>
      </w:pPr>
      <w:hyperlink w:anchor="_Toc217047737" w:history="1">
        <w:r w:rsidRPr="005D06BA">
          <w:rPr>
            <w:rStyle w:val="Hyperlink"/>
            <w:noProof/>
          </w:rPr>
          <w:t>Figure 2: British and German 12" HE Shells [3]</w:t>
        </w:r>
        <w:r>
          <w:rPr>
            <w:noProof/>
            <w:webHidden/>
          </w:rPr>
          <w:tab/>
        </w:r>
        <w:r>
          <w:rPr>
            <w:noProof/>
            <w:webHidden/>
          </w:rPr>
          <w:fldChar w:fldCharType="begin"/>
        </w:r>
        <w:r>
          <w:rPr>
            <w:noProof/>
            <w:webHidden/>
          </w:rPr>
          <w:instrText xml:space="preserve"> PAGEREF _Toc217047737 \h </w:instrText>
        </w:r>
        <w:r>
          <w:rPr>
            <w:noProof/>
            <w:webHidden/>
          </w:rPr>
        </w:r>
        <w:r>
          <w:rPr>
            <w:noProof/>
            <w:webHidden/>
          </w:rPr>
          <w:fldChar w:fldCharType="separate"/>
        </w:r>
        <w:r>
          <w:rPr>
            <w:noProof/>
            <w:webHidden/>
          </w:rPr>
          <w:t>7</w:t>
        </w:r>
        <w:r>
          <w:rPr>
            <w:noProof/>
            <w:webHidden/>
          </w:rPr>
          <w:fldChar w:fldCharType="end"/>
        </w:r>
      </w:hyperlink>
    </w:p>
    <w:p w14:paraId="3A84D740" w14:textId="6DD0616A" w:rsidR="00DA08B7" w:rsidRDefault="00DA08B7">
      <w:pPr>
        <w:pStyle w:val="TableofFigures"/>
        <w:tabs>
          <w:tab w:val="right" w:leader="dot" w:pos="9016"/>
        </w:tabs>
        <w:rPr>
          <w:rFonts w:eastAsiaTheme="minorEastAsia"/>
          <w:noProof/>
          <w:lang w:eastAsia="en-GB"/>
        </w:rPr>
      </w:pPr>
      <w:hyperlink w:anchor="_Toc217047738" w:history="1">
        <w:r w:rsidRPr="005D06BA">
          <w:rPr>
            <w:rStyle w:val="Hyperlink"/>
            <w:noProof/>
          </w:rPr>
          <w:t>Figure 3: Diagram of the Explosive Train</w:t>
        </w:r>
        <w:r>
          <w:rPr>
            <w:noProof/>
            <w:webHidden/>
          </w:rPr>
          <w:tab/>
        </w:r>
        <w:r>
          <w:rPr>
            <w:noProof/>
            <w:webHidden/>
          </w:rPr>
          <w:fldChar w:fldCharType="begin"/>
        </w:r>
        <w:r>
          <w:rPr>
            <w:noProof/>
            <w:webHidden/>
          </w:rPr>
          <w:instrText xml:space="preserve"> PAGEREF _Toc217047738 \h </w:instrText>
        </w:r>
        <w:r>
          <w:rPr>
            <w:noProof/>
            <w:webHidden/>
          </w:rPr>
        </w:r>
        <w:r>
          <w:rPr>
            <w:noProof/>
            <w:webHidden/>
          </w:rPr>
          <w:fldChar w:fldCharType="separate"/>
        </w:r>
        <w:r>
          <w:rPr>
            <w:noProof/>
            <w:webHidden/>
          </w:rPr>
          <w:t>9</w:t>
        </w:r>
        <w:r>
          <w:rPr>
            <w:noProof/>
            <w:webHidden/>
          </w:rPr>
          <w:fldChar w:fldCharType="end"/>
        </w:r>
      </w:hyperlink>
    </w:p>
    <w:p w14:paraId="16158E31" w14:textId="15429588" w:rsidR="00DA08B7" w:rsidRDefault="00DA08B7" w:rsidP="00B23C6E">
      <w:pPr>
        <w:rPr>
          <w:noProof/>
        </w:rPr>
      </w:pPr>
      <w:r>
        <w:rPr>
          <w:rFonts w:ascii="Times New Roman" w:hAnsi="Times New Roman" w:cs="Times New Roman"/>
        </w:rPr>
        <w:fldChar w:fldCharType="end"/>
      </w: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p>
    <w:p w14:paraId="53FCB6A1" w14:textId="63C7E412" w:rsidR="00DA08B7" w:rsidRDefault="00DA08B7">
      <w:pPr>
        <w:pStyle w:val="TableofFigures"/>
        <w:tabs>
          <w:tab w:val="right" w:leader="dot" w:pos="9016"/>
        </w:tabs>
        <w:rPr>
          <w:rFonts w:eastAsiaTheme="minorEastAsia"/>
          <w:noProof/>
          <w:lang w:eastAsia="en-GB"/>
        </w:rPr>
      </w:pPr>
      <w:hyperlink w:anchor="_Toc217047690" w:history="1">
        <w:r w:rsidRPr="00AB1605">
          <w:rPr>
            <w:rStyle w:val="Hyperlink"/>
            <w:noProof/>
          </w:rPr>
          <w:t>Table 1: Properties of Mercury Fulminate [6]</w:t>
        </w:r>
        <w:r>
          <w:rPr>
            <w:noProof/>
            <w:webHidden/>
          </w:rPr>
          <w:tab/>
        </w:r>
        <w:r>
          <w:rPr>
            <w:noProof/>
            <w:webHidden/>
          </w:rPr>
          <w:fldChar w:fldCharType="begin"/>
        </w:r>
        <w:r>
          <w:rPr>
            <w:noProof/>
            <w:webHidden/>
          </w:rPr>
          <w:instrText xml:space="preserve"> PAGEREF _Toc217047690 \h </w:instrText>
        </w:r>
        <w:r>
          <w:rPr>
            <w:noProof/>
            <w:webHidden/>
          </w:rPr>
        </w:r>
        <w:r>
          <w:rPr>
            <w:noProof/>
            <w:webHidden/>
          </w:rPr>
          <w:fldChar w:fldCharType="separate"/>
        </w:r>
        <w:r>
          <w:rPr>
            <w:noProof/>
            <w:webHidden/>
          </w:rPr>
          <w:t>3</w:t>
        </w:r>
        <w:r>
          <w:rPr>
            <w:noProof/>
            <w:webHidden/>
          </w:rPr>
          <w:fldChar w:fldCharType="end"/>
        </w:r>
      </w:hyperlink>
    </w:p>
    <w:p w14:paraId="20F72D9C" w14:textId="4661D450" w:rsidR="00DA08B7" w:rsidRDefault="00DA08B7">
      <w:pPr>
        <w:pStyle w:val="TableofFigures"/>
        <w:tabs>
          <w:tab w:val="right" w:leader="dot" w:pos="9016"/>
        </w:tabs>
        <w:rPr>
          <w:rFonts w:eastAsiaTheme="minorEastAsia"/>
          <w:noProof/>
          <w:lang w:eastAsia="en-GB"/>
        </w:rPr>
      </w:pPr>
      <w:hyperlink w:anchor="_Toc217047691" w:history="1">
        <w:r w:rsidRPr="00AB1605">
          <w:rPr>
            <w:rStyle w:val="Hyperlink"/>
            <w:noProof/>
          </w:rPr>
          <w:t>Table 2:Properties of Picric Acid</w:t>
        </w:r>
        <w:r w:rsidRPr="00AB1605">
          <w:rPr>
            <w:rStyle w:val="Hyperlink"/>
            <w:rFonts w:ascii="Times New Roman" w:hAnsi="Times New Roman" w:cs="Times New Roman"/>
            <w:noProof/>
          </w:rPr>
          <w:t xml:space="preserve"> [6]</w:t>
        </w:r>
        <w:r>
          <w:rPr>
            <w:noProof/>
            <w:webHidden/>
          </w:rPr>
          <w:tab/>
        </w:r>
        <w:r>
          <w:rPr>
            <w:noProof/>
            <w:webHidden/>
          </w:rPr>
          <w:fldChar w:fldCharType="begin"/>
        </w:r>
        <w:r>
          <w:rPr>
            <w:noProof/>
            <w:webHidden/>
          </w:rPr>
          <w:instrText xml:space="preserve"> PAGEREF _Toc217047691 \h </w:instrText>
        </w:r>
        <w:r>
          <w:rPr>
            <w:noProof/>
            <w:webHidden/>
          </w:rPr>
        </w:r>
        <w:r>
          <w:rPr>
            <w:noProof/>
            <w:webHidden/>
          </w:rPr>
          <w:fldChar w:fldCharType="separate"/>
        </w:r>
        <w:r>
          <w:rPr>
            <w:noProof/>
            <w:webHidden/>
          </w:rPr>
          <w:t>4</w:t>
        </w:r>
        <w:r>
          <w:rPr>
            <w:noProof/>
            <w:webHidden/>
          </w:rPr>
          <w:fldChar w:fldCharType="end"/>
        </w:r>
      </w:hyperlink>
    </w:p>
    <w:p w14:paraId="1C0FEFAB" w14:textId="3ECB3DFB" w:rsidR="00DA08B7" w:rsidRPr="00A107CD" w:rsidRDefault="00DA08B7" w:rsidP="00B23C6E">
      <w:pPr>
        <w:rPr>
          <w:rFonts w:ascii="Times New Roman" w:hAnsi="Times New Roman" w:cs="Times New Roman"/>
        </w:rPr>
      </w:pPr>
      <w:r>
        <w:rPr>
          <w:rFonts w:ascii="Times New Roman" w:hAnsi="Times New Roman" w:cs="Times New Roman"/>
        </w:rPr>
        <w:fldChar w:fldCharType="end"/>
      </w:r>
    </w:p>
    <w:sectPr w:rsidR="00DA08B7" w:rsidRPr="00A10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621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91804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10C"/>
    <w:rsid w:val="00003CF4"/>
    <w:rsid w:val="00043236"/>
    <w:rsid w:val="000610DD"/>
    <w:rsid w:val="00081ED2"/>
    <w:rsid w:val="000949A0"/>
    <w:rsid w:val="000A59E0"/>
    <w:rsid w:val="000C0971"/>
    <w:rsid w:val="000C4E33"/>
    <w:rsid w:val="000D1BAE"/>
    <w:rsid w:val="000F51AE"/>
    <w:rsid w:val="000F5D05"/>
    <w:rsid w:val="001219FB"/>
    <w:rsid w:val="00162E98"/>
    <w:rsid w:val="001713EC"/>
    <w:rsid w:val="00175E9D"/>
    <w:rsid w:val="00197663"/>
    <w:rsid w:val="001A6F2B"/>
    <w:rsid w:val="001B6B5B"/>
    <w:rsid w:val="001C16A0"/>
    <w:rsid w:val="001C24D6"/>
    <w:rsid w:val="001C49EA"/>
    <w:rsid w:val="0020178D"/>
    <w:rsid w:val="002050A1"/>
    <w:rsid w:val="0021751E"/>
    <w:rsid w:val="00222BFE"/>
    <w:rsid w:val="00253AAE"/>
    <w:rsid w:val="00260D8D"/>
    <w:rsid w:val="00271F25"/>
    <w:rsid w:val="00285AC3"/>
    <w:rsid w:val="00296954"/>
    <w:rsid w:val="002A350E"/>
    <w:rsid w:val="002A644A"/>
    <w:rsid w:val="002B33A7"/>
    <w:rsid w:val="002D0658"/>
    <w:rsid w:val="002E4D84"/>
    <w:rsid w:val="00302A80"/>
    <w:rsid w:val="0030504B"/>
    <w:rsid w:val="00305D44"/>
    <w:rsid w:val="00373365"/>
    <w:rsid w:val="003873D8"/>
    <w:rsid w:val="003D4510"/>
    <w:rsid w:val="003D7939"/>
    <w:rsid w:val="003E0DB1"/>
    <w:rsid w:val="003F45EA"/>
    <w:rsid w:val="003F5DFF"/>
    <w:rsid w:val="004118CA"/>
    <w:rsid w:val="00422657"/>
    <w:rsid w:val="00427982"/>
    <w:rsid w:val="004572D8"/>
    <w:rsid w:val="004611F0"/>
    <w:rsid w:val="00463D58"/>
    <w:rsid w:val="00471936"/>
    <w:rsid w:val="00472885"/>
    <w:rsid w:val="00480C6E"/>
    <w:rsid w:val="004B270B"/>
    <w:rsid w:val="004E1AAC"/>
    <w:rsid w:val="004F70E5"/>
    <w:rsid w:val="00513FBD"/>
    <w:rsid w:val="00526B65"/>
    <w:rsid w:val="00567475"/>
    <w:rsid w:val="005713B4"/>
    <w:rsid w:val="005739E9"/>
    <w:rsid w:val="005811B0"/>
    <w:rsid w:val="005E7827"/>
    <w:rsid w:val="005F646F"/>
    <w:rsid w:val="00615F5E"/>
    <w:rsid w:val="00633BCB"/>
    <w:rsid w:val="0064009D"/>
    <w:rsid w:val="00642F53"/>
    <w:rsid w:val="00684FD1"/>
    <w:rsid w:val="0069110C"/>
    <w:rsid w:val="006965CC"/>
    <w:rsid w:val="006C1B86"/>
    <w:rsid w:val="006C3283"/>
    <w:rsid w:val="006C3400"/>
    <w:rsid w:val="006C3705"/>
    <w:rsid w:val="006E755B"/>
    <w:rsid w:val="006F28C8"/>
    <w:rsid w:val="006F350E"/>
    <w:rsid w:val="0070732F"/>
    <w:rsid w:val="00712ED4"/>
    <w:rsid w:val="00753C7B"/>
    <w:rsid w:val="00775959"/>
    <w:rsid w:val="007776DB"/>
    <w:rsid w:val="007810C5"/>
    <w:rsid w:val="00781815"/>
    <w:rsid w:val="00792D56"/>
    <w:rsid w:val="00793677"/>
    <w:rsid w:val="007A6A72"/>
    <w:rsid w:val="007A7D27"/>
    <w:rsid w:val="007B55A8"/>
    <w:rsid w:val="007C492E"/>
    <w:rsid w:val="007C76B3"/>
    <w:rsid w:val="007D5FA8"/>
    <w:rsid w:val="007E04E7"/>
    <w:rsid w:val="00801CDF"/>
    <w:rsid w:val="00812C39"/>
    <w:rsid w:val="0081313C"/>
    <w:rsid w:val="0087039C"/>
    <w:rsid w:val="008B1CEC"/>
    <w:rsid w:val="008B25DD"/>
    <w:rsid w:val="008B53FE"/>
    <w:rsid w:val="008B5AA7"/>
    <w:rsid w:val="00902D5D"/>
    <w:rsid w:val="00905F79"/>
    <w:rsid w:val="00916BC0"/>
    <w:rsid w:val="00920D38"/>
    <w:rsid w:val="009326D5"/>
    <w:rsid w:val="00942ECB"/>
    <w:rsid w:val="00960A77"/>
    <w:rsid w:val="009857CF"/>
    <w:rsid w:val="0098672A"/>
    <w:rsid w:val="009A0B8E"/>
    <w:rsid w:val="009A22BC"/>
    <w:rsid w:val="009B23FF"/>
    <w:rsid w:val="009C50BD"/>
    <w:rsid w:val="009C5D8B"/>
    <w:rsid w:val="009D4DBB"/>
    <w:rsid w:val="009E1F3B"/>
    <w:rsid w:val="009F43BD"/>
    <w:rsid w:val="009F56F8"/>
    <w:rsid w:val="009F71AC"/>
    <w:rsid w:val="00A107CD"/>
    <w:rsid w:val="00A2658E"/>
    <w:rsid w:val="00A30708"/>
    <w:rsid w:val="00A324FB"/>
    <w:rsid w:val="00A46CAC"/>
    <w:rsid w:val="00A641DC"/>
    <w:rsid w:val="00A76ABE"/>
    <w:rsid w:val="00A77E53"/>
    <w:rsid w:val="00A9335D"/>
    <w:rsid w:val="00A94FF4"/>
    <w:rsid w:val="00AF4D89"/>
    <w:rsid w:val="00AF5FD5"/>
    <w:rsid w:val="00B0079E"/>
    <w:rsid w:val="00B20C65"/>
    <w:rsid w:val="00B23C6E"/>
    <w:rsid w:val="00B24800"/>
    <w:rsid w:val="00B25819"/>
    <w:rsid w:val="00B4227E"/>
    <w:rsid w:val="00B64BFC"/>
    <w:rsid w:val="00BB0528"/>
    <w:rsid w:val="00BB308E"/>
    <w:rsid w:val="00BC408D"/>
    <w:rsid w:val="00BD30B1"/>
    <w:rsid w:val="00BF5848"/>
    <w:rsid w:val="00C027C7"/>
    <w:rsid w:val="00C15552"/>
    <w:rsid w:val="00C22605"/>
    <w:rsid w:val="00C238D6"/>
    <w:rsid w:val="00C30B37"/>
    <w:rsid w:val="00C356D4"/>
    <w:rsid w:val="00C36E49"/>
    <w:rsid w:val="00C40BFC"/>
    <w:rsid w:val="00C55E9C"/>
    <w:rsid w:val="00C6631B"/>
    <w:rsid w:val="00C676AD"/>
    <w:rsid w:val="00C67C16"/>
    <w:rsid w:val="00C727C1"/>
    <w:rsid w:val="00CB7D8E"/>
    <w:rsid w:val="00CC32A3"/>
    <w:rsid w:val="00CD181C"/>
    <w:rsid w:val="00D47B9C"/>
    <w:rsid w:val="00D56F41"/>
    <w:rsid w:val="00D653E6"/>
    <w:rsid w:val="00D83541"/>
    <w:rsid w:val="00D947D6"/>
    <w:rsid w:val="00DA08B7"/>
    <w:rsid w:val="00DB61CD"/>
    <w:rsid w:val="00DC36DB"/>
    <w:rsid w:val="00DD3894"/>
    <w:rsid w:val="00DE5CB6"/>
    <w:rsid w:val="00E00AB3"/>
    <w:rsid w:val="00E0726E"/>
    <w:rsid w:val="00E23040"/>
    <w:rsid w:val="00E27274"/>
    <w:rsid w:val="00E313EE"/>
    <w:rsid w:val="00E32EB5"/>
    <w:rsid w:val="00E34F4F"/>
    <w:rsid w:val="00E61767"/>
    <w:rsid w:val="00E70527"/>
    <w:rsid w:val="00E72BA6"/>
    <w:rsid w:val="00E74E6B"/>
    <w:rsid w:val="00E8272C"/>
    <w:rsid w:val="00E85805"/>
    <w:rsid w:val="00E87457"/>
    <w:rsid w:val="00E92198"/>
    <w:rsid w:val="00EB1C6B"/>
    <w:rsid w:val="00EB223B"/>
    <w:rsid w:val="00EF6792"/>
    <w:rsid w:val="00F01BC8"/>
    <w:rsid w:val="00F4263A"/>
    <w:rsid w:val="00F42775"/>
    <w:rsid w:val="00F503F4"/>
    <w:rsid w:val="00F53F8B"/>
    <w:rsid w:val="00F64098"/>
    <w:rsid w:val="00FB03E2"/>
    <w:rsid w:val="00FB1EB7"/>
    <w:rsid w:val="00FB2DA8"/>
    <w:rsid w:val="00FD14F9"/>
    <w:rsid w:val="00FF2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58AA"/>
  <w15:chartTrackingRefBased/>
  <w15:docId w15:val="{02F31BFC-6AAD-4EAE-9795-8BC531D1B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1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1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1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10C"/>
    <w:rPr>
      <w:rFonts w:eastAsiaTheme="majorEastAsia" w:cstheme="majorBidi"/>
      <w:color w:val="272727" w:themeColor="text1" w:themeTint="D8"/>
    </w:rPr>
  </w:style>
  <w:style w:type="paragraph" w:styleId="Title">
    <w:name w:val="Title"/>
    <w:basedOn w:val="Normal"/>
    <w:next w:val="Normal"/>
    <w:link w:val="TitleChar"/>
    <w:uiPriority w:val="10"/>
    <w:qFormat/>
    <w:rsid w:val="00691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10C"/>
    <w:pPr>
      <w:spacing w:before="160"/>
      <w:jc w:val="center"/>
    </w:pPr>
    <w:rPr>
      <w:i/>
      <w:iCs/>
      <w:color w:val="404040" w:themeColor="text1" w:themeTint="BF"/>
    </w:rPr>
  </w:style>
  <w:style w:type="character" w:customStyle="1" w:styleId="QuoteChar">
    <w:name w:val="Quote Char"/>
    <w:basedOn w:val="DefaultParagraphFont"/>
    <w:link w:val="Quote"/>
    <w:uiPriority w:val="29"/>
    <w:rsid w:val="0069110C"/>
    <w:rPr>
      <w:i/>
      <w:iCs/>
      <w:color w:val="404040" w:themeColor="text1" w:themeTint="BF"/>
    </w:rPr>
  </w:style>
  <w:style w:type="paragraph" w:styleId="ListParagraph">
    <w:name w:val="List Paragraph"/>
    <w:basedOn w:val="Normal"/>
    <w:uiPriority w:val="34"/>
    <w:qFormat/>
    <w:rsid w:val="0069110C"/>
    <w:pPr>
      <w:ind w:left="720"/>
      <w:contextualSpacing/>
    </w:pPr>
  </w:style>
  <w:style w:type="character" w:styleId="IntenseEmphasis">
    <w:name w:val="Intense Emphasis"/>
    <w:basedOn w:val="DefaultParagraphFont"/>
    <w:uiPriority w:val="21"/>
    <w:qFormat/>
    <w:rsid w:val="0069110C"/>
    <w:rPr>
      <w:i/>
      <w:iCs/>
      <w:color w:val="0F4761" w:themeColor="accent1" w:themeShade="BF"/>
    </w:rPr>
  </w:style>
  <w:style w:type="paragraph" w:styleId="IntenseQuote">
    <w:name w:val="Intense Quote"/>
    <w:basedOn w:val="Normal"/>
    <w:next w:val="Normal"/>
    <w:link w:val="IntenseQuoteChar"/>
    <w:uiPriority w:val="30"/>
    <w:qFormat/>
    <w:rsid w:val="00691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10C"/>
    <w:rPr>
      <w:i/>
      <w:iCs/>
      <w:color w:val="0F4761" w:themeColor="accent1" w:themeShade="BF"/>
    </w:rPr>
  </w:style>
  <w:style w:type="character" w:styleId="IntenseReference">
    <w:name w:val="Intense Reference"/>
    <w:basedOn w:val="DefaultParagraphFont"/>
    <w:uiPriority w:val="32"/>
    <w:qFormat/>
    <w:rsid w:val="0069110C"/>
    <w:rPr>
      <w:b/>
      <w:bCs/>
      <w:smallCaps/>
      <w:color w:val="0F4761" w:themeColor="accent1" w:themeShade="BF"/>
      <w:spacing w:val="5"/>
    </w:rPr>
  </w:style>
  <w:style w:type="paragraph" w:styleId="Caption">
    <w:name w:val="caption"/>
    <w:basedOn w:val="Normal"/>
    <w:next w:val="Normal"/>
    <w:uiPriority w:val="35"/>
    <w:unhideWhenUsed/>
    <w:qFormat/>
    <w:rsid w:val="00CC32A3"/>
    <w:pPr>
      <w:spacing w:after="200" w:line="240" w:lineRule="auto"/>
    </w:pPr>
    <w:rPr>
      <w:i/>
      <w:iCs/>
      <w:color w:val="0E2841" w:themeColor="text2"/>
      <w:sz w:val="18"/>
      <w:szCs w:val="18"/>
    </w:rPr>
  </w:style>
  <w:style w:type="table" w:styleId="TableGrid">
    <w:name w:val="Table Grid"/>
    <w:basedOn w:val="TableNormal"/>
    <w:uiPriority w:val="39"/>
    <w:rsid w:val="00513F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rful">
    <w:name w:val="List Table 6 Colorful"/>
    <w:basedOn w:val="TableNormal"/>
    <w:uiPriority w:val="51"/>
    <w:rsid w:val="00463D58"/>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463D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463D5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COVERPAGETEXT">
    <w:name w:val="COVER PAGE TEXT"/>
    <w:basedOn w:val="Normal"/>
    <w:qFormat/>
    <w:rsid w:val="003D4510"/>
    <w:pPr>
      <w:spacing w:after="0" w:line="276" w:lineRule="auto"/>
      <w:jc w:val="center"/>
    </w:pPr>
    <w:rPr>
      <w:rFonts w:ascii="Arial" w:eastAsia="Times New Roman" w:hAnsi="Arial" w:cs="Arial"/>
      <w:kern w:val="0"/>
      <w:sz w:val="28"/>
      <w:szCs w:val="28"/>
      <w14:ligatures w14:val="none"/>
    </w:rPr>
  </w:style>
  <w:style w:type="character" w:styleId="PlaceholderText">
    <w:name w:val="Placeholder Text"/>
    <w:basedOn w:val="DefaultParagraphFont"/>
    <w:uiPriority w:val="99"/>
    <w:semiHidden/>
    <w:rsid w:val="00B4227E"/>
    <w:rPr>
      <w:color w:val="666666"/>
    </w:rPr>
  </w:style>
  <w:style w:type="paragraph" w:styleId="Bibliography">
    <w:name w:val="Bibliography"/>
    <w:basedOn w:val="Normal"/>
    <w:next w:val="Normal"/>
    <w:uiPriority w:val="37"/>
    <w:unhideWhenUsed/>
    <w:rsid w:val="00DA08B7"/>
  </w:style>
  <w:style w:type="paragraph" w:styleId="TableofFigures">
    <w:name w:val="table of figures"/>
    <w:basedOn w:val="Normal"/>
    <w:next w:val="Normal"/>
    <w:uiPriority w:val="99"/>
    <w:unhideWhenUsed/>
    <w:rsid w:val="00DA08B7"/>
    <w:pPr>
      <w:spacing w:after="0"/>
    </w:pPr>
  </w:style>
  <w:style w:type="character" w:styleId="Hyperlink">
    <w:name w:val="Hyperlink"/>
    <w:basedOn w:val="DefaultParagraphFont"/>
    <w:uiPriority w:val="99"/>
    <w:unhideWhenUsed/>
    <w:rsid w:val="00DA08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468261">
      <w:bodyDiv w:val="1"/>
      <w:marLeft w:val="0"/>
      <w:marRight w:val="0"/>
      <w:marTop w:val="0"/>
      <w:marBottom w:val="0"/>
      <w:divBdr>
        <w:top w:val="none" w:sz="0" w:space="0" w:color="auto"/>
        <w:left w:val="none" w:sz="0" w:space="0" w:color="auto"/>
        <w:bottom w:val="none" w:sz="0" w:space="0" w:color="auto"/>
        <w:right w:val="none" w:sz="0" w:space="0" w:color="auto"/>
      </w:divBdr>
    </w:div>
    <w:div w:id="59646055">
      <w:bodyDiv w:val="1"/>
      <w:marLeft w:val="0"/>
      <w:marRight w:val="0"/>
      <w:marTop w:val="0"/>
      <w:marBottom w:val="0"/>
      <w:divBdr>
        <w:top w:val="none" w:sz="0" w:space="0" w:color="auto"/>
        <w:left w:val="none" w:sz="0" w:space="0" w:color="auto"/>
        <w:bottom w:val="none" w:sz="0" w:space="0" w:color="auto"/>
        <w:right w:val="none" w:sz="0" w:space="0" w:color="auto"/>
      </w:divBdr>
    </w:div>
    <w:div w:id="96601530">
      <w:bodyDiv w:val="1"/>
      <w:marLeft w:val="0"/>
      <w:marRight w:val="0"/>
      <w:marTop w:val="0"/>
      <w:marBottom w:val="0"/>
      <w:divBdr>
        <w:top w:val="none" w:sz="0" w:space="0" w:color="auto"/>
        <w:left w:val="none" w:sz="0" w:space="0" w:color="auto"/>
        <w:bottom w:val="none" w:sz="0" w:space="0" w:color="auto"/>
        <w:right w:val="none" w:sz="0" w:space="0" w:color="auto"/>
      </w:divBdr>
    </w:div>
    <w:div w:id="228268371">
      <w:bodyDiv w:val="1"/>
      <w:marLeft w:val="0"/>
      <w:marRight w:val="0"/>
      <w:marTop w:val="0"/>
      <w:marBottom w:val="0"/>
      <w:divBdr>
        <w:top w:val="none" w:sz="0" w:space="0" w:color="auto"/>
        <w:left w:val="none" w:sz="0" w:space="0" w:color="auto"/>
        <w:bottom w:val="none" w:sz="0" w:space="0" w:color="auto"/>
        <w:right w:val="none" w:sz="0" w:space="0" w:color="auto"/>
      </w:divBdr>
    </w:div>
    <w:div w:id="308243418">
      <w:bodyDiv w:val="1"/>
      <w:marLeft w:val="0"/>
      <w:marRight w:val="0"/>
      <w:marTop w:val="0"/>
      <w:marBottom w:val="0"/>
      <w:divBdr>
        <w:top w:val="none" w:sz="0" w:space="0" w:color="auto"/>
        <w:left w:val="none" w:sz="0" w:space="0" w:color="auto"/>
        <w:bottom w:val="none" w:sz="0" w:space="0" w:color="auto"/>
        <w:right w:val="none" w:sz="0" w:space="0" w:color="auto"/>
      </w:divBdr>
    </w:div>
    <w:div w:id="386951208">
      <w:bodyDiv w:val="1"/>
      <w:marLeft w:val="0"/>
      <w:marRight w:val="0"/>
      <w:marTop w:val="0"/>
      <w:marBottom w:val="0"/>
      <w:divBdr>
        <w:top w:val="none" w:sz="0" w:space="0" w:color="auto"/>
        <w:left w:val="none" w:sz="0" w:space="0" w:color="auto"/>
        <w:bottom w:val="none" w:sz="0" w:space="0" w:color="auto"/>
        <w:right w:val="none" w:sz="0" w:space="0" w:color="auto"/>
      </w:divBdr>
    </w:div>
    <w:div w:id="483015313">
      <w:bodyDiv w:val="1"/>
      <w:marLeft w:val="0"/>
      <w:marRight w:val="0"/>
      <w:marTop w:val="0"/>
      <w:marBottom w:val="0"/>
      <w:divBdr>
        <w:top w:val="none" w:sz="0" w:space="0" w:color="auto"/>
        <w:left w:val="none" w:sz="0" w:space="0" w:color="auto"/>
        <w:bottom w:val="none" w:sz="0" w:space="0" w:color="auto"/>
        <w:right w:val="none" w:sz="0" w:space="0" w:color="auto"/>
      </w:divBdr>
    </w:div>
    <w:div w:id="526480426">
      <w:bodyDiv w:val="1"/>
      <w:marLeft w:val="0"/>
      <w:marRight w:val="0"/>
      <w:marTop w:val="0"/>
      <w:marBottom w:val="0"/>
      <w:divBdr>
        <w:top w:val="none" w:sz="0" w:space="0" w:color="auto"/>
        <w:left w:val="none" w:sz="0" w:space="0" w:color="auto"/>
        <w:bottom w:val="none" w:sz="0" w:space="0" w:color="auto"/>
        <w:right w:val="none" w:sz="0" w:space="0" w:color="auto"/>
      </w:divBdr>
    </w:div>
    <w:div w:id="533272793">
      <w:bodyDiv w:val="1"/>
      <w:marLeft w:val="0"/>
      <w:marRight w:val="0"/>
      <w:marTop w:val="0"/>
      <w:marBottom w:val="0"/>
      <w:divBdr>
        <w:top w:val="none" w:sz="0" w:space="0" w:color="auto"/>
        <w:left w:val="none" w:sz="0" w:space="0" w:color="auto"/>
        <w:bottom w:val="none" w:sz="0" w:space="0" w:color="auto"/>
        <w:right w:val="none" w:sz="0" w:space="0" w:color="auto"/>
      </w:divBdr>
    </w:div>
    <w:div w:id="546456032">
      <w:bodyDiv w:val="1"/>
      <w:marLeft w:val="0"/>
      <w:marRight w:val="0"/>
      <w:marTop w:val="0"/>
      <w:marBottom w:val="0"/>
      <w:divBdr>
        <w:top w:val="none" w:sz="0" w:space="0" w:color="auto"/>
        <w:left w:val="none" w:sz="0" w:space="0" w:color="auto"/>
        <w:bottom w:val="none" w:sz="0" w:space="0" w:color="auto"/>
        <w:right w:val="none" w:sz="0" w:space="0" w:color="auto"/>
      </w:divBdr>
    </w:div>
    <w:div w:id="633950013">
      <w:bodyDiv w:val="1"/>
      <w:marLeft w:val="0"/>
      <w:marRight w:val="0"/>
      <w:marTop w:val="0"/>
      <w:marBottom w:val="0"/>
      <w:divBdr>
        <w:top w:val="none" w:sz="0" w:space="0" w:color="auto"/>
        <w:left w:val="none" w:sz="0" w:space="0" w:color="auto"/>
        <w:bottom w:val="none" w:sz="0" w:space="0" w:color="auto"/>
        <w:right w:val="none" w:sz="0" w:space="0" w:color="auto"/>
      </w:divBdr>
    </w:div>
    <w:div w:id="709384711">
      <w:bodyDiv w:val="1"/>
      <w:marLeft w:val="0"/>
      <w:marRight w:val="0"/>
      <w:marTop w:val="0"/>
      <w:marBottom w:val="0"/>
      <w:divBdr>
        <w:top w:val="none" w:sz="0" w:space="0" w:color="auto"/>
        <w:left w:val="none" w:sz="0" w:space="0" w:color="auto"/>
        <w:bottom w:val="none" w:sz="0" w:space="0" w:color="auto"/>
        <w:right w:val="none" w:sz="0" w:space="0" w:color="auto"/>
      </w:divBdr>
    </w:div>
    <w:div w:id="875460927">
      <w:bodyDiv w:val="1"/>
      <w:marLeft w:val="0"/>
      <w:marRight w:val="0"/>
      <w:marTop w:val="0"/>
      <w:marBottom w:val="0"/>
      <w:divBdr>
        <w:top w:val="none" w:sz="0" w:space="0" w:color="auto"/>
        <w:left w:val="none" w:sz="0" w:space="0" w:color="auto"/>
        <w:bottom w:val="none" w:sz="0" w:space="0" w:color="auto"/>
        <w:right w:val="none" w:sz="0" w:space="0" w:color="auto"/>
      </w:divBdr>
    </w:div>
    <w:div w:id="949356584">
      <w:bodyDiv w:val="1"/>
      <w:marLeft w:val="0"/>
      <w:marRight w:val="0"/>
      <w:marTop w:val="0"/>
      <w:marBottom w:val="0"/>
      <w:divBdr>
        <w:top w:val="none" w:sz="0" w:space="0" w:color="auto"/>
        <w:left w:val="none" w:sz="0" w:space="0" w:color="auto"/>
        <w:bottom w:val="none" w:sz="0" w:space="0" w:color="auto"/>
        <w:right w:val="none" w:sz="0" w:space="0" w:color="auto"/>
      </w:divBdr>
    </w:div>
    <w:div w:id="1077748172">
      <w:bodyDiv w:val="1"/>
      <w:marLeft w:val="0"/>
      <w:marRight w:val="0"/>
      <w:marTop w:val="0"/>
      <w:marBottom w:val="0"/>
      <w:divBdr>
        <w:top w:val="none" w:sz="0" w:space="0" w:color="auto"/>
        <w:left w:val="none" w:sz="0" w:space="0" w:color="auto"/>
        <w:bottom w:val="none" w:sz="0" w:space="0" w:color="auto"/>
        <w:right w:val="none" w:sz="0" w:space="0" w:color="auto"/>
      </w:divBdr>
    </w:div>
    <w:div w:id="1100108241">
      <w:bodyDiv w:val="1"/>
      <w:marLeft w:val="0"/>
      <w:marRight w:val="0"/>
      <w:marTop w:val="0"/>
      <w:marBottom w:val="0"/>
      <w:divBdr>
        <w:top w:val="none" w:sz="0" w:space="0" w:color="auto"/>
        <w:left w:val="none" w:sz="0" w:space="0" w:color="auto"/>
        <w:bottom w:val="none" w:sz="0" w:space="0" w:color="auto"/>
        <w:right w:val="none" w:sz="0" w:space="0" w:color="auto"/>
      </w:divBdr>
    </w:div>
    <w:div w:id="1160582877">
      <w:bodyDiv w:val="1"/>
      <w:marLeft w:val="0"/>
      <w:marRight w:val="0"/>
      <w:marTop w:val="0"/>
      <w:marBottom w:val="0"/>
      <w:divBdr>
        <w:top w:val="none" w:sz="0" w:space="0" w:color="auto"/>
        <w:left w:val="none" w:sz="0" w:space="0" w:color="auto"/>
        <w:bottom w:val="none" w:sz="0" w:space="0" w:color="auto"/>
        <w:right w:val="none" w:sz="0" w:space="0" w:color="auto"/>
      </w:divBdr>
    </w:div>
    <w:div w:id="1164123123">
      <w:bodyDiv w:val="1"/>
      <w:marLeft w:val="0"/>
      <w:marRight w:val="0"/>
      <w:marTop w:val="0"/>
      <w:marBottom w:val="0"/>
      <w:divBdr>
        <w:top w:val="none" w:sz="0" w:space="0" w:color="auto"/>
        <w:left w:val="none" w:sz="0" w:space="0" w:color="auto"/>
        <w:bottom w:val="none" w:sz="0" w:space="0" w:color="auto"/>
        <w:right w:val="none" w:sz="0" w:space="0" w:color="auto"/>
      </w:divBdr>
    </w:div>
    <w:div w:id="1179082609">
      <w:bodyDiv w:val="1"/>
      <w:marLeft w:val="0"/>
      <w:marRight w:val="0"/>
      <w:marTop w:val="0"/>
      <w:marBottom w:val="0"/>
      <w:divBdr>
        <w:top w:val="none" w:sz="0" w:space="0" w:color="auto"/>
        <w:left w:val="none" w:sz="0" w:space="0" w:color="auto"/>
        <w:bottom w:val="none" w:sz="0" w:space="0" w:color="auto"/>
        <w:right w:val="none" w:sz="0" w:space="0" w:color="auto"/>
      </w:divBdr>
    </w:div>
    <w:div w:id="1224368090">
      <w:bodyDiv w:val="1"/>
      <w:marLeft w:val="0"/>
      <w:marRight w:val="0"/>
      <w:marTop w:val="0"/>
      <w:marBottom w:val="0"/>
      <w:divBdr>
        <w:top w:val="none" w:sz="0" w:space="0" w:color="auto"/>
        <w:left w:val="none" w:sz="0" w:space="0" w:color="auto"/>
        <w:bottom w:val="none" w:sz="0" w:space="0" w:color="auto"/>
        <w:right w:val="none" w:sz="0" w:space="0" w:color="auto"/>
      </w:divBdr>
    </w:div>
    <w:div w:id="1324893519">
      <w:bodyDiv w:val="1"/>
      <w:marLeft w:val="0"/>
      <w:marRight w:val="0"/>
      <w:marTop w:val="0"/>
      <w:marBottom w:val="0"/>
      <w:divBdr>
        <w:top w:val="none" w:sz="0" w:space="0" w:color="auto"/>
        <w:left w:val="none" w:sz="0" w:space="0" w:color="auto"/>
        <w:bottom w:val="none" w:sz="0" w:space="0" w:color="auto"/>
        <w:right w:val="none" w:sz="0" w:space="0" w:color="auto"/>
      </w:divBdr>
    </w:div>
    <w:div w:id="1330476449">
      <w:bodyDiv w:val="1"/>
      <w:marLeft w:val="0"/>
      <w:marRight w:val="0"/>
      <w:marTop w:val="0"/>
      <w:marBottom w:val="0"/>
      <w:divBdr>
        <w:top w:val="none" w:sz="0" w:space="0" w:color="auto"/>
        <w:left w:val="none" w:sz="0" w:space="0" w:color="auto"/>
        <w:bottom w:val="none" w:sz="0" w:space="0" w:color="auto"/>
        <w:right w:val="none" w:sz="0" w:space="0" w:color="auto"/>
      </w:divBdr>
    </w:div>
    <w:div w:id="1364096542">
      <w:bodyDiv w:val="1"/>
      <w:marLeft w:val="0"/>
      <w:marRight w:val="0"/>
      <w:marTop w:val="0"/>
      <w:marBottom w:val="0"/>
      <w:divBdr>
        <w:top w:val="none" w:sz="0" w:space="0" w:color="auto"/>
        <w:left w:val="none" w:sz="0" w:space="0" w:color="auto"/>
        <w:bottom w:val="none" w:sz="0" w:space="0" w:color="auto"/>
        <w:right w:val="none" w:sz="0" w:space="0" w:color="auto"/>
      </w:divBdr>
    </w:div>
    <w:div w:id="1377506380">
      <w:bodyDiv w:val="1"/>
      <w:marLeft w:val="0"/>
      <w:marRight w:val="0"/>
      <w:marTop w:val="0"/>
      <w:marBottom w:val="0"/>
      <w:divBdr>
        <w:top w:val="none" w:sz="0" w:space="0" w:color="auto"/>
        <w:left w:val="none" w:sz="0" w:space="0" w:color="auto"/>
        <w:bottom w:val="none" w:sz="0" w:space="0" w:color="auto"/>
        <w:right w:val="none" w:sz="0" w:space="0" w:color="auto"/>
      </w:divBdr>
    </w:div>
    <w:div w:id="1452095034">
      <w:bodyDiv w:val="1"/>
      <w:marLeft w:val="0"/>
      <w:marRight w:val="0"/>
      <w:marTop w:val="0"/>
      <w:marBottom w:val="0"/>
      <w:divBdr>
        <w:top w:val="none" w:sz="0" w:space="0" w:color="auto"/>
        <w:left w:val="none" w:sz="0" w:space="0" w:color="auto"/>
        <w:bottom w:val="none" w:sz="0" w:space="0" w:color="auto"/>
        <w:right w:val="none" w:sz="0" w:space="0" w:color="auto"/>
      </w:divBdr>
    </w:div>
    <w:div w:id="1454522373">
      <w:bodyDiv w:val="1"/>
      <w:marLeft w:val="0"/>
      <w:marRight w:val="0"/>
      <w:marTop w:val="0"/>
      <w:marBottom w:val="0"/>
      <w:divBdr>
        <w:top w:val="none" w:sz="0" w:space="0" w:color="auto"/>
        <w:left w:val="none" w:sz="0" w:space="0" w:color="auto"/>
        <w:bottom w:val="none" w:sz="0" w:space="0" w:color="auto"/>
        <w:right w:val="none" w:sz="0" w:space="0" w:color="auto"/>
      </w:divBdr>
    </w:div>
    <w:div w:id="1496534823">
      <w:bodyDiv w:val="1"/>
      <w:marLeft w:val="0"/>
      <w:marRight w:val="0"/>
      <w:marTop w:val="0"/>
      <w:marBottom w:val="0"/>
      <w:divBdr>
        <w:top w:val="none" w:sz="0" w:space="0" w:color="auto"/>
        <w:left w:val="none" w:sz="0" w:space="0" w:color="auto"/>
        <w:bottom w:val="none" w:sz="0" w:space="0" w:color="auto"/>
        <w:right w:val="none" w:sz="0" w:space="0" w:color="auto"/>
      </w:divBdr>
    </w:div>
    <w:div w:id="1545289746">
      <w:bodyDiv w:val="1"/>
      <w:marLeft w:val="0"/>
      <w:marRight w:val="0"/>
      <w:marTop w:val="0"/>
      <w:marBottom w:val="0"/>
      <w:divBdr>
        <w:top w:val="none" w:sz="0" w:space="0" w:color="auto"/>
        <w:left w:val="none" w:sz="0" w:space="0" w:color="auto"/>
        <w:bottom w:val="none" w:sz="0" w:space="0" w:color="auto"/>
        <w:right w:val="none" w:sz="0" w:space="0" w:color="auto"/>
      </w:divBdr>
    </w:div>
    <w:div w:id="1603565141">
      <w:bodyDiv w:val="1"/>
      <w:marLeft w:val="0"/>
      <w:marRight w:val="0"/>
      <w:marTop w:val="0"/>
      <w:marBottom w:val="0"/>
      <w:divBdr>
        <w:top w:val="none" w:sz="0" w:space="0" w:color="auto"/>
        <w:left w:val="none" w:sz="0" w:space="0" w:color="auto"/>
        <w:bottom w:val="none" w:sz="0" w:space="0" w:color="auto"/>
        <w:right w:val="none" w:sz="0" w:space="0" w:color="auto"/>
      </w:divBdr>
    </w:div>
    <w:div w:id="1626307893">
      <w:bodyDiv w:val="1"/>
      <w:marLeft w:val="0"/>
      <w:marRight w:val="0"/>
      <w:marTop w:val="0"/>
      <w:marBottom w:val="0"/>
      <w:divBdr>
        <w:top w:val="none" w:sz="0" w:space="0" w:color="auto"/>
        <w:left w:val="none" w:sz="0" w:space="0" w:color="auto"/>
        <w:bottom w:val="none" w:sz="0" w:space="0" w:color="auto"/>
        <w:right w:val="none" w:sz="0" w:space="0" w:color="auto"/>
      </w:divBdr>
    </w:div>
    <w:div w:id="1661735052">
      <w:bodyDiv w:val="1"/>
      <w:marLeft w:val="0"/>
      <w:marRight w:val="0"/>
      <w:marTop w:val="0"/>
      <w:marBottom w:val="0"/>
      <w:divBdr>
        <w:top w:val="none" w:sz="0" w:space="0" w:color="auto"/>
        <w:left w:val="none" w:sz="0" w:space="0" w:color="auto"/>
        <w:bottom w:val="none" w:sz="0" w:space="0" w:color="auto"/>
        <w:right w:val="none" w:sz="0" w:space="0" w:color="auto"/>
      </w:divBdr>
    </w:div>
    <w:div w:id="1669139693">
      <w:bodyDiv w:val="1"/>
      <w:marLeft w:val="0"/>
      <w:marRight w:val="0"/>
      <w:marTop w:val="0"/>
      <w:marBottom w:val="0"/>
      <w:divBdr>
        <w:top w:val="none" w:sz="0" w:space="0" w:color="auto"/>
        <w:left w:val="none" w:sz="0" w:space="0" w:color="auto"/>
        <w:bottom w:val="none" w:sz="0" w:space="0" w:color="auto"/>
        <w:right w:val="none" w:sz="0" w:space="0" w:color="auto"/>
      </w:divBdr>
    </w:div>
    <w:div w:id="1742679466">
      <w:bodyDiv w:val="1"/>
      <w:marLeft w:val="0"/>
      <w:marRight w:val="0"/>
      <w:marTop w:val="0"/>
      <w:marBottom w:val="0"/>
      <w:divBdr>
        <w:top w:val="none" w:sz="0" w:space="0" w:color="auto"/>
        <w:left w:val="none" w:sz="0" w:space="0" w:color="auto"/>
        <w:bottom w:val="none" w:sz="0" w:space="0" w:color="auto"/>
        <w:right w:val="none" w:sz="0" w:space="0" w:color="auto"/>
      </w:divBdr>
    </w:div>
    <w:div w:id="1824278443">
      <w:bodyDiv w:val="1"/>
      <w:marLeft w:val="0"/>
      <w:marRight w:val="0"/>
      <w:marTop w:val="0"/>
      <w:marBottom w:val="0"/>
      <w:divBdr>
        <w:top w:val="none" w:sz="0" w:space="0" w:color="auto"/>
        <w:left w:val="none" w:sz="0" w:space="0" w:color="auto"/>
        <w:bottom w:val="none" w:sz="0" w:space="0" w:color="auto"/>
        <w:right w:val="none" w:sz="0" w:space="0" w:color="auto"/>
      </w:divBdr>
    </w:div>
    <w:div w:id="1861777339">
      <w:bodyDiv w:val="1"/>
      <w:marLeft w:val="0"/>
      <w:marRight w:val="0"/>
      <w:marTop w:val="0"/>
      <w:marBottom w:val="0"/>
      <w:divBdr>
        <w:top w:val="none" w:sz="0" w:space="0" w:color="auto"/>
        <w:left w:val="none" w:sz="0" w:space="0" w:color="auto"/>
        <w:bottom w:val="none" w:sz="0" w:space="0" w:color="auto"/>
        <w:right w:val="none" w:sz="0" w:space="0" w:color="auto"/>
      </w:divBdr>
    </w:div>
    <w:div w:id="2021469159">
      <w:bodyDiv w:val="1"/>
      <w:marLeft w:val="0"/>
      <w:marRight w:val="0"/>
      <w:marTop w:val="0"/>
      <w:marBottom w:val="0"/>
      <w:divBdr>
        <w:top w:val="none" w:sz="0" w:space="0" w:color="auto"/>
        <w:left w:val="none" w:sz="0" w:space="0" w:color="auto"/>
        <w:bottom w:val="none" w:sz="0" w:space="0" w:color="auto"/>
        <w:right w:val="none" w:sz="0" w:space="0" w:color="auto"/>
      </w:divBdr>
    </w:div>
    <w:div w:id="2049911850">
      <w:bodyDiv w:val="1"/>
      <w:marLeft w:val="0"/>
      <w:marRight w:val="0"/>
      <w:marTop w:val="0"/>
      <w:marBottom w:val="0"/>
      <w:divBdr>
        <w:top w:val="none" w:sz="0" w:space="0" w:color="auto"/>
        <w:left w:val="none" w:sz="0" w:space="0" w:color="auto"/>
        <w:bottom w:val="none" w:sz="0" w:space="0" w:color="auto"/>
        <w:right w:val="none" w:sz="0" w:space="0" w:color="auto"/>
      </w:divBdr>
    </w:div>
    <w:div w:id="2129547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JAk22</b:Tag>
    <b:SourceType>Book</b:SourceType>
    <b:Guid>{A48F7A28-F9A8-4971-A0A2-8C7311479F84}</b:Guid>
    <b:Author>
      <b:Author>
        <b:NameList>
          <b:Person>
            <b:Last>J.Akhaven</b:Last>
          </b:Person>
        </b:NameList>
      </b:Author>
    </b:Author>
    <b:Title>The Chemistry of Explosives 4th Edition</b:Title>
    <b:Year>2022</b:Year>
    <b:City>London</b:City>
    <b:Publisher>The Royal Society of Chemistry</b:Publisher>
    <b:RefOrder>1</b:RefOrder>
  </b:Source>
  <b:Source>
    <b:Tag>Rob13</b:Tag>
    <b:SourceType>Book</b:SourceType>
    <b:Guid>{4085EE7F-ACCA-4EDA-B749-C8C1D02F6157}</b:Guid>
    <b:Title>Primary Explosives</b:Title>
    <b:Year>2013</b:Year>
    <b:Author>
      <b:Author>
        <b:NameList>
          <b:Person>
            <b:Last>Robert Maytas</b:Last>
            <b:First>Jiří</b:First>
            <b:Middle>Pachman</b:Middle>
          </b:Person>
        </b:NameList>
      </b:Author>
    </b:Author>
    <b:Publisher>Springer Science and Business Media</b:Publisher>
    <b:RefOrder>2</b:RefOrder>
  </b:Source>
  <b:Source>
    <b:Tag>Nor12</b:Tag>
    <b:SourceType>Book</b:SourceType>
    <b:Guid>{B42FF393-8C4E-48D3-A15E-200F34D19799}</b:Guid>
    <b:Author>
      <b:Author>
        <b:NameList>
          <b:Person>
            <b:Last>Friedman</b:Last>
            <b:First>Norman</b:First>
          </b:Person>
        </b:NameList>
      </b:Author>
    </b:Author>
    <b:Title>Naval weapons of World War One : guns, torpedoes, mines and ASW weapons of all nations; an illustrated directory</b:Title>
    <b:Year>2012</b:Year>
    <b:City>Barnsely</b:City>
    <b:Publisher>Seaforth</b:Publisher>
    <b:RefOrder>3</b:RefOrder>
  </b:Source>
  <b:Source>
    <b:Tag>Mel58</b:Tag>
    <b:SourceType>Book</b:SourceType>
    <b:Guid>{70414E47-56F5-4376-8DF9-AE0B60A4E177}</b:Guid>
    <b:Author>
      <b:Author>
        <b:NameList>
          <b:Person>
            <b:Last>Cook</b:Last>
            <b:First>Melvin</b:First>
            <b:Middle>A.</b:Middle>
          </b:Person>
        </b:NameList>
      </b:Author>
    </b:Author>
    <b:Title>The Science of High Explosives</b:Title>
    <b:Year>1958</b:Year>
    <b:RefOrder>4</b:RefOrder>
  </b:Source>
  <b:Source>
    <b:Tag>Kar56</b:Tag>
    <b:SourceType>Report</b:SourceType>
    <b:Guid>{C15BD850-07A4-44DB-9F42-C07BF3C8C235}</b:Guid>
    <b:Title>Initiaion of Explosion in Crystals of Mercury Fulminate</b:Title>
    <b:Year>1956</b:Year>
    <b:Publisher>Institute of Armament Studies, Poona 3</b:Publisher>
    <b:Author>
      <b:Author>
        <b:NameList>
          <b:Person>
            <b:Last>Singh</b:Last>
            <b:First>Kartar</b:First>
          </b:Person>
        </b:NameList>
      </b:Author>
    </b:Author>
    <b:RefOrder>5</b:RefOrder>
  </b:Source>
  <b:Source>
    <b:Tag>Ern21</b:Tag>
    <b:SourceType>Book</b:SourceType>
    <b:Guid>{32D98658-E08F-40B8-AC4C-7ACAD12E06B4}</b:Guid>
    <b:Title>High Explosivea, Propellants, Pyrotechnics</b:Title>
    <b:Year>2021</b:Year>
    <b:Publisher>De Gruyter</b:Publisher>
    <b:Author>
      <b:Author>
        <b:NameList>
          <b:Person>
            <b:Last>Koch</b:Last>
            <b:First>Ernst</b:First>
            <b:Middle>Christian</b:Middle>
          </b:Person>
        </b:NameList>
      </b:Author>
    </b:Author>
    <b:RefOrder>6</b:RefOrder>
  </b:Source>
  <b:Source>
    <b:Tag>Tho22</b:Tag>
    <b:SourceType>Book</b:SourceType>
    <b:Guid>{5DEEF97E-FC4B-40D1-8BC8-E0B4CBFF1C0A}</b:Guid>
    <b:Author>
      <b:Author>
        <b:NameList>
          <b:Person>
            <b:Last>Klapotke</b:Last>
            <b:First>Thomas</b:First>
            <b:Middle>M.</b:Middle>
          </b:Person>
        </b:NameList>
      </b:Author>
    </b:Author>
    <b:Title>Chemistry of High Energy Materials</b:Title>
    <b:Year>2022</b:Year>
    <b:City>Berlin</b:City>
    <b:Publisher>De Gruyter</b:Publisher>
    <b:RefOrder>7</b:RefOrder>
  </b:Source>
  <b:Source>
    <b:Tag>JAZ13</b:Tag>
    <b:SourceType>Book</b:SourceType>
    <b:Guid>{71A86E9E-5A54-4BAC-BD69-242C4817A891}</b:Guid>
    <b:Author>
      <b:Author>
        <b:NameList>
          <b:Person>
            <b:Last>Walters</b:Last>
            <b:First>J.</b:First>
            <b:Middle>A. Zukas and W.</b:Middle>
          </b:Person>
        </b:NameList>
      </b:Author>
    </b:Author>
    <b:Title>Explosive Effects and Applications</b:Title>
    <b:Year>2013</b:Year>
    <b:Publisher>Springer Science and Business Media</b:Publisher>
    <b:RefOrder>8</b:RefOrder>
  </b:Source>
  <b:Source>
    <b:Tag>BDo81</b:Tag>
    <b:SourceType>Report</b:SourceType>
    <b:Guid>{312848B9-9748-410C-BD75-149902F2EA95}</b:Guid>
    <b:Title>LLNL Explosives handbook properties of chemical explosives and explosions and explosive stimulants</b:Title>
    <b:Year>1981</b:Year>
    <b:Author>
      <b:Author>
        <b:NameList>
          <b:Person>
            <b:Last>B.Dobratz</b:Last>
          </b:Person>
        </b:NameList>
      </b:Author>
    </b:Author>
    <b:RefOrder>9</b:RefOrder>
  </b:Source>
</b:Sources>
</file>

<file path=customXml/itemProps1.xml><?xml version="1.0" encoding="utf-8"?>
<ds:datastoreItem xmlns:ds="http://schemas.openxmlformats.org/officeDocument/2006/customXml" ds:itemID="{E0B3E4D1-DF36-4569-A7A6-915BC9E40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2553</Words>
  <Characters>12693</Characters>
  <Application>Microsoft Office Word</Application>
  <DocSecurity>0</DocSecurity>
  <Lines>334</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10</cp:revision>
  <dcterms:created xsi:type="dcterms:W3CDTF">2025-12-19T14:42:00Z</dcterms:created>
  <dcterms:modified xsi:type="dcterms:W3CDTF">2025-12-19T14:57:00Z</dcterms:modified>
</cp:coreProperties>
</file>