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F2178" w14:textId="6B525957" w:rsidR="008424E5" w:rsidRDefault="008424E5">
      <w:pPr>
        <w:spacing w:after="480" w:line="480" w:lineRule="auto"/>
        <w:jc w:val="center"/>
        <w:rPr>
          <w:b/>
          <w:bCs/>
        </w:rPr>
      </w:pPr>
      <w:r>
        <w:rPr>
          <w:b/>
          <w:bCs/>
        </w:rPr>
        <w:t xml:space="preserve">Jack Brown </w:t>
      </w:r>
    </w:p>
    <w:p w14:paraId="44F2985D" w14:textId="66407F78" w:rsidR="008424E5" w:rsidRDefault="008424E5">
      <w:pPr>
        <w:spacing w:after="480" w:line="480" w:lineRule="auto"/>
        <w:jc w:val="center"/>
        <w:rPr>
          <w:b/>
          <w:bCs/>
        </w:rPr>
      </w:pPr>
      <w:r>
        <w:rPr>
          <w:b/>
          <w:bCs/>
        </w:rPr>
        <w:t xml:space="preserve">Knowledge and Beliefs </w:t>
      </w:r>
    </w:p>
    <w:p w14:paraId="35FB6AF2" w14:textId="562C08C7" w:rsidR="008424E5" w:rsidRDefault="008424E5">
      <w:pPr>
        <w:spacing w:after="480" w:line="480" w:lineRule="auto"/>
        <w:jc w:val="center"/>
        <w:rPr>
          <w:b/>
          <w:bCs/>
        </w:rPr>
      </w:pPr>
      <w:r>
        <w:rPr>
          <w:b/>
          <w:bCs/>
        </w:rPr>
        <w:t>Essay</w:t>
      </w:r>
    </w:p>
    <w:p w14:paraId="4C73523B" w14:textId="6210426B" w:rsidR="000D2C8D" w:rsidRDefault="00E85324" w:rsidP="008424E5">
      <w:pPr>
        <w:spacing w:after="480" w:line="480" w:lineRule="auto"/>
        <w:jc w:val="center"/>
      </w:pPr>
      <w:r>
        <w:rPr>
          <w:b/>
          <w:bCs/>
        </w:rPr>
        <w:t>Miracles and the Medieval Mind: Understanding the Miraculous in the Middle Ages</w:t>
      </w:r>
    </w:p>
    <w:p w14:paraId="7F267D4B" w14:textId="71892E8A" w:rsidR="000D2C8D" w:rsidRDefault="00E85324">
      <w:pPr>
        <w:spacing w:line="480" w:lineRule="auto"/>
        <w:ind w:firstLine="720"/>
        <w:jc w:val="both"/>
      </w:pPr>
      <w:r>
        <w:t xml:space="preserve">The question of how miracles were understood in the Middle Ages is one that requires careful attention to both theological frameworks and the lived experiences of medieval communities. Benedicta Ward’s </w:t>
      </w:r>
      <w:r>
        <w:rPr>
          <w:i/>
          <w:iCs/>
        </w:rPr>
        <w:t>Miracles and the Medieval Mind: Theory, Record and Event 1000–1215</w:t>
      </w:r>
      <w:r>
        <w:t xml:space="preserve">, first published in 1982, remains one of the most thorough scholarly examinations of this subject. Drawing on an impressive range of primary sources, Ward argues that miracles were not simply credulous tales accepted by an uneducated </w:t>
      </w:r>
      <w:r w:rsidR="008424E5">
        <w:t>populace but</w:t>
      </w:r>
      <w:r>
        <w:t xml:space="preserve"> rather formed a coherent and intellectually serious part of medieval religious life. This essay will use Ward’s key chapters to explore how miracles were theorised, recorded, and experienced in medieval Europe, with particular attention to shrines, saints’ cults, and the role of pilgrimage.</w:t>
      </w:r>
      <w:r>
        <w:rPr>
          <w:rStyle w:val="FootnoteReference"/>
        </w:rPr>
        <w:footnoteReference w:id="1"/>
      </w:r>
    </w:p>
    <w:p w14:paraId="02A19A9D" w14:textId="77777777" w:rsidR="000D2C8D" w:rsidRDefault="00E85324">
      <w:pPr>
        <w:spacing w:line="480" w:lineRule="auto"/>
        <w:ind w:firstLine="720"/>
        <w:jc w:val="both"/>
      </w:pPr>
      <w:r>
        <w:t>At the outset, it is important to understand that the medieval definition of a miracle was not simply any remarkable or unexplained event. Ward shows that medieval thinkers drew on an Augustinian inheritance when thinking about miracles: the miraculous was that which produced wonder, not necessarily that which violated natural law.</w:t>
      </w:r>
      <w:r>
        <w:rPr>
          <w:rStyle w:val="FootnoteReference"/>
        </w:rPr>
        <w:footnoteReference w:id="2"/>
      </w:r>
      <w:r>
        <w:t xml:space="preserve"> Augustine of Hippo had argued that God did not act against nature, but rather against what was known of nature. This distinction was crucial, because it meant that miracles could be understood as divine revelations </w:t>
      </w:r>
      <w:r>
        <w:lastRenderedPageBreak/>
        <w:t>of a deeper order that human beings could not fully comprehend. Ward emphasises that this theological background shaped how miracle accounts were written, collected, and interpreted throughout the period from roughly 1000 to 1215.</w:t>
      </w:r>
    </w:p>
    <w:p w14:paraId="0CB52FF6" w14:textId="77777777" w:rsidR="000D2C8D" w:rsidRDefault="00E85324">
      <w:pPr>
        <w:spacing w:before="240" w:line="480" w:lineRule="auto"/>
      </w:pPr>
      <w:r>
        <w:rPr>
          <w:b/>
          <w:bCs/>
        </w:rPr>
        <w:t>The Theological Framework of the Miraculous</w:t>
      </w:r>
    </w:p>
    <w:p w14:paraId="1DFDA951" w14:textId="77777777" w:rsidR="000D2C8D" w:rsidRDefault="00E85324">
      <w:pPr>
        <w:spacing w:line="480" w:lineRule="auto"/>
        <w:ind w:firstLine="720"/>
        <w:jc w:val="both"/>
      </w:pPr>
      <w:r>
        <w:t>Ward’s opening chapters address the theoretical dimensions of the miraculous in considerable depth. She demonstrates that medieval theologians were genuinely concerned with defining what counted as a miracle and distinguishing it from other categories of extraordinary event, such as magic or demonic deception.</w:t>
      </w:r>
      <w:r>
        <w:rPr>
          <w:rStyle w:val="FootnoteReference"/>
        </w:rPr>
        <w:footnoteReference w:id="3"/>
      </w:r>
      <w:r>
        <w:t xml:space="preserve"> This was not merely an academic exercise; it had practical consequences for how pilgrims, clergy, and ecclesiastical authorities responded to reports of miraculous happenings at shrines and holy sites.</w:t>
      </w:r>
    </w:p>
    <w:p w14:paraId="275554B2" w14:textId="77777777" w:rsidR="000D2C8D" w:rsidRDefault="00E85324">
      <w:pPr>
        <w:spacing w:line="480" w:lineRule="auto"/>
        <w:ind w:firstLine="720"/>
        <w:jc w:val="both"/>
      </w:pPr>
      <w:r>
        <w:t xml:space="preserve">One of Ward’s most important observations is that the standard distinction between </w:t>
      </w:r>
      <w:r>
        <w:rPr>
          <w:i/>
          <w:iCs/>
        </w:rPr>
        <w:t>mirabilia</w:t>
      </w:r>
      <w:r>
        <w:t xml:space="preserve"> (wonders), </w:t>
      </w:r>
      <w:proofErr w:type="spellStart"/>
      <w:r>
        <w:rPr>
          <w:i/>
          <w:iCs/>
        </w:rPr>
        <w:t>miracula</w:t>
      </w:r>
      <w:proofErr w:type="spellEnd"/>
      <w:r>
        <w:t xml:space="preserve"> (miracles), and </w:t>
      </w:r>
      <w:proofErr w:type="spellStart"/>
      <w:r>
        <w:rPr>
          <w:i/>
          <w:iCs/>
        </w:rPr>
        <w:t>mira</w:t>
      </w:r>
      <w:proofErr w:type="spellEnd"/>
      <w:r>
        <w:t xml:space="preserve"> (marvels) mattered a great deal to educated writers of the period. A miracle in the strict sense was an event that could only be attributed to divine power and that served a spiritual or didactic purpose.</w:t>
      </w:r>
      <w:r>
        <w:rPr>
          <w:rStyle w:val="FootnoteReference"/>
        </w:rPr>
        <w:footnoteReference w:id="4"/>
      </w:r>
      <w:r>
        <w:t xml:space="preserve"> Ward notes that writers such as Anselm of Canterbury and later Peter the Venerable were deeply interested in whether a reported miracle truly demonstrated God’s intervention, rather than some natural cause that had not yet been understood. This concern for discernment was a hallmark of the intellectual culture surrounding miracle accounts.</w:t>
      </w:r>
    </w:p>
    <w:p w14:paraId="0F9EF7D0" w14:textId="77777777" w:rsidR="000D2C8D" w:rsidRDefault="00E85324">
      <w:pPr>
        <w:spacing w:line="480" w:lineRule="auto"/>
        <w:ind w:firstLine="720"/>
        <w:jc w:val="both"/>
      </w:pPr>
      <w:r>
        <w:t xml:space="preserve">Ward also points out that the period between 1000 and 1215 saw a significant increase in the writing and circulation of miracle collections, or </w:t>
      </w:r>
      <w:r>
        <w:rPr>
          <w:i/>
          <w:iCs/>
        </w:rPr>
        <w:t xml:space="preserve">libri </w:t>
      </w:r>
      <w:proofErr w:type="spellStart"/>
      <w:r>
        <w:rPr>
          <w:i/>
          <w:iCs/>
        </w:rPr>
        <w:t>miraculorum</w:t>
      </w:r>
      <w:proofErr w:type="spellEnd"/>
      <w:r>
        <w:t xml:space="preserve">. These collections were not random accumulations of stories, but carefully shaped documents intended to authenticate a particular saint’s cult, attract pilgrims, and demonstrate the continuing power of </w:t>
      </w:r>
      <w:r>
        <w:lastRenderedPageBreak/>
        <w:t>the holy in the world.</w:t>
      </w:r>
      <w:r>
        <w:rPr>
          <w:rStyle w:val="FootnoteReference"/>
        </w:rPr>
        <w:footnoteReference w:id="5"/>
      </w:r>
      <w:r>
        <w:t xml:space="preserve"> The theological seriousness with which miracle accounts were compiled and scrutinised challenges any assumption that medieval people simply accepted all reports of the miraculous without question.</w:t>
      </w:r>
    </w:p>
    <w:p w14:paraId="609598CD" w14:textId="77777777" w:rsidR="000D2C8D" w:rsidRDefault="00E85324">
      <w:pPr>
        <w:spacing w:before="240" w:line="480" w:lineRule="auto"/>
      </w:pPr>
      <w:r>
        <w:rPr>
          <w:b/>
          <w:bCs/>
        </w:rPr>
        <w:t>Shrines, Saints, and the Geography of the Miraculous</w:t>
      </w:r>
    </w:p>
    <w:p w14:paraId="6613D570" w14:textId="77777777" w:rsidR="000D2C8D" w:rsidRDefault="00E85324">
      <w:pPr>
        <w:spacing w:line="480" w:lineRule="auto"/>
        <w:ind w:firstLine="720"/>
        <w:jc w:val="both"/>
      </w:pPr>
      <w:r>
        <w:t>A central theme in Ward’s analysis is the relationship between miracles and specific holy places. In her chapters on shrines, she argues that the location of a miracle was not incidental to its meaning. Shrines were understood as points of contact between the earthly and the divine, where the boundary between the living and the dead was made permeable through the presence of a saint’s relics.</w:t>
      </w:r>
      <w:r>
        <w:rPr>
          <w:rStyle w:val="FootnoteReference"/>
        </w:rPr>
        <w:footnoteReference w:id="6"/>
      </w:r>
      <w:r>
        <w:t xml:space="preserve"> The physical proximity of the petitioner to the saint’s remains was thought to facilitate healing and other miraculous interventions, because the saint was believed to be genuinely present in and through those relics.</w:t>
      </w:r>
    </w:p>
    <w:p w14:paraId="21F00D7F" w14:textId="77777777" w:rsidR="000D2C8D" w:rsidRDefault="00E85324">
      <w:pPr>
        <w:spacing w:line="480" w:lineRule="auto"/>
        <w:ind w:firstLine="720"/>
        <w:jc w:val="both"/>
      </w:pPr>
      <w:r>
        <w:t>Ward’s discussion of the shrine of St Thomas Becket at Canterbury is particularly illuminating. Following Becket’s martyrdom in 1170, an extraordinary number of miracles were reported at his tomb, and the monks of Canterbury were careful to record them systematically.</w:t>
      </w:r>
      <w:r>
        <w:rPr>
          <w:rStyle w:val="FootnoteReference"/>
        </w:rPr>
        <w:footnoteReference w:id="7"/>
      </w:r>
      <w:r>
        <w:t xml:space="preserve"> These records reveal much about the expectations that pilgrims brought to the shrine: they came hoping for cures from physical ailments, the resolution of legal disputes, or the recovery of lost goods. Ward shows that the range of requests made to Becket was extraordinarily broad, suggesting that for medieval people the miraculous was not confined to the spectacular but permeated the full range of human concern.</w:t>
      </w:r>
    </w:p>
    <w:p w14:paraId="11427285" w14:textId="77777777" w:rsidR="000D2C8D" w:rsidRDefault="00E85324">
      <w:pPr>
        <w:spacing w:line="480" w:lineRule="auto"/>
        <w:ind w:firstLine="720"/>
        <w:jc w:val="both"/>
      </w:pPr>
      <w:r>
        <w:t xml:space="preserve">The process by which a miracle was recognised and recorded at Canterbury also illustrates the collaborative nature of medieval miracle culture. Ward describes how pilgrims who experienced cures were questioned by the monks, their testimony taken down, and their </w:t>
      </w:r>
      <w:r>
        <w:lastRenderedPageBreak/>
        <w:t>cases evaluated before being included in the official record.</w:t>
      </w:r>
      <w:r>
        <w:rPr>
          <w:rStyle w:val="FootnoteReference"/>
        </w:rPr>
        <w:footnoteReference w:id="8"/>
      </w:r>
      <w:r>
        <w:t xml:space="preserve"> This process of inquiry was not simply administrative but reflected a genuine concern to distinguish authentic divine intervention from fraud, coincidence, or misperception. Ward’s account makes clear that the monks of Canterbury were not passive receivers of miracle stories but active participants in constructing a credible and theologically coherent record of Becket’s sanctity.</w:t>
      </w:r>
    </w:p>
    <w:p w14:paraId="3D300054" w14:textId="27750F27" w:rsidR="000D2C8D" w:rsidRDefault="00E85324">
      <w:pPr>
        <w:spacing w:line="480" w:lineRule="auto"/>
        <w:ind w:firstLine="720"/>
        <w:jc w:val="both"/>
      </w:pPr>
      <w:r>
        <w:t>The question of why certain shrines attracted more miracles than others also interested Ward. She notes that the fame of a saint, the accessibility of the shrine, and the specific intercessory powers attributed to the saint all influenced where miracles were reported.</w:t>
      </w:r>
      <w:r>
        <w:rPr>
          <w:rStyle w:val="FootnoteReference"/>
        </w:rPr>
        <w:footnoteReference w:id="9"/>
      </w:r>
      <w:r>
        <w:t xml:space="preserve"> Some saints were associated with particular types of healing</w:t>
      </w:r>
      <w:r w:rsidR="008424E5">
        <w:t xml:space="preserve"> </w:t>
      </w:r>
      <w:r>
        <w:t>blindness, paralysis, or madness, for instance</w:t>
      </w:r>
      <w:r w:rsidR="008424E5">
        <w:t xml:space="preserve"> </w:t>
      </w:r>
      <w:r>
        <w:t>and this shaped the expectations of the pilgrims who visited their shrines. Over time, such associations could become self-reinforcing, as successful miracles attracted more pilgrims seeking similar cures, and the accumulation of positive reports enhanced the reputation of both the saint and the shrine.</w:t>
      </w:r>
    </w:p>
    <w:p w14:paraId="75897034" w14:textId="77777777" w:rsidR="000D2C8D" w:rsidRDefault="00E85324">
      <w:pPr>
        <w:spacing w:before="240" w:line="480" w:lineRule="auto"/>
      </w:pPr>
      <w:r>
        <w:rPr>
          <w:b/>
          <w:bCs/>
        </w:rPr>
        <w:t>Pilgrimage and the Experience of the Miraculous</w:t>
      </w:r>
    </w:p>
    <w:p w14:paraId="34A264FD" w14:textId="77777777" w:rsidR="000D2C8D" w:rsidRDefault="00E85324">
      <w:pPr>
        <w:spacing w:line="480" w:lineRule="auto"/>
        <w:ind w:firstLine="720"/>
        <w:jc w:val="both"/>
      </w:pPr>
      <w:r>
        <w:t>Pilgrimage was the primary means by which ordinary men and women sought access to miraculous power in the Middle Ages, and Ward’s chapters on this subject reveal the complex mixture of motivations and expectations that pilgrims brought with them. The journey itself was understood to have spiritual value: the physical hardship of travel was seen as a form of penance, and the arrival at the shrine represented a moment of potential transformation.</w:t>
      </w:r>
      <w:r>
        <w:rPr>
          <w:rStyle w:val="FootnoteReference"/>
        </w:rPr>
        <w:footnoteReference w:id="10"/>
      </w:r>
    </w:p>
    <w:p w14:paraId="55091F8A" w14:textId="77777777" w:rsidR="000D2C8D" w:rsidRDefault="00E85324">
      <w:pPr>
        <w:spacing w:line="480" w:lineRule="auto"/>
        <w:ind w:firstLine="720"/>
        <w:jc w:val="both"/>
      </w:pPr>
      <w:r>
        <w:t>Ward observes that miracle accounts from pilgrimage sites frequently describe the experience of healing as sudden and dramatic, occurring precisely at the moment of prayer before the shrine or at the touch of a relic.</w:t>
      </w:r>
      <w:r>
        <w:rPr>
          <w:rStyle w:val="FootnoteReference"/>
        </w:rPr>
        <w:footnoteReference w:id="11"/>
      </w:r>
      <w:r>
        <w:t xml:space="preserve"> This immediacy was important: it confirmed the </w:t>
      </w:r>
      <w:r>
        <w:lastRenderedPageBreak/>
        <w:t>identity of the miraculous agent and demonstrated that the saint had responded to the individual petition. The drama of such moments was carefully preserved in miracle narratives, which often described the pilgrim crying out, weeping, or praising God in front of witnesses. The public nature of these experiences was not accidental; it served to strengthen the faith of onlookers and to authenticate the miracle for the monastic record.</w:t>
      </w:r>
    </w:p>
    <w:p w14:paraId="5A0BE4F8" w14:textId="3E8AC160" w:rsidR="000D2C8D" w:rsidRDefault="00E85324">
      <w:pPr>
        <w:spacing w:line="480" w:lineRule="auto"/>
        <w:ind w:firstLine="720"/>
        <w:jc w:val="both"/>
      </w:pPr>
      <w:r>
        <w:t>Ward’s analysis also draws attention to the social dimensions of pilgrimage and miracle. Many of the miraculous accounts she examines involve people from the lower social orders</w:t>
      </w:r>
      <w:r w:rsidR="008424E5">
        <w:t xml:space="preserve"> </w:t>
      </w:r>
      <w:r>
        <w:t>the poor, the sick, the imprisoned</w:t>
      </w:r>
      <w:r w:rsidR="008424E5">
        <w:t xml:space="preserve"> </w:t>
      </w:r>
      <w:r>
        <w:t>who sought divine assistance in circumstances that offered them little recourse through normal social channels.</w:t>
      </w:r>
      <w:r>
        <w:rPr>
          <w:rStyle w:val="FootnoteReference"/>
        </w:rPr>
        <w:footnoteReference w:id="12"/>
      </w:r>
      <w:r>
        <w:t xml:space="preserve"> This observation highlights an important aspect of how miracles were understood: they were seen as a manifestation of divine justice and compassion that could intervene even where human institutions failed. The miracle was not merely a medical or practical intervention but a sign of God’s providential care for the most vulnerable members of society.</w:t>
      </w:r>
    </w:p>
    <w:p w14:paraId="155BF741" w14:textId="77777777" w:rsidR="000D2C8D" w:rsidRDefault="00E85324">
      <w:pPr>
        <w:spacing w:before="240" w:line="480" w:lineRule="auto"/>
      </w:pPr>
      <w:r>
        <w:rPr>
          <w:b/>
          <w:bCs/>
        </w:rPr>
        <w:t>Miracles and the Process of Canonisation</w:t>
      </w:r>
    </w:p>
    <w:p w14:paraId="04294771" w14:textId="0B6BDBBF" w:rsidR="000D2C8D" w:rsidRDefault="00E85324">
      <w:pPr>
        <w:spacing w:line="480" w:lineRule="auto"/>
        <w:ind w:firstLine="720"/>
        <w:jc w:val="both"/>
      </w:pPr>
      <w:r>
        <w:t xml:space="preserve">Ward’s later chapters turn to the relationship between miracles and the formal process of canonisation, which became increasingly systematised during the twelfth and early thirteenth centuries. She shows that miracles played a central role in establishing the sanctity of a candidate for sainthood, and that the papacy gradually developed more stringent criteria for evaluating miracle reports </w:t>
      </w:r>
      <w:r w:rsidR="008424E5">
        <w:t>during</w:t>
      </w:r>
      <w:r>
        <w:t xml:space="preserve"> this period.</w:t>
      </w:r>
      <w:r>
        <w:rPr>
          <w:rStyle w:val="FootnoteReference"/>
        </w:rPr>
        <w:footnoteReference w:id="13"/>
      </w:r>
    </w:p>
    <w:p w14:paraId="3EA670D3" w14:textId="77777777" w:rsidR="000D2C8D" w:rsidRDefault="00E85324">
      <w:pPr>
        <w:spacing w:line="480" w:lineRule="auto"/>
        <w:ind w:firstLine="720"/>
        <w:jc w:val="both"/>
      </w:pPr>
      <w:r>
        <w:t xml:space="preserve">This development reflected a broader concern within the Church to maintain control over the proliferation of local cults. Ward notes that the number of unofficial or popular saints had grown considerably during the eleventh and twelfth centuries, and that ecclesiastical authorities were anxious to ensure that only genuinely holy individuals received the veneration </w:t>
      </w:r>
      <w:r>
        <w:lastRenderedPageBreak/>
        <w:t>of the faithful.</w:t>
      </w:r>
      <w:r>
        <w:rPr>
          <w:rStyle w:val="FootnoteReference"/>
        </w:rPr>
        <w:footnoteReference w:id="14"/>
      </w:r>
      <w:r>
        <w:t xml:space="preserve"> The formal investigation of miracles thus became a tool of ecclesiastical discipline as much as an expression of religious devotion. Miracles were not simply accepted at face value; they were subjected to a process of scrutiny that drew on legal as well as theological norms.</w:t>
      </w:r>
    </w:p>
    <w:p w14:paraId="12432007" w14:textId="77777777" w:rsidR="000D2C8D" w:rsidRDefault="00E85324">
      <w:pPr>
        <w:spacing w:line="480" w:lineRule="auto"/>
        <w:ind w:firstLine="720"/>
        <w:jc w:val="both"/>
      </w:pPr>
      <w:r>
        <w:t>Ward argues that this increasing emphasis on formal verification did not undermine the importance of miracles within medieval religion, but rather placed them within a more structured and legible framework.</w:t>
      </w:r>
      <w:r>
        <w:rPr>
          <w:rStyle w:val="FootnoteReference"/>
        </w:rPr>
        <w:footnoteReference w:id="15"/>
      </w:r>
      <w:r>
        <w:t xml:space="preserve"> The growing bureaucratisation of sanctity reflected the broader intellectual and institutional developments of the twelfth century, including the revival of Roman law, the growth of schools and universities, and the increasing sophistication of papal administration. The miracle remained at the centre of religious life, but its meaning was now negotiated through more complex institutional channels.</w:t>
      </w:r>
    </w:p>
    <w:p w14:paraId="34306A0F" w14:textId="77777777" w:rsidR="000D2C8D" w:rsidRDefault="00E85324">
      <w:pPr>
        <w:spacing w:before="240" w:line="480" w:lineRule="auto"/>
      </w:pPr>
      <w:r>
        <w:rPr>
          <w:b/>
          <w:bCs/>
        </w:rPr>
        <w:t>The Spiritual Meaning of Miracles</w:t>
      </w:r>
    </w:p>
    <w:p w14:paraId="4061A029" w14:textId="77777777" w:rsidR="000D2C8D" w:rsidRDefault="00E85324">
      <w:pPr>
        <w:spacing w:line="480" w:lineRule="auto"/>
        <w:ind w:firstLine="720"/>
        <w:jc w:val="both"/>
      </w:pPr>
      <w:r>
        <w:t>Perhaps the most important contribution of Ward’s book is her insistence that miracles in the Middle Ages carried a rich symbolic and spiritual meaning that went beyond the immediate physical or practical benefit they conferred. In her chapters on the significance of miracle narratives, she argues that these stories were understood by their authors and their audiences as signs: events that pointed beyond themselves to a deeper spiritual reality.</w:t>
      </w:r>
      <w:r>
        <w:rPr>
          <w:rStyle w:val="FootnoteReference"/>
        </w:rPr>
        <w:footnoteReference w:id="16"/>
      </w:r>
    </w:p>
    <w:p w14:paraId="7C4A0F25" w14:textId="77777777" w:rsidR="000D2C8D" w:rsidRDefault="00E85324">
      <w:pPr>
        <w:spacing w:line="480" w:lineRule="auto"/>
        <w:ind w:firstLine="720"/>
        <w:jc w:val="both"/>
      </w:pPr>
      <w:r>
        <w:t>This semiotic understanding of the miraculous drew on a long tradition of Christian biblical interpretation, in which events in the natural world were read as divine communications. Ward shows that miracle accounts frequently employed the language of scripture and liturgy, embedding individual events within a wider narrative of salvation.</w:t>
      </w:r>
      <w:r>
        <w:rPr>
          <w:rStyle w:val="FootnoteReference"/>
        </w:rPr>
        <w:footnoteReference w:id="17"/>
      </w:r>
      <w:r>
        <w:t xml:space="preserve"> A healing at the shrine of a martyr, for instance, was not merely a cure; it was a participation in </w:t>
      </w:r>
      <w:r>
        <w:lastRenderedPageBreak/>
        <w:t>the victory of Christ over death and suffering, mediated through the saint’s intercession. This theological depth gave miracle accounts their cultural authority and made them powerful instruments of religious instruction and devotion.</w:t>
      </w:r>
    </w:p>
    <w:p w14:paraId="4033FEDE" w14:textId="77777777" w:rsidR="000D2C8D" w:rsidRDefault="00E85324">
      <w:pPr>
        <w:spacing w:line="480" w:lineRule="auto"/>
        <w:ind w:firstLine="720"/>
        <w:jc w:val="both"/>
      </w:pPr>
      <w:r>
        <w:t>Ward also draws attention to the narrative conventions that shaped how miracles were described. Miracle stories typically followed a recognisable pattern: the affliction of the petitioner, the failure of human remedies, the journey to the shrine, the prayer and vigil, and finally the miraculous cure, often accompanied by a vision or dream.</w:t>
      </w:r>
      <w:r>
        <w:rPr>
          <w:rStyle w:val="FootnoteReference"/>
        </w:rPr>
        <w:footnoteReference w:id="18"/>
      </w:r>
      <w:r>
        <w:t xml:space="preserve"> This formulaic quality has sometimes led modern scholars to dismiss miracle accounts as stereotyped or unreliable, but Ward cautions against such a reading. The use of established narrative conventions reflected the desire to situate individual experiences within a shared framework of meaning, not to falsify or embellish them. The conventions were themselves theologically significant, encoding the community’s understanding of how the miraculous operated.</w:t>
      </w:r>
    </w:p>
    <w:p w14:paraId="25C57161" w14:textId="77777777" w:rsidR="000D2C8D" w:rsidRDefault="00E85324">
      <w:pPr>
        <w:spacing w:before="240" w:line="480" w:lineRule="auto"/>
      </w:pPr>
      <w:r>
        <w:rPr>
          <w:b/>
          <w:bCs/>
        </w:rPr>
        <w:t>Conclusion</w:t>
      </w:r>
    </w:p>
    <w:p w14:paraId="229B4AD7" w14:textId="1BDF88C0" w:rsidR="000D2C8D" w:rsidRDefault="00E85324">
      <w:pPr>
        <w:spacing w:line="480" w:lineRule="auto"/>
        <w:ind w:firstLine="720"/>
        <w:jc w:val="both"/>
      </w:pPr>
      <w:r>
        <w:t xml:space="preserve">Ward’s </w:t>
      </w:r>
      <w:r>
        <w:rPr>
          <w:i/>
          <w:iCs/>
        </w:rPr>
        <w:t>Miracles and the Medieval Mind</w:t>
      </w:r>
      <w:r>
        <w:t xml:space="preserve"> </w:t>
      </w:r>
      <w:r w:rsidR="008424E5">
        <w:t>offer</w:t>
      </w:r>
      <w:r>
        <w:t xml:space="preserve"> a nuanced and carefully evidenced account of how miracles were understood in the Middle Ages. Far from being a manifestation of naive credulity, the miraculous was embedded within a sophisticated intellectual and institutional framework that drew on theology, law, and literary tradition.</w:t>
      </w:r>
      <w:r>
        <w:rPr>
          <w:rStyle w:val="FootnoteReference"/>
        </w:rPr>
        <w:footnoteReference w:id="19"/>
      </w:r>
      <w:r>
        <w:t xml:space="preserve"> Miracles were understood as signs of divine power operating in the world through the intercession of the saints; they were carefully recorded, scrutinised, and interpreted by the communities that experienced them.</w:t>
      </w:r>
    </w:p>
    <w:p w14:paraId="3A92E137" w14:textId="028205B2" w:rsidR="000D2C8D" w:rsidRDefault="00E85324">
      <w:pPr>
        <w:spacing w:line="480" w:lineRule="auto"/>
        <w:ind w:firstLine="720"/>
        <w:jc w:val="both"/>
      </w:pPr>
      <w:r>
        <w:t xml:space="preserve">Ward’s analysis reveals that the medieval understanding of miracles was shaped by a number of intersecting forces: the Augustinian theology of wonder and divine action, the institutional needs of shrines and cults, the social expectations of pilgrims, and the increasingly </w:t>
      </w:r>
      <w:r>
        <w:lastRenderedPageBreak/>
        <w:t>formalised procedures of the Church.</w:t>
      </w:r>
      <w:r>
        <w:rPr>
          <w:rStyle w:val="FootnoteReference"/>
        </w:rPr>
        <w:footnoteReference w:id="20"/>
      </w:r>
      <w:r>
        <w:t xml:space="preserve"> Together, these forces produced a culture of the miraculous that was both intellectually serious and pastorally vital. To understand how miracles were understood in the Middle Ages is thus to understand something fundamental about medieval Christianity: its conviction that the divine and the human were not separated by an unbridgeable </w:t>
      </w:r>
      <w:r w:rsidR="008424E5">
        <w:t>gulf but</w:t>
      </w:r>
      <w:r>
        <w:t xml:space="preserve"> were brought into contact through the mercy of God and the mediation of the saints.</w:t>
      </w:r>
    </w:p>
    <w:p w14:paraId="2FD6BCEB" w14:textId="77777777" w:rsidR="000D2C8D" w:rsidRDefault="00E85324">
      <w:pPr>
        <w:spacing w:line="480" w:lineRule="auto"/>
        <w:ind w:firstLine="720"/>
        <w:jc w:val="both"/>
      </w:pPr>
      <w:r>
        <w:t>In conclusion, Ward’s work demonstrates that the study of miracles is not a marginal or curious aspect of medieval history, but a central window onto the religious, intellectual, and social life of the period. Her book remains an essential starting point for anyone wishing to understand the place of the miraculous in the medieval world.</w:t>
      </w:r>
      <w:r>
        <w:rPr>
          <w:rStyle w:val="FootnoteReference"/>
        </w:rPr>
        <w:footnoteReference w:id="21"/>
      </w:r>
    </w:p>
    <w:p w14:paraId="5C1A5737" w14:textId="77777777" w:rsidR="000D2C8D" w:rsidRDefault="00E85324">
      <w:pPr>
        <w:spacing w:before="480" w:after="240" w:line="480" w:lineRule="auto"/>
      </w:pPr>
      <w:r>
        <w:rPr>
          <w:b/>
          <w:bCs/>
        </w:rPr>
        <w:t>Bibliography</w:t>
      </w:r>
    </w:p>
    <w:p w14:paraId="7990BCA2" w14:textId="77777777" w:rsidR="000D2C8D" w:rsidRDefault="00E85324">
      <w:pPr>
        <w:spacing w:after="80"/>
      </w:pPr>
      <w:r>
        <w:rPr>
          <w:b/>
          <w:bCs/>
        </w:rPr>
        <w:t>Primary Sources</w:t>
      </w:r>
    </w:p>
    <w:p w14:paraId="40A18305" w14:textId="77777777" w:rsidR="000D2C8D" w:rsidRDefault="00E85324">
      <w:pPr>
        <w:spacing w:after="160"/>
        <w:ind w:left="720" w:hanging="720"/>
        <w:jc w:val="both"/>
      </w:pPr>
      <w:r>
        <w:t xml:space="preserve">Ward, Benedicta, </w:t>
      </w:r>
      <w:r>
        <w:rPr>
          <w:i/>
          <w:iCs/>
        </w:rPr>
        <w:t>Miracles and the Medieval Mind: Theory, Record and Event 1000–1215</w:t>
      </w:r>
      <w:r>
        <w:t xml:space="preserve"> (London: </w:t>
      </w:r>
      <w:proofErr w:type="spellStart"/>
      <w:r>
        <w:t>Scolar</w:t>
      </w:r>
      <w:proofErr w:type="spellEnd"/>
      <w:r>
        <w:t xml:space="preserve"> Press, 1982)</w:t>
      </w:r>
    </w:p>
    <w:p w14:paraId="0F2C2D83" w14:textId="77777777" w:rsidR="000D2C8D" w:rsidRDefault="00E85324">
      <w:pPr>
        <w:spacing w:before="160" w:after="80"/>
      </w:pPr>
      <w:r>
        <w:rPr>
          <w:b/>
          <w:bCs/>
        </w:rPr>
        <w:t>Secondary Sources</w:t>
      </w:r>
    </w:p>
    <w:p w14:paraId="2CDAB423" w14:textId="77777777" w:rsidR="000D2C8D" w:rsidRDefault="00E85324">
      <w:pPr>
        <w:spacing w:after="160"/>
        <w:ind w:left="720" w:hanging="720"/>
        <w:jc w:val="both"/>
      </w:pPr>
      <w:r>
        <w:t xml:space="preserve">Brown, Peter, </w:t>
      </w:r>
      <w:r>
        <w:rPr>
          <w:i/>
          <w:iCs/>
        </w:rPr>
        <w:t>The Cult of the Saints: Its Rise and Function in Latin Christianity</w:t>
      </w:r>
      <w:r>
        <w:t xml:space="preserve">, 2nd </w:t>
      </w:r>
      <w:proofErr w:type="spellStart"/>
      <w:r>
        <w:t>edn</w:t>
      </w:r>
      <w:proofErr w:type="spellEnd"/>
      <w:r>
        <w:t xml:space="preserve"> (Chicago: University of Chicago Press, 2015)</w:t>
      </w:r>
    </w:p>
    <w:p w14:paraId="5D3D695F" w14:textId="77777777" w:rsidR="000D2C8D" w:rsidRDefault="00E85324">
      <w:pPr>
        <w:spacing w:after="160"/>
        <w:ind w:left="720" w:hanging="720"/>
        <w:jc w:val="both"/>
      </w:pPr>
      <w:r>
        <w:t xml:space="preserve">Finucane, Ronald C., </w:t>
      </w:r>
      <w:r>
        <w:rPr>
          <w:i/>
          <w:iCs/>
        </w:rPr>
        <w:t>Miracles and Pilgrims: Popular Beliefs in Medieval England</w:t>
      </w:r>
      <w:r>
        <w:t xml:space="preserve"> (London: J. M. Dent, 1977)</w:t>
      </w:r>
    </w:p>
    <w:p w14:paraId="1800465E" w14:textId="77777777" w:rsidR="000D2C8D" w:rsidRDefault="00E85324">
      <w:pPr>
        <w:spacing w:after="160"/>
        <w:ind w:left="720" w:hanging="720"/>
        <w:jc w:val="both"/>
      </w:pPr>
      <w:proofErr w:type="spellStart"/>
      <w:r>
        <w:t>Vauchez</w:t>
      </w:r>
      <w:proofErr w:type="spellEnd"/>
      <w:r>
        <w:t xml:space="preserve">, André, </w:t>
      </w:r>
      <w:r>
        <w:rPr>
          <w:i/>
          <w:iCs/>
        </w:rPr>
        <w:t>Sainthood in the Later Middle Ages</w:t>
      </w:r>
      <w:r>
        <w:t>, trans. by Jean Birrell (Cambridge: Cambridge University Press, 1997)</w:t>
      </w:r>
    </w:p>
    <w:p w14:paraId="5D984A5B" w14:textId="77777777" w:rsidR="000D2C8D" w:rsidRDefault="00E85324">
      <w:pPr>
        <w:spacing w:after="160"/>
        <w:ind w:left="720" w:hanging="720"/>
        <w:jc w:val="both"/>
      </w:pPr>
      <w:r>
        <w:t xml:space="preserve">Yarrow, Simon, </w:t>
      </w:r>
      <w:r>
        <w:rPr>
          <w:i/>
          <w:iCs/>
        </w:rPr>
        <w:t xml:space="preserve">Saints and their Communities: Miracle Stories in </w:t>
      </w:r>
      <w:proofErr w:type="gramStart"/>
      <w:r>
        <w:rPr>
          <w:i/>
          <w:iCs/>
        </w:rPr>
        <w:t>Twelfth-Century England</w:t>
      </w:r>
      <w:proofErr w:type="gramEnd"/>
      <w:r>
        <w:t xml:space="preserve"> (Oxford: Clarendon Press, 2006)</w:t>
      </w:r>
    </w:p>
    <w:sectPr w:rsidR="000D2C8D">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9E2BC" w14:textId="77777777" w:rsidR="00E85324" w:rsidRDefault="00E85324">
      <w:r>
        <w:separator/>
      </w:r>
    </w:p>
  </w:endnote>
  <w:endnote w:type="continuationSeparator" w:id="0">
    <w:p w14:paraId="6A6E4BDC" w14:textId="77777777" w:rsidR="00E85324" w:rsidRDefault="00E853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29B9C" w14:textId="77777777" w:rsidR="00E85324" w:rsidRDefault="00E85324">
      <w:r>
        <w:separator/>
      </w:r>
    </w:p>
  </w:footnote>
  <w:footnote w:type="continuationSeparator" w:id="0">
    <w:p w14:paraId="082762BE" w14:textId="77777777" w:rsidR="00E85324" w:rsidRDefault="00E85324">
      <w:r>
        <w:continuationSeparator/>
      </w:r>
    </w:p>
  </w:footnote>
  <w:footnote w:id="1">
    <w:p w14:paraId="73627E29" w14:textId="77777777" w:rsidR="000D2C8D" w:rsidRDefault="00E85324">
      <w:r>
        <w:rPr>
          <w:rStyle w:val="FootnoteReference"/>
        </w:rPr>
        <w:footnoteRef/>
      </w:r>
      <w:r>
        <w:t xml:space="preserve"> Benedicta Ward, </w:t>
      </w:r>
      <w:r>
        <w:rPr>
          <w:i/>
          <w:iCs/>
        </w:rPr>
        <w:t>Miracles and the Medieval Mind: Theory, Record and Event 1000–1215</w:t>
      </w:r>
      <w:r>
        <w:t xml:space="preserve"> (London: </w:t>
      </w:r>
      <w:proofErr w:type="spellStart"/>
      <w:r>
        <w:t>Scolar</w:t>
      </w:r>
      <w:proofErr w:type="spellEnd"/>
      <w:r>
        <w:t xml:space="preserve"> Press, 1982), p. 3.</w:t>
      </w:r>
    </w:p>
  </w:footnote>
  <w:footnote w:id="2">
    <w:p w14:paraId="248ED49F" w14:textId="77777777" w:rsidR="000D2C8D" w:rsidRDefault="00E85324">
      <w:r>
        <w:rPr>
          <w:rStyle w:val="FootnoteReference"/>
        </w:rPr>
        <w:footnoteRef/>
      </w:r>
      <w:r>
        <w:t xml:space="preserve"> Ward, </w:t>
      </w:r>
      <w:r>
        <w:rPr>
          <w:i/>
          <w:iCs/>
        </w:rPr>
        <w:t>Miracles and the Medieval Mind</w:t>
      </w:r>
      <w:r>
        <w:t>, p. 3.</w:t>
      </w:r>
    </w:p>
  </w:footnote>
  <w:footnote w:id="3">
    <w:p w14:paraId="167F96A1" w14:textId="77777777" w:rsidR="000D2C8D" w:rsidRDefault="00E85324">
      <w:r>
        <w:rPr>
          <w:rStyle w:val="FootnoteReference"/>
        </w:rPr>
        <w:footnoteRef/>
      </w:r>
      <w:r>
        <w:t xml:space="preserve"> Ibid., p. 4.</w:t>
      </w:r>
    </w:p>
  </w:footnote>
  <w:footnote w:id="4">
    <w:p w14:paraId="37C2612D" w14:textId="77777777" w:rsidR="000D2C8D" w:rsidRDefault="00E85324">
      <w:r>
        <w:rPr>
          <w:rStyle w:val="FootnoteReference"/>
        </w:rPr>
        <w:footnoteRef/>
      </w:r>
      <w:r>
        <w:t xml:space="preserve"> Ibid., p. 5.</w:t>
      </w:r>
    </w:p>
  </w:footnote>
  <w:footnote w:id="5">
    <w:p w14:paraId="3716C826" w14:textId="77777777" w:rsidR="000D2C8D" w:rsidRDefault="00E85324">
      <w:r>
        <w:rPr>
          <w:rStyle w:val="FootnoteReference"/>
        </w:rPr>
        <w:footnoteRef/>
      </w:r>
      <w:r>
        <w:t xml:space="preserve"> Ward, </w:t>
      </w:r>
      <w:r>
        <w:rPr>
          <w:i/>
          <w:iCs/>
        </w:rPr>
        <w:t>Miracles and the Medieval Mind</w:t>
      </w:r>
      <w:r>
        <w:t>, pp. 10–11.</w:t>
      </w:r>
    </w:p>
  </w:footnote>
  <w:footnote w:id="6">
    <w:p w14:paraId="00093A9E" w14:textId="77777777" w:rsidR="000D2C8D" w:rsidRDefault="00E85324">
      <w:r>
        <w:rPr>
          <w:rStyle w:val="FootnoteReference"/>
        </w:rPr>
        <w:footnoteRef/>
      </w:r>
      <w:r>
        <w:t xml:space="preserve"> Ibid., p. 10.</w:t>
      </w:r>
    </w:p>
  </w:footnote>
  <w:footnote w:id="7">
    <w:p w14:paraId="7D1A6695" w14:textId="77777777" w:rsidR="000D2C8D" w:rsidRDefault="00E85324">
      <w:r>
        <w:rPr>
          <w:rStyle w:val="FootnoteReference"/>
        </w:rPr>
        <w:footnoteRef/>
      </w:r>
      <w:r>
        <w:t xml:space="preserve"> Ward, </w:t>
      </w:r>
      <w:r>
        <w:rPr>
          <w:i/>
          <w:iCs/>
        </w:rPr>
        <w:t>Miracles and the Medieval Mind</w:t>
      </w:r>
      <w:r>
        <w:t>, p. 33.</w:t>
      </w:r>
    </w:p>
  </w:footnote>
  <w:footnote w:id="8">
    <w:p w14:paraId="78DE6241" w14:textId="77777777" w:rsidR="000D2C8D" w:rsidRDefault="00E85324">
      <w:r>
        <w:rPr>
          <w:rStyle w:val="FootnoteReference"/>
        </w:rPr>
        <w:footnoteRef/>
      </w:r>
      <w:r>
        <w:t xml:space="preserve"> Ibid., pp. 34–35.</w:t>
      </w:r>
    </w:p>
  </w:footnote>
  <w:footnote w:id="9">
    <w:p w14:paraId="066C5679" w14:textId="77777777" w:rsidR="000D2C8D" w:rsidRDefault="00E85324">
      <w:r>
        <w:rPr>
          <w:rStyle w:val="FootnoteReference"/>
        </w:rPr>
        <w:footnoteRef/>
      </w:r>
      <w:r>
        <w:t xml:space="preserve"> Ibid., p. 36.</w:t>
      </w:r>
    </w:p>
  </w:footnote>
  <w:footnote w:id="10">
    <w:p w14:paraId="053E0101" w14:textId="77777777" w:rsidR="000D2C8D" w:rsidRDefault="00E85324">
      <w:r>
        <w:rPr>
          <w:rStyle w:val="FootnoteReference"/>
        </w:rPr>
        <w:footnoteRef/>
      </w:r>
      <w:r>
        <w:t xml:space="preserve"> Ward, </w:t>
      </w:r>
      <w:r>
        <w:rPr>
          <w:i/>
          <w:iCs/>
        </w:rPr>
        <w:t>Miracles and the Medieval Mind</w:t>
      </w:r>
      <w:r>
        <w:t>, p. 57.</w:t>
      </w:r>
    </w:p>
  </w:footnote>
  <w:footnote w:id="11">
    <w:p w14:paraId="36B93AD0" w14:textId="77777777" w:rsidR="000D2C8D" w:rsidRDefault="00E85324">
      <w:r>
        <w:rPr>
          <w:rStyle w:val="FootnoteReference"/>
        </w:rPr>
        <w:footnoteRef/>
      </w:r>
      <w:r>
        <w:t xml:space="preserve"> Ibid., pp. 58–59.</w:t>
      </w:r>
    </w:p>
  </w:footnote>
  <w:footnote w:id="12">
    <w:p w14:paraId="7B1200EB" w14:textId="77777777" w:rsidR="000D2C8D" w:rsidRDefault="00E85324">
      <w:r>
        <w:rPr>
          <w:rStyle w:val="FootnoteReference"/>
        </w:rPr>
        <w:footnoteRef/>
      </w:r>
      <w:r>
        <w:t xml:space="preserve"> Ibid., p. 60.</w:t>
      </w:r>
    </w:p>
  </w:footnote>
  <w:footnote w:id="13">
    <w:p w14:paraId="7CBA42E2" w14:textId="77777777" w:rsidR="000D2C8D" w:rsidRDefault="00E85324">
      <w:r>
        <w:rPr>
          <w:rStyle w:val="FootnoteReference"/>
        </w:rPr>
        <w:footnoteRef/>
      </w:r>
      <w:r>
        <w:t xml:space="preserve"> Ward, </w:t>
      </w:r>
      <w:r>
        <w:rPr>
          <w:i/>
          <w:iCs/>
        </w:rPr>
        <w:t>Miracles and the Medieval Mind</w:t>
      </w:r>
      <w:r>
        <w:t>, p. 89.</w:t>
      </w:r>
    </w:p>
  </w:footnote>
  <w:footnote w:id="14">
    <w:p w14:paraId="10A4E0B3" w14:textId="77777777" w:rsidR="000D2C8D" w:rsidRDefault="00E85324">
      <w:r>
        <w:rPr>
          <w:rStyle w:val="FootnoteReference"/>
        </w:rPr>
        <w:footnoteRef/>
      </w:r>
      <w:r>
        <w:t xml:space="preserve"> Ibid., pp. 90–91.</w:t>
      </w:r>
    </w:p>
  </w:footnote>
  <w:footnote w:id="15">
    <w:p w14:paraId="204CEB9A" w14:textId="77777777" w:rsidR="000D2C8D" w:rsidRDefault="00E85324">
      <w:r>
        <w:rPr>
          <w:rStyle w:val="FootnoteReference"/>
        </w:rPr>
        <w:footnoteRef/>
      </w:r>
      <w:r>
        <w:t xml:space="preserve"> Ibid., p. 92.</w:t>
      </w:r>
    </w:p>
  </w:footnote>
  <w:footnote w:id="16">
    <w:p w14:paraId="41F72BBE" w14:textId="77777777" w:rsidR="000D2C8D" w:rsidRDefault="00E85324">
      <w:r>
        <w:rPr>
          <w:rStyle w:val="FootnoteReference"/>
        </w:rPr>
        <w:footnoteRef/>
      </w:r>
      <w:r>
        <w:t xml:space="preserve"> Ward, </w:t>
      </w:r>
      <w:r>
        <w:rPr>
          <w:i/>
          <w:iCs/>
        </w:rPr>
        <w:t>Miracles and the Medieval Mind</w:t>
      </w:r>
      <w:r>
        <w:t>, p. 116.</w:t>
      </w:r>
    </w:p>
  </w:footnote>
  <w:footnote w:id="17">
    <w:p w14:paraId="4255E5B9" w14:textId="77777777" w:rsidR="000D2C8D" w:rsidRDefault="00E85324">
      <w:r>
        <w:rPr>
          <w:rStyle w:val="FootnoteReference"/>
        </w:rPr>
        <w:footnoteRef/>
      </w:r>
      <w:r>
        <w:t xml:space="preserve"> Ibid., pp. 117–18.</w:t>
      </w:r>
    </w:p>
  </w:footnote>
  <w:footnote w:id="18">
    <w:p w14:paraId="745AD1E8" w14:textId="77777777" w:rsidR="000D2C8D" w:rsidRDefault="00E85324">
      <w:r>
        <w:rPr>
          <w:rStyle w:val="FootnoteReference"/>
        </w:rPr>
        <w:footnoteRef/>
      </w:r>
      <w:r>
        <w:t xml:space="preserve"> Ibid., p. 119.</w:t>
      </w:r>
    </w:p>
  </w:footnote>
  <w:footnote w:id="19">
    <w:p w14:paraId="5B339A1B" w14:textId="77777777" w:rsidR="000D2C8D" w:rsidRDefault="00E85324">
      <w:r>
        <w:rPr>
          <w:rStyle w:val="FootnoteReference"/>
        </w:rPr>
        <w:footnoteRef/>
      </w:r>
      <w:r>
        <w:t xml:space="preserve"> Ward, </w:t>
      </w:r>
      <w:r>
        <w:rPr>
          <w:i/>
          <w:iCs/>
        </w:rPr>
        <w:t>Miracles and the Medieval Mind</w:t>
      </w:r>
      <w:r>
        <w:t>, p. 166.</w:t>
      </w:r>
    </w:p>
  </w:footnote>
  <w:footnote w:id="20">
    <w:p w14:paraId="65ABDC24" w14:textId="77777777" w:rsidR="000D2C8D" w:rsidRDefault="00E85324">
      <w:r>
        <w:rPr>
          <w:rStyle w:val="FootnoteReference"/>
        </w:rPr>
        <w:footnoteRef/>
      </w:r>
      <w:r>
        <w:t xml:space="preserve"> Ibid., pp. 167–68.</w:t>
      </w:r>
    </w:p>
  </w:footnote>
  <w:footnote w:id="21">
    <w:p w14:paraId="0D294538" w14:textId="77777777" w:rsidR="000D2C8D" w:rsidRDefault="00E85324">
      <w:r>
        <w:rPr>
          <w:rStyle w:val="FootnoteReference"/>
        </w:rPr>
        <w:footnoteRef/>
      </w:r>
      <w:r>
        <w:t xml:space="preserve"> Ibid., p. 214.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55FE1"/>
    <w:multiLevelType w:val="hybridMultilevel"/>
    <w:tmpl w:val="019E6F00"/>
    <w:lvl w:ilvl="0" w:tplc="E3A6E002">
      <w:start w:val="1"/>
      <w:numFmt w:val="bullet"/>
      <w:lvlText w:val="●"/>
      <w:lvlJc w:val="left"/>
      <w:pPr>
        <w:ind w:left="720" w:hanging="360"/>
      </w:pPr>
    </w:lvl>
    <w:lvl w:ilvl="1" w:tplc="43C67152">
      <w:start w:val="1"/>
      <w:numFmt w:val="bullet"/>
      <w:lvlText w:val="○"/>
      <w:lvlJc w:val="left"/>
      <w:pPr>
        <w:ind w:left="1440" w:hanging="360"/>
      </w:pPr>
    </w:lvl>
    <w:lvl w:ilvl="2" w:tplc="EA8EC94C">
      <w:start w:val="1"/>
      <w:numFmt w:val="bullet"/>
      <w:lvlText w:val="■"/>
      <w:lvlJc w:val="left"/>
      <w:pPr>
        <w:ind w:left="2160" w:hanging="360"/>
      </w:pPr>
    </w:lvl>
    <w:lvl w:ilvl="3" w:tplc="E1C28DE6">
      <w:start w:val="1"/>
      <w:numFmt w:val="bullet"/>
      <w:lvlText w:val="●"/>
      <w:lvlJc w:val="left"/>
      <w:pPr>
        <w:ind w:left="2880" w:hanging="360"/>
      </w:pPr>
    </w:lvl>
    <w:lvl w:ilvl="4" w:tplc="1130D8C2">
      <w:start w:val="1"/>
      <w:numFmt w:val="bullet"/>
      <w:lvlText w:val="○"/>
      <w:lvlJc w:val="left"/>
      <w:pPr>
        <w:ind w:left="3600" w:hanging="360"/>
      </w:pPr>
    </w:lvl>
    <w:lvl w:ilvl="5" w:tplc="47922048">
      <w:start w:val="1"/>
      <w:numFmt w:val="bullet"/>
      <w:lvlText w:val="■"/>
      <w:lvlJc w:val="left"/>
      <w:pPr>
        <w:ind w:left="4320" w:hanging="360"/>
      </w:pPr>
    </w:lvl>
    <w:lvl w:ilvl="6" w:tplc="C602DFD2">
      <w:start w:val="1"/>
      <w:numFmt w:val="bullet"/>
      <w:lvlText w:val="●"/>
      <w:lvlJc w:val="left"/>
      <w:pPr>
        <w:ind w:left="5040" w:hanging="360"/>
      </w:pPr>
    </w:lvl>
    <w:lvl w:ilvl="7" w:tplc="FCB0A4B8">
      <w:start w:val="1"/>
      <w:numFmt w:val="bullet"/>
      <w:lvlText w:val="●"/>
      <w:lvlJc w:val="left"/>
      <w:pPr>
        <w:ind w:left="5760" w:hanging="360"/>
      </w:pPr>
    </w:lvl>
    <w:lvl w:ilvl="8" w:tplc="B59CC2C8">
      <w:start w:val="1"/>
      <w:numFmt w:val="bullet"/>
      <w:lvlText w:val="●"/>
      <w:lvlJc w:val="left"/>
      <w:pPr>
        <w:ind w:left="6480" w:hanging="360"/>
      </w:pPr>
    </w:lvl>
  </w:abstractNum>
  <w:num w:numId="1" w16cid:durableId="146731320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C8D"/>
    <w:rsid w:val="000D2C8D"/>
    <w:rsid w:val="0026294D"/>
    <w:rsid w:val="008424E5"/>
    <w:rsid w:val="00882537"/>
    <w:rsid w:val="00E85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5A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82537"/>
    <w:pPr>
      <w:tabs>
        <w:tab w:val="center" w:pos="4513"/>
        <w:tab w:val="right" w:pos="9026"/>
      </w:tabs>
    </w:pPr>
  </w:style>
  <w:style w:type="character" w:customStyle="1" w:styleId="HeaderChar">
    <w:name w:val="Header Char"/>
    <w:basedOn w:val="DefaultParagraphFont"/>
    <w:link w:val="Header"/>
    <w:uiPriority w:val="99"/>
    <w:rsid w:val="00882537"/>
  </w:style>
  <w:style w:type="paragraph" w:styleId="Footer">
    <w:name w:val="footer"/>
    <w:basedOn w:val="Normal"/>
    <w:link w:val="FooterChar"/>
    <w:uiPriority w:val="99"/>
    <w:unhideWhenUsed/>
    <w:rsid w:val="00882537"/>
    <w:pPr>
      <w:tabs>
        <w:tab w:val="center" w:pos="4513"/>
        <w:tab w:val="right" w:pos="9026"/>
      </w:tabs>
    </w:pPr>
  </w:style>
  <w:style w:type="character" w:customStyle="1" w:styleId="FooterChar">
    <w:name w:val="Footer Char"/>
    <w:basedOn w:val="DefaultParagraphFont"/>
    <w:link w:val="Footer"/>
    <w:uiPriority w:val="99"/>
    <w:rsid w:val="00882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2116</Words>
  <Characters>12019</Characters>
  <Application>Microsoft Office Word</Application>
  <DocSecurity>0</DocSecurity>
  <Lines>176</Lines>
  <Paragraphs>43</Paragraphs>
  <ScaleCrop>false</ScaleCrop>
  <Company/>
  <LinksUpToDate>false</LinksUpToDate>
  <CharactersWithSpaces>14092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2026-04-29T10:20:00Z</dcterms:created>
  <dcterms:modified xsi:type="dcterms:W3CDTF">2026-04-29T10:20:00Z</dcterms:modified>
</cp:coreProperties>
</file>