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FA9" w:rsidRDefault="008B0D6A" w:rsidP="008B0D6A">
      <w:pPr>
        <w:jc w:val="center"/>
        <w:rPr>
          <w:b/>
          <w:color w:val="5B9BD5" w:themeColor="accent1"/>
          <w:sz w:val="40"/>
          <w:szCs w:val="40"/>
        </w:rPr>
      </w:pPr>
      <w:r>
        <w:rPr>
          <w:b/>
          <w:color w:val="5B9BD5" w:themeColor="accent1"/>
          <w:sz w:val="40"/>
          <w:szCs w:val="40"/>
        </w:rPr>
        <w:t>Serving a Witness Summons</w:t>
      </w:r>
    </w:p>
    <w:p w:rsidR="008B0D6A" w:rsidRDefault="008B0D6A" w:rsidP="008B0D6A">
      <w:pPr>
        <w:jc w:val="center"/>
        <w:rPr>
          <w:b/>
          <w:color w:val="5B9BD5" w:themeColor="accent1"/>
          <w:sz w:val="40"/>
          <w:szCs w:val="40"/>
        </w:rPr>
      </w:pPr>
      <w:r>
        <w:rPr>
          <w:b/>
          <w:color w:val="5B9BD5" w:themeColor="accent1"/>
          <w:sz w:val="40"/>
          <w:szCs w:val="40"/>
        </w:rPr>
        <w:t>Learning Lessons</w:t>
      </w:r>
    </w:p>
    <w:p w:rsidR="008B0D6A" w:rsidRDefault="008B0D6A" w:rsidP="008B0D6A">
      <w:pPr>
        <w:jc w:val="center"/>
        <w:rPr>
          <w:b/>
          <w:color w:val="5B9BD5" w:themeColor="accent1"/>
          <w:sz w:val="40"/>
          <w:szCs w:val="40"/>
        </w:rPr>
      </w:pPr>
      <w:r>
        <w:rPr>
          <w:noProof/>
          <w:lang w:eastAsia="en-GB"/>
        </w:rPr>
        <mc:AlternateContent>
          <mc:Choice Requires="wps">
            <w:drawing>
              <wp:inline distT="0" distB="0" distL="0" distR="0" wp14:anchorId="0A44C233" wp14:editId="2B116D90">
                <wp:extent cx="304800" cy="304800"/>
                <wp:effectExtent l="0" t="0" r="0" b="0"/>
                <wp:docPr id="6" name="AutoShape 7" descr="UNACCEPTABLE: More than 200 assaults were inflicted on Gwent Police officers last ye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5980C9" id="AutoShape 7" o:spid="_x0000_s1026" alt="UNACCEPTABLE: More than 200 assaults were inflicted on Gwent Police officers last ye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DFnYGHzAgAAGAYA&#10;AA4AAAAAAAAAAAAAAAAALgIAAGRycy9lMm9Eb2MueG1sUEsBAi0AFAAGAAgAAAAhAEyg6SzYAAAA&#10;AwEAAA8AAAAAAAAAAAAAAAAATQUAAGRycy9kb3ducmV2LnhtbFBLBQYAAAAABAAEAPMAAABSBgAA&#10;AAA=&#10;" filled="f" stroked="f">
                <o:lock v:ext="edit" aspectratio="t"/>
                <w10:anchorlock/>
              </v:rect>
            </w:pict>
          </mc:Fallback>
        </mc:AlternateContent>
      </w:r>
      <w:r w:rsidRPr="008B0D6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8B0D6A">
        <w:rPr>
          <w:b/>
          <w:noProof/>
          <w:color w:val="5B9BD5" w:themeColor="accent1"/>
          <w:sz w:val="40"/>
          <w:szCs w:val="40"/>
          <w:lang w:eastAsia="en-GB"/>
        </w:rPr>
        <w:drawing>
          <wp:inline distT="0" distB="0" distL="0" distR="0">
            <wp:extent cx="3021766" cy="1602105"/>
            <wp:effectExtent l="0" t="0" r="7620" b="0"/>
            <wp:docPr id="1" name="Picture 1" descr="I:\for all share folder\190250161.jpg.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for all share folder\190250161.jpg.galler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55576" cy="1620031"/>
                    </a:xfrm>
                    <a:prstGeom prst="rect">
                      <a:avLst/>
                    </a:prstGeom>
                    <a:noFill/>
                    <a:ln>
                      <a:noFill/>
                    </a:ln>
                  </pic:spPr>
                </pic:pic>
              </a:graphicData>
            </a:graphic>
          </wp:inline>
        </w:drawing>
      </w:r>
    </w:p>
    <w:p w:rsidR="008B0D6A" w:rsidRDefault="008B0D6A" w:rsidP="008B0D6A">
      <w:pPr>
        <w:jc w:val="center"/>
        <w:rPr>
          <w:b/>
          <w:color w:val="5B9BD5" w:themeColor="accent1"/>
          <w:sz w:val="40"/>
          <w:szCs w:val="40"/>
        </w:rPr>
      </w:pPr>
    </w:p>
    <w:p w:rsidR="008B0D6A" w:rsidRPr="008B0D6A" w:rsidRDefault="008B0D6A" w:rsidP="008B0D6A">
      <w:pPr>
        <w:rPr>
          <w:sz w:val="28"/>
          <w:szCs w:val="28"/>
        </w:rPr>
      </w:pPr>
      <w:r w:rsidRPr="008B0D6A">
        <w:rPr>
          <w:sz w:val="28"/>
          <w:szCs w:val="28"/>
        </w:rPr>
        <w:t>We’re having a high amount of issues lately with Police Officers not really understanding what a Witness Summons is and the correct way</w:t>
      </w:r>
      <w:r w:rsidR="00E96954">
        <w:rPr>
          <w:sz w:val="28"/>
          <w:szCs w:val="28"/>
        </w:rPr>
        <w:t xml:space="preserve"> to serve them.  Here are a of examples of inappropriate updates on incidents.</w:t>
      </w:r>
    </w:p>
    <w:p w:rsidR="008B0D6A" w:rsidRDefault="008B0D6A" w:rsidP="008B0D6A">
      <w:pPr>
        <w:numPr>
          <w:ilvl w:val="0"/>
          <w:numId w:val="1"/>
        </w:numPr>
        <w:spacing w:after="0" w:line="240" w:lineRule="auto"/>
        <w:rPr>
          <w:rFonts w:ascii="Calibri" w:eastAsia="Times New Roman" w:hAnsi="Calibri" w:cs="Calibri"/>
          <w:sz w:val="24"/>
          <w:szCs w:val="24"/>
        </w:rPr>
      </w:pPr>
      <w:r w:rsidRPr="008B0D6A">
        <w:rPr>
          <w:rFonts w:ascii="Calibri" w:eastAsia="Times New Roman" w:hAnsi="Calibri" w:cs="Calibri"/>
          <w:sz w:val="24"/>
          <w:szCs w:val="24"/>
        </w:rPr>
        <w:t>Updated to say ‘witness not at home – log closed’.  Summons not served.</w:t>
      </w:r>
    </w:p>
    <w:p w:rsidR="008B0D6A" w:rsidRPr="008B0D6A" w:rsidRDefault="008B0D6A" w:rsidP="008B0D6A">
      <w:pPr>
        <w:spacing w:after="0" w:line="240" w:lineRule="auto"/>
        <w:ind w:left="720"/>
        <w:rPr>
          <w:rFonts w:ascii="Calibri" w:eastAsia="Times New Roman" w:hAnsi="Calibri" w:cs="Calibri"/>
          <w:sz w:val="24"/>
          <w:szCs w:val="24"/>
        </w:rPr>
      </w:pPr>
    </w:p>
    <w:p w:rsidR="008B0D6A" w:rsidRDefault="008B0D6A" w:rsidP="008B0D6A">
      <w:pPr>
        <w:numPr>
          <w:ilvl w:val="0"/>
          <w:numId w:val="1"/>
        </w:numPr>
        <w:spacing w:after="0" w:line="240" w:lineRule="auto"/>
        <w:rPr>
          <w:rFonts w:ascii="Calibri" w:eastAsia="Times New Roman" w:hAnsi="Calibri" w:cs="Calibri"/>
          <w:sz w:val="24"/>
          <w:szCs w:val="24"/>
        </w:rPr>
      </w:pPr>
      <w:r w:rsidRPr="008B0D6A">
        <w:rPr>
          <w:rFonts w:ascii="Calibri" w:eastAsia="Times New Roman" w:hAnsi="Calibri" w:cs="Calibri"/>
          <w:sz w:val="24"/>
          <w:szCs w:val="24"/>
        </w:rPr>
        <w:t>Officer attended and spoke to witness who stated they did not want to go to Court.  Witness advised to call Witness Care to discuss this – log closed.  In these circumstances the Officer is not serving the summons.  From a Witness Care perspective, the witness very rarely contacts us to discuss this or they will not answer our calls – hence the reason for the Summons.</w:t>
      </w:r>
    </w:p>
    <w:p w:rsidR="008B0D6A" w:rsidRPr="008B0D6A" w:rsidRDefault="008B0D6A" w:rsidP="008B0D6A">
      <w:pPr>
        <w:spacing w:after="0" w:line="240" w:lineRule="auto"/>
        <w:ind w:left="720"/>
        <w:rPr>
          <w:rFonts w:ascii="Calibri" w:eastAsia="Times New Roman" w:hAnsi="Calibri" w:cs="Calibri"/>
          <w:sz w:val="24"/>
          <w:szCs w:val="24"/>
        </w:rPr>
      </w:pPr>
    </w:p>
    <w:p w:rsidR="008B0D6A" w:rsidRDefault="008B0D6A" w:rsidP="008B0D6A">
      <w:pPr>
        <w:numPr>
          <w:ilvl w:val="0"/>
          <w:numId w:val="1"/>
        </w:numPr>
        <w:spacing w:after="0" w:line="240" w:lineRule="auto"/>
        <w:rPr>
          <w:rFonts w:ascii="Calibri" w:eastAsia="Times New Roman" w:hAnsi="Calibri" w:cs="Calibri"/>
          <w:sz w:val="24"/>
          <w:szCs w:val="24"/>
        </w:rPr>
      </w:pPr>
      <w:r w:rsidRPr="008B0D6A">
        <w:rPr>
          <w:rFonts w:ascii="Calibri" w:eastAsia="Times New Roman" w:hAnsi="Calibri" w:cs="Calibri"/>
          <w:sz w:val="24"/>
          <w:szCs w:val="24"/>
        </w:rPr>
        <w:t>Witness has informed the serving officer, they don’t have to attend trial as they have made a retraction statement.  Therefore the officer does not serve the summons and log closed.</w:t>
      </w:r>
    </w:p>
    <w:p w:rsidR="008B0D6A" w:rsidRPr="008B0D6A" w:rsidRDefault="008B0D6A" w:rsidP="008B0D6A">
      <w:pPr>
        <w:spacing w:after="0" w:line="240" w:lineRule="auto"/>
        <w:rPr>
          <w:rFonts w:ascii="Calibri" w:eastAsia="Times New Roman" w:hAnsi="Calibri" w:cs="Calibri"/>
          <w:sz w:val="24"/>
          <w:szCs w:val="24"/>
        </w:rPr>
      </w:pPr>
    </w:p>
    <w:p w:rsidR="008B0D6A" w:rsidRDefault="008B0D6A" w:rsidP="008B0D6A">
      <w:pPr>
        <w:numPr>
          <w:ilvl w:val="0"/>
          <w:numId w:val="1"/>
        </w:numPr>
        <w:spacing w:after="0" w:line="240" w:lineRule="auto"/>
        <w:rPr>
          <w:rFonts w:ascii="Calibri" w:eastAsia="Times New Roman" w:hAnsi="Calibri" w:cs="Calibri"/>
          <w:sz w:val="24"/>
          <w:szCs w:val="24"/>
        </w:rPr>
      </w:pPr>
      <w:r w:rsidRPr="008B0D6A">
        <w:rPr>
          <w:rFonts w:ascii="Calibri" w:eastAsia="Times New Roman" w:hAnsi="Calibri" w:cs="Calibri"/>
          <w:sz w:val="24"/>
          <w:szCs w:val="24"/>
        </w:rPr>
        <w:t>Several attempts have been made by officers, lights on, someone clearly at home but avoiding the Police.  Log closed.  In these circumstances, CPS have advised if the Officer believes the person inside the address is the person they are looking for, they must post the summons through the letterbox.  The officer will then need to prepare a statement stating they have served the summons listing the method of service along with the reasons as to why they believe the person is residing at the address.</w:t>
      </w:r>
    </w:p>
    <w:p w:rsidR="008B0D6A" w:rsidRPr="008B0D6A" w:rsidRDefault="008B0D6A" w:rsidP="008B0D6A">
      <w:pPr>
        <w:spacing w:after="0" w:line="240" w:lineRule="auto"/>
        <w:ind w:left="720"/>
        <w:rPr>
          <w:rFonts w:ascii="Calibri" w:eastAsia="Times New Roman" w:hAnsi="Calibri" w:cs="Calibri"/>
          <w:sz w:val="24"/>
          <w:szCs w:val="24"/>
        </w:rPr>
      </w:pPr>
    </w:p>
    <w:p w:rsidR="008B0D6A" w:rsidRPr="008B0D6A" w:rsidRDefault="008B0D6A" w:rsidP="008B0D6A">
      <w:pPr>
        <w:numPr>
          <w:ilvl w:val="0"/>
          <w:numId w:val="1"/>
        </w:numPr>
        <w:spacing w:after="0" w:line="240" w:lineRule="auto"/>
        <w:rPr>
          <w:rFonts w:ascii="Calibri" w:eastAsia="Times New Roman" w:hAnsi="Calibri" w:cs="Calibri"/>
          <w:sz w:val="24"/>
          <w:szCs w:val="24"/>
        </w:rPr>
      </w:pPr>
      <w:r w:rsidRPr="008B0D6A">
        <w:rPr>
          <w:rFonts w:ascii="Calibri" w:eastAsia="Times New Roman" w:hAnsi="Calibri" w:cs="Calibri"/>
          <w:sz w:val="24"/>
          <w:szCs w:val="24"/>
        </w:rPr>
        <w:t>Storm log updated to say ‘summons passed’.  This is not helpful to Witness Care – we need the</w:t>
      </w:r>
      <w:r w:rsidR="00E96954">
        <w:rPr>
          <w:rFonts w:ascii="Calibri" w:eastAsia="Times New Roman" w:hAnsi="Calibri" w:cs="Calibri"/>
          <w:sz w:val="24"/>
          <w:szCs w:val="24"/>
        </w:rPr>
        <w:t xml:space="preserve"> serving officer to update the log</w:t>
      </w:r>
      <w:bookmarkStart w:id="0" w:name="_GoBack"/>
      <w:bookmarkEnd w:id="0"/>
      <w:r w:rsidRPr="008B0D6A">
        <w:rPr>
          <w:rFonts w:ascii="Calibri" w:eastAsia="Times New Roman" w:hAnsi="Calibri" w:cs="Calibri"/>
          <w:sz w:val="24"/>
          <w:szCs w:val="24"/>
        </w:rPr>
        <w:t xml:space="preserve"> clearly stating the summons has been served and that conduct money has been offered and whether this has been accepted or refused.   They also need to scan a copy of the endorsed summons to the Witness Care Unit.  The Court cannot issue a bench warrant unless they see proof that the summons has been served and whether conduct money has been offered/accepted/refused.  </w:t>
      </w:r>
    </w:p>
    <w:sectPr w:rsidR="008B0D6A" w:rsidRPr="008B0D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06CB7"/>
    <w:multiLevelType w:val="hybridMultilevel"/>
    <w:tmpl w:val="7760FF50"/>
    <w:lvl w:ilvl="0" w:tplc="0472F062">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D6A"/>
    <w:rsid w:val="008B0D6A"/>
    <w:rsid w:val="00C27FA9"/>
    <w:rsid w:val="00E96954"/>
    <w:rsid w:val="00F7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51791"/>
  <w15:chartTrackingRefBased/>
  <w15:docId w15:val="{8D493D84-253A-4454-B362-45F4BBE40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D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Stockwin Damion</dc:creator>
  <cp:keywords/>
  <dc:description/>
  <cp:lastModifiedBy>Neil,Sharon swp3514</cp:lastModifiedBy>
  <cp:revision>2</cp:revision>
  <dcterms:created xsi:type="dcterms:W3CDTF">2020-02-28T09:14:00Z</dcterms:created>
  <dcterms:modified xsi:type="dcterms:W3CDTF">2020-02-28T09:14:00Z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y fmtid="{D5CDD505-2E9C-101B-9397-08002B2CF9AE}" pid="5" name="TitusGUID">
    <vt:lpwstr>239f8803-c4f2-4e1f-94cc-58fd457e3ef9</vt:lpwstr>
  </property>
  <property fmtid="{D5CDD505-2E9C-101B-9397-08002B2CF9AE}" pid="6" name="Classification">
    <vt:lpwstr>OFFICIAL</vt:lpwstr>
  </property>
  <property fmtid="{D5CDD505-2E9C-101B-9397-08002B2CF9AE}" pid="7" name="Visibility">
    <vt:lpwstr>NOT VISIBLE</vt:lpwstr>
  </property>
</Properties>
</file>