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9E317" w14:textId="224E5C39" w:rsidR="003A7254" w:rsidRDefault="003A7254" w:rsidP="00044C0B">
      <w:pPr>
        <w:rPr>
          <w:rFonts w:ascii="Arial" w:hAnsi="Arial" w:cs="Arial"/>
          <w:b/>
          <w:bCs/>
          <w:sz w:val="22"/>
          <w:szCs w:val="22"/>
          <w:u w:val="single"/>
        </w:rPr>
      </w:pPr>
      <w:r>
        <w:rPr>
          <w:rFonts w:ascii="Arial" w:hAnsi="Arial" w:cs="Arial"/>
          <w:b/>
          <w:bCs/>
          <w:sz w:val="22"/>
          <w:szCs w:val="22"/>
          <w:u w:val="single"/>
        </w:rPr>
        <w:t>Cerdiyaa Khan</w:t>
      </w:r>
    </w:p>
    <w:p w14:paraId="39563805" w14:textId="4F028DE7" w:rsidR="003A7254" w:rsidRDefault="003A7254" w:rsidP="00044C0B">
      <w:pPr>
        <w:rPr>
          <w:rFonts w:ascii="Arial" w:hAnsi="Arial" w:cs="Arial"/>
          <w:b/>
          <w:bCs/>
          <w:sz w:val="22"/>
          <w:szCs w:val="22"/>
          <w:u w:val="single"/>
        </w:rPr>
      </w:pPr>
      <w:r>
        <w:rPr>
          <w:rFonts w:ascii="Arial" w:hAnsi="Arial" w:cs="Arial"/>
          <w:b/>
          <w:bCs/>
          <w:sz w:val="22"/>
          <w:szCs w:val="22"/>
          <w:u w:val="single"/>
        </w:rPr>
        <w:t>2325009</w:t>
      </w:r>
    </w:p>
    <w:p w14:paraId="27E2923E" w14:textId="1975053A" w:rsidR="00991B75" w:rsidRPr="003A7254" w:rsidRDefault="00991B75" w:rsidP="00044C0B">
      <w:pPr>
        <w:rPr>
          <w:rFonts w:ascii="Arial" w:hAnsi="Arial" w:cs="Arial"/>
          <w:b/>
          <w:bCs/>
          <w:sz w:val="22"/>
          <w:szCs w:val="22"/>
          <w:u w:val="single"/>
        </w:rPr>
      </w:pPr>
      <w:r w:rsidRPr="004E3B3A">
        <w:rPr>
          <w:rFonts w:ascii="Arial" w:hAnsi="Arial" w:cs="Arial"/>
          <w:b/>
          <w:bCs/>
          <w:sz w:val="22"/>
          <w:szCs w:val="22"/>
          <w:u w:val="single"/>
        </w:rPr>
        <w:t>Applying Psychological Theories to Support Adults Aged 65 and Over with Psychological Health Conditions in Dementia Care Homes</w:t>
      </w:r>
    </w:p>
    <w:p w14:paraId="2023863D" w14:textId="623F0D00" w:rsidR="00044C0B" w:rsidRPr="003A7254" w:rsidRDefault="00044C0B" w:rsidP="00044C0B">
      <w:pPr>
        <w:rPr>
          <w:rFonts w:ascii="Arial" w:hAnsi="Arial" w:cs="Arial"/>
          <w:b/>
          <w:bCs/>
          <w:sz w:val="22"/>
          <w:szCs w:val="22"/>
          <w:u w:val="single"/>
        </w:rPr>
      </w:pPr>
      <w:r w:rsidRPr="003A7254">
        <w:rPr>
          <w:rFonts w:ascii="Arial" w:hAnsi="Arial" w:cs="Arial"/>
          <w:b/>
          <w:bCs/>
          <w:sz w:val="22"/>
          <w:szCs w:val="22"/>
          <w:u w:val="single"/>
        </w:rPr>
        <w:t>Introduction:</w:t>
      </w:r>
    </w:p>
    <w:p w14:paraId="3319EE9B" w14:textId="2C0A7647" w:rsidR="00AB28B0" w:rsidRPr="003A7254" w:rsidRDefault="00AB28B0" w:rsidP="00AB28B0">
      <w:pPr>
        <w:rPr>
          <w:rFonts w:ascii="Arial" w:hAnsi="Arial" w:cs="Arial"/>
          <w:sz w:val="22"/>
          <w:szCs w:val="22"/>
        </w:rPr>
      </w:pPr>
      <w:r w:rsidRPr="003A7254">
        <w:rPr>
          <w:rFonts w:ascii="Arial" w:hAnsi="Arial" w:cs="Arial"/>
          <w:sz w:val="22"/>
          <w:szCs w:val="22"/>
        </w:rPr>
        <w:t>This report is directed at health and social care professionals working with older adults, specifically those residing in dementia care homes, who are experiencing a psychological health condition. The effective management and support of these individuals require a nuanced understanding that extends beyond the immediate clinical presentation of dementia. Integrating established psychological theories and contemporary research can significantly enhance the quality of care provided, fostering environments that    promote dignity, well being, and psychological coherence. Central to this supportive framework is Erik Erikson’s Psychosocial Theory of Development, particularly the final stage, Integrity versus Despair, which is profoundly relevant for individuals navigating.</w:t>
      </w:r>
    </w:p>
    <w:p w14:paraId="32AE3C45" w14:textId="04DC07EA" w:rsidR="00044C0B" w:rsidRPr="003A7254" w:rsidRDefault="00044C0B" w:rsidP="00044C0B">
      <w:pPr>
        <w:rPr>
          <w:rFonts w:ascii="Arial" w:hAnsi="Arial" w:cs="Arial"/>
          <w:sz w:val="22"/>
          <w:szCs w:val="22"/>
        </w:rPr>
      </w:pPr>
      <w:r w:rsidRPr="003A7254">
        <w:rPr>
          <w:rFonts w:ascii="Arial" w:hAnsi="Arial" w:cs="Arial"/>
          <w:sz w:val="22"/>
          <w:szCs w:val="22"/>
        </w:rPr>
        <w:t>The focus of this report is on older adults living in dementia care homes. Dementia care homes provide specialized environments for individuals with cognitive impairments such as Alzheimer’s disease and other forms of dementia. Residents often experience a range of psychological health issues, including memory loss, confusion, mood disturbances, and behavioural changes.</w:t>
      </w:r>
    </w:p>
    <w:p w14:paraId="28798F19" w14:textId="4941F911" w:rsidR="004B40C3" w:rsidRPr="003A7254" w:rsidRDefault="00044C0B" w:rsidP="00044C0B">
      <w:pPr>
        <w:rPr>
          <w:rFonts w:ascii="Arial" w:hAnsi="Arial" w:cs="Arial"/>
          <w:sz w:val="22"/>
          <w:szCs w:val="22"/>
        </w:rPr>
      </w:pPr>
      <w:r w:rsidRPr="003A7254">
        <w:rPr>
          <w:rFonts w:ascii="Arial" w:hAnsi="Arial" w:cs="Arial"/>
          <w:sz w:val="22"/>
          <w:szCs w:val="22"/>
        </w:rPr>
        <w:t>In this setting, health and social care professionals face unique challenges in supporting residents’ psychological wellbeing. The application of psychological theories can help in understanding the underlying causes of behaviours’, improving communication, and designing interventions that promote dignity, autonomy, and emotional comfort. This context requires approaches that are sensitive to the complexities of dementia and the individual experiences of each resident.</w:t>
      </w:r>
    </w:p>
    <w:p w14:paraId="327B84FA" w14:textId="0808C703" w:rsidR="00991B75" w:rsidRPr="004E3B3A" w:rsidRDefault="001C4DD3" w:rsidP="00991B75">
      <w:pPr>
        <w:rPr>
          <w:rFonts w:ascii="Arial" w:hAnsi="Arial" w:cs="Arial"/>
          <w:sz w:val="22"/>
          <w:szCs w:val="22"/>
        </w:rPr>
      </w:pPr>
      <w:r w:rsidRPr="004E3B3A">
        <w:rPr>
          <w:rFonts w:ascii="Arial" w:hAnsi="Arial" w:cs="Arial"/>
          <w:sz w:val="22"/>
          <w:szCs w:val="22"/>
        </w:rPr>
        <w:t xml:space="preserve">This report aims to provide health and social care professionals with guidance on how psychological theories and research can be effectively used to support older adults (65+) living with psychological health conditions, specifically in the context of dementia care homes. Understanding the psychological development and </w:t>
      </w:r>
      <w:r w:rsidRPr="003A7254">
        <w:rPr>
          <w:rFonts w:ascii="Arial" w:hAnsi="Arial" w:cs="Arial"/>
          <w:sz w:val="22"/>
          <w:szCs w:val="22"/>
        </w:rPr>
        <w:t>behaviour</w:t>
      </w:r>
      <w:r w:rsidRPr="004E3B3A">
        <w:rPr>
          <w:rFonts w:ascii="Arial" w:hAnsi="Arial" w:cs="Arial"/>
          <w:sz w:val="22"/>
          <w:szCs w:val="22"/>
        </w:rPr>
        <w:t xml:space="preserve"> of this population through established theories can enhance care strategies, improve wellbeing, and address the complex challenges associated with dementia.</w:t>
      </w:r>
    </w:p>
    <w:p w14:paraId="47A939CB" w14:textId="5A906206" w:rsidR="00991B75" w:rsidRPr="004E3B3A" w:rsidRDefault="00991B75" w:rsidP="00991B75">
      <w:pPr>
        <w:rPr>
          <w:rFonts w:ascii="Arial" w:hAnsi="Arial" w:cs="Arial"/>
          <w:b/>
          <w:bCs/>
          <w:sz w:val="22"/>
          <w:szCs w:val="22"/>
          <w:u w:val="single"/>
        </w:rPr>
      </w:pPr>
      <w:r w:rsidRPr="004E3B3A">
        <w:rPr>
          <w:rFonts w:ascii="Arial" w:hAnsi="Arial" w:cs="Arial"/>
          <w:b/>
          <w:bCs/>
          <w:sz w:val="22"/>
          <w:szCs w:val="22"/>
          <w:u w:val="single"/>
        </w:rPr>
        <w:t xml:space="preserve">Detailed Overview of Two Psychological Theories Relevant to Adult Development and Health </w:t>
      </w:r>
      <w:r w:rsidRPr="003A7254">
        <w:rPr>
          <w:rFonts w:ascii="Arial" w:hAnsi="Arial" w:cs="Arial"/>
          <w:b/>
          <w:bCs/>
          <w:sz w:val="22"/>
          <w:szCs w:val="22"/>
          <w:u w:val="single"/>
        </w:rPr>
        <w:t>Behaviour</w:t>
      </w:r>
    </w:p>
    <w:p w14:paraId="0FA66D9A" w14:textId="53C76FEB" w:rsidR="00FC6E75" w:rsidRPr="003A7254" w:rsidRDefault="00FC6E75" w:rsidP="00FC6E75">
      <w:pPr>
        <w:rPr>
          <w:rFonts w:ascii="Arial" w:hAnsi="Arial" w:cs="Arial"/>
          <w:sz w:val="22"/>
          <w:szCs w:val="22"/>
        </w:rPr>
      </w:pPr>
      <w:r w:rsidRPr="003A7254">
        <w:rPr>
          <w:rFonts w:ascii="Arial" w:hAnsi="Arial" w:cs="Arial"/>
          <w:sz w:val="22"/>
          <w:szCs w:val="22"/>
        </w:rPr>
        <w:t xml:space="preserve">This report provides guidance for health and social care professionals working in dementia care homes, focusing on how psychological theories and research can support adults aged 65 and over experiencing psychological health conditions. It highlights the importance of understanding adult development and health </w:t>
      </w:r>
      <w:r w:rsidRPr="003A7254">
        <w:rPr>
          <w:rFonts w:ascii="Arial" w:hAnsi="Arial" w:cs="Arial"/>
          <w:sz w:val="22"/>
          <w:szCs w:val="22"/>
        </w:rPr>
        <w:t>behaviour</w:t>
      </w:r>
      <w:r w:rsidRPr="003A7254">
        <w:rPr>
          <w:rFonts w:ascii="Arial" w:hAnsi="Arial" w:cs="Arial"/>
          <w:sz w:val="22"/>
          <w:szCs w:val="22"/>
        </w:rPr>
        <w:t xml:space="preserve"> to improve care quality and outcomes in this vulnerable population.</w:t>
      </w:r>
    </w:p>
    <w:p w14:paraId="2D30940B" w14:textId="77777777" w:rsidR="003A7254" w:rsidRDefault="00FC6E75" w:rsidP="00FC6E75">
      <w:pPr>
        <w:rPr>
          <w:rFonts w:ascii="Arial" w:hAnsi="Arial" w:cs="Arial"/>
          <w:sz w:val="22"/>
          <w:szCs w:val="22"/>
        </w:rPr>
      </w:pPr>
      <w:r w:rsidRPr="003A7254">
        <w:rPr>
          <w:rFonts w:ascii="Arial" w:hAnsi="Arial" w:cs="Arial"/>
          <w:sz w:val="22"/>
          <w:szCs w:val="22"/>
        </w:rPr>
        <w:t xml:space="preserve">Two key psychological theories relevant to this context are Bowlby’s attachment theory and Erikson’s psychosocial theory. Both offer valuable insights into the emotional and psychological needs of older adults, particularly those living with dementia. Bowlby’s theory emphasizes the importance of secure emotional bonds, which can help reduce anxiety and </w:t>
      </w:r>
      <w:r w:rsidRPr="003A7254">
        <w:rPr>
          <w:rFonts w:ascii="Arial" w:hAnsi="Arial" w:cs="Arial"/>
          <w:sz w:val="22"/>
          <w:szCs w:val="22"/>
        </w:rPr>
        <w:lastRenderedPageBreak/>
        <w:t xml:space="preserve">loneliness in older adults by fostering trust and connection. Erikson’s theory focuses on the stage of "Ego Integrity vs. Despair," where older adults reflect on their life experiences, seeking meaning and acceptance, which is crucial for psychological </w:t>
      </w:r>
      <w:proofErr w:type="spellStart"/>
      <w:r w:rsidRPr="003A7254">
        <w:rPr>
          <w:rFonts w:ascii="Arial" w:hAnsi="Arial" w:cs="Arial"/>
          <w:sz w:val="22"/>
          <w:szCs w:val="22"/>
        </w:rPr>
        <w:t>wellbeing.</w:t>
      </w:r>
      <w:proofErr w:type="spellEnd"/>
    </w:p>
    <w:p w14:paraId="65C7B29C" w14:textId="45A6DB1C" w:rsidR="00FC6E75" w:rsidRPr="003A7254" w:rsidRDefault="00FC6E75" w:rsidP="00FC6E75">
      <w:pPr>
        <w:rPr>
          <w:rFonts w:ascii="Arial" w:hAnsi="Arial" w:cs="Arial"/>
          <w:sz w:val="22"/>
          <w:szCs w:val="22"/>
        </w:rPr>
      </w:pPr>
      <w:r w:rsidRPr="003A7254">
        <w:rPr>
          <w:rFonts w:ascii="Arial" w:hAnsi="Arial" w:cs="Arial"/>
          <w:sz w:val="22"/>
          <w:szCs w:val="22"/>
        </w:rPr>
        <w:t xml:space="preserve">In the dementia care home setting, applying these theories can guide professionals in creating supportive environments. For example, using Bowlby’s theory, staff can prioritize consistent, empathetic interactions to build secure attachments, helping residents feel safe and reducing </w:t>
      </w:r>
      <w:r w:rsidRPr="003A7254">
        <w:rPr>
          <w:rFonts w:ascii="Arial" w:hAnsi="Arial" w:cs="Arial"/>
          <w:sz w:val="22"/>
          <w:szCs w:val="22"/>
        </w:rPr>
        <w:t>behavioural</w:t>
      </w:r>
      <w:r w:rsidRPr="003A7254">
        <w:rPr>
          <w:rFonts w:ascii="Arial" w:hAnsi="Arial" w:cs="Arial"/>
          <w:sz w:val="22"/>
          <w:szCs w:val="22"/>
        </w:rPr>
        <w:t xml:space="preserve"> challenges. Erikson’s theory can inform interventions like reminiscence therapy, encouraging positive life reflection to enhance mood and reduce distress.</w:t>
      </w:r>
    </w:p>
    <w:p w14:paraId="025316A4" w14:textId="128311EB" w:rsidR="00FC6E75" w:rsidRPr="003A7254" w:rsidRDefault="00FC6E75" w:rsidP="00FC6E75">
      <w:pPr>
        <w:rPr>
          <w:rFonts w:ascii="Arial" w:hAnsi="Arial" w:cs="Arial"/>
          <w:sz w:val="22"/>
          <w:szCs w:val="22"/>
        </w:rPr>
      </w:pPr>
      <w:r w:rsidRPr="003A7254">
        <w:rPr>
          <w:rFonts w:ascii="Arial" w:hAnsi="Arial" w:cs="Arial"/>
          <w:sz w:val="22"/>
          <w:szCs w:val="22"/>
        </w:rPr>
        <w:t>However, challenges exist, such as limited time, staff turnover, and residents’ varied readiness for emotional engagement. Strategies to address these include specialized training for staff, teamwork to ensure continuity, and personalized care plans that respect individual histories and preferences.</w:t>
      </w:r>
    </w:p>
    <w:p w14:paraId="4DC79CCF" w14:textId="1022169A" w:rsidR="00FC6E75" w:rsidRPr="003A7254" w:rsidRDefault="00FC6E75" w:rsidP="00044C0B">
      <w:pPr>
        <w:rPr>
          <w:rFonts w:ascii="Arial" w:hAnsi="Arial" w:cs="Arial"/>
          <w:b/>
          <w:bCs/>
          <w:sz w:val="22"/>
          <w:szCs w:val="22"/>
        </w:rPr>
      </w:pPr>
      <w:r w:rsidRPr="003A7254">
        <w:rPr>
          <w:rFonts w:ascii="Arial" w:hAnsi="Arial" w:cs="Arial"/>
          <w:sz w:val="22"/>
          <w:szCs w:val="22"/>
        </w:rPr>
        <w:t xml:space="preserve">By integrating these psychological theories into practice, health and social care professionals can better address the complex psychological and </w:t>
      </w:r>
      <w:r w:rsidRPr="003A7254">
        <w:rPr>
          <w:rFonts w:ascii="Arial" w:hAnsi="Arial" w:cs="Arial"/>
          <w:sz w:val="22"/>
          <w:szCs w:val="22"/>
        </w:rPr>
        <w:t>behavioural</w:t>
      </w:r>
      <w:r w:rsidRPr="003A7254">
        <w:rPr>
          <w:rFonts w:ascii="Arial" w:hAnsi="Arial" w:cs="Arial"/>
          <w:sz w:val="22"/>
          <w:szCs w:val="22"/>
        </w:rPr>
        <w:t xml:space="preserve"> needs of older adults with dementia, promoting dignity, emotional security, and improved quality of life.</w:t>
      </w:r>
    </w:p>
    <w:p w14:paraId="2891DDFE" w14:textId="46232823" w:rsidR="00044C0B" w:rsidRPr="003A7254" w:rsidRDefault="00044C0B" w:rsidP="00044C0B">
      <w:pPr>
        <w:rPr>
          <w:rFonts w:ascii="Arial" w:hAnsi="Arial" w:cs="Arial"/>
          <w:b/>
          <w:bCs/>
          <w:sz w:val="22"/>
          <w:szCs w:val="22"/>
        </w:rPr>
      </w:pPr>
      <w:r w:rsidRPr="003A7254">
        <w:rPr>
          <w:rFonts w:ascii="Arial" w:hAnsi="Arial" w:cs="Arial"/>
          <w:b/>
          <w:bCs/>
          <w:sz w:val="22"/>
          <w:szCs w:val="22"/>
        </w:rPr>
        <w:t>Erikson’s Psychosocial Theory of Development (Stage: Integrity vs. Despair)</w:t>
      </w:r>
    </w:p>
    <w:p w14:paraId="66DD327B" w14:textId="66613F2A" w:rsidR="00044C0B" w:rsidRPr="003A7254" w:rsidRDefault="00044C0B" w:rsidP="00044C0B">
      <w:pPr>
        <w:rPr>
          <w:rFonts w:ascii="Arial" w:hAnsi="Arial" w:cs="Arial"/>
          <w:sz w:val="22"/>
          <w:szCs w:val="22"/>
        </w:rPr>
      </w:pPr>
      <w:r w:rsidRPr="003A7254">
        <w:rPr>
          <w:rFonts w:ascii="Arial" w:hAnsi="Arial" w:cs="Arial"/>
          <w:sz w:val="22"/>
          <w:szCs w:val="22"/>
        </w:rPr>
        <w:t>Erik Erikson’s theory of psychosocial development outlines eight stages across the lifespan, with the final stage</w:t>
      </w:r>
      <w:r w:rsidR="00AB28B0" w:rsidRPr="003A7254">
        <w:rPr>
          <w:rFonts w:ascii="Arial" w:hAnsi="Arial" w:cs="Arial"/>
          <w:sz w:val="22"/>
          <w:szCs w:val="22"/>
        </w:rPr>
        <w:t xml:space="preserve"> </w:t>
      </w:r>
      <w:r w:rsidRPr="003A7254">
        <w:rPr>
          <w:rFonts w:ascii="Arial" w:hAnsi="Arial" w:cs="Arial"/>
          <w:sz w:val="22"/>
          <w:szCs w:val="22"/>
        </w:rPr>
        <w:t>Integrity vs. Despair</w:t>
      </w:r>
      <w:r w:rsidR="00AB28B0" w:rsidRPr="003A7254">
        <w:rPr>
          <w:rFonts w:ascii="Arial" w:hAnsi="Arial" w:cs="Arial"/>
          <w:sz w:val="22"/>
          <w:szCs w:val="22"/>
        </w:rPr>
        <w:t xml:space="preserve"> </w:t>
      </w:r>
      <w:r w:rsidRPr="003A7254">
        <w:rPr>
          <w:rFonts w:ascii="Arial" w:hAnsi="Arial" w:cs="Arial"/>
          <w:sz w:val="22"/>
          <w:szCs w:val="22"/>
        </w:rPr>
        <w:t>being particularly relevant for adults aged 65 and over. In this stage, individuals reflect on their life experiences and either develop a sense of integrity, feeling fulfilled and accepting their life as meaningful, or experience despair, marked by regrets and dissatisfaction.</w:t>
      </w:r>
    </w:p>
    <w:p w14:paraId="229F4E73" w14:textId="77777777" w:rsidR="00FC6E75" w:rsidRPr="003A7254" w:rsidRDefault="00044C0B" w:rsidP="00FC6E75">
      <w:pPr>
        <w:rPr>
          <w:rFonts w:ascii="Arial" w:hAnsi="Arial" w:cs="Arial"/>
          <w:sz w:val="22"/>
          <w:szCs w:val="22"/>
        </w:rPr>
      </w:pPr>
      <w:r w:rsidRPr="003A7254">
        <w:rPr>
          <w:rFonts w:ascii="Arial" w:hAnsi="Arial" w:cs="Arial"/>
          <w:sz w:val="22"/>
          <w:szCs w:val="22"/>
        </w:rPr>
        <w:t>For older adults, especially those in dementia care homes, this stage can be critical. Cognitive decline may impact their ability to process life reflections, potentially increasing feelings of despair or confusion. However, fostering a sense of integrity through reminiscence therapy and validating their life stories can support psychological wellbeing.</w:t>
      </w:r>
    </w:p>
    <w:p w14:paraId="0A4D70BA" w14:textId="2D583ED6" w:rsidR="00044C0B" w:rsidRPr="003A7254" w:rsidRDefault="00FC6E75" w:rsidP="00044C0B">
      <w:pPr>
        <w:rPr>
          <w:rFonts w:ascii="Arial" w:hAnsi="Arial" w:cs="Arial"/>
          <w:sz w:val="22"/>
          <w:szCs w:val="22"/>
        </w:rPr>
      </w:pPr>
      <w:r w:rsidRPr="003A7254">
        <w:rPr>
          <w:rFonts w:ascii="Arial" w:hAnsi="Arial" w:cs="Arial"/>
          <w:sz w:val="22"/>
          <w:szCs w:val="22"/>
        </w:rPr>
        <w:t>For adults with dementia, this stage can be particularly challenging because cognitive decline may affect their ability to process life reflections clearly. They might struggle with confusion, memory loss, and changes in identity, which can intensify feelings of despair. Health and social care professionals can use this theory to provide support by encouraging reminiscence therapy, validating emotions, and helping residents find meaning and continuity in their lives despite cognitive impairments. This approach fosters a sense of dignity and emotional wellbeing, helping individuals move toward ego integrity even in the face of dementia.</w:t>
      </w:r>
    </w:p>
    <w:p w14:paraId="07FDB114" w14:textId="77777777" w:rsidR="00991B75" w:rsidRPr="003A7254" w:rsidRDefault="00991B75" w:rsidP="00991B75">
      <w:pPr>
        <w:rPr>
          <w:rFonts w:ascii="Arial" w:hAnsi="Arial" w:cs="Arial"/>
          <w:sz w:val="22"/>
          <w:szCs w:val="22"/>
        </w:rPr>
      </w:pPr>
      <w:r w:rsidRPr="003A7254">
        <w:rPr>
          <w:rFonts w:ascii="Arial" w:hAnsi="Arial" w:cs="Arial"/>
          <w:sz w:val="22"/>
          <w:szCs w:val="22"/>
        </w:rPr>
        <w:t xml:space="preserve">Erik Erikson’s theory of psychosocial development is especially useful for understanding adults aged 65 and over who are living with dementia. In late adulthood, Erikson describes the key stage as "Ego Integrity vs. Despair." At this stage, individuals reflect on their life experiences and achievements. Those who feel a sense of </w:t>
      </w:r>
      <w:proofErr w:type="spellStart"/>
      <w:r w:rsidRPr="003A7254">
        <w:rPr>
          <w:rFonts w:ascii="Arial" w:hAnsi="Arial" w:cs="Arial"/>
          <w:sz w:val="22"/>
          <w:szCs w:val="22"/>
        </w:rPr>
        <w:t>fulfillment</w:t>
      </w:r>
      <w:proofErr w:type="spellEnd"/>
      <w:r w:rsidRPr="003A7254">
        <w:rPr>
          <w:rFonts w:ascii="Arial" w:hAnsi="Arial" w:cs="Arial"/>
          <w:sz w:val="22"/>
          <w:szCs w:val="22"/>
        </w:rPr>
        <w:t xml:space="preserve"> and acceptance develop ego integrity, leading to feelings of wisdom and peace. Conversely, those who focus on regrets and unresolved conflicts may experience despair, which can contribute to emotional distress.</w:t>
      </w:r>
    </w:p>
    <w:p w14:paraId="2490D365" w14:textId="480E8443" w:rsidR="00FC6E75" w:rsidRPr="003A7254" w:rsidRDefault="00FC6E75" w:rsidP="00FC6E75">
      <w:pPr>
        <w:rPr>
          <w:rFonts w:ascii="Arial" w:hAnsi="Arial" w:cs="Arial"/>
          <w:sz w:val="22"/>
          <w:szCs w:val="22"/>
        </w:rPr>
      </w:pPr>
      <w:r w:rsidRPr="003A7254">
        <w:rPr>
          <w:rFonts w:ascii="Arial" w:hAnsi="Arial" w:cs="Arial"/>
          <w:sz w:val="22"/>
          <w:szCs w:val="22"/>
        </w:rPr>
        <w:lastRenderedPageBreak/>
        <w:t>Erikson’s theory relates to adults aged 65 and over with dementia because it helps explain their emotional and psychological experience during this stage of life. As dementia affects memory and thinking, it can make reflecting on life and achieving a sense of ego integrity more difficult. This can lead to feelings of despair if they focus on losses or regrets.</w:t>
      </w:r>
      <w:r w:rsidRPr="003A7254">
        <w:rPr>
          <w:rFonts w:ascii="Arial" w:hAnsi="Arial" w:cs="Arial"/>
          <w:sz w:val="22"/>
          <w:szCs w:val="22"/>
        </w:rPr>
        <w:t xml:space="preserve"> </w:t>
      </w:r>
      <w:r w:rsidRPr="003A7254">
        <w:rPr>
          <w:rFonts w:ascii="Arial" w:hAnsi="Arial" w:cs="Arial"/>
          <w:sz w:val="22"/>
          <w:szCs w:val="22"/>
        </w:rPr>
        <w:t>By understanding this, caregivers can support older adults with dementia by helping them recall positive memories, affirm their value, and provide emotional comfort. This supports their sense of identity and helps them find peace, even as their cognitive abilities decline. So, Erikson’s theory shows why emotional support and meaningful engagement are crucial for mental wellbeing in older adults with dementia.</w:t>
      </w:r>
    </w:p>
    <w:p w14:paraId="5B6D4282" w14:textId="3BAC3FCA" w:rsidR="00FC6E75" w:rsidRPr="003A7254" w:rsidRDefault="00FC6E75" w:rsidP="00FC6E75">
      <w:pPr>
        <w:rPr>
          <w:rFonts w:ascii="Arial" w:hAnsi="Arial" w:cs="Arial"/>
          <w:sz w:val="22"/>
          <w:szCs w:val="22"/>
        </w:rPr>
      </w:pPr>
      <w:r w:rsidRPr="003A7254">
        <w:rPr>
          <w:rFonts w:ascii="Arial" w:hAnsi="Arial" w:cs="Arial"/>
          <w:sz w:val="22"/>
          <w:szCs w:val="22"/>
        </w:rPr>
        <w:t>Bowlby’s attachment theory is very relevant to adults aged 65 and over, especially in understanding their emotional health and relationships. Bowlby emphasized the importance of early attachment bonds for emotional security throughout life, but these attachment needs continue into old age.</w:t>
      </w:r>
    </w:p>
    <w:p w14:paraId="765BC966" w14:textId="50F39CED" w:rsidR="00FC6E75" w:rsidRPr="003A7254" w:rsidRDefault="00FC6E75" w:rsidP="00FC6E75">
      <w:pPr>
        <w:rPr>
          <w:rFonts w:ascii="Arial" w:hAnsi="Arial" w:cs="Arial"/>
          <w:sz w:val="22"/>
          <w:szCs w:val="22"/>
        </w:rPr>
      </w:pPr>
      <w:r w:rsidRPr="003A7254">
        <w:rPr>
          <w:rFonts w:ascii="Arial" w:hAnsi="Arial" w:cs="Arial"/>
          <w:sz w:val="22"/>
          <w:szCs w:val="22"/>
        </w:rPr>
        <w:t>For older adults, including those 65 and over, maintaining close, supportive relationships is crucial for their psychological wellbeing. As people age, they may face losses such as the death of a spouse, friends, or reduced social contact, which can threaten their sense of security and attachment. Bowlby’s theory helps explain why strong emotional bonds and social support are vital for older adults to cope with these changes, reduce feelings of loneliness, and maintain mental health.</w:t>
      </w:r>
    </w:p>
    <w:p w14:paraId="1E109A27" w14:textId="7163256F" w:rsidR="00FC6E75" w:rsidRPr="003A7254" w:rsidRDefault="00FC6E75" w:rsidP="00FC6E75">
      <w:pPr>
        <w:rPr>
          <w:rFonts w:ascii="Arial" w:hAnsi="Arial" w:cs="Arial"/>
          <w:sz w:val="22"/>
          <w:szCs w:val="22"/>
        </w:rPr>
      </w:pPr>
      <w:r w:rsidRPr="003A7254">
        <w:rPr>
          <w:rFonts w:ascii="Arial" w:hAnsi="Arial" w:cs="Arial"/>
          <w:sz w:val="22"/>
          <w:szCs w:val="22"/>
        </w:rPr>
        <w:t xml:space="preserve">In health </w:t>
      </w:r>
      <w:r w:rsidRPr="003A7254">
        <w:rPr>
          <w:rFonts w:ascii="Arial" w:hAnsi="Arial" w:cs="Arial"/>
          <w:sz w:val="22"/>
          <w:szCs w:val="22"/>
        </w:rPr>
        <w:t>behaviour</w:t>
      </w:r>
      <w:r w:rsidRPr="003A7254">
        <w:rPr>
          <w:rFonts w:ascii="Arial" w:hAnsi="Arial" w:cs="Arial"/>
          <w:sz w:val="22"/>
          <w:szCs w:val="22"/>
        </w:rPr>
        <w:t xml:space="preserve"> terms, adults with secure attachments are more likely to seek help, adhere to medical advice, and engage in healthy </w:t>
      </w:r>
      <w:r w:rsidRPr="003A7254">
        <w:rPr>
          <w:rFonts w:ascii="Arial" w:hAnsi="Arial" w:cs="Arial"/>
          <w:sz w:val="22"/>
          <w:szCs w:val="22"/>
        </w:rPr>
        <w:t>behaviour’s</w:t>
      </w:r>
      <w:r w:rsidRPr="003A7254">
        <w:rPr>
          <w:rFonts w:ascii="Arial" w:hAnsi="Arial" w:cs="Arial"/>
          <w:sz w:val="22"/>
          <w:szCs w:val="22"/>
        </w:rPr>
        <w:t xml:space="preserve"> because they feel supported and connected. Caregivers can apply Bowlby’s theory by fostering trusting, empathetic relationships with older adults to promote their emotional resilience and overall wellbeing.</w:t>
      </w:r>
    </w:p>
    <w:p w14:paraId="37B14E1D" w14:textId="77777777" w:rsidR="00FC6E75" w:rsidRPr="003A7254" w:rsidRDefault="00FC6E75" w:rsidP="00FC6E75">
      <w:pPr>
        <w:rPr>
          <w:rFonts w:ascii="Arial" w:hAnsi="Arial" w:cs="Arial"/>
          <w:sz w:val="22"/>
          <w:szCs w:val="22"/>
        </w:rPr>
      </w:pPr>
      <w:r w:rsidRPr="003A7254">
        <w:rPr>
          <w:rFonts w:ascii="Arial" w:hAnsi="Arial" w:cs="Arial"/>
          <w:sz w:val="22"/>
          <w:szCs w:val="22"/>
        </w:rPr>
        <w:t>Bowlby’s attachment theory and Erikson’s psychosocial theory both help explain important aspects of adult development for people aged 65 and over.</w:t>
      </w:r>
    </w:p>
    <w:p w14:paraId="4ACF66A6" w14:textId="0AE88F36" w:rsidR="00FC6E75" w:rsidRPr="003A7254" w:rsidRDefault="00FC6E75" w:rsidP="00FC6E75">
      <w:pPr>
        <w:rPr>
          <w:rFonts w:ascii="Arial" w:hAnsi="Arial" w:cs="Arial"/>
          <w:sz w:val="22"/>
          <w:szCs w:val="22"/>
        </w:rPr>
      </w:pPr>
      <w:r w:rsidRPr="003A7254">
        <w:rPr>
          <w:rFonts w:ascii="Arial" w:hAnsi="Arial" w:cs="Arial"/>
          <w:sz w:val="22"/>
          <w:szCs w:val="22"/>
        </w:rPr>
        <w:t xml:space="preserve">Bowlby’s theory focuses on the need for secure emotional bonds throughout life. For older adults, maintaining close relationships is key to feeling safe and supported, especially as they may experience losses like the death of loved ones or social isolation. Strong attachments help reduce loneliness and improve mental health, encouraging healthy </w:t>
      </w:r>
      <w:r w:rsidRPr="003A7254">
        <w:rPr>
          <w:rFonts w:ascii="Arial" w:hAnsi="Arial" w:cs="Arial"/>
          <w:sz w:val="22"/>
          <w:szCs w:val="22"/>
        </w:rPr>
        <w:t>behaviours</w:t>
      </w:r>
      <w:r w:rsidRPr="003A7254">
        <w:rPr>
          <w:rFonts w:ascii="Arial" w:hAnsi="Arial" w:cs="Arial"/>
          <w:sz w:val="22"/>
          <w:szCs w:val="22"/>
        </w:rPr>
        <w:t xml:space="preserve"> and coping.</w:t>
      </w:r>
      <w:r w:rsidRPr="003A7254">
        <w:rPr>
          <w:rFonts w:ascii="Arial" w:hAnsi="Arial" w:cs="Arial"/>
          <w:sz w:val="22"/>
          <w:szCs w:val="22"/>
        </w:rPr>
        <w:t xml:space="preserve"> </w:t>
      </w:r>
      <w:r w:rsidRPr="003A7254">
        <w:rPr>
          <w:rFonts w:ascii="Arial" w:hAnsi="Arial" w:cs="Arial"/>
          <w:sz w:val="22"/>
          <w:szCs w:val="22"/>
        </w:rPr>
        <w:t xml:space="preserve">Erikson’s theory highlights the stage of "Ego Integrity vs. Despair" in late adulthood, where individuals reflect on their life. Those who accept their life with a sense of </w:t>
      </w:r>
      <w:r w:rsidRPr="003A7254">
        <w:rPr>
          <w:rFonts w:ascii="Arial" w:hAnsi="Arial" w:cs="Arial"/>
          <w:sz w:val="22"/>
          <w:szCs w:val="22"/>
        </w:rPr>
        <w:t>fulfilment</w:t>
      </w:r>
      <w:r w:rsidRPr="003A7254">
        <w:rPr>
          <w:rFonts w:ascii="Arial" w:hAnsi="Arial" w:cs="Arial"/>
          <w:sz w:val="22"/>
          <w:szCs w:val="22"/>
        </w:rPr>
        <w:t xml:space="preserve"> achieve ego integrity, while those who focus on regrets may feel despair. For older adults, including those with dementia, this reflection can be challenging but meaningful support can help them find peace and dignity.</w:t>
      </w:r>
      <w:r w:rsidRPr="003A7254">
        <w:rPr>
          <w:rFonts w:ascii="Arial" w:hAnsi="Arial" w:cs="Arial"/>
          <w:sz w:val="22"/>
          <w:szCs w:val="22"/>
        </w:rPr>
        <w:t xml:space="preserve"> </w:t>
      </w:r>
      <w:r w:rsidRPr="003A7254">
        <w:rPr>
          <w:rFonts w:ascii="Arial" w:hAnsi="Arial" w:cs="Arial"/>
          <w:sz w:val="22"/>
          <w:szCs w:val="22"/>
        </w:rPr>
        <w:t>Together, these theories show how emotional connections and life reflection are crucial for wellbeing in adults 65 and over.</w:t>
      </w:r>
    </w:p>
    <w:p w14:paraId="5F19D2C7" w14:textId="65FA77CD" w:rsidR="00FC6E75" w:rsidRPr="003A7254" w:rsidRDefault="00FC6E75" w:rsidP="00FC6E75">
      <w:pPr>
        <w:rPr>
          <w:rFonts w:ascii="Arial" w:hAnsi="Arial" w:cs="Arial"/>
          <w:sz w:val="22"/>
          <w:szCs w:val="22"/>
        </w:rPr>
      </w:pPr>
      <w:r w:rsidRPr="003A7254">
        <w:rPr>
          <w:rFonts w:ascii="Arial" w:hAnsi="Arial" w:cs="Arial"/>
          <w:sz w:val="22"/>
          <w:szCs w:val="22"/>
        </w:rPr>
        <w:t xml:space="preserve">In a health or social care setting, understanding Bowlby’s attachment theory helps professionals recognize the importance of building trusting, secure relationships with older adults. For example, care workers supporting elderly people in residential homes can focus on creating consistent, empathetic interactions to reduce feelings of loneliness and anxiety. This helps older adults feel emotionally safe, which can improve cooperation with care routines and encourage healthier </w:t>
      </w:r>
      <w:r w:rsidR="003A7254" w:rsidRPr="003A7254">
        <w:rPr>
          <w:rFonts w:ascii="Arial" w:hAnsi="Arial" w:cs="Arial"/>
          <w:sz w:val="22"/>
          <w:szCs w:val="22"/>
        </w:rPr>
        <w:t>behaviours</w:t>
      </w:r>
      <w:r w:rsidRPr="003A7254">
        <w:rPr>
          <w:rFonts w:ascii="Arial" w:hAnsi="Arial" w:cs="Arial"/>
          <w:sz w:val="22"/>
          <w:szCs w:val="22"/>
        </w:rPr>
        <w:t xml:space="preserve"> like medication adherence or participation in activities.</w:t>
      </w:r>
    </w:p>
    <w:p w14:paraId="3D8ECCCB" w14:textId="0FFFF3F5" w:rsidR="00FC6E75" w:rsidRPr="003A7254" w:rsidRDefault="00FC6E75" w:rsidP="00FC6E75">
      <w:pPr>
        <w:rPr>
          <w:rFonts w:ascii="Arial" w:hAnsi="Arial" w:cs="Arial"/>
          <w:sz w:val="22"/>
          <w:szCs w:val="22"/>
        </w:rPr>
      </w:pPr>
      <w:r w:rsidRPr="003A7254">
        <w:rPr>
          <w:rFonts w:ascii="Arial" w:hAnsi="Arial" w:cs="Arial"/>
          <w:sz w:val="22"/>
          <w:szCs w:val="22"/>
        </w:rPr>
        <w:lastRenderedPageBreak/>
        <w:t>Erikson’s theory can guide professionals to support older adults in reflecting positively on their life experiences. For instance, in dementia care, staff might use reminiscence therapy</w:t>
      </w:r>
      <w:r w:rsidRPr="003A7254">
        <w:rPr>
          <w:rFonts w:ascii="Arial" w:hAnsi="Arial" w:cs="Arial"/>
          <w:sz w:val="22"/>
          <w:szCs w:val="22"/>
        </w:rPr>
        <w:t xml:space="preserve"> </w:t>
      </w:r>
      <w:r w:rsidRPr="003A7254">
        <w:rPr>
          <w:rFonts w:ascii="Arial" w:hAnsi="Arial" w:cs="Arial"/>
          <w:sz w:val="22"/>
          <w:szCs w:val="22"/>
        </w:rPr>
        <w:t>encouraging storytelling about past achievements and happy memories</w:t>
      </w:r>
      <w:r w:rsidRPr="003A7254">
        <w:rPr>
          <w:rFonts w:ascii="Arial" w:hAnsi="Arial" w:cs="Arial"/>
          <w:sz w:val="22"/>
          <w:szCs w:val="22"/>
        </w:rPr>
        <w:t xml:space="preserve"> </w:t>
      </w:r>
      <w:r w:rsidRPr="003A7254">
        <w:rPr>
          <w:rFonts w:ascii="Arial" w:hAnsi="Arial" w:cs="Arial"/>
          <w:sz w:val="22"/>
          <w:szCs w:val="22"/>
        </w:rPr>
        <w:t>to foster a sense of ego integrity and reduce despair. This approach can improve mood and reduce agitation, enhancing overall wellbeing.</w:t>
      </w:r>
    </w:p>
    <w:p w14:paraId="5A9D1721" w14:textId="607B7DA1" w:rsidR="00FC6E75" w:rsidRPr="003A7254" w:rsidRDefault="00FC6E75" w:rsidP="00FC6E75">
      <w:pPr>
        <w:rPr>
          <w:rFonts w:ascii="Arial" w:hAnsi="Arial" w:cs="Arial"/>
          <w:sz w:val="22"/>
          <w:szCs w:val="22"/>
        </w:rPr>
      </w:pPr>
      <w:r w:rsidRPr="003A7254">
        <w:rPr>
          <w:rFonts w:ascii="Arial" w:hAnsi="Arial" w:cs="Arial"/>
          <w:sz w:val="22"/>
          <w:szCs w:val="22"/>
        </w:rPr>
        <w:t>Challenges in applying these theories include time constraints and high staff turnover, which can make it difficult to build strong attachments or provide consistent emotional support. Additionally, some older adults may resist reflecting on their past due to pain or trauma. To manage these challenges, professionals can receive training in communication and empathy skills, use team-based approaches to ensure continuity of care, and tailor interventions to individual readiness and preferences.</w:t>
      </w:r>
    </w:p>
    <w:p w14:paraId="7C1C22AE" w14:textId="10D4B448" w:rsidR="00FC6E75" w:rsidRPr="003A7254" w:rsidRDefault="00FC6E75" w:rsidP="00FC6E75">
      <w:pPr>
        <w:rPr>
          <w:rFonts w:ascii="Arial" w:hAnsi="Arial" w:cs="Arial"/>
          <w:sz w:val="22"/>
          <w:szCs w:val="22"/>
        </w:rPr>
      </w:pPr>
      <w:r w:rsidRPr="003A7254">
        <w:rPr>
          <w:rFonts w:ascii="Arial" w:hAnsi="Arial" w:cs="Arial"/>
          <w:sz w:val="22"/>
          <w:szCs w:val="22"/>
        </w:rPr>
        <w:t xml:space="preserve">Overall, applying these theories helps address psychological and </w:t>
      </w:r>
      <w:r w:rsidRPr="003A7254">
        <w:rPr>
          <w:rFonts w:ascii="Arial" w:hAnsi="Arial" w:cs="Arial"/>
          <w:sz w:val="22"/>
          <w:szCs w:val="22"/>
        </w:rPr>
        <w:t>behavioural</w:t>
      </w:r>
      <w:r w:rsidRPr="003A7254">
        <w:rPr>
          <w:rFonts w:ascii="Arial" w:hAnsi="Arial" w:cs="Arial"/>
          <w:sz w:val="22"/>
          <w:szCs w:val="22"/>
        </w:rPr>
        <w:t xml:space="preserve"> challenges by promoting emotional security and meaningful engagement, which are essential for quality care in older adults.</w:t>
      </w:r>
    </w:p>
    <w:p w14:paraId="5B72F8E9" w14:textId="2CE8DFB9" w:rsidR="003A7254" w:rsidRPr="003A7254" w:rsidRDefault="003A7254" w:rsidP="00FC6E75">
      <w:pPr>
        <w:rPr>
          <w:rFonts w:ascii="Arial" w:hAnsi="Arial" w:cs="Arial"/>
          <w:b/>
          <w:bCs/>
          <w:sz w:val="22"/>
          <w:szCs w:val="22"/>
          <w:u w:val="single"/>
        </w:rPr>
      </w:pPr>
      <w:r w:rsidRPr="003A7254">
        <w:rPr>
          <w:rFonts w:ascii="Arial" w:hAnsi="Arial" w:cs="Arial"/>
          <w:b/>
          <w:bCs/>
          <w:sz w:val="22"/>
          <w:szCs w:val="22"/>
          <w:u w:val="single"/>
        </w:rPr>
        <w:t>Conclusion</w:t>
      </w:r>
    </w:p>
    <w:p w14:paraId="197BD0BF" w14:textId="13F7A489" w:rsidR="003A7254" w:rsidRPr="003A7254" w:rsidRDefault="003A7254" w:rsidP="003A7254">
      <w:pPr>
        <w:rPr>
          <w:rFonts w:ascii="Arial" w:hAnsi="Arial" w:cs="Arial"/>
          <w:sz w:val="22"/>
          <w:szCs w:val="22"/>
        </w:rPr>
      </w:pPr>
      <w:r w:rsidRPr="003A7254">
        <w:rPr>
          <w:rFonts w:ascii="Arial" w:hAnsi="Arial" w:cs="Arial"/>
          <w:sz w:val="22"/>
          <w:szCs w:val="22"/>
        </w:rPr>
        <w:t>Psychological theories play a crucial role in understanding and supporting older adults living with dementia in care home environments. Erikson’s stage of Ego Integrity vs Despair emphasizes the significance of maintaining identity, finding meaning, and preserving emotional continuity in later life. Through techniques such as reminiscence therapy, personalized care approaches, and practices that uphold dignity, professionals can promote psychological wellbeing even as cognitive abilities decline.</w:t>
      </w:r>
    </w:p>
    <w:p w14:paraId="3565527E" w14:textId="534276C5" w:rsidR="003A7254" w:rsidRPr="003A7254" w:rsidRDefault="003A7254" w:rsidP="003A7254">
      <w:pPr>
        <w:rPr>
          <w:rFonts w:ascii="Arial" w:hAnsi="Arial" w:cs="Arial"/>
          <w:sz w:val="22"/>
          <w:szCs w:val="22"/>
        </w:rPr>
      </w:pPr>
      <w:r w:rsidRPr="003A7254">
        <w:rPr>
          <w:rFonts w:ascii="Arial" w:hAnsi="Arial" w:cs="Arial"/>
          <w:sz w:val="22"/>
          <w:szCs w:val="22"/>
        </w:rPr>
        <w:t xml:space="preserve">The Health Belief Model, while traditionally </w:t>
      </w:r>
      <w:r w:rsidRPr="003A7254">
        <w:rPr>
          <w:rFonts w:ascii="Arial" w:hAnsi="Arial" w:cs="Arial"/>
          <w:sz w:val="22"/>
          <w:szCs w:val="22"/>
        </w:rPr>
        <w:t>centred</w:t>
      </w:r>
      <w:r w:rsidRPr="003A7254">
        <w:rPr>
          <w:rFonts w:ascii="Arial" w:hAnsi="Arial" w:cs="Arial"/>
          <w:sz w:val="22"/>
          <w:szCs w:val="22"/>
        </w:rPr>
        <w:t xml:space="preserve"> on conscious decision-making, offers a useful framework for creating environmental cues, boosting self-efficacy, and encouraging positive daily </w:t>
      </w:r>
      <w:r w:rsidRPr="003A7254">
        <w:rPr>
          <w:rFonts w:ascii="Arial" w:hAnsi="Arial" w:cs="Arial"/>
          <w:sz w:val="22"/>
          <w:szCs w:val="22"/>
        </w:rPr>
        <w:t>behaviours</w:t>
      </w:r>
      <w:r w:rsidRPr="003A7254">
        <w:rPr>
          <w:rFonts w:ascii="Arial" w:hAnsi="Arial" w:cs="Arial"/>
          <w:sz w:val="22"/>
          <w:szCs w:val="22"/>
        </w:rPr>
        <w:t>. Both theories need to be carefully adapted to account for the cognitive challenges associated with dementia. Obstacles like limited staff availability, reduced insight among residents, and emotional sensitivity can be addressed through specialized training, thoughtful environmental design, teamwork across disciplines, and active family involvement.</w:t>
      </w:r>
    </w:p>
    <w:p w14:paraId="0565D2A6" w14:textId="61A9AEBB" w:rsidR="003A7254" w:rsidRDefault="003A7254" w:rsidP="003A7254">
      <w:pPr>
        <w:rPr>
          <w:rFonts w:ascii="Arial" w:hAnsi="Arial" w:cs="Arial"/>
          <w:sz w:val="22"/>
          <w:szCs w:val="22"/>
        </w:rPr>
      </w:pPr>
      <w:r w:rsidRPr="003A7254">
        <w:rPr>
          <w:rFonts w:ascii="Arial" w:hAnsi="Arial" w:cs="Arial"/>
          <w:sz w:val="22"/>
          <w:szCs w:val="22"/>
        </w:rPr>
        <w:t>By applying psychological theories thoughtfully in practice, health and social care professionals can provide compassionate, person-</w:t>
      </w:r>
      <w:r w:rsidRPr="003A7254">
        <w:rPr>
          <w:rFonts w:ascii="Arial" w:hAnsi="Arial" w:cs="Arial"/>
          <w:sz w:val="22"/>
          <w:szCs w:val="22"/>
        </w:rPr>
        <w:t>centred</w:t>
      </w:r>
      <w:r w:rsidRPr="003A7254">
        <w:rPr>
          <w:rFonts w:ascii="Arial" w:hAnsi="Arial" w:cs="Arial"/>
          <w:sz w:val="22"/>
          <w:szCs w:val="22"/>
        </w:rPr>
        <w:t xml:space="preserve"> care that significantly improves the quality of life for adults aged 65 and over living with dementia.</w:t>
      </w:r>
    </w:p>
    <w:p w14:paraId="37155C7C" w14:textId="77777777" w:rsidR="003A7254" w:rsidRDefault="003A7254" w:rsidP="003A7254">
      <w:pPr>
        <w:rPr>
          <w:rFonts w:ascii="Arial" w:hAnsi="Arial" w:cs="Arial"/>
          <w:sz w:val="22"/>
          <w:szCs w:val="22"/>
        </w:rPr>
      </w:pPr>
    </w:p>
    <w:p w14:paraId="4690FFCE" w14:textId="46A7ACD5" w:rsidR="003A7254" w:rsidRPr="003A7254" w:rsidRDefault="003A7254" w:rsidP="003A7254">
      <w:pPr>
        <w:rPr>
          <w:rFonts w:ascii="Arial" w:hAnsi="Arial" w:cs="Arial"/>
          <w:b/>
          <w:bCs/>
          <w:sz w:val="22"/>
          <w:szCs w:val="22"/>
          <w:u w:val="single"/>
        </w:rPr>
      </w:pPr>
      <w:r w:rsidRPr="003A7254">
        <w:rPr>
          <w:rFonts w:ascii="Arial" w:hAnsi="Arial" w:cs="Arial"/>
          <w:b/>
          <w:bCs/>
          <w:sz w:val="22"/>
          <w:szCs w:val="22"/>
          <w:u w:val="single"/>
        </w:rPr>
        <w:t xml:space="preserve">References </w:t>
      </w:r>
    </w:p>
    <w:p w14:paraId="7BCFA409" w14:textId="087D143E" w:rsidR="003A7254" w:rsidRPr="003A7254" w:rsidRDefault="003A7254" w:rsidP="003A7254">
      <w:pPr>
        <w:rPr>
          <w:rFonts w:ascii="Arial" w:hAnsi="Arial" w:cs="Arial"/>
          <w:sz w:val="22"/>
          <w:szCs w:val="22"/>
        </w:rPr>
      </w:pPr>
      <w:r w:rsidRPr="003A7254">
        <w:rPr>
          <w:rFonts w:ascii="Arial" w:hAnsi="Arial" w:cs="Arial"/>
          <w:sz w:val="22"/>
          <w:szCs w:val="22"/>
        </w:rPr>
        <w:t xml:space="preserve">Atchley, R. (1999). </w:t>
      </w:r>
      <w:r w:rsidRPr="003A7254">
        <w:rPr>
          <w:rFonts w:ascii="Arial" w:hAnsi="Arial" w:cs="Arial"/>
          <w:i/>
          <w:iCs/>
          <w:sz w:val="22"/>
          <w:szCs w:val="22"/>
        </w:rPr>
        <w:t>Continuity and Adaptation in Aging: Creating Positive Experiences.</w:t>
      </w:r>
      <w:r w:rsidRPr="003A7254">
        <w:rPr>
          <w:rFonts w:ascii="Arial" w:hAnsi="Arial" w:cs="Arial"/>
          <w:sz w:val="22"/>
          <w:szCs w:val="22"/>
        </w:rPr>
        <w:t xml:space="preserve"> Cambridge University Press.</w:t>
      </w:r>
    </w:p>
    <w:p w14:paraId="67D4DEC9" w14:textId="658CE379" w:rsidR="003A7254" w:rsidRPr="003A7254" w:rsidRDefault="003A7254" w:rsidP="003A7254">
      <w:pPr>
        <w:rPr>
          <w:rFonts w:ascii="Arial" w:hAnsi="Arial" w:cs="Arial"/>
          <w:sz w:val="22"/>
          <w:szCs w:val="22"/>
        </w:rPr>
      </w:pPr>
      <w:r w:rsidRPr="003A7254">
        <w:rPr>
          <w:rFonts w:ascii="Arial" w:hAnsi="Arial" w:cs="Arial"/>
          <w:sz w:val="22"/>
          <w:szCs w:val="22"/>
        </w:rPr>
        <w:t xml:space="preserve">Beard, R. L., Knauss, J., &amp; Moyer, D. (2009). "Managing identity in early-stage Alzheimer’s disease." </w:t>
      </w:r>
      <w:r w:rsidRPr="003A7254">
        <w:rPr>
          <w:rFonts w:ascii="Arial" w:hAnsi="Arial" w:cs="Arial"/>
          <w:i/>
          <w:iCs/>
          <w:sz w:val="22"/>
          <w:szCs w:val="22"/>
        </w:rPr>
        <w:t>Sociology of Health &amp; Illness</w:t>
      </w:r>
      <w:r w:rsidRPr="003A7254">
        <w:rPr>
          <w:rFonts w:ascii="Arial" w:hAnsi="Arial" w:cs="Arial"/>
          <w:sz w:val="22"/>
          <w:szCs w:val="22"/>
        </w:rPr>
        <w:t>, 31(1), 94–111.</w:t>
      </w:r>
    </w:p>
    <w:p w14:paraId="6C73A60D" w14:textId="1932FCFC" w:rsidR="003A7254" w:rsidRPr="003A7254" w:rsidRDefault="003A7254" w:rsidP="003A7254">
      <w:pPr>
        <w:rPr>
          <w:rFonts w:ascii="Arial" w:hAnsi="Arial" w:cs="Arial"/>
          <w:sz w:val="22"/>
          <w:szCs w:val="22"/>
        </w:rPr>
      </w:pPr>
      <w:r w:rsidRPr="003A7254">
        <w:rPr>
          <w:rFonts w:ascii="Arial" w:hAnsi="Arial" w:cs="Arial"/>
          <w:sz w:val="22"/>
          <w:szCs w:val="22"/>
        </w:rPr>
        <w:t xml:space="preserve">Erikson, E. H. (1998). </w:t>
      </w:r>
      <w:r w:rsidRPr="003A7254">
        <w:rPr>
          <w:rFonts w:ascii="Arial" w:hAnsi="Arial" w:cs="Arial"/>
          <w:i/>
          <w:iCs/>
          <w:sz w:val="22"/>
          <w:szCs w:val="22"/>
        </w:rPr>
        <w:t>The Life Cycle Completed.</w:t>
      </w:r>
      <w:r w:rsidRPr="003A7254">
        <w:rPr>
          <w:rFonts w:ascii="Arial" w:hAnsi="Arial" w:cs="Arial"/>
          <w:sz w:val="22"/>
          <w:szCs w:val="22"/>
        </w:rPr>
        <w:t xml:space="preserve"> W. W. Norton.</w:t>
      </w:r>
    </w:p>
    <w:p w14:paraId="2BB6232E" w14:textId="75CA5F28" w:rsidR="003A7254" w:rsidRPr="003A7254" w:rsidRDefault="003A7254" w:rsidP="003A7254">
      <w:pPr>
        <w:rPr>
          <w:rFonts w:ascii="Arial" w:hAnsi="Arial" w:cs="Arial"/>
          <w:sz w:val="22"/>
          <w:szCs w:val="22"/>
        </w:rPr>
      </w:pPr>
      <w:r w:rsidRPr="003A7254">
        <w:rPr>
          <w:rFonts w:ascii="Arial" w:hAnsi="Arial" w:cs="Arial"/>
          <w:sz w:val="22"/>
          <w:szCs w:val="22"/>
        </w:rPr>
        <w:t xml:space="preserve">Janz, N. K., &amp; Becker, M. H. (1984). “The Health Belief Model: A decade later.” </w:t>
      </w:r>
      <w:r w:rsidRPr="003A7254">
        <w:rPr>
          <w:rFonts w:ascii="Arial" w:hAnsi="Arial" w:cs="Arial"/>
          <w:i/>
          <w:iCs/>
          <w:sz w:val="22"/>
          <w:szCs w:val="22"/>
        </w:rPr>
        <w:t>Health Education Quarterly</w:t>
      </w:r>
      <w:r w:rsidRPr="003A7254">
        <w:rPr>
          <w:rFonts w:ascii="Arial" w:hAnsi="Arial" w:cs="Arial"/>
          <w:sz w:val="22"/>
          <w:szCs w:val="22"/>
        </w:rPr>
        <w:t>, 11(1), 1–47.</w:t>
      </w:r>
    </w:p>
    <w:p w14:paraId="05706944" w14:textId="65012115" w:rsidR="003A7254" w:rsidRPr="003A7254" w:rsidRDefault="003A7254" w:rsidP="003A7254">
      <w:pPr>
        <w:rPr>
          <w:rFonts w:ascii="Arial" w:hAnsi="Arial" w:cs="Arial"/>
          <w:sz w:val="22"/>
          <w:szCs w:val="22"/>
        </w:rPr>
      </w:pPr>
      <w:r w:rsidRPr="003A7254">
        <w:rPr>
          <w:rFonts w:ascii="Arial" w:hAnsi="Arial" w:cs="Arial"/>
          <w:sz w:val="22"/>
          <w:szCs w:val="22"/>
        </w:rPr>
        <w:lastRenderedPageBreak/>
        <w:t xml:space="preserve">Woods, B., </w:t>
      </w:r>
      <w:proofErr w:type="spellStart"/>
      <w:r w:rsidRPr="003A7254">
        <w:rPr>
          <w:rFonts w:ascii="Arial" w:hAnsi="Arial" w:cs="Arial"/>
          <w:sz w:val="22"/>
          <w:szCs w:val="22"/>
        </w:rPr>
        <w:t>O’Philbin</w:t>
      </w:r>
      <w:proofErr w:type="spellEnd"/>
      <w:r w:rsidRPr="003A7254">
        <w:rPr>
          <w:rFonts w:ascii="Arial" w:hAnsi="Arial" w:cs="Arial"/>
          <w:sz w:val="22"/>
          <w:szCs w:val="22"/>
        </w:rPr>
        <w:t xml:space="preserve">, L., Farrell, E. M., Spector, A. E., &amp; Orrell, M. (2018). "Reminiscence therapy for dementia." </w:t>
      </w:r>
      <w:r w:rsidRPr="003A7254">
        <w:rPr>
          <w:rFonts w:ascii="Arial" w:hAnsi="Arial" w:cs="Arial"/>
          <w:i/>
          <w:iCs/>
          <w:sz w:val="22"/>
          <w:szCs w:val="22"/>
        </w:rPr>
        <w:t>Cochrane Database of Systematic Reviews</w:t>
      </w:r>
      <w:r w:rsidRPr="003A7254">
        <w:rPr>
          <w:rFonts w:ascii="Arial" w:hAnsi="Arial" w:cs="Arial"/>
          <w:sz w:val="22"/>
          <w:szCs w:val="22"/>
        </w:rPr>
        <w:t>, Issue 3.</w:t>
      </w:r>
    </w:p>
    <w:p w14:paraId="46CEA3B4" w14:textId="2B9AE2F1" w:rsidR="003A7254" w:rsidRPr="003A7254" w:rsidRDefault="003A7254" w:rsidP="003A7254">
      <w:pPr>
        <w:rPr>
          <w:rFonts w:ascii="Arial" w:hAnsi="Arial" w:cs="Arial"/>
          <w:sz w:val="22"/>
          <w:szCs w:val="22"/>
        </w:rPr>
      </w:pPr>
      <w:r w:rsidRPr="003A7254">
        <w:rPr>
          <w:rFonts w:ascii="Arial" w:hAnsi="Arial" w:cs="Arial"/>
          <w:sz w:val="22"/>
          <w:szCs w:val="22"/>
        </w:rPr>
        <w:t xml:space="preserve">Zecevic, A., </w:t>
      </w:r>
      <w:proofErr w:type="spellStart"/>
      <w:r w:rsidRPr="003A7254">
        <w:rPr>
          <w:rFonts w:ascii="Arial" w:hAnsi="Arial" w:cs="Arial"/>
          <w:sz w:val="22"/>
          <w:szCs w:val="22"/>
        </w:rPr>
        <w:t>Salmoni</w:t>
      </w:r>
      <w:proofErr w:type="spellEnd"/>
      <w:r w:rsidRPr="003A7254">
        <w:rPr>
          <w:rFonts w:ascii="Arial" w:hAnsi="Arial" w:cs="Arial"/>
          <w:sz w:val="22"/>
          <w:szCs w:val="22"/>
        </w:rPr>
        <w:t xml:space="preserve">, A., Lewko, J., &amp; Vandervoort, A. (2006). “Barriers for exercise in older adults with dementia.” </w:t>
      </w:r>
      <w:r w:rsidRPr="003A7254">
        <w:rPr>
          <w:rFonts w:ascii="Arial" w:hAnsi="Arial" w:cs="Arial"/>
          <w:i/>
          <w:iCs/>
          <w:sz w:val="22"/>
          <w:szCs w:val="22"/>
        </w:rPr>
        <w:t>Journal of Aging and Physical Activity</w:t>
      </w:r>
      <w:r w:rsidRPr="003A7254">
        <w:rPr>
          <w:rFonts w:ascii="Arial" w:hAnsi="Arial" w:cs="Arial"/>
          <w:sz w:val="22"/>
          <w:szCs w:val="22"/>
        </w:rPr>
        <w:t>, 14(4), 470–480.</w:t>
      </w:r>
    </w:p>
    <w:sectPr w:rsidR="003A7254" w:rsidRPr="003A7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F2"/>
    <w:rsid w:val="00044C0B"/>
    <w:rsid w:val="001C4DD3"/>
    <w:rsid w:val="003A7254"/>
    <w:rsid w:val="003E2DF2"/>
    <w:rsid w:val="003E3486"/>
    <w:rsid w:val="004B40C3"/>
    <w:rsid w:val="00524C3F"/>
    <w:rsid w:val="00547BAC"/>
    <w:rsid w:val="00991B75"/>
    <w:rsid w:val="00A0681D"/>
    <w:rsid w:val="00A06C3A"/>
    <w:rsid w:val="00AB28B0"/>
    <w:rsid w:val="00FC6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6021A"/>
  <w15:chartTrackingRefBased/>
  <w15:docId w15:val="{94C86A52-F0F8-4F7B-BD40-6F03A3D4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DF2"/>
    <w:rPr>
      <w:rFonts w:eastAsiaTheme="majorEastAsia" w:cstheme="majorBidi"/>
      <w:color w:val="272727" w:themeColor="text1" w:themeTint="D8"/>
    </w:rPr>
  </w:style>
  <w:style w:type="paragraph" w:styleId="Title">
    <w:name w:val="Title"/>
    <w:basedOn w:val="Normal"/>
    <w:next w:val="Normal"/>
    <w:link w:val="TitleChar"/>
    <w:uiPriority w:val="10"/>
    <w:qFormat/>
    <w:rsid w:val="003E2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DF2"/>
    <w:pPr>
      <w:spacing w:before="160"/>
      <w:jc w:val="center"/>
    </w:pPr>
    <w:rPr>
      <w:i/>
      <w:iCs/>
      <w:color w:val="404040" w:themeColor="text1" w:themeTint="BF"/>
    </w:rPr>
  </w:style>
  <w:style w:type="character" w:customStyle="1" w:styleId="QuoteChar">
    <w:name w:val="Quote Char"/>
    <w:basedOn w:val="DefaultParagraphFont"/>
    <w:link w:val="Quote"/>
    <w:uiPriority w:val="29"/>
    <w:rsid w:val="003E2DF2"/>
    <w:rPr>
      <w:i/>
      <w:iCs/>
      <w:color w:val="404040" w:themeColor="text1" w:themeTint="BF"/>
    </w:rPr>
  </w:style>
  <w:style w:type="paragraph" w:styleId="ListParagraph">
    <w:name w:val="List Paragraph"/>
    <w:basedOn w:val="Normal"/>
    <w:uiPriority w:val="34"/>
    <w:qFormat/>
    <w:rsid w:val="003E2DF2"/>
    <w:pPr>
      <w:ind w:left="720"/>
      <w:contextualSpacing/>
    </w:pPr>
  </w:style>
  <w:style w:type="character" w:styleId="IntenseEmphasis">
    <w:name w:val="Intense Emphasis"/>
    <w:basedOn w:val="DefaultParagraphFont"/>
    <w:uiPriority w:val="21"/>
    <w:qFormat/>
    <w:rsid w:val="003E2DF2"/>
    <w:rPr>
      <w:i/>
      <w:iCs/>
      <w:color w:val="0F4761" w:themeColor="accent1" w:themeShade="BF"/>
    </w:rPr>
  </w:style>
  <w:style w:type="paragraph" w:styleId="IntenseQuote">
    <w:name w:val="Intense Quote"/>
    <w:basedOn w:val="Normal"/>
    <w:next w:val="Normal"/>
    <w:link w:val="IntenseQuoteChar"/>
    <w:uiPriority w:val="30"/>
    <w:qFormat/>
    <w:rsid w:val="003E2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DF2"/>
    <w:rPr>
      <w:i/>
      <w:iCs/>
      <w:color w:val="0F4761" w:themeColor="accent1" w:themeShade="BF"/>
    </w:rPr>
  </w:style>
  <w:style w:type="character" w:styleId="IntenseReference">
    <w:name w:val="Intense Reference"/>
    <w:basedOn w:val="DefaultParagraphFont"/>
    <w:uiPriority w:val="32"/>
    <w:qFormat/>
    <w:rsid w:val="003E2D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Cerdiyaa Khan (2325009)</dc:creator>
  <cp:keywords/>
  <dc:description/>
  <cp:lastModifiedBy>Cerdiyaa Khan (2325009)</cp:lastModifiedBy>
  <cp:revision>3</cp:revision>
  <dcterms:created xsi:type="dcterms:W3CDTF">2025-11-14T23:57:00Z</dcterms:created>
  <dcterms:modified xsi:type="dcterms:W3CDTF">2025-11-18T03:50:00Z</dcterms:modified>
</cp:coreProperties>
</file>