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107AC" w:rsidR="004107AC" w:rsidP="004107AC" w:rsidRDefault="004107AC" w14:paraId="06515C77" w14:textId="77777777">
      <w:pPr>
        <w:keepNext/>
        <w:keepLines/>
        <w:spacing w:before="480" w:after="0"/>
        <w:outlineLvl w:val="0"/>
        <w:rPr>
          <w:rFonts w:asciiTheme="majorHAnsi" w:hAnsiTheme="majorHAnsi" w:eastAsiaTheme="majorEastAsia" w:cstheme="majorBidi"/>
          <w:b/>
          <w:bCs/>
          <w:color w:val="000000" w:themeColor="text1"/>
          <w:sz w:val="28"/>
          <w:szCs w:val="28"/>
        </w:rPr>
      </w:pPr>
      <w:proofErr w:type="spellStart"/>
      <w:r w:rsidRPr="004107AC">
        <w:rPr>
          <w:rFonts w:asciiTheme="majorHAnsi" w:hAnsiTheme="majorHAnsi" w:eastAsiaTheme="majorEastAsia" w:cstheme="majorBidi"/>
          <w:b/>
          <w:bCs/>
          <w:color w:val="000000" w:themeColor="text1"/>
          <w:sz w:val="28"/>
          <w:szCs w:val="28"/>
        </w:rPr>
        <w:t>BSc</w:t>
      </w:r>
      <w:proofErr w:type="spellEnd"/>
      <w:r w:rsidRPr="004107AC">
        <w:rPr>
          <w:rFonts w:asciiTheme="majorHAnsi" w:hAnsiTheme="majorHAnsi" w:eastAsiaTheme="majorEastAsia" w:cstheme="majorBidi"/>
          <w:b/>
          <w:bCs/>
          <w:color w:val="000000" w:themeColor="text1"/>
          <w:sz w:val="28"/>
          <w:szCs w:val="28"/>
        </w:rPr>
        <w:t xml:space="preserve"> Health and Social Care</w:t>
      </w:r>
    </w:p>
    <w:p w:rsidRPr="004107AC" w:rsidR="004107AC" w:rsidP="2653CEFF" w:rsidRDefault="004107AC" w14:paraId="2956E9BA" w14:textId="77777777">
      <w:pPr>
        <w:pStyle w:val="s3"/>
        <w:spacing w:before="0" w:beforeAutospacing="0" w:after="150" w:afterAutospacing="0" w:line="360" w:lineRule="auto"/>
        <w:rPr>
          <w:rStyle w:val="bumpedfont15"/>
          <w:rFonts w:ascii="Arial" w:hAnsi="Arial" w:cs="Arial"/>
          <w:color w:val="000000" w:themeColor="text1"/>
          <w:sz w:val="27"/>
          <w:szCs w:val="27"/>
        </w:rPr>
      </w:pPr>
    </w:p>
    <w:p w:rsidR="00F13CA2" w:rsidP="2653CEFF" w:rsidRDefault="00F13CA2" w14:paraId="618C517C" w14:textId="6F8A57CB">
      <w:pPr>
        <w:pStyle w:val="s3"/>
        <w:spacing w:before="0" w:beforeAutospacing="0" w:after="150" w:afterAutospacing="0" w:line="360" w:lineRule="auto"/>
        <w:rPr>
          <w:rFonts w:hint="eastAsia" w:ascii="-webkit-standard" w:hAnsi="-webkit-standard"/>
          <w:color w:val="000000"/>
          <w:sz w:val="27"/>
          <w:szCs w:val="27"/>
        </w:rPr>
      </w:pPr>
      <w:r w:rsidRPr="2653CEFF">
        <w:rPr>
          <w:rStyle w:val="bumpedfont15"/>
          <w:rFonts w:ascii="Arial" w:hAnsi="Arial" w:cs="Arial"/>
          <w:color w:val="000000" w:themeColor="text1"/>
          <w:sz w:val="27"/>
          <w:szCs w:val="27"/>
        </w:rPr>
        <w:t>Module: Principles of Health and Social Care Practice</w:t>
      </w:r>
    </w:p>
    <w:p w:rsidR="00F13CA2" w:rsidP="2653CEFF" w:rsidRDefault="00F13CA2" w14:paraId="5F1EEDF1" w14:textId="77777777">
      <w:pPr>
        <w:pStyle w:val="s3"/>
        <w:spacing w:before="0" w:beforeAutospacing="0" w:after="150" w:afterAutospacing="0" w:line="360" w:lineRule="auto"/>
        <w:rPr>
          <w:rFonts w:hint="eastAsia" w:ascii="-webkit-standard" w:hAnsi="-webkit-standard"/>
          <w:color w:val="000000"/>
          <w:sz w:val="27"/>
          <w:szCs w:val="27"/>
        </w:rPr>
      </w:pPr>
      <w:r w:rsidRPr="2653CEFF">
        <w:rPr>
          <w:rStyle w:val="bumpedfont15"/>
          <w:rFonts w:ascii="Arial" w:hAnsi="Arial" w:cs="Arial"/>
          <w:color w:val="000000" w:themeColor="text1"/>
          <w:sz w:val="27"/>
          <w:szCs w:val="27"/>
        </w:rPr>
        <w:t>Module Code: BMHP5016</w:t>
      </w:r>
    </w:p>
    <w:p w:rsidR="00F13CA2" w:rsidP="2653CEFF" w:rsidRDefault="00F13CA2" w14:paraId="409B25F8" w14:textId="77777777">
      <w:pPr>
        <w:pStyle w:val="s3"/>
        <w:spacing w:before="0" w:beforeAutospacing="0" w:after="150" w:afterAutospacing="0" w:line="360" w:lineRule="auto"/>
        <w:rPr>
          <w:rFonts w:hint="eastAsia" w:ascii="-webkit-standard" w:hAnsi="-webkit-standard"/>
          <w:color w:val="000000"/>
          <w:sz w:val="27"/>
          <w:szCs w:val="27"/>
        </w:rPr>
      </w:pPr>
      <w:r w:rsidRPr="2653CEFF">
        <w:rPr>
          <w:rStyle w:val="bumpedfont15"/>
          <w:rFonts w:ascii="Arial" w:hAnsi="Arial" w:cs="Arial"/>
          <w:color w:val="000000" w:themeColor="text1"/>
          <w:sz w:val="27"/>
          <w:szCs w:val="27"/>
        </w:rPr>
        <w:t>Assignment Title: Component 2: Written Report – Person-Centred Care and Partnership Working</w:t>
      </w:r>
    </w:p>
    <w:p w:rsidR="00F13CA2" w:rsidP="581E67F8" w:rsidRDefault="00F13CA2" w14:paraId="48815FE6" w14:textId="4D264CFB">
      <w:pPr>
        <w:pStyle w:val="s3"/>
        <w:spacing w:before="0" w:beforeAutospacing="0" w:after="150" w:afterAutospacing="0" w:line="360" w:lineRule="auto"/>
        <w:rPr>
          <w:rFonts w:hint="eastAsia" w:ascii="-webkit-standard" w:hAnsi="-webkit-standard"/>
          <w:color w:val="000000"/>
          <w:sz w:val="27"/>
          <w:szCs w:val="27"/>
        </w:rPr>
      </w:pPr>
      <w:r w:rsidRPr="581E67F8">
        <w:rPr>
          <w:rStyle w:val="bumpedfont15"/>
          <w:rFonts w:ascii="Arial" w:hAnsi="Arial" w:cs="Arial"/>
          <w:color w:val="000000" w:themeColor="text1"/>
          <w:sz w:val="27"/>
          <w:szCs w:val="27"/>
        </w:rPr>
        <w:t>Student Name: Sofia Hameed Rafaqat</w:t>
      </w:r>
    </w:p>
    <w:p w:rsidR="00F13CA2" w:rsidP="2653CEFF" w:rsidRDefault="00F13CA2" w14:paraId="2648E7F4" w14:textId="77777777">
      <w:pPr>
        <w:pStyle w:val="s3"/>
        <w:spacing w:before="0" w:beforeAutospacing="0" w:after="150" w:afterAutospacing="0" w:line="360" w:lineRule="auto"/>
        <w:rPr>
          <w:rFonts w:hint="eastAsia" w:ascii="-webkit-standard" w:hAnsi="-webkit-standard"/>
          <w:color w:val="000000"/>
          <w:sz w:val="27"/>
          <w:szCs w:val="27"/>
        </w:rPr>
      </w:pPr>
      <w:r w:rsidRPr="2653CEFF">
        <w:rPr>
          <w:rStyle w:val="bumpedfont15"/>
          <w:rFonts w:ascii="Arial" w:hAnsi="Arial" w:cs="Arial"/>
          <w:color w:val="000000" w:themeColor="text1"/>
          <w:sz w:val="27"/>
          <w:szCs w:val="27"/>
        </w:rPr>
        <w:t>Student Number: 2131225</w:t>
      </w:r>
    </w:p>
    <w:p w:rsidR="00F13CA2" w:rsidP="2653CEFF" w:rsidRDefault="00F13CA2" w14:paraId="55F7369C" w14:textId="018E6DAE">
      <w:pPr>
        <w:pStyle w:val="s3"/>
        <w:spacing w:before="0" w:beforeAutospacing="0" w:after="150" w:afterAutospacing="0" w:line="360" w:lineRule="auto"/>
        <w:rPr>
          <w:rFonts w:hint="eastAsia" w:ascii="-webkit-standard" w:hAnsi="-webkit-standard"/>
          <w:color w:val="000000"/>
          <w:sz w:val="27"/>
          <w:szCs w:val="27"/>
        </w:rPr>
      </w:pPr>
      <w:r w:rsidRPr="2653CEFF">
        <w:rPr>
          <w:rStyle w:val="bumpedfont15"/>
          <w:rFonts w:ascii="Arial" w:hAnsi="Arial" w:cs="Arial"/>
          <w:color w:val="000000" w:themeColor="text1"/>
          <w:sz w:val="27"/>
          <w:szCs w:val="27"/>
        </w:rPr>
        <w:t xml:space="preserve">Word Count: </w:t>
      </w:r>
      <w:r w:rsidR="00281401">
        <w:rPr>
          <w:rStyle w:val="bumpedfont15"/>
          <w:rFonts w:ascii="Arial" w:hAnsi="Arial" w:cs="Arial"/>
          <w:color w:val="000000" w:themeColor="text1"/>
          <w:sz w:val="27"/>
          <w:szCs w:val="27"/>
        </w:rPr>
        <w:t>1</w:t>
      </w:r>
      <w:r w:rsidR="00A30287">
        <w:rPr>
          <w:rStyle w:val="bumpedfont15"/>
          <w:rFonts w:ascii="Arial" w:hAnsi="Arial" w:cs="Arial"/>
          <w:color w:val="000000" w:themeColor="text1"/>
          <w:sz w:val="27"/>
          <w:szCs w:val="27"/>
        </w:rPr>
        <w:t>,</w:t>
      </w:r>
      <w:r w:rsidR="00281401">
        <w:rPr>
          <w:rStyle w:val="bumpedfont15"/>
          <w:rFonts w:ascii="Arial" w:hAnsi="Arial" w:cs="Arial"/>
          <w:color w:val="000000" w:themeColor="text1"/>
          <w:sz w:val="27"/>
          <w:szCs w:val="27"/>
        </w:rPr>
        <w:t>845</w:t>
      </w:r>
    </w:p>
    <w:p w:rsidR="00F50133" w:rsidP="2653CEFF" w:rsidRDefault="00F13CA2" w14:paraId="03D71A30" w14:textId="77777777">
      <w:pPr>
        <w:pStyle w:val="s3"/>
        <w:spacing w:before="0" w:beforeAutospacing="0" w:after="150" w:afterAutospacing="0" w:line="360" w:lineRule="auto"/>
        <w:rPr>
          <w:rStyle w:val="bumpedfont15"/>
          <w:rFonts w:ascii="Arial" w:hAnsi="Arial" w:cs="Arial"/>
          <w:color w:val="000000" w:themeColor="text1"/>
          <w:sz w:val="27"/>
          <w:szCs w:val="27"/>
        </w:rPr>
      </w:pPr>
      <w:r w:rsidRPr="2653CEFF">
        <w:rPr>
          <w:rStyle w:val="bumpedfont15"/>
          <w:rFonts w:ascii="Arial" w:hAnsi="Arial" w:cs="Arial"/>
          <w:color w:val="000000" w:themeColor="text1"/>
          <w:sz w:val="27"/>
          <w:szCs w:val="27"/>
        </w:rPr>
        <w:t xml:space="preserve"> Date: 17th November 2025</w:t>
      </w:r>
    </w:p>
    <w:p w:rsidRPr="00680368" w:rsidR="00F76B14" w:rsidP="2653CEFF" w:rsidRDefault="00F50133" w14:paraId="5710535F" w14:textId="3D3DB860">
      <w:pPr>
        <w:pStyle w:val="s3"/>
        <w:spacing w:before="0" w:beforeAutospacing="0" w:after="150" w:afterAutospacing="0" w:line="360" w:lineRule="auto"/>
        <w:rPr>
          <w:rFonts w:ascii="Arial" w:hAnsi="Arial" w:cs="Arial"/>
          <w:color w:val="000000" w:themeColor="text1"/>
          <w:sz w:val="27"/>
          <w:szCs w:val="27"/>
        </w:rPr>
      </w:pPr>
      <w:r>
        <w:rPr>
          <w:rStyle w:val="bumpedfont15"/>
          <w:rFonts w:ascii="Arial" w:hAnsi="Arial" w:cs="Arial"/>
          <w:color w:val="000000" w:themeColor="text1"/>
          <w:sz w:val="27"/>
          <w:szCs w:val="27"/>
        </w:rPr>
        <w:t xml:space="preserve"> Lecturer</w:t>
      </w:r>
      <w:r w:rsidR="00F76B14">
        <w:rPr>
          <w:rStyle w:val="bumpedfont15"/>
          <w:rFonts w:ascii="Arial" w:hAnsi="Arial" w:cs="Arial"/>
          <w:color w:val="000000" w:themeColor="text1"/>
          <w:sz w:val="27"/>
          <w:szCs w:val="27"/>
        </w:rPr>
        <w:t>: Farah Islam</w:t>
      </w:r>
    </w:p>
    <w:p w:rsidRPr="003721BA" w:rsidR="003721BA" w:rsidP="2653CEFF" w:rsidRDefault="003721BA" w14:paraId="374F363C" w14:textId="1108D872">
      <w:pPr>
        <w:pStyle w:val="s3"/>
        <w:spacing w:before="0" w:beforeAutospacing="0" w:after="150" w:afterAutospacing="0" w:line="360" w:lineRule="auto"/>
        <w:rPr>
          <w:rFonts w:hint="eastAsia" w:ascii="-webkit-standard" w:hAnsi="-webkit-standard"/>
          <w:color w:val="000000"/>
          <w:sz w:val="27"/>
          <w:szCs w:val="27"/>
        </w:rPr>
      </w:pPr>
      <w:r w:rsidRPr="2653CEFF">
        <w:rPr>
          <w:rFonts w:ascii="Calibri" w:hAnsi="Calibri"/>
          <w:b/>
          <w:color w:val="365F91" w:themeColor="accent1" w:themeShade="BF"/>
          <w:sz w:val="32"/>
          <w:szCs w:val="32"/>
        </w:rPr>
        <w:t>Contents</w:t>
      </w:r>
    </w:p>
    <w:p w:rsidR="003721BA" w:rsidP="2653CEFF" w:rsidRDefault="003721BA" w14:paraId="290577D4" w14:textId="78A895CC">
      <w:pPr>
        <w:spacing w:after="0" w:line="360" w:lineRule="auto"/>
        <w:rPr>
          <w:rFonts w:ascii="-webkit-standard" w:hAnsi="-webkit-standard" w:eastAsia="Times New Roman" w:cs="Times New Roman"/>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1. </w:t>
      </w:r>
      <w:r w:rsidRPr="2653CEFF">
        <w:rPr>
          <w:rFonts w:ascii="Arial" w:hAnsi="Arial" w:eastAsia="Times New Roman" w:cs="Arial"/>
          <w:color w:val="000000" w:themeColor="text1"/>
          <w:sz w:val="27"/>
          <w:szCs w:val="27"/>
          <w:lang w:val="en-GB" w:eastAsia="en-GB"/>
        </w:rPr>
        <w:t>1. Abstract</w:t>
      </w:r>
    </w:p>
    <w:p w:rsidR="003721BA" w:rsidP="2653CEFF" w:rsidRDefault="003721BA" w14:paraId="1A285096" w14:textId="515F1E43">
      <w:pPr>
        <w:spacing w:after="0" w:line="360" w:lineRule="auto"/>
        <w:rPr>
          <w:rFonts w:ascii="-webkit-standard" w:hAnsi="-webkit-standard" w:eastAsia="Times New Roman" w:cs="Times New Roman"/>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2. </w:t>
      </w:r>
      <w:r w:rsidRPr="2653CEFF">
        <w:rPr>
          <w:rFonts w:ascii="Arial" w:hAnsi="Arial" w:eastAsia="Times New Roman" w:cs="Arial"/>
          <w:color w:val="000000" w:themeColor="text1"/>
          <w:sz w:val="27"/>
          <w:szCs w:val="27"/>
          <w:lang w:val="en-GB" w:eastAsia="en-GB"/>
        </w:rPr>
        <w:t>2. Introduction</w:t>
      </w:r>
    </w:p>
    <w:p w:rsidR="003721BA" w:rsidP="2653CEFF" w:rsidRDefault="003721BA" w14:paraId="123EA76F" w14:textId="5FA0CD89">
      <w:pPr>
        <w:spacing w:after="0" w:line="360" w:lineRule="auto"/>
        <w:rPr>
          <w:rFonts w:ascii="-webkit-standard" w:hAnsi="-webkit-standard" w:eastAsia="Times New Roman" w:cs="Times New Roman"/>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3. </w:t>
      </w:r>
      <w:r w:rsidRPr="2653CEFF">
        <w:rPr>
          <w:rFonts w:ascii="Arial" w:hAnsi="Arial" w:eastAsia="Times New Roman" w:cs="Arial"/>
          <w:color w:val="000000" w:themeColor="text1"/>
          <w:sz w:val="27"/>
          <w:szCs w:val="27"/>
          <w:lang w:val="en-GB" w:eastAsia="en-GB"/>
        </w:rPr>
        <w:t>3. Person-Centred Care: Definition, Benefits and Limitations</w:t>
      </w:r>
    </w:p>
    <w:p w:rsidR="003721BA" w:rsidP="2653CEFF" w:rsidRDefault="003721BA" w14:paraId="4E126B45" w14:textId="2E9612C3">
      <w:pPr>
        <w:spacing w:after="0" w:line="360" w:lineRule="auto"/>
        <w:rPr>
          <w:rFonts w:ascii="Arial" w:hAnsi="Arial" w:eastAsia="Times New Roman" w:cs="Arial"/>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 </w:t>
      </w:r>
      <w:r w:rsidRPr="2653CEFF">
        <w:rPr>
          <w:rFonts w:ascii="Arial" w:hAnsi="Arial" w:eastAsia="Times New Roman" w:cs="Arial"/>
          <w:color w:val="000000" w:themeColor="text1"/>
          <w:sz w:val="27"/>
          <w:szCs w:val="27"/>
          <w:lang w:val="en-GB" w:eastAsia="en-GB"/>
        </w:rPr>
        <w:t>4. Theoretical Model of Care Underpinning Person-Centred Practice</w:t>
      </w:r>
    </w:p>
    <w:p w:rsidR="003721BA" w:rsidP="2653CEFF" w:rsidRDefault="003721BA" w14:paraId="0E866A9D" w14:textId="4B827F2C">
      <w:pPr>
        <w:spacing w:after="0" w:line="360" w:lineRule="auto"/>
        <w:rPr>
          <w:rFonts w:ascii="-webkit-standard" w:hAnsi="-webkit-standard" w:eastAsia="Times New Roman" w:cs="Times New Roman"/>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 </w:t>
      </w:r>
      <w:r w:rsidRPr="2653CEFF">
        <w:rPr>
          <w:rFonts w:ascii="Arial" w:hAnsi="Arial" w:eastAsia="Times New Roman" w:cs="Arial"/>
          <w:color w:val="000000" w:themeColor="text1"/>
          <w:sz w:val="27"/>
          <w:szCs w:val="27"/>
          <w:lang w:val="en-GB" w:eastAsia="en-GB"/>
        </w:rPr>
        <w:t>5. Ethical Fundamentals in Health and Social Care</w:t>
      </w:r>
    </w:p>
    <w:p w:rsidR="003721BA" w:rsidP="2653CEFF" w:rsidRDefault="003721BA" w14:paraId="71AC66F5" w14:textId="0D0FE987">
      <w:pPr>
        <w:spacing w:after="0" w:line="360" w:lineRule="auto"/>
        <w:rPr>
          <w:rFonts w:ascii="-webkit-standard" w:hAnsi="-webkit-standard" w:eastAsia="Times New Roman" w:cs="Times New Roman"/>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 </w:t>
      </w:r>
      <w:r w:rsidRPr="2653CEFF">
        <w:rPr>
          <w:rFonts w:ascii="Arial" w:hAnsi="Arial" w:eastAsia="Times New Roman" w:cs="Arial"/>
          <w:color w:val="000000" w:themeColor="text1"/>
          <w:sz w:val="27"/>
          <w:szCs w:val="27"/>
          <w:lang w:val="en-GB" w:eastAsia="en-GB"/>
        </w:rPr>
        <w:t>6. Partnership Working in Health and Social Car</w:t>
      </w:r>
      <w:r w:rsidRPr="2653CEFF" w:rsidR="2B60B525">
        <w:rPr>
          <w:rFonts w:ascii="Arial" w:hAnsi="Arial" w:eastAsia="Times New Roman" w:cs="Arial"/>
          <w:color w:val="000000" w:themeColor="text1"/>
          <w:sz w:val="27"/>
          <w:szCs w:val="27"/>
          <w:lang w:val="en-GB" w:eastAsia="en-GB"/>
        </w:rPr>
        <w:t>e</w:t>
      </w:r>
    </w:p>
    <w:p w:rsidRPr="003721BA" w:rsidR="003721BA" w:rsidP="2653CEFF" w:rsidRDefault="003721BA" w14:paraId="29F70759" w14:textId="0E392756">
      <w:pPr>
        <w:spacing w:after="0" w:line="360" w:lineRule="auto"/>
        <w:rPr>
          <w:rFonts w:ascii="-webkit-standard" w:hAnsi="-webkit-standard" w:eastAsia="Times New Roman" w:cs="Times New Roman"/>
          <w:color w:val="000000"/>
          <w:sz w:val="27"/>
          <w:szCs w:val="27"/>
          <w:lang w:val="en-GB" w:eastAsia="en-GB"/>
        </w:rPr>
      </w:pPr>
      <w:r w:rsidRPr="2653CEFF">
        <w:rPr>
          <w:rFonts w:ascii="Arial" w:hAnsi="Arial" w:eastAsia="Times New Roman" w:cs="Arial"/>
          <w:color w:val="000000" w:themeColor="text1"/>
          <w:sz w:val="18"/>
          <w:szCs w:val="18"/>
          <w:lang w:val="en-GB" w:eastAsia="en-GB"/>
        </w:rPr>
        <w:t> </w:t>
      </w:r>
      <w:r w:rsidRPr="2653CEFF">
        <w:rPr>
          <w:rFonts w:ascii="Arial" w:hAnsi="Arial" w:eastAsia="Times New Roman" w:cs="Arial"/>
          <w:color w:val="000000" w:themeColor="text1"/>
          <w:sz w:val="27"/>
          <w:szCs w:val="27"/>
          <w:lang w:val="en-GB" w:eastAsia="en-GB"/>
        </w:rPr>
        <w:t>7. Policy and Legislation in Health and Social Care</w:t>
      </w:r>
    </w:p>
    <w:p w:rsidR="003721BA" w:rsidP="2653CEFF" w:rsidRDefault="003721BA" w14:paraId="515B39F3" w14:textId="374A6F00">
      <w:pPr>
        <w:spacing w:after="0" w:line="360" w:lineRule="auto"/>
        <w:rPr>
          <w:rFonts w:ascii="Arial" w:hAnsi="Arial" w:eastAsia="Times New Roman" w:cs="Arial"/>
          <w:color w:val="000000" w:themeColor="text1"/>
          <w:sz w:val="27"/>
          <w:szCs w:val="27"/>
          <w:lang w:val="en-GB" w:eastAsia="en-GB"/>
        </w:rPr>
      </w:pPr>
      <w:r w:rsidRPr="2653CEFF">
        <w:rPr>
          <w:rFonts w:ascii="Arial" w:hAnsi="Arial" w:eastAsia="Times New Roman" w:cs="Arial"/>
          <w:color w:val="000000" w:themeColor="text1"/>
          <w:sz w:val="18"/>
          <w:szCs w:val="18"/>
          <w:lang w:val="en-GB" w:eastAsia="en-GB"/>
        </w:rPr>
        <w:t> </w:t>
      </w:r>
      <w:r w:rsidRPr="2653CEFF">
        <w:rPr>
          <w:rFonts w:ascii="Arial" w:hAnsi="Arial" w:eastAsia="Times New Roman" w:cs="Arial"/>
          <w:color w:val="000000" w:themeColor="text1"/>
          <w:sz w:val="27"/>
          <w:szCs w:val="27"/>
          <w:lang w:val="en-GB" w:eastAsia="en-GB"/>
        </w:rPr>
        <w:t>8. Recommendations for Future Development</w:t>
      </w:r>
    </w:p>
    <w:p w:rsidRPr="003721BA" w:rsidR="003721BA" w:rsidP="581E67F8" w:rsidRDefault="003721BA" w14:paraId="325E83FF" w14:textId="44EB04CC">
      <w:pPr>
        <w:spacing w:after="0" w:line="360" w:lineRule="auto"/>
        <w:rPr>
          <w:rFonts w:ascii="-webkit-standard" w:hAnsi="-webkit-standard" w:eastAsia="Times New Roman" w:cs="Times New Roman"/>
          <w:color w:val="000000" w:themeColor="text1"/>
          <w:sz w:val="27"/>
          <w:szCs w:val="27"/>
          <w:lang w:val="en-GB" w:eastAsia="en-GB"/>
        </w:rPr>
      </w:pPr>
      <w:r w:rsidRPr="581E67F8">
        <w:rPr>
          <w:rFonts w:ascii="Arial" w:hAnsi="Arial" w:eastAsia="Times New Roman" w:cs="Arial"/>
          <w:color w:val="000000" w:themeColor="text1"/>
          <w:sz w:val="18"/>
          <w:szCs w:val="18"/>
          <w:lang w:val="en-GB" w:eastAsia="en-GB"/>
        </w:rPr>
        <w:t> </w:t>
      </w:r>
      <w:r w:rsidRPr="581E67F8">
        <w:rPr>
          <w:rFonts w:ascii="Arial" w:hAnsi="Arial" w:eastAsia="Times New Roman" w:cs="Arial"/>
          <w:color w:val="000000" w:themeColor="text1"/>
          <w:sz w:val="27"/>
          <w:szCs w:val="27"/>
          <w:lang w:val="en-GB" w:eastAsia="en-GB"/>
        </w:rPr>
        <w:t>9. Conclusion</w:t>
      </w:r>
    </w:p>
    <w:p w:rsidRPr="003721BA" w:rsidR="003721BA" w:rsidP="2653CEFF" w:rsidRDefault="003721BA" w14:paraId="4C59510F" w14:textId="108E6BB5">
      <w:pPr>
        <w:spacing w:after="0" w:line="360" w:lineRule="auto"/>
        <w:rPr>
          <w:rFonts w:ascii="-webkit-standard" w:hAnsi="-webkit-standard" w:eastAsia="Times New Roman" w:cs="Times New Roman"/>
          <w:color w:val="000000"/>
          <w:sz w:val="27"/>
          <w:szCs w:val="27"/>
          <w:lang w:val="en-GB" w:eastAsia="en-GB"/>
        </w:rPr>
      </w:pPr>
      <w:r w:rsidRPr="581E67F8">
        <w:rPr>
          <w:rFonts w:ascii="Arial" w:hAnsi="Arial" w:eastAsia="Times New Roman" w:cs="Arial"/>
          <w:color w:val="000000" w:themeColor="text1"/>
          <w:sz w:val="18"/>
          <w:szCs w:val="18"/>
          <w:lang w:val="en-GB" w:eastAsia="en-GB"/>
        </w:rPr>
        <w:t> </w:t>
      </w:r>
      <w:r w:rsidRPr="581E67F8">
        <w:rPr>
          <w:rFonts w:ascii="Arial" w:hAnsi="Arial" w:eastAsia="Times New Roman" w:cs="Arial"/>
          <w:color w:val="000000" w:themeColor="text1"/>
          <w:sz w:val="27"/>
          <w:szCs w:val="27"/>
          <w:lang w:val="en-GB" w:eastAsia="en-GB"/>
        </w:rPr>
        <w:t>10. Reference List</w:t>
      </w:r>
    </w:p>
    <w:p w:rsidR="001434EF" w:rsidRDefault="001434EF" w14:paraId="77156013" w14:textId="164FD8F7">
      <w:pPr>
        <w:pStyle w:val="Heading1"/>
      </w:pPr>
    </w:p>
    <w:p w:rsidR="005451C6" w:rsidP="005451C6" w:rsidRDefault="005451C6" w14:paraId="72AE6CAE" w14:textId="77777777"/>
    <w:p w:rsidR="2653CEFF" w:rsidP="2653CEFF" w:rsidRDefault="2653CEFF" w14:paraId="19510D53" w14:textId="1BD8EA67">
      <w:pPr>
        <w:spacing w:line="360" w:lineRule="auto"/>
        <w:rPr>
          <w:rFonts w:ascii="Arial" w:hAnsi="Arial" w:eastAsia="Arial" w:cs="Arial"/>
        </w:rPr>
      </w:pPr>
    </w:p>
    <w:p w:rsidR="2653CEFF" w:rsidP="2653CEFF" w:rsidRDefault="2653CEFF" w14:paraId="6CC6870F" w14:textId="128323B5">
      <w:pPr>
        <w:spacing w:line="360" w:lineRule="auto"/>
        <w:rPr>
          <w:rFonts w:ascii="Arial" w:hAnsi="Arial" w:eastAsia="Arial" w:cs="Arial"/>
        </w:rPr>
      </w:pPr>
    </w:p>
    <w:p w:rsidR="00F02791" w:rsidP="2653CEFF" w:rsidRDefault="00F02791" w14:paraId="228EB981" w14:textId="77777777">
      <w:pPr>
        <w:spacing w:line="360" w:lineRule="auto"/>
        <w:rPr>
          <w:rFonts w:ascii="Arial" w:hAnsi="Arial" w:eastAsia="Arial" w:cs="Arial"/>
        </w:rPr>
      </w:pPr>
      <w:r w:rsidRPr="2653CEFF">
        <w:rPr>
          <w:rFonts w:ascii="Arial" w:hAnsi="Arial" w:eastAsia="Arial" w:cs="Arial"/>
        </w:rPr>
        <w:t xml:space="preserve">Abstract  </w:t>
      </w:r>
    </w:p>
    <w:p w:rsidR="005451C6" w:rsidP="2653CEFF" w:rsidRDefault="00F02791" w14:paraId="272625D5" w14:textId="162DA1C6">
      <w:pPr>
        <w:spacing w:line="360" w:lineRule="auto"/>
        <w:rPr>
          <w:rFonts w:ascii="Arial" w:hAnsi="Arial" w:eastAsia="Arial" w:cs="Arial"/>
        </w:rPr>
      </w:pPr>
      <w:r w:rsidRPr="2653CEFF">
        <w:rPr>
          <w:rFonts w:ascii="Arial" w:hAnsi="Arial" w:eastAsia="Arial" w:cs="Arial"/>
        </w:rPr>
        <w:t xml:space="preserve">This report provides a critical analysis of Person-Centered Care (PCC) and Partnership Working (PW) within the context of health and social care in the UK. It examines how these concepts facilitate the provision of compassionate, safe, and effective care through collaboration, ethical practices, and respect for individual autonomy. </w:t>
      </w:r>
      <w:proofErr w:type="spellStart"/>
      <w:r w:rsidRPr="2653CEFF">
        <w:rPr>
          <w:rFonts w:ascii="Arial" w:hAnsi="Arial" w:eastAsia="Arial" w:cs="Arial"/>
        </w:rPr>
        <w:t>Utili</w:t>
      </w:r>
      <w:r w:rsidR="00BD42B9">
        <w:rPr>
          <w:rFonts w:ascii="Arial" w:hAnsi="Arial" w:eastAsia="Arial" w:cs="Arial"/>
        </w:rPr>
        <w:t>si</w:t>
      </w:r>
      <w:r w:rsidRPr="2653CEFF">
        <w:rPr>
          <w:rFonts w:ascii="Arial" w:hAnsi="Arial" w:eastAsia="Arial" w:cs="Arial"/>
        </w:rPr>
        <w:t>ng</w:t>
      </w:r>
      <w:proofErr w:type="spellEnd"/>
      <w:r w:rsidRPr="2653CEFF">
        <w:rPr>
          <w:rFonts w:ascii="Arial" w:hAnsi="Arial" w:eastAsia="Arial" w:cs="Arial"/>
        </w:rPr>
        <w:t xml:space="preserve"> significant frameworks like Carl Rogers Humanistic Theory and the </w:t>
      </w:r>
      <w:r w:rsidRPr="2653CEFF" w:rsidR="00763716">
        <w:rPr>
          <w:rFonts w:ascii="Arial" w:hAnsi="Arial" w:eastAsia="Arial" w:cs="Arial"/>
        </w:rPr>
        <w:t>Person-Centered</w:t>
      </w:r>
      <w:r w:rsidRPr="2653CEFF">
        <w:rPr>
          <w:rFonts w:ascii="Arial" w:hAnsi="Arial" w:eastAsia="Arial" w:cs="Arial"/>
        </w:rPr>
        <w:t xml:space="preserve"> Nursing Model, the report assesses the roles of empathy, trust, and empowerment in fostering professional relationships. It discusses ethical principles such as autonomy, beneficence, and justice in conjunction with legislative frameworks like the Care Act 2014 and the Health and Social Care Act 2012 that define current practice standards. The evaluation underscores the advantages of PCC and PW, including improved patient satisfaction, better outcomes, and effective communication, while also </w:t>
      </w:r>
      <w:proofErr w:type="spellStart"/>
      <w:r w:rsidRPr="2653CEFF">
        <w:rPr>
          <w:rFonts w:ascii="Arial" w:hAnsi="Arial" w:eastAsia="Arial" w:cs="Arial"/>
        </w:rPr>
        <w:t>recogni</w:t>
      </w:r>
      <w:r w:rsidR="008F0429">
        <w:rPr>
          <w:rFonts w:ascii="Arial" w:hAnsi="Arial" w:eastAsia="Arial" w:cs="Arial"/>
        </w:rPr>
        <w:t>s</w:t>
      </w:r>
      <w:r w:rsidRPr="2653CEFF">
        <w:rPr>
          <w:rFonts w:ascii="Arial" w:hAnsi="Arial" w:eastAsia="Arial" w:cs="Arial"/>
        </w:rPr>
        <w:t>ing</w:t>
      </w:r>
      <w:proofErr w:type="spellEnd"/>
      <w:r w:rsidRPr="2653CEFF">
        <w:rPr>
          <w:rFonts w:ascii="Arial" w:hAnsi="Arial" w:eastAsia="Arial" w:cs="Arial"/>
        </w:rPr>
        <w:t xml:space="preserve"> challenges such as resource limitations and communication obstacles. Recommendations </w:t>
      </w:r>
      <w:proofErr w:type="spellStart"/>
      <w:r w:rsidRPr="2653CEFF">
        <w:rPr>
          <w:rFonts w:ascii="Arial" w:hAnsi="Arial" w:eastAsia="Arial" w:cs="Arial"/>
        </w:rPr>
        <w:t>emphasie</w:t>
      </w:r>
      <w:proofErr w:type="spellEnd"/>
      <w:r w:rsidRPr="2653CEFF">
        <w:rPr>
          <w:rFonts w:ascii="Arial" w:hAnsi="Arial" w:eastAsia="Arial" w:cs="Arial"/>
        </w:rPr>
        <w:t xml:space="preserve"> the importance of workforce training, leadership development, and integrated care strategies to enhance </w:t>
      </w:r>
      <w:r w:rsidRPr="2653CEFF" w:rsidR="00763716">
        <w:rPr>
          <w:rFonts w:ascii="Arial" w:hAnsi="Arial" w:eastAsia="Arial" w:cs="Arial"/>
        </w:rPr>
        <w:t>person-centered</w:t>
      </w:r>
      <w:r w:rsidRPr="2653CEFF">
        <w:rPr>
          <w:rFonts w:ascii="Arial" w:hAnsi="Arial" w:eastAsia="Arial" w:cs="Arial"/>
        </w:rPr>
        <w:t xml:space="preserve"> </w:t>
      </w:r>
      <w:r w:rsidR="000B560F">
        <w:rPr>
          <w:rFonts w:ascii="Arial" w:hAnsi="Arial" w:eastAsia="Arial" w:cs="Arial"/>
        </w:rPr>
        <w:t xml:space="preserve">care </w:t>
      </w:r>
      <w:r w:rsidRPr="2653CEFF">
        <w:rPr>
          <w:rFonts w:ascii="Arial" w:hAnsi="Arial" w:eastAsia="Arial" w:cs="Arial"/>
        </w:rPr>
        <w:t>and partnership-oriented practices across UK health and social care services.</w:t>
      </w:r>
    </w:p>
    <w:p w:rsidRPr="005451C6" w:rsidR="005451C6" w:rsidP="2653CEFF" w:rsidRDefault="005451C6" w14:paraId="1DAD589E" w14:textId="77777777">
      <w:pPr>
        <w:spacing w:line="360" w:lineRule="auto"/>
        <w:rPr>
          <w:rFonts w:ascii="Arial" w:hAnsi="Arial" w:eastAsia="Arial" w:cs="Arial"/>
        </w:rPr>
      </w:pPr>
    </w:p>
    <w:p w:rsidR="001434EF" w:rsidP="00C30113" w:rsidRDefault="00C30113" w14:paraId="23A35626" w14:textId="4FDC1975">
      <w:pPr>
        <w:pStyle w:val="Heading2"/>
      </w:pPr>
      <w:r>
        <w:t>1.</w:t>
      </w:r>
      <w:r w:rsidR="00031262">
        <w:t>Introduction</w:t>
      </w:r>
    </w:p>
    <w:p w:rsidR="002C0872" w:rsidP="002C0872" w:rsidRDefault="002C0872" w14:paraId="4D60752A" w14:textId="77777777"/>
    <w:p w:rsidRPr="003653CB" w:rsidR="002C0872" w:rsidP="003C09A7" w:rsidRDefault="002C0872" w14:paraId="06AA1011" w14:textId="77777777">
      <w:pPr>
        <w:spacing w:line="360" w:lineRule="auto"/>
        <w:rPr>
          <w:rFonts w:ascii="Arial" w:hAnsi="Arial" w:cs="Arial"/>
        </w:rPr>
      </w:pPr>
      <w:r w:rsidRPr="003653CB">
        <w:rPr>
          <w:rFonts w:ascii="Arial" w:hAnsi="Arial" w:cs="Arial"/>
        </w:rPr>
        <w:t xml:space="preserve">The foundations of health and social care practice are based on promoting </w:t>
      </w:r>
      <w:proofErr w:type="spellStart"/>
      <w:r w:rsidRPr="003653CB">
        <w:rPr>
          <w:rFonts w:ascii="Arial" w:hAnsi="Arial" w:cs="Arial"/>
        </w:rPr>
        <w:t>person-centred</w:t>
      </w:r>
      <w:proofErr w:type="spellEnd"/>
      <w:r w:rsidRPr="003653CB">
        <w:rPr>
          <w:rFonts w:ascii="Arial" w:hAnsi="Arial" w:cs="Arial"/>
        </w:rPr>
        <w:t xml:space="preserve"> care (PCC) and partnership working (PW), both crucial for delivering safe, effective, and compassionate services. These strategies focus on maintaining dignity, respect, and equality in line with the professional standards and legislation in the UK (NHS, 2024). This report aims to critically assess the theory, application, and effectiveness of PCC and PW within the health and social care sector.</w:t>
      </w:r>
    </w:p>
    <w:p w:rsidRPr="00526A42" w:rsidR="002C0872" w:rsidP="00744FDA" w:rsidRDefault="00B3470E" w14:paraId="4536FD85" w14:textId="7D033B58">
      <w:pPr>
        <w:pStyle w:val="p1"/>
        <w:spacing w:line="360" w:lineRule="auto"/>
        <w:rPr>
          <w:rFonts w:ascii="Arial" w:hAnsi="Arial" w:cs="Arial"/>
          <w:sz w:val="22"/>
          <w:szCs w:val="22"/>
        </w:rPr>
      </w:pPr>
      <w:r w:rsidRPr="00526A42">
        <w:rPr>
          <w:rStyle w:val="s1"/>
          <w:rFonts w:ascii="Arial" w:hAnsi="Arial" w:cs="Arial"/>
          <w:sz w:val="22"/>
          <w:szCs w:val="22"/>
        </w:rPr>
        <w:t>Furthermore,</w:t>
      </w:r>
      <w:r w:rsidRPr="00526A42">
        <w:rPr>
          <w:rStyle w:val="apple-converted-space"/>
          <w:rFonts w:ascii="Arial" w:hAnsi="Arial" w:cs="Arial"/>
          <w:sz w:val="22"/>
          <w:szCs w:val="22"/>
        </w:rPr>
        <w:t> </w:t>
      </w:r>
      <w:r w:rsidRPr="48EA3ADF" w:rsidR="18FEDBAA">
        <w:rPr>
          <w:rStyle w:val="apple-converted-space"/>
          <w:rFonts w:ascii="Arial" w:hAnsi="Arial" w:cs="Arial"/>
          <w:sz w:val="22"/>
          <w:szCs w:val="22"/>
        </w:rPr>
        <w:t>p</w:t>
      </w:r>
      <w:r w:rsidRPr="48EA3ADF" w:rsidR="00A912F3">
        <w:rPr>
          <w:rFonts w:ascii="Arial" w:hAnsi="Arial" w:eastAsia="Times New Roman" w:cs="Arial"/>
          <w:color w:val="111111"/>
          <w:sz w:val="22"/>
          <w:szCs w:val="22"/>
        </w:rPr>
        <w:t>erson</w:t>
      </w:r>
      <w:r w:rsidRPr="00A912F3" w:rsidR="00A912F3">
        <w:rPr>
          <w:rFonts w:ascii="Arial" w:hAnsi="Arial" w:eastAsia="Times New Roman" w:cs="Arial"/>
          <w:color w:val="111111"/>
          <w:sz w:val="22"/>
          <w:szCs w:val="22"/>
        </w:rPr>
        <w:t>-centred care and partnership working are now central to UK policy priorities, shaping how professionals collaborate to achieve positive outcomes.</w:t>
      </w:r>
    </w:p>
    <w:p w:rsidRPr="002442C2" w:rsidR="002C0872" w:rsidP="00D60FB7" w:rsidRDefault="002C0872" w14:paraId="0BA572FD" w14:textId="69A8AAA2">
      <w:pPr>
        <w:spacing w:line="360" w:lineRule="auto"/>
        <w:rPr>
          <w:rFonts w:ascii="Arial" w:hAnsi="Arial" w:cs="Arial"/>
        </w:rPr>
      </w:pPr>
      <w:r w:rsidRPr="002442C2">
        <w:rPr>
          <w:rFonts w:ascii="Arial" w:hAnsi="Arial" w:cs="Arial"/>
        </w:rPr>
        <w:t xml:space="preserve">The document will define and explore </w:t>
      </w:r>
      <w:proofErr w:type="spellStart"/>
      <w:r w:rsidRPr="002442C2">
        <w:rPr>
          <w:rFonts w:ascii="Arial" w:hAnsi="Arial" w:cs="Arial"/>
        </w:rPr>
        <w:t>person-centred</w:t>
      </w:r>
      <w:proofErr w:type="spellEnd"/>
      <w:r w:rsidRPr="002442C2">
        <w:rPr>
          <w:rFonts w:ascii="Arial" w:hAnsi="Arial" w:cs="Arial"/>
        </w:rPr>
        <w:t xml:space="preserve"> care, including its benefits and challenges. It will also review a relevant theoretical model that supports PCC. Additionally, the report will investigate the ethical principles of health and social care, assess the significance of partnership working, and examine how legislation and policy frameworks reinforce these principles.</w:t>
      </w:r>
    </w:p>
    <w:p w:rsidRPr="007C5439" w:rsidR="007C5439" w:rsidP="007C5439" w:rsidRDefault="007C5439" w14:paraId="6726D915" w14:textId="77777777"/>
    <w:p w:rsidR="001434EF" w:rsidRDefault="00031262" w14:paraId="69A01A62" w14:textId="42F094FF">
      <w:pPr>
        <w:pStyle w:val="Heading2"/>
      </w:pPr>
      <w:r>
        <w:t xml:space="preserve">2. </w:t>
      </w:r>
      <w:r w:rsidR="003210C4">
        <w:t>Person-Centered</w:t>
      </w:r>
      <w:r>
        <w:t xml:space="preserve"> Care: Definition, Benefits and Limitations</w:t>
      </w:r>
    </w:p>
    <w:p w:rsidR="00C27180" w:rsidP="00C27180" w:rsidRDefault="00C27180" w14:paraId="74E32027" w14:textId="77777777"/>
    <w:p w:rsidRPr="001C5DEE" w:rsidR="001C5DEE" w:rsidP="00007B81" w:rsidRDefault="001C5DEE" w14:paraId="6B9D3BCE" w14:textId="77777777">
      <w:pPr>
        <w:spacing w:after="0" w:line="360" w:lineRule="auto"/>
        <w:rPr>
          <w:rFonts w:ascii="Arial" w:hAnsi="Arial" w:cs="Arial"/>
          <w:lang w:val="en-GB" w:eastAsia="en-GB"/>
        </w:rPr>
      </w:pPr>
      <w:r w:rsidRPr="001C5DEE">
        <w:rPr>
          <w:rFonts w:ascii="Arial" w:hAnsi="Arial" w:cs="Arial"/>
          <w:lang w:val="en-GB" w:eastAsia="en-GB"/>
        </w:rPr>
        <w:t>Person-centred care (PCC) focuses on involving individuals directly in decisions about their treatment and support, recognising each person’s specific values, preferences, and needs (NICE, 2023). Rather than viewing people as passive recipients, PCC encourages active participation in all stages of care planning and delivery. The Health Foundation (2021) describes PCC as a holistic approach grounded in empathy, dignity, and respect, aiming to meet physical, emotional, and social needs in an integrated way.</w:t>
      </w:r>
    </w:p>
    <w:p w:rsidRPr="001C5DEE" w:rsidR="001C5DEE" w:rsidP="00007B81" w:rsidRDefault="001C5DEE" w14:paraId="0A0C42CD" w14:textId="77777777">
      <w:pPr>
        <w:spacing w:after="0" w:line="360" w:lineRule="auto"/>
        <w:rPr>
          <w:rFonts w:ascii="Arial" w:hAnsi="Arial" w:cs="Arial"/>
          <w:lang w:val="en-GB" w:eastAsia="en-GB"/>
        </w:rPr>
      </w:pPr>
    </w:p>
    <w:p w:rsidRPr="001C5DEE" w:rsidR="001C5DEE" w:rsidP="00007B81" w:rsidRDefault="001C5DEE" w14:paraId="136B7AC8" w14:textId="77777777">
      <w:pPr>
        <w:spacing w:after="0" w:line="360" w:lineRule="auto"/>
        <w:rPr>
          <w:rFonts w:ascii="Arial" w:hAnsi="Arial" w:cs="Arial"/>
          <w:lang w:val="en-GB" w:eastAsia="en-GB"/>
        </w:rPr>
      </w:pPr>
      <w:r w:rsidRPr="001C5DEE">
        <w:rPr>
          <w:rFonts w:ascii="Arial" w:hAnsi="Arial" w:cs="Arial"/>
          <w:lang w:val="en-GB" w:eastAsia="en-GB"/>
        </w:rPr>
        <w:t>Carl Rogers’ (1951) humanistic theory provides much of the philosophical basis for PCC, emphasising empathy, acceptance, and self-determination as vital to forming supportive therapeutic relationships. National policies such as the NHS Constitution (2021) and the Care Act 2014 embed these principles by promoting autonomy, well-being, and informed choice for all service users.</w:t>
      </w:r>
    </w:p>
    <w:p w:rsidRPr="001C5DEE" w:rsidR="001C5DEE" w:rsidP="00007B81" w:rsidRDefault="001C5DEE" w14:paraId="1D520900" w14:textId="77777777">
      <w:pPr>
        <w:spacing w:after="0" w:line="360" w:lineRule="auto"/>
        <w:rPr>
          <w:rFonts w:ascii="Arial" w:hAnsi="Arial" w:cs="Arial"/>
          <w:lang w:val="en-GB" w:eastAsia="en-GB"/>
        </w:rPr>
      </w:pPr>
    </w:p>
    <w:p w:rsidR="001C5DEE" w:rsidP="00007B81" w:rsidRDefault="001C5DEE" w14:paraId="6F2FFD45" w14:textId="20AC3EEC">
      <w:pPr>
        <w:spacing w:after="0" w:line="360" w:lineRule="auto"/>
        <w:rPr>
          <w:rFonts w:ascii="Arial" w:hAnsi="Arial" w:cs="Arial"/>
          <w:lang w:val="en-GB" w:eastAsia="en-GB"/>
        </w:rPr>
      </w:pPr>
      <w:r w:rsidRPr="1E7DDB35">
        <w:rPr>
          <w:rFonts w:ascii="Arial" w:hAnsi="Arial" w:cs="Arial"/>
          <w:lang w:val="en-GB" w:eastAsia="en-GB"/>
        </w:rPr>
        <w:t>Evidence shows that PCC strengthens communication, trust, and engagement between service users and professionals, leading to better adherence to treatment and improved quality of life (NHS England, 2023; WHO, 2023). However, barriers such as staff shortages,</w:t>
      </w:r>
      <w:r w:rsidRPr="1E7DDB35" w:rsidR="06A7BA71">
        <w:rPr>
          <w:rFonts w:ascii="Arial" w:hAnsi="Arial" w:cs="Arial"/>
          <w:lang w:val="en-GB" w:eastAsia="en-GB"/>
        </w:rPr>
        <w:t xml:space="preserve"> and</w:t>
      </w:r>
      <w:r w:rsidRPr="1E7DDB35">
        <w:rPr>
          <w:rFonts w:ascii="Arial" w:hAnsi="Arial" w:cs="Arial"/>
          <w:lang w:val="en-GB" w:eastAsia="en-GB"/>
        </w:rPr>
        <w:t xml:space="preserve"> time </w:t>
      </w:r>
      <w:r w:rsidRPr="1E7DDB35" w:rsidR="6583BF96">
        <w:rPr>
          <w:rFonts w:ascii="Arial" w:hAnsi="Arial" w:cs="Arial"/>
          <w:lang w:val="en-GB" w:eastAsia="en-GB"/>
        </w:rPr>
        <w:t>pressures, can</w:t>
      </w:r>
      <w:r w:rsidRPr="1E7DDB35">
        <w:rPr>
          <w:rFonts w:ascii="Arial" w:hAnsi="Arial" w:cs="Arial"/>
          <w:lang w:val="en-GB" w:eastAsia="en-GB"/>
        </w:rPr>
        <w:t xml:space="preserve"> restrict full implementation (Skills for Care, 2024). Ethical tensions may also occur when individual wishes conflict with safety policies. Achieving effective PCC therefore depends on strong teamwork, supportive leadership, and adequate resources across the health and social care workforce.</w:t>
      </w:r>
    </w:p>
    <w:p w:rsidRPr="001C5DEE" w:rsidR="00504388" w:rsidP="00007B81" w:rsidRDefault="00504388" w14:paraId="0725B624" w14:textId="77777777">
      <w:pPr>
        <w:spacing w:after="0" w:line="360" w:lineRule="auto"/>
        <w:rPr>
          <w:rFonts w:ascii="Arial" w:hAnsi="Arial" w:cs="Arial"/>
          <w:lang w:val="en-GB" w:eastAsia="en-GB"/>
        </w:rPr>
      </w:pPr>
    </w:p>
    <w:p w:rsidRPr="00504388" w:rsidR="00504388" w:rsidP="000770FF" w:rsidRDefault="00504388" w14:paraId="208B6410" w14:textId="77777777">
      <w:pPr>
        <w:spacing w:after="0" w:line="360" w:lineRule="auto"/>
        <w:rPr>
          <w:rFonts w:ascii="Arial" w:hAnsi="Arial" w:cs="Arial"/>
          <w:lang w:val="en-GB" w:eastAsia="en-GB"/>
        </w:rPr>
      </w:pPr>
      <w:r w:rsidRPr="00504388">
        <w:rPr>
          <w:rFonts w:ascii="Arial" w:hAnsi="Arial" w:cs="Arial"/>
          <w:lang w:val="en-GB" w:eastAsia="en-GB"/>
        </w:rPr>
        <w:t>By understanding and applying the principles of person-centred care, professionals can provide more compassionate, effective, and individualised support — a concept further strengthened by theoretical models that underpin this approach.</w:t>
      </w:r>
    </w:p>
    <w:p w:rsidR="00BB4B8A" w:rsidP="00BB4B8A" w:rsidRDefault="00BB4B8A" w14:paraId="2C63E059" w14:textId="77777777"/>
    <w:p w:rsidR="001434EF" w:rsidRDefault="00031262" w14:paraId="164BE255" w14:textId="2D15A55D">
      <w:pPr>
        <w:pStyle w:val="Heading2"/>
      </w:pPr>
      <w:r>
        <w:t xml:space="preserve">3. Theoretical Model of Care Underpinning </w:t>
      </w:r>
      <w:r w:rsidR="007C5439">
        <w:t>Person-Centered</w:t>
      </w:r>
      <w:r>
        <w:t xml:space="preserve"> Practice</w:t>
      </w:r>
    </w:p>
    <w:p w:rsidR="000C1100" w:rsidP="000C1100" w:rsidRDefault="000C1100" w14:paraId="44636AFE" w14:textId="77777777">
      <w:pPr>
        <w:rPr>
          <w:rFonts w:ascii="Arial" w:hAnsi="Arial" w:eastAsia="Arial" w:cs="Arial"/>
        </w:rPr>
      </w:pPr>
    </w:p>
    <w:p w:rsidRPr="00160FE6" w:rsidR="00160FE6" w:rsidP="1E7DDB35" w:rsidRDefault="00160FE6" w14:paraId="2ED97E04" w14:textId="0F5E9008">
      <w:pPr>
        <w:spacing w:after="160" w:line="360" w:lineRule="auto"/>
        <w:rPr>
          <w:rFonts w:ascii="Arial" w:hAnsi="Arial" w:eastAsia="Arial" w:cs="Arial"/>
          <w:kern w:val="2"/>
          <w:lang w:val="en-GB" w:eastAsia="en-GB"/>
          <w14:ligatures w14:val="standardContextual"/>
        </w:rPr>
      </w:pPr>
      <w:r w:rsidRPr="2653CEFF">
        <w:rPr>
          <w:rFonts w:ascii="Arial" w:hAnsi="Arial" w:eastAsia="Arial" w:cs="Arial"/>
          <w:kern w:val="2"/>
          <w:lang w:val="en-GB" w:eastAsia="en-GB"/>
          <w14:ligatures w14:val="standardContextual"/>
        </w:rPr>
        <w:t xml:space="preserve">Carl Rogers’ Humanistic Person-Centred Theory (1951) </w:t>
      </w:r>
      <w:r w:rsidRPr="2653CEFF" w:rsidR="4356F53A">
        <w:rPr>
          <w:rFonts w:ascii="Arial" w:hAnsi="Arial" w:eastAsia="Arial" w:cs="Arial"/>
          <w:kern w:val="2"/>
          <w:lang w:val="en-GB" w:eastAsia="en-GB"/>
          <w14:ligatures w14:val="standardContextual"/>
        </w:rPr>
        <w:t>forms</w:t>
      </w:r>
      <w:r w:rsidRPr="2653CEFF">
        <w:rPr>
          <w:rFonts w:ascii="Arial" w:hAnsi="Arial" w:eastAsia="Arial" w:cs="Arial"/>
          <w:kern w:val="2"/>
          <w:lang w:val="en-GB" w:eastAsia="en-GB"/>
          <w14:ligatures w14:val="standardContextual"/>
        </w:rPr>
        <w:t xml:space="preserve"> the foundation </w:t>
      </w:r>
      <w:r w:rsidRPr="2653CEFF" w:rsidR="71482495">
        <w:rPr>
          <w:rFonts w:ascii="Arial" w:hAnsi="Arial" w:eastAsia="Arial" w:cs="Arial"/>
          <w:kern w:val="2"/>
          <w:lang w:val="en-GB" w:eastAsia="en-GB"/>
          <w14:ligatures w14:val="standardContextual"/>
        </w:rPr>
        <w:t>of</w:t>
      </w:r>
      <w:r w:rsidRPr="2653CEFF">
        <w:rPr>
          <w:rFonts w:ascii="Arial" w:hAnsi="Arial" w:eastAsia="Arial" w:cs="Arial"/>
          <w:kern w:val="2"/>
          <w:lang w:val="en-GB" w:eastAsia="en-GB"/>
          <w14:ligatures w14:val="standardContextual"/>
        </w:rPr>
        <w:t xml:space="preserve"> PCC</w:t>
      </w:r>
      <w:r w:rsidRPr="2653CEFF" w:rsidR="059543A8">
        <w:rPr>
          <w:rFonts w:ascii="Arial" w:hAnsi="Arial" w:eastAsia="Arial" w:cs="Arial"/>
          <w:kern w:val="2"/>
          <w:lang w:val="en-GB" w:eastAsia="en-GB"/>
          <w14:ligatures w14:val="standardContextual"/>
        </w:rPr>
        <w:t>, em</w:t>
      </w:r>
      <w:r w:rsidRPr="2653CEFF" w:rsidR="7C927FFC">
        <w:rPr>
          <w:rFonts w:ascii="Arial" w:hAnsi="Arial" w:eastAsia="Arial" w:cs="Arial"/>
          <w:kern w:val="2"/>
          <w:lang w:val="en-GB" w:eastAsia="en-GB"/>
          <w14:ligatures w14:val="standardContextual"/>
        </w:rPr>
        <w:t>phasising empathy, unconditional positive</w:t>
      </w:r>
      <w:r w:rsidRPr="2653CEFF" w:rsidR="632BDF53">
        <w:rPr>
          <w:rFonts w:ascii="Arial" w:hAnsi="Arial" w:eastAsia="Arial" w:cs="Arial"/>
          <w:kern w:val="2"/>
          <w:lang w:val="en-GB" w:eastAsia="en-GB"/>
          <w14:ligatures w14:val="standardContextual"/>
        </w:rPr>
        <w:t xml:space="preserve"> </w:t>
      </w:r>
      <w:r w:rsidRPr="2653CEFF" w:rsidR="146D64B9">
        <w:rPr>
          <w:rFonts w:ascii="Arial" w:hAnsi="Arial" w:eastAsia="Arial" w:cs="Arial"/>
          <w:kern w:val="2"/>
          <w:lang w:val="en-GB" w:eastAsia="en-GB"/>
          <w14:ligatures w14:val="standardContextual"/>
        </w:rPr>
        <w:t>regard</w:t>
      </w:r>
      <w:r w:rsidRPr="2653CEFF" w:rsidR="57187165">
        <w:rPr>
          <w:rFonts w:ascii="Arial" w:hAnsi="Arial" w:eastAsia="Arial" w:cs="Arial"/>
          <w:kern w:val="2"/>
          <w:lang w:val="en-GB" w:eastAsia="en-GB"/>
          <w14:ligatures w14:val="standardContextual"/>
        </w:rPr>
        <w:t>, and congruence.</w:t>
      </w:r>
      <w:r w:rsidRPr="2653CEFF" w:rsidR="146D64B9">
        <w:rPr>
          <w:rFonts w:ascii="Arial" w:hAnsi="Arial" w:eastAsia="Arial" w:cs="Arial"/>
          <w:kern w:val="2"/>
          <w:lang w:val="en-GB" w:eastAsia="en-GB"/>
          <w14:ligatures w14:val="standardContextual"/>
        </w:rPr>
        <w:t xml:space="preserve"> </w:t>
      </w:r>
      <w:r w:rsidRPr="1E7DDB35" w:rsidR="4BA2F024">
        <w:rPr>
          <w:rFonts w:ascii="Arial" w:hAnsi="Arial" w:eastAsia="Arial" w:cs="Arial"/>
          <w:color w:val="000000" w:themeColor="text1"/>
          <w:lang w:val="en-GB"/>
        </w:rPr>
        <w:t xml:space="preserve">McCormack and McCance (2017) </w:t>
      </w:r>
      <w:r w:rsidRPr="2653CEFF" w:rsidR="146D64B9">
        <w:rPr>
          <w:rFonts w:ascii="Arial" w:hAnsi="Arial" w:eastAsia="Arial" w:cs="Arial"/>
          <w:kern w:val="2"/>
          <w:lang w:val="en-GB" w:eastAsia="en-GB"/>
          <w14:ligatures w14:val="standardContextual"/>
        </w:rPr>
        <w:t>He</w:t>
      </w:r>
      <w:r w:rsidRPr="2653CEFF">
        <w:rPr>
          <w:rFonts w:ascii="Arial" w:hAnsi="Arial" w:eastAsia="Arial" w:cs="Arial"/>
          <w:kern w:val="2"/>
          <w:lang w:val="en-GB" w:eastAsia="en-GB"/>
          <w14:ligatures w14:val="standardContextual"/>
        </w:rPr>
        <w:t xml:space="preserve"> suggested that every individual possesses an inherent ability for personal development and self-fulfilment when nurtured in a supportive and empathetic setting. Rogers identified three essential conditions for effective caregiving: empathy, unconditional positive regard, and congruence, which foster trust, transparency, and empowerment (NHS England, 2023).</w:t>
      </w:r>
    </w:p>
    <w:p w:rsidRPr="00160FE6" w:rsidR="00160FE6" w:rsidP="2653CEFF" w:rsidRDefault="00160FE6" w14:paraId="68C427AF" w14:textId="77777777">
      <w:pPr>
        <w:spacing w:after="160" w:line="360" w:lineRule="auto"/>
        <w:rPr>
          <w:rFonts w:ascii="Arial" w:hAnsi="Arial" w:eastAsia="Arial" w:cs="Arial"/>
          <w:kern w:val="2"/>
          <w:lang w:val="en-GB" w:eastAsia="en-GB"/>
          <w14:ligatures w14:val="standardContextual"/>
        </w:rPr>
      </w:pPr>
    </w:p>
    <w:p w:rsidRPr="00160FE6" w:rsidR="00160FE6" w:rsidP="2653CEFF" w:rsidRDefault="00160FE6" w14:paraId="4833424F" w14:textId="78FC3D57">
      <w:pPr>
        <w:spacing w:after="160" w:line="360" w:lineRule="auto"/>
        <w:rPr>
          <w:rFonts w:ascii="Arial" w:hAnsi="Arial" w:eastAsia="Arial" w:cs="Arial"/>
          <w:kern w:val="2"/>
          <w:lang w:val="en-GB" w:eastAsia="en-GB"/>
          <w14:ligatures w14:val="standardContextual"/>
        </w:rPr>
      </w:pPr>
      <w:r w:rsidRPr="2653CEFF">
        <w:rPr>
          <w:rFonts w:ascii="Arial" w:hAnsi="Arial" w:eastAsia="Arial" w:cs="Arial"/>
          <w:kern w:val="2"/>
          <w:lang w:val="en-GB" w:eastAsia="en-GB"/>
          <w14:ligatures w14:val="standardContextual"/>
        </w:rPr>
        <w:t xml:space="preserve">Building on Rogers’ concepts, McCormack and McCance (2017) </w:t>
      </w:r>
      <w:r w:rsidRPr="2653CEFF" w:rsidR="66B21466">
        <w:rPr>
          <w:rFonts w:ascii="Arial" w:hAnsi="Arial" w:eastAsia="Arial" w:cs="Arial"/>
          <w:kern w:val="2"/>
          <w:lang w:val="en-GB" w:eastAsia="en-GB"/>
          <w14:ligatures w14:val="standardContextual"/>
        </w:rPr>
        <w:t>expanded this into the</w:t>
      </w:r>
      <w:r w:rsidRPr="2653CEFF">
        <w:rPr>
          <w:rFonts w:ascii="Arial" w:hAnsi="Arial" w:eastAsia="Arial" w:cs="Arial"/>
          <w:kern w:val="2"/>
          <w:lang w:val="en-GB" w:eastAsia="en-GB"/>
          <w14:ligatures w14:val="standardContextual"/>
        </w:rPr>
        <w:t xml:space="preserve"> Person-Centred Nursing Framework, highlighting</w:t>
      </w:r>
      <w:r w:rsidRPr="2653CEFF" w:rsidR="167A9CED">
        <w:rPr>
          <w:rFonts w:ascii="Arial" w:hAnsi="Arial" w:eastAsia="Arial" w:cs="Arial"/>
          <w:kern w:val="2"/>
          <w:lang w:val="en-GB" w:eastAsia="en-GB"/>
          <w14:ligatures w14:val="standardContextual"/>
        </w:rPr>
        <w:t xml:space="preserve"> </w:t>
      </w:r>
      <w:r w:rsidRPr="2653CEFF">
        <w:rPr>
          <w:rFonts w:ascii="Arial" w:hAnsi="Arial" w:eastAsia="Arial" w:cs="Arial"/>
          <w:kern w:val="2"/>
          <w:lang w:val="en-GB" w:eastAsia="en-GB"/>
          <w14:ligatures w14:val="standardContextual"/>
        </w:rPr>
        <w:t xml:space="preserve">staff qualities, care environment, person-centred processes, and outcomes. This </w:t>
      </w:r>
      <w:r w:rsidRPr="2653CEFF" w:rsidR="68181FAC">
        <w:rPr>
          <w:rFonts w:ascii="Arial" w:hAnsi="Arial" w:eastAsia="Arial" w:cs="Arial"/>
          <w:kern w:val="2"/>
          <w:lang w:val="en-GB" w:eastAsia="en-GB"/>
          <w14:ligatures w14:val="standardContextual"/>
        </w:rPr>
        <w:t xml:space="preserve">model supports reflective and </w:t>
      </w:r>
      <w:r w:rsidRPr="2653CEFF" w:rsidR="694972BA">
        <w:rPr>
          <w:rFonts w:ascii="Arial" w:hAnsi="Arial" w:eastAsia="Arial" w:cs="Arial"/>
          <w:kern w:val="2"/>
          <w:lang w:val="en-GB" w:eastAsia="en-GB"/>
          <w14:ligatures w14:val="standardContextual"/>
        </w:rPr>
        <w:t>compassionate practice despite organi</w:t>
      </w:r>
      <w:r w:rsidRPr="2653CEFF" w:rsidR="0EBFD0FF">
        <w:rPr>
          <w:rFonts w:ascii="Arial" w:hAnsi="Arial" w:eastAsia="Arial" w:cs="Arial"/>
          <w:kern w:val="2"/>
          <w:lang w:val="en-GB" w:eastAsia="en-GB"/>
          <w14:ligatures w14:val="standardContextual"/>
        </w:rPr>
        <w:t xml:space="preserve">sational constraints </w:t>
      </w:r>
      <w:r w:rsidRPr="2653CEFF" w:rsidR="2B479B93">
        <w:rPr>
          <w:rFonts w:ascii="Arial" w:hAnsi="Arial" w:eastAsia="Arial" w:cs="Arial"/>
          <w:kern w:val="2"/>
          <w:lang w:val="en-GB" w:eastAsia="en-GB"/>
          <w14:ligatures w14:val="standardContextual"/>
        </w:rPr>
        <w:t>(Skills for Care</w:t>
      </w:r>
      <w:r w:rsidRPr="2653CEFF" w:rsidR="5B29AFBD">
        <w:rPr>
          <w:rFonts w:ascii="Arial" w:hAnsi="Arial" w:eastAsia="Arial" w:cs="Arial"/>
          <w:kern w:val="2"/>
          <w:lang w:val="en-GB" w:eastAsia="en-GB"/>
          <w14:ligatures w14:val="standardContextual"/>
        </w:rPr>
        <w:t>, 2024).</w:t>
      </w:r>
      <w:r w:rsidRPr="2653CEFF" w:rsidR="2A3FCE54">
        <w:rPr>
          <w:rFonts w:ascii="Arial" w:hAnsi="Arial" w:eastAsia="Arial" w:cs="Arial"/>
          <w:kern w:val="2"/>
          <w:lang w:val="en-GB" w:eastAsia="en-GB"/>
          <w14:ligatures w14:val="standardContextual"/>
        </w:rPr>
        <w:t xml:space="preserve"> </w:t>
      </w:r>
    </w:p>
    <w:p w:rsidRPr="00160FE6" w:rsidR="00160FE6" w:rsidP="2653CEFF" w:rsidRDefault="00160FE6" w14:paraId="7183B374" w14:textId="77777777">
      <w:pPr>
        <w:spacing w:after="160" w:line="360" w:lineRule="auto"/>
        <w:rPr>
          <w:rFonts w:ascii="Arial" w:hAnsi="Arial" w:eastAsia="Arial" w:cs="Arial"/>
          <w:kern w:val="2"/>
          <w:lang w:val="en-GB" w:eastAsia="en-GB"/>
          <w14:ligatures w14:val="standardContextual"/>
        </w:rPr>
      </w:pPr>
    </w:p>
    <w:p w:rsidRPr="00160FE6" w:rsidR="00160FE6" w:rsidP="2653CEFF" w:rsidRDefault="00160FE6" w14:paraId="7B35884B" w14:textId="47C6CB56">
      <w:pPr>
        <w:spacing w:after="160" w:line="360" w:lineRule="auto"/>
        <w:rPr>
          <w:rFonts w:ascii="Arial" w:hAnsi="Arial" w:eastAsia="Arial" w:cs="Arial"/>
          <w:kern w:val="2"/>
          <w:lang w:val="en-GB" w:eastAsia="en-GB"/>
          <w14:ligatures w14:val="standardContextual"/>
        </w:rPr>
      </w:pPr>
      <w:r w:rsidRPr="2653CEFF">
        <w:rPr>
          <w:rFonts w:ascii="Arial" w:hAnsi="Arial" w:eastAsia="Arial" w:cs="Arial"/>
          <w:kern w:val="2"/>
          <w:lang w:val="en-GB" w:eastAsia="en-GB"/>
          <w14:ligatures w14:val="standardContextual"/>
        </w:rPr>
        <w:t>The humanistic approach urges practitioners to view individuals holistically, considering their physical, emotional, social, and spiritual needs. For instance, involving older adults in decisions regarding their daily care enhances their autonomy and dignity. Although challenges like heavy workloads and organisational constraints may hinder full implementation, Rogers’ theory remains a guiding principle for ethical and compassionate practice (Skills for Care, 2024).</w:t>
      </w:r>
    </w:p>
    <w:p w:rsidR="00160FE6" w:rsidP="000C1100" w:rsidRDefault="00160FE6" w14:paraId="307C6272" w14:textId="77777777">
      <w:pPr>
        <w:rPr>
          <w:rFonts w:ascii="Arial" w:hAnsi="Arial" w:eastAsia="Arial" w:cs="Arial"/>
        </w:rPr>
      </w:pPr>
    </w:p>
    <w:p w:rsidR="001434EF" w:rsidRDefault="00031262" w14:paraId="610763FA" w14:textId="77777777">
      <w:pPr>
        <w:pStyle w:val="Heading2"/>
      </w:pPr>
      <w:r>
        <w:t>4. Ethical Fundamentals in Health and Social Care</w:t>
      </w:r>
    </w:p>
    <w:p w:rsidR="2653CEFF" w:rsidP="2653CEFF" w:rsidRDefault="2653CEFF" w14:paraId="723A8A8E" w14:textId="390BB4D7"/>
    <w:p w:rsidRPr="002E6C5D" w:rsidR="002E6C5D" w:rsidP="2653CEFF" w:rsidRDefault="00411FB9" w14:paraId="12E6C309" w14:textId="3FA4C55C">
      <w:pPr>
        <w:spacing w:line="360" w:lineRule="auto"/>
        <w:rPr>
          <w:rFonts w:ascii="Arial" w:hAnsi="Arial" w:eastAsia="Arial" w:cs="Arial"/>
          <w:lang w:val="en-GB"/>
        </w:rPr>
      </w:pPr>
      <w:r w:rsidRPr="2653CEFF">
        <w:rPr>
          <w:rFonts w:ascii="Arial" w:hAnsi="Arial" w:eastAsia="Arial" w:cs="Arial"/>
        </w:rPr>
        <w:t>Ethical principles play a crucial role in upholding dignity, rights, and integrity in healthcare. Beauchamp and Childress (2019</w:t>
      </w:r>
      <w:r w:rsidRPr="479E9548" w:rsidR="03EBE75A">
        <w:rPr>
          <w:rFonts w:ascii="Arial" w:hAnsi="Arial" w:eastAsia="Arial" w:cs="Arial"/>
        </w:rPr>
        <w:t>) identify</w:t>
      </w:r>
      <w:r w:rsidRPr="2653CEFF">
        <w:rPr>
          <w:rFonts w:ascii="Arial" w:hAnsi="Arial" w:eastAsia="Arial" w:cs="Arial"/>
        </w:rPr>
        <w:t xml:space="preserve"> autonomy, beneficence, non-maleficence, and justice</w:t>
      </w:r>
      <w:r w:rsidRPr="479E9548" w:rsidR="1EDB129E">
        <w:rPr>
          <w:rFonts w:ascii="Arial" w:hAnsi="Arial" w:eastAsia="Arial" w:cs="Arial"/>
        </w:rPr>
        <w:t xml:space="preserve"> as central values. Confidentia</w:t>
      </w:r>
      <w:r w:rsidRPr="479E9548" w:rsidR="26854740">
        <w:rPr>
          <w:rFonts w:ascii="Arial" w:hAnsi="Arial" w:eastAsia="Arial" w:cs="Arial"/>
        </w:rPr>
        <w:t>lity, guided by the data protection</w:t>
      </w:r>
      <w:r w:rsidRPr="479E9548" w:rsidR="52859627">
        <w:rPr>
          <w:rFonts w:ascii="Arial" w:hAnsi="Arial" w:eastAsia="Arial" w:cs="Arial"/>
        </w:rPr>
        <w:t xml:space="preserve"> Act 2018 and N</w:t>
      </w:r>
      <w:r w:rsidRPr="479E9548" w:rsidR="76FD35BD">
        <w:rPr>
          <w:rFonts w:ascii="Arial" w:hAnsi="Arial" w:eastAsia="Arial" w:cs="Arial"/>
        </w:rPr>
        <w:t>HS Code (NHS</w:t>
      </w:r>
      <w:r w:rsidRPr="479E9548" w:rsidR="46867880">
        <w:rPr>
          <w:rFonts w:ascii="Arial" w:hAnsi="Arial" w:eastAsia="Arial" w:cs="Arial"/>
        </w:rPr>
        <w:t>, 2024), reinforces</w:t>
      </w:r>
      <w:r w:rsidRPr="479E9548" w:rsidR="0A1AF597">
        <w:rPr>
          <w:rFonts w:ascii="Arial" w:hAnsi="Arial" w:eastAsia="Arial" w:cs="Arial"/>
        </w:rPr>
        <w:t xml:space="preserve"> trusr. The NMC</w:t>
      </w:r>
      <w:r w:rsidRPr="479E9548" w:rsidR="4AC4BED5">
        <w:rPr>
          <w:rFonts w:ascii="Arial" w:hAnsi="Arial" w:eastAsia="Arial" w:cs="Arial"/>
        </w:rPr>
        <w:t xml:space="preserve"> Code (2018</w:t>
      </w:r>
      <w:r w:rsidRPr="479E9548" w:rsidR="5230067A">
        <w:rPr>
          <w:rFonts w:ascii="Arial" w:hAnsi="Arial" w:eastAsia="Arial" w:cs="Arial"/>
        </w:rPr>
        <w:t>) and HCP</w:t>
      </w:r>
      <w:r w:rsidRPr="479E9548" w:rsidR="26B9E077">
        <w:rPr>
          <w:rFonts w:ascii="Arial" w:hAnsi="Arial" w:eastAsia="Arial" w:cs="Arial"/>
        </w:rPr>
        <w:t>C Standards (2023) ensu</w:t>
      </w:r>
      <w:r w:rsidRPr="479E9548" w:rsidR="19A3E05D">
        <w:rPr>
          <w:rFonts w:ascii="Arial" w:hAnsi="Arial" w:eastAsia="Arial" w:cs="Arial"/>
        </w:rPr>
        <w:t>re professionals demonstrate compassion and account</w:t>
      </w:r>
      <w:r w:rsidRPr="479E9548" w:rsidR="35169945">
        <w:rPr>
          <w:rFonts w:ascii="Arial" w:hAnsi="Arial" w:eastAsia="Arial" w:cs="Arial"/>
        </w:rPr>
        <w:t>ability</w:t>
      </w:r>
      <w:r w:rsidRPr="479E9548" w:rsidR="740F13E0">
        <w:rPr>
          <w:rFonts w:ascii="Arial" w:hAnsi="Arial" w:eastAsia="Arial" w:cs="Arial"/>
        </w:rPr>
        <w:t>.</w:t>
      </w:r>
      <w:r w:rsidRPr="2653CEFF">
        <w:rPr>
          <w:rFonts w:ascii="Arial" w:hAnsi="Arial" w:eastAsia="Arial" w:cs="Arial"/>
        </w:rPr>
        <w:t>involves honoring an individual’s right to make informed decisions regarding their care. Healthcare providers support autonomy by securing consent, supplying information, and encouraging independence (NICE, 2023). Beneficence entails professionals acting in the best interests of individuals to enhance their wellbeing and achieve positive results (Health Foundation, 2021). Non-maleficence focuses on preventing harm, while justice is concerned with fairness and equal access to healthcare services (Equality Act, 2010).</w:t>
      </w:r>
      <w:r w:rsidRPr="2653CEFF" w:rsidR="3FE82343">
        <w:rPr>
          <w:rFonts w:ascii="Arial" w:hAnsi="Arial" w:eastAsia="Arial" w:cs="Arial"/>
        </w:rPr>
        <w:t xml:space="preserve"> </w:t>
      </w:r>
      <w:r w:rsidRPr="2653CEFF">
        <w:rPr>
          <w:rFonts w:ascii="Arial" w:hAnsi="Arial" w:eastAsia="Arial" w:cs="Arial"/>
        </w:rPr>
        <w:t>Confidentiality is also a vital aspect of ethical practice, as highlighted by the Data Protection Act 2018 and the NHS Code of Confidentiality (NHS, 2024). Professional guidelines such as the NMC Code (2018) and HCPC Standards (2023) ensure that practitioners demonstrate compassion</w:t>
      </w:r>
      <w:r w:rsidRPr="479E9548">
        <w:rPr>
          <w:rFonts w:ascii="Arial" w:hAnsi="Arial" w:eastAsia="Arial" w:cs="Arial"/>
        </w:rPr>
        <w:t xml:space="preserve"> </w:t>
      </w:r>
      <w:r w:rsidRPr="479E9548" w:rsidR="3FDFE83E">
        <w:rPr>
          <w:rFonts w:ascii="Arial" w:hAnsi="Arial" w:eastAsia="Arial" w:cs="Arial"/>
        </w:rPr>
        <w:t xml:space="preserve">and </w:t>
      </w:r>
      <w:r w:rsidRPr="2653CEFF">
        <w:rPr>
          <w:rFonts w:ascii="Arial" w:hAnsi="Arial" w:eastAsia="Arial" w:cs="Arial"/>
        </w:rPr>
        <w:t>accountability.</w:t>
      </w:r>
      <w:r w:rsidRPr="2653CEFF" w:rsidR="20D65C18">
        <w:rPr>
          <w:rFonts w:ascii="Arial" w:hAnsi="Arial" w:eastAsia="Arial" w:cs="Arial"/>
        </w:rPr>
        <w:t xml:space="preserve"> </w:t>
      </w:r>
      <w:r w:rsidRPr="2653CEFF">
        <w:rPr>
          <w:rFonts w:ascii="Arial" w:hAnsi="Arial" w:eastAsia="Arial" w:cs="Arial"/>
        </w:rPr>
        <w:t>By applying these principles, practitioners can effectively navigate the balance between autonomy and safety while fostering trust and fairness. Engaging in ethical reflection enhances decision-making and supports the delivery of care that is centered on individual needs and collaborative partnerships.</w:t>
      </w:r>
    </w:p>
    <w:p w:rsidR="00822B33" w:rsidP="2653CEFF" w:rsidRDefault="00031262" w14:paraId="27E09A3E" w14:textId="1FF141A2">
      <w:pPr>
        <w:pStyle w:val="Heading2"/>
        <w:spacing w:line="360" w:lineRule="auto"/>
        <w:rPr>
          <w:rFonts w:ascii="Arial" w:hAnsi="Arial" w:eastAsia="Arial" w:cs="Arial"/>
          <w:sz w:val="22"/>
          <w:szCs w:val="22"/>
        </w:rPr>
      </w:pPr>
      <w:r w:rsidRPr="479E9548">
        <w:rPr>
          <w:rFonts w:ascii="Arial" w:hAnsi="Arial" w:eastAsia="Arial" w:cs="Arial"/>
          <w:sz w:val="22"/>
          <w:szCs w:val="22"/>
          <w:lang w:val="en-GB"/>
        </w:rPr>
        <w:t>5. Part</w:t>
      </w:r>
      <w:r w:rsidRPr="2653CEFF">
        <w:rPr>
          <w:rFonts w:ascii="Arial" w:hAnsi="Arial" w:eastAsia="Arial" w:cs="Arial"/>
          <w:sz w:val="22"/>
          <w:szCs w:val="22"/>
        </w:rPr>
        <w:t>nership Working in Health and Social Care</w:t>
      </w:r>
    </w:p>
    <w:p w:rsidRPr="00FC22A2" w:rsidR="00FC22A2" w:rsidP="0523FA73" w:rsidRDefault="00FC22A2" w14:paraId="38AA0710" w14:textId="2B9DE566">
      <w:pPr>
        <w:spacing w:after="0" w:line="360" w:lineRule="auto"/>
        <w:rPr>
          <w:rFonts w:ascii="Arial" w:hAnsi="Arial" w:cs="Arial"/>
          <w:lang w:val="en-GB" w:eastAsia="en-GB"/>
        </w:rPr>
      </w:pPr>
      <w:r w:rsidRPr="0523FA73">
        <w:rPr>
          <w:rFonts w:ascii="Arial" w:hAnsi="Arial" w:cs="Arial"/>
          <w:lang w:val="en-GB" w:eastAsia="en-GB"/>
        </w:rPr>
        <w:t xml:space="preserve">Partnership working (PW) </w:t>
      </w:r>
      <w:r w:rsidRPr="0523FA73" w:rsidR="1C502014">
        <w:rPr>
          <w:rFonts w:ascii="Arial" w:hAnsi="Arial" w:cs="Arial"/>
          <w:lang w:val="en-GB" w:eastAsia="en-GB"/>
        </w:rPr>
        <w:t>involves</w:t>
      </w:r>
      <w:r w:rsidRPr="0523FA73">
        <w:rPr>
          <w:rFonts w:ascii="Arial" w:hAnsi="Arial" w:cs="Arial"/>
          <w:lang w:val="en-GB" w:eastAsia="en-GB"/>
        </w:rPr>
        <w:t xml:space="preserve"> professionals, organisations, and service users collaborating to deliver coordinated care</w:t>
      </w:r>
      <w:r w:rsidRPr="0523FA73" w:rsidR="6280D1E5">
        <w:rPr>
          <w:rFonts w:ascii="Arial" w:hAnsi="Arial" w:cs="Arial"/>
          <w:lang w:val="en-GB" w:eastAsia="en-GB"/>
        </w:rPr>
        <w:t>.</w:t>
      </w:r>
      <w:r w:rsidRPr="0523FA73">
        <w:rPr>
          <w:rFonts w:ascii="Arial" w:hAnsi="Arial" w:cs="Arial"/>
          <w:lang w:val="en-GB" w:eastAsia="en-GB"/>
        </w:rPr>
        <w:t xml:space="preserve"> (Department of Health and Social Care, 2022). </w:t>
      </w:r>
      <w:r w:rsidRPr="0523FA73" w:rsidR="01321D66">
        <w:rPr>
          <w:rFonts w:ascii="Arial" w:hAnsi="Arial" w:cs="Arial"/>
          <w:lang w:val="en-GB" w:eastAsia="en-GB"/>
        </w:rPr>
        <w:t>Inte</w:t>
      </w:r>
      <w:r w:rsidRPr="0523FA73" w:rsidR="7D2BC6BF">
        <w:rPr>
          <w:rFonts w:ascii="Arial" w:hAnsi="Arial" w:cs="Arial"/>
          <w:lang w:val="en-GB" w:eastAsia="en-GB"/>
        </w:rPr>
        <w:t>grated care system</w:t>
      </w:r>
      <w:r w:rsidRPr="0523FA73" w:rsidR="7891E064">
        <w:rPr>
          <w:rFonts w:ascii="Arial" w:hAnsi="Arial" w:cs="Arial"/>
          <w:lang w:val="en-GB" w:eastAsia="en-GB"/>
        </w:rPr>
        <w:t xml:space="preserve"> </w:t>
      </w:r>
      <w:r w:rsidRPr="0523FA73" w:rsidR="26D94312">
        <w:rPr>
          <w:rFonts w:ascii="Arial" w:hAnsi="Arial" w:cs="Arial"/>
          <w:lang w:val="en-GB" w:eastAsia="en-GB"/>
        </w:rPr>
        <w:t>(ICSs) promote cooperat</w:t>
      </w:r>
      <w:r w:rsidRPr="0523FA73" w:rsidR="261B1B0A">
        <w:rPr>
          <w:rFonts w:ascii="Arial" w:hAnsi="Arial" w:cs="Arial"/>
          <w:lang w:val="en-GB" w:eastAsia="en-GB"/>
        </w:rPr>
        <w:t xml:space="preserve">ion </w:t>
      </w:r>
      <w:r w:rsidRPr="0523FA73" w:rsidR="501EA1E6">
        <w:rPr>
          <w:rFonts w:ascii="Arial" w:hAnsi="Arial" w:cs="Arial"/>
          <w:lang w:val="en-GB" w:eastAsia="en-GB"/>
        </w:rPr>
        <w:t xml:space="preserve">between professionals </w:t>
      </w:r>
      <w:r w:rsidRPr="0523FA73" w:rsidR="261B1B0A">
        <w:rPr>
          <w:rFonts w:ascii="Arial" w:hAnsi="Arial" w:cs="Arial"/>
          <w:lang w:val="en-GB" w:eastAsia="en-GB"/>
        </w:rPr>
        <w:t xml:space="preserve">and </w:t>
      </w:r>
      <w:r w:rsidRPr="0523FA73" w:rsidR="342B4EAF">
        <w:rPr>
          <w:rFonts w:ascii="Arial" w:hAnsi="Arial" w:cs="Arial"/>
          <w:lang w:val="en-GB" w:eastAsia="en-GB"/>
        </w:rPr>
        <w:t xml:space="preserve">help reduce </w:t>
      </w:r>
      <w:r w:rsidRPr="0523FA73" w:rsidR="59602902">
        <w:rPr>
          <w:rFonts w:ascii="Arial" w:hAnsi="Arial" w:cs="Arial"/>
          <w:lang w:val="en-GB" w:eastAsia="en-GB"/>
        </w:rPr>
        <w:t>health inequalities</w:t>
      </w:r>
      <w:r w:rsidRPr="0523FA73" w:rsidR="767EFA9F">
        <w:rPr>
          <w:rFonts w:ascii="Arial" w:hAnsi="Arial" w:cs="Arial"/>
          <w:lang w:val="en-GB" w:eastAsia="en-GB"/>
        </w:rPr>
        <w:t xml:space="preserve"> </w:t>
      </w:r>
      <w:r w:rsidRPr="0523FA73" w:rsidR="1FDF0194">
        <w:rPr>
          <w:rFonts w:ascii="Arial" w:hAnsi="Arial" w:cs="Arial"/>
          <w:lang w:val="en-GB" w:eastAsia="en-GB"/>
        </w:rPr>
        <w:t>(NHS, 2024)</w:t>
      </w:r>
      <w:r w:rsidRPr="0523FA73" w:rsidR="1227BD3C">
        <w:rPr>
          <w:rFonts w:ascii="Arial" w:hAnsi="Arial" w:cs="Arial"/>
          <w:lang w:val="en-GB" w:eastAsia="en-GB"/>
        </w:rPr>
        <w:t>.</w:t>
      </w:r>
      <w:r w:rsidRPr="0523FA73" w:rsidR="00786D4D">
        <w:rPr>
          <w:rFonts w:ascii="Arial" w:hAnsi="Arial" w:cs="Arial"/>
          <w:lang w:val="en-GB" w:eastAsia="en-GB"/>
        </w:rPr>
        <w:t xml:space="preserve"> </w:t>
      </w:r>
      <w:r w:rsidRPr="0523FA73" w:rsidR="00786D4D">
        <w:rPr>
          <w:rFonts w:ascii="Arial" w:hAnsi="Arial" w:eastAsia="Arial" w:cs="Arial"/>
          <w:color w:val="000000" w:themeColor="text1"/>
        </w:rPr>
        <w:t>However, barriers</w:t>
      </w:r>
      <w:r w:rsidRPr="0523FA73" w:rsidR="7D8935AD">
        <w:rPr>
          <w:rFonts w:ascii="Arial" w:hAnsi="Arial" w:eastAsia="Arial" w:cs="Arial"/>
          <w:color w:val="000000" w:themeColor="text1"/>
        </w:rPr>
        <w:t xml:space="preserve"> such as</w:t>
      </w:r>
      <w:r w:rsidRPr="0523FA73" w:rsidR="00786D4D">
        <w:rPr>
          <w:rFonts w:ascii="Arial" w:hAnsi="Arial" w:eastAsia="Arial" w:cs="Arial"/>
          <w:color w:val="000000" w:themeColor="text1"/>
        </w:rPr>
        <w:t xml:space="preserve"> role ambiguity and poor communication can hinder </w:t>
      </w:r>
      <w:r w:rsidRPr="0523FA73" w:rsidR="2FC1ED1A">
        <w:rPr>
          <w:rFonts w:ascii="Arial" w:hAnsi="Arial" w:eastAsia="Arial" w:cs="Arial"/>
          <w:color w:val="000000" w:themeColor="text1"/>
        </w:rPr>
        <w:t>effective partnership wo</w:t>
      </w:r>
      <w:r w:rsidRPr="0523FA73" w:rsidR="555D2C78">
        <w:rPr>
          <w:rFonts w:ascii="Arial" w:hAnsi="Arial" w:eastAsia="Arial" w:cs="Arial"/>
          <w:color w:val="000000" w:themeColor="text1"/>
        </w:rPr>
        <w:t>rking</w:t>
      </w:r>
      <w:r w:rsidRPr="0523FA73" w:rsidR="00786D4D">
        <w:rPr>
          <w:rFonts w:ascii="Arial" w:hAnsi="Arial" w:eastAsia="Arial" w:cs="Arial"/>
          <w:color w:val="000000" w:themeColor="text1"/>
        </w:rPr>
        <w:t xml:space="preserve"> (Glasby and Dickinson, 2014).</w:t>
      </w:r>
      <w:r w:rsidRPr="0523FA73" w:rsidR="00786D4D">
        <w:rPr>
          <w:rStyle w:val="apple-converted-space"/>
          <w:rFonts w:ascii="Arial" w:hAnsi="Arial" w:eastAsia="Arial" w:cs="Arial"/>
          <w:color w:val="000000" w:themeColor="text1"/>
        </w:rPr>
        <w:t> </w:t>
      </w:r>
      <w:r w:rsidRPr="0523FA73" w:rsidR="4730A09B">
        <w:rPr>
          <w:rStyle w:val="apple-converted-space"/>
          <w:rFonts w:ascii="Arial" w:hAnsi="Arial" w:eastAsia="Arial" w:cs="Arial"/>
          <w:color w:val="000000" w:themeColor="text1"/>
        </w:rPr>
        <w:t>When</w:t>
      </w:r>
      <w:r w:rsidRPr="0523FA73">
        <w:rPr>
          <w:rFonts w:ascii="Arial" w:hAnsi="Arial" w:eastAsia="Arial" w:cs="Arial"/>
          <w:lang w:val="en-GB" w:eastAsia="en-GB"/>
        </w:rPr>
        <w:t xml:space="preserve"> </w:t>
      </w:r>
      <w:r w:rsidRPr="0523FA73" w:rsidR="3C8E6F5A">
        <w:rPr>
          <w:rFonts w:ascii="Arial" w:hAnsi="Arial" w:cs="Arial"/>
          <w:lang w:val="en-GB" w:eastAsia="en-GB"/>
        </w:rPr>
        <w:t xml:space="preserve">expertise </w:t>
      </w:r>
      <w:r w:rsidRPr="0523FA73">
        <w:rPr>
          <w:rFonts w:ascii="Arial" w:hAnsi="Arial" w:cs="Arial"/>
          <w:lang w:val="en-GB" w:eastAsia="en-GB"/>
        </w:rPr>
        <w:t>and resources</w:t>
      </w:r>
      <w:r w:rsidRPr="0523FA73" w:rsidR="31487311">
        <w:rPr>
          <w:rFonts w:ascii="Arial" w:hAnsi="Arial" w:cs="Arial"/>
          <w:lang w:val="en-GB" w:eastAsia="en-GB"/>
        </w:rPr>
        <w:t xml:space="preserve"> are</w:t>
      </w:r>
      <w:r w:rsidRPr="0523FA73">
        <w:rPr>
          <w:rFonts w:ascii="Arial" w:hAnsi="Arial" w:cs="Arial"/>
          <w:lang w:val="en-GB" w:eastAsia="en-GB"/>
        </w:rPr>
        <w:t xml:space="preserve"> </w:t>
      </w:r>
      <w:r w:rsidRPr="0523FA73" w:rsidR="488C92DF">
        <w:rPr>
          <w:rFonts w:ascii="Arial" w:hAnsi="Arial" w:cs="Arial"/>
          <w:lang w:val="en-GB" w:eastAsia="en-GB"/>
        </w:rPr>
        <w:t>shared effectively, p</w:t>
      </w:r>
      <w:r w:rsidRPr="0523FA73">
        <w:rPr>
          <w:rFonts w:ascii="Arial" w:hAnsi="Arial" w:cs="Arial"/>
          <w:lang w:val="en-GB" w:eastAsia="en-GB"/>
        </w:rPr>
        <w:t xml:space="preserve">artnership approaches promote continuity </w:t>
      </w:r>
      <w:r w:rsidRPr="0523FA73" w:rsidR="3295FBA8">
        <w:rPr>
          <w:rFonts w:ascii="Arial" w:hAnsi="Arial" w:cs="Arial"/>
          <w:lang w:val="en-GB" w:eastAsia="en-GB"/>
        </w:rPr>
        <w:t>of care and</w:t>
      </w:r>
      <w:r w:rsidRPr="0523FA73" w:rsidR="76A00581">
        <w:rPr>
          <w:rFonts w:ascii="Arial" w:hAnsi="Arial" w:cs="Arial"/>
          <w:lang w:val="en-GB" w:eastAsia="en-GB"/>
        </w:rPr>
        <w:t xml:space="preserve"> improve </w:t>
      </w:r>
      <w:r w:rsidRPr="0523FA73">
        <w:rPr>
          <w:rFonts w:ascii="Arial" w:hAnsi="Arial" w:cs="Arial"/>
          <w:lang w:val="en-GB" w:eastAsia="en-GB"/>
        </w:rPr>
        <w:t>efficiency across services.</w:t>
      </w:r>
    </w:p>
    <w:p w:rsidRPr="00FC22A2" w:rsidR="00FC22A2" w:rsidP="0523FA73" w:rsidRDefault="00FC22A2" w14:paraId="07725E8D" w14:textId="0DC50174">
      <w:pPr>
        <w:spacing w:after="0" w:line="360" w:lineRule="auto"/>
        <w:rPr>
          <w:rFonts w:ascii="Arial" w:hAnsi="Arial" w:cs="Arial"/>
          <w:lang w:val="en-GB" w:eastAsia="en-GB"/>
        </w:rPr>
      </w:pPr>
    </w:p>
    <w:p w:rsidRPr="00FC22A2" w:rsidR="00FC22A2" w:rsidP="003E3A63" w:rsidRDefault="00FC22A2" w14:paraId="4583A5DD" w14:textId="08130836">
      <w:pPr>
        <w:spacing w:after="0" w:line="360" w:lineRule="auto"/>
        <w:rPr>
          <w:rFonts w:ascii="Arial" w:hAnsi="Arial" w:cs="Arial"/>
          <w:lang w:val="en-GB" w:eastAsia="en-GB"/>
        </w:rPr>
      </w:pPr>
      <w:r w:rsidRPr="3CF1A161" w:rsidR="2F95D9FC">
        <w:rPr>
          <w:rFonts w:ascii="Arial" w:hAnsi="Arial" w:cs="Arial"/>
          <w:lang w:val="en-GB" w:eastAsia="en-GB"/>
        </w:rPr>
        <w:t xml:space="preserve"> Effective P</w:t>
      </w:r>
      <w:r w:rsidRPr="3CF1A161" w:rsidR="1FB7509E">
        <w:rPr>
          <w:rFonts w:ascii="Arial" w:hAnsi="Arial" w:cs="Arial"/>
          <w:lang w:val="en-GB" w:eastAsia="en-GB"/>
        </w:rPr>
        <w:t xml:space="preserve">artnership </w:t>
      </w:r>
      <w:r w:rsidRPr="3CF1A161" w:rsidR="4A237E46">
        <w:rPr>
          <w:rFonts w:ascii="Arial" w:hAnsi="Arial" w:cs="Arial"/>
          <w:lang w:val="en-GB" w:eastAsia="en-GB"/>
        </w:rPr>
        <w:t xml:space="preserve">working </w:t>
      </w:r>
      <w:r w:rsidRPr="3CF1A161" w:rsidR="7BE0AA53">
        <w:rPr>
          <w:rFonts w:ascii="Arial" w:hAnsi="Arial" w:cs="Arial"/>
          <w:lang w:val="en-GB" w:eastAsia="en-GB"/>
        </w:rPr>
        <w:t>depends on</w:t>
      </w:r>
      <w:r w:rsidRPr="3CF1A161" w:rsidR="2F95D9FC">
        <w:rPr>
          <w:rFonts w:ascii="Arial" w:hAnsi="Arial" w:cs="Arial"/>
          <w:lang w:val="en-GB" w:eastAsia="en-GB"/>
        </w:rPr>
        <w:t xml:space="preserve"> clear communication, shared goals, and mutual trust (Skills for Care, 2024). For example, multidisciplinary-team (MDT) meetings </w:t>
      </w:r>
      <w:r w:rsidRPr="3CF1A161" w:rsidR="1D57588C">
        <w:rPr>
          <w:rFonts w:ascii="Arial" w:hAnsi="Arial" w:cs="Arial"/>
          <w:lang w:val="en-GB" w:eastAsia="en-GB"/>
        </w:rPr>
        <w:t>enable</w:t>
      </w:r>
      <w:r w:rsidRPr="3CF1A161" w:rsidR="2F95D9FC">
        <w:rPr>
          <w:rFonts w:ascii="Arial" w:hAnsi="Arial" w:cs="Arial"/>
          <w:lang w:val="en-GB" w:eastAsia="en-GB"/>
        </w:rPr>
        <w:t xml:space="preserve"> nurses, social workers, and allied </w:t>
      </w:r>
      <w:r w:rsidRPr="3CF1A161" w:rsidR="1902F834">
        <w:rPr>
          <w:rFonts w:ascii="Arial" w:hAnsi="Arial" w:cs="Arial"/>
          <w:lang w:val="en-GB" w:eastAsia="en-GB"/>
        </w:rPr>
        <w:t xml:space="preserve">health </w:t>
      </w:r>
      <w:r w:rsidRPr="3CF1A161" w:rsidR="2F95D9FC">
        <w:rPr>
          <w:rFonts w:ascii="Arial" w:hAnsi="Arial" w:cs="Arial"/>
          <w:lang w:val="en-GB" w:eastAsia="en-GB"/>
        </w:rPr>
        <w:t xml:space="preserve">professionals </w:t>
      </w:r>
      <w:r w:rsidRPr="3CF1A161" w:rsidR="52E2C665">
        <w:rPr>
          <w:rFonts w:ascii="Arial" w:hAnsi="Arial" w:cs="Arial"/>
          <w:lang w:val="en-GB" w:eastAsia="en-GB"/>
        </w:rPr>
        <w:t xml:space="preserve">to coordinate person-centred </w:t>
      </w:r>
      <w:r w:rsidRPr="3CF1A161" w:rsidR="2F95D9FC">
        <w:rPr>
          <w:rFonts w:ascii="Arial" w:hAnsi="Arial" w:cs="Arial"/>
          <w:lang w:val="en-GB" w:eastAsia="en-GB"/>
        </w:rPr>
        <w:t xml:space="preserve">care plans </w:t>
      </w:r>
      <w:r w:rsidRPr="3CF1A161" w:rsidR="7706FE8D">
        <w:rPr>
          <w:rFonts w:ascii="Arial" w:hAnsi="Arial" w:cs="Arial"/>
          <w:lang w:val="en-GB" w:eastAsia="en-GB"/>
        </w:rPr>
        <w:t>that involve</w:t>
      </w:r>
      <w:r w:rsidRPr="3CF1A161" w:rsidR="2F95D9FC">
        <w:rPr>
          <w:rFonts w:ascii="Arial" w:hAnsi="Arial" w:cs="Arial"/>
          <w:lang w:val="en-GB" w:eastAsia="en-GB"/>
        </w:rPr>
        <w:t xml:space="preserve"> individuals and </w:t>
      </w:r>
      <w:r w:rsidRPr="3CF1A161" w:rsidR="7B5F0526">
        <w:rPr>
          <w:rFonts w:ascii="Arial" w:hAnsi="Arial" w:cs="Arial"/>
          <w:lang w:val="en-GB" w:eastAsia="en-GB"/>
        </w:rPr>
        <w:t xml:space="preserve">their </w:t>
      </w:r>
      <w:r w:rsidRPr="3CF1A161" w:rsidR="2F95D9FC">
        <w:rPr>
          <w:rFonts w:ascii="Arial" w:hAnsi="Arial" w:cs="Arial"/>
          <w:lang w:val="en-GB" w:eastAsia="en-GB"/>
        </w:rPr>
        <w:t>families (NICE, 2023).</w:t>
      </w:r>
    </w:p>
    <w:p w:rsidRPr="00FC22A2" w:rsidR="00FC22A2" w:rsidP="003E3A63" w:rsidRDefault="655D7B69" w14:paraId="667EE753" w14:textId="3926C882">
      <w:pPr>
        <w:spacing w:after="0" w:line="360" w:lineRule="auto"/>
        <w:rPr>
          <w:rFonts w:ascii="Arial" w:hAnsi="Arial" w:cs="Arial"/>
          <w:lang w:val="en-GB" w:eastAsia="en-GB"/>
        </w:rPr>
      </w:pPr>
      <w:r w:rsidRPr="7478AE2F">
        <w:rPr>
          <w:rFonts w:ascii="Arial" w:hAnsi="Arial" w:cs="Arial"/>
          <w:lang w:val="en-GB" w:eastAsia="en-GB"/>
        </w:rPr>
        <w:t xml:space="preserve"> </w:t>
      </w:r>
    </w:p>
    <w:p w:rsidRPr="00FC22A2" w:rsidR="00FC22A2" w:rsidP="3CF1A161" w:rsidRDefault="00FC22A2" w14:noSpellErr="1" w14:paraId="668A5471" w14:textId="3CBA85B1">
      <w:pPr>
        <w:spacing w:after="0" w:line="360" w:lineRule="auto"/>
        <w:rPr>
          <w:rFonts w:ascii="Arial" w:hAnsi="Arial" w:cs="Arial"/>
          <w:lang w:val="en-GB" w:eastAsia="en-GB"/>
        </w:rPr>
      </w:pPr>
      <w:r w:rsidRPr="3CF1A161" w:rsidR="2F95D9FC">
        <w:rPr>
          <w:rFonts w:ascii="Arial" w:hAnsi="Arial" w:cs="Arial"/>
          <w:lang w:val="en-GB" w:eastAsia="en-GB"/>
        </w:rPr>
        <w:t xml:space="preserve">National frameworks such as the Health and Social Care Act </w:t>
      </w:r>
      <w:r w:rsidRPr="3CF1A161" w:rsidR="2F338000">
        <w:rPr>
          <w:rFonts w:ascii="Arial" w:hAnsi="Arial" w:cs="Arial"/>
          <w:lang w:val="en-GB" w:eastAsia="en-GB"/>
        </w:rPr>
        <w:t>2012, the</w:t>
      </w:r>
      <w:r w:rsidRPr="3CF1A161" w:rsidR="2F95D9FC">
        <w:rPr>
          <w:rFonts w:ascii="Arial" w:hAnsi="Arial" w:cs="Arial"/>
          <w:lang w:val="en-GB" w:eastAsia="en-GB"/>
        </w:rPr>
        <w:t xml:space="preserve"> Care Act 2014,</w:t>
      </w:r>
      <w:r w:rsidRPr="3CF1A161" w:rsidR="159098F8">
        <w:rPr>
          <w:rFonts w:ascii="Arial" w:hAnsi="Arial" w:cs="Arial"/>
          <w:lang w:val="en-GB" w:eastAsia="en-GB"/>
        </w:rPr>
        <w:t xml:space="preserve"> </w:t>
      </w:r>
      <w:r w:rsidRPr="3CF1A161" w:rsidR="5ECD0151">
        <w:rPr>
          <w:rFonts w:ascii="Arial" w:hAnsi="Arial" w:cs="Arial"/>
          <w:lang w:val="en-GB" w:eastAsia="en-GB"/>
        </w:rPr>
        <w:t>and the NHS Long Term Plan (</w:t>
      </w:r>
      <w:r w:rsidRPr="3CF1A161" w:rsidR="5ECD0151">
        <w:rPr>
          <w:rFonts w:ascii="Arial" w:hAnsi="Arial" w:cs="Arial"/>
          <w:lang w:val="en-GB" w:eastAsia="en-GB"/>
        </w:rPr>
        <w:t>2019)</w:t>
      </w:r>
      <w:r w:rsidRPr="3CF1A161" w:rsidR="77123C8D">
        <w:rPr>
          <w:rFonts w:ascii="Arial" w:hAnsi="Arial" w:cs="Arial"/>
          <w:lang w:val="en-GB" w:eastAsia="en-GB"/>
        </w:rPr>
        <w:t xml:space="preserve"> </w:t>
      </w:r>
    </w:p>
    <w:p w:rsidRPr="00FC22A2" w:rsidR="00FC22A2" w:rsidP="003E3A63" w:rsidRDefault="00FC22A2" w14:paraId="2D7D4567" w14:textId="14C45AE2">
      <w:pPr>
        <w:spacing w:after="0" w:line="360" w:lineRule="auto"/>
        <w:rPr>
          <w:rFonts w:ascii="Arial" w:hAnsi="Arial" w:cs="Arial"/>
          <w:lang w:val="en-GB" w:eastAsia="en-GB"/>
        </w:rPr>
      </w:pPr>
      <w:r w:rsidRPr="3CF1A161" w:rsidR="159098F8">
        <w:rPr>
          <w:rFonts w:ascii="Arial" w:hAnsi="Arial" w:cs="Arial"/>
          <w:lang w:val="en-GB" w:eastAsia="en-GB"/>
        </w:rPr>
        <w:t>provide</w:t>
      </w:r>
      <w:r w:rsidRPr="3CF1A161" w:rsidR="159098F8">
        <w:rPr>
          <w:rFonts w:ascii="Arial" w:hAnsi="Arial" w:cs="Arial"/>
          <w:lang w:val="en-GB" w:eastAsia="en-GB"/>
        </w:rPr>
        <w:t xml:space="preserve"> clear guidance for promoting </w:t>
      </w:r>
      <w:r w:rsidRPr="3CF1A161" w:rsidR="3BA04002">
        <w:rPr>
          <w:rFonts w:ascii="Arial" w:hAnsi="Arial" w:cs="Arial"/>
          <w:lang w:val="en-GB" w:eastAsia="en-GB"/>
        </w:rPr>
        <w:t>integrated and person-centred care across</w:t>
      </w:r>
      <w:r w:rsidRPr="3CF1A161" w:rsidR="7D3DA072">
        <w:rPr>
          <w:rFonts w:ascii="Arial" w:hAnsi="Arial" w:cs="Arial"/>
          <w:lang w:val="en-GB" w:eastAsia="en-GB"/>
        </w:rPr>
        <w:t xml:space="preserve"> services.</w:t>
      </w:r>
      <w:r w:rsidRPr="3CF1A161" w:rsidR="2F95D9FC">
        <w:rPr>
          <w:rFonts w:ascii="Arial" w:hAnsi="Arial" w:cs="Arial"/>
          <w:lang w:val="en-GB" w:eastAsia="en-GB"/>
        </w:rPr>
        <w:t xml:space="preserve"> </w:t>
      </w:r>
      <w:r w:rsidRPr="3CF1A161" w:rsidR="36DB41D8">
        <w:rPr>
          <w:rFonts w:ascii="Arial" w:hAnsi="Arial" w:cs="Arial"/>
          <w:lang w:val="en-GB" w:eastAsia="en-GB"/>
        </w:rPr>
        <w:t xml:space="preserve">These frameworks reinforce the importance </w:t>
      </w:r>
      <w:r w:rsidRPr="3CF1A161" w:rsidR="173F64CB">
        <w:rPr>
          <w:rFonts w:ascii="Arial" w:hAnsi="Arial" w:cs="Arial"/>
          <w:lang w:val="en-GB" w:eastAsia="en-GB"/>
        </w:rPr>
        <w:t xml:space="preserve">of </w:t>
      </w:r>
      <w:r w:rsidRPr="3CF1A161" w:rsidR="681FD00F">
        <w:rPr>
          <w:rFonts w:ascii="Arial" w:hAnsi="Arial" w:cs="Arial"/>
          <w:lang w:val="en-GB" w:eastAsia="en-GB"/>
        </w:rPr>
        <w:t>collaboration</w:t>
      </w:r>
      <w:r w:rsidRPr="3CF1A161" w:rsidR="173F64CB">
        <w:rPr>
          <w:rFonts w:ascii="Arial" w:hAnsi="Arial" w:cs="Arial"/>
          <w:lang w:val="en-GB" w:eastAsia="en-GB"/>
        </w:rPr>
        <w:t>, accountability</w:t>
      </w:r>
      <w:r w:rsidRPr="3CF1A161" w:rsidR="38278BC3">
        <w:rPr>
          <w:rFonts w:ascii="Arial" w:hAnsi="Arial" w:cs="Arial"/>
          <w:lang w:val="en-GB" w:eastAsia="en-GB"/>
        </w:rPr>
        <w:t xml:space="preserve"> across </w:t>
      </w:r>
      <w:r w:rsidRPr="3CF1A161" w:rsidR="1F3DB1EB">
        <w:rPr>
          <w:rFonts w:ascii="Arial" w:hAnsi="Arial" w:cs="Arial"/>
          <w:lang w:val="en-GB" w:eastAsia="en-GB"/>
        </w:rPr>
        <w:t xml:space="preserve">the health and social </w:t>
      </w:r>
      <w:r w:rsidRPr="3CF1A161" w:rsidR="21124448">
        <w:rPr>
          <w:rFonts w:ascii="Arial" w:hAnsi="Arial" w:cs="Arial"/>
          <w:lang w:val="en-GB" w:eastAsia="en-GB"/>
        </w:rPr>
        <w:t>care sectors</w:t>
      </w:r>
      <w:r w:rsidRPr="3CF1A161" w:rsidR="38278BC3">
        <w:rPr>
          <w:rFonts w:ascii="Arial" w:hAnsi="Arial" w:cs="Arial"/>
          <w:lang w:val="en-GB" w:eastAsia="en-GB"/>
        </w:rPr>
        <w:t xml:space="preserve">. </w:t>
      </w:r>
      <w:r w:rsidRPr="3CF1A161" w:rsidR="427903E8">
        <w:rPr>
          <w:rFonts w:ascii="Arial" w:hAnsi="Arial" w:cs="Arial"/>
          <w:lang w:val="en-GB" w:eastAsia="en-GB"/>
        </w:rPr>
        <w:t xml:space="preserve"> </w:t>
      </w:r>
      <w:r w:rsidRPr="3CF1A161" w:rsidR="18637168">
        <w:rPr>
          <w:rFonts w:ascii="Arial" w:hAnsi="Arial" w:cs="Arial"/>
          <w:lang w:val="en-GB" w:eastAsia="en-GB"/>
        </w:rPr>
        <w:t>They provide a foundation for</w:t>
      </w:r>
      <w:r w:rsidRPr="3CF1A161" w:rsidR="427903E8">
        <w:rPr>
          <w:rFonts w:ascii="Arial" w:hAnsi="Arial" w:cs="Arial"/>
          <w:lang w:val="en-GB" w:eastAsia="en-GB"/>
        </w:rPr>
        <w:t xml:space="preserve"> </w:t>
      </w:r>
      <w:r w:rsidRPr="3CF1A161" w:rsidR="3829C4C1">
        <w:rPr>
          <w:rFonts w:ascii="Arial" w:hAnsi="Arial" w:cs="Arial"/>
          <w:lang w:val="en-GB" w:eastAsia="en-GB"/>
        </w:rPr>
        <w:t>integrated</w:t>
      </w:r>
      <w:r w:rsidRPr="3CF1A161" w:rsidR="427903E8">
        <w:rPr>
          <w:rFonts w:ascii="Arial" w:hAnsi="Arial" w:cs="Arial"/>
          <w:lang w:val="en-GB" w:eastAsia="en-GB"/>
        </w:rPr>
        <w:t xml:space="preserve"> and person</w:t>
      </w:r>
      <w:r w:rsidRPr="3CF1A161" w:rsidR="272D9D60">
        <w:rPr>
          <w:rFonts w:ascii="Arial" w:hAnsi="Arial" w:cs="Arial"/>
          <w:lang w:val="en-GB" w:eastAsia="en-GB"/>
        </w:rPr>
        <w:t xml:space="preserve">-centred care, ensuring individuals </w:t>
      </w:r>
      <w:r w:rsidRPr="3CF1A161" w:rsidR="5FF59E30">
        <w:rPr>
          <w:rFonts w:ascii="Arial" w:hAnsi="Arial" w:cs="Arial"/>
          <w:lang w:val="en-GB" w:eastAsia="en-GB"/>
        </w:rPr>
        <w:t>receive</w:t>
      </w:r>
      <w:r w:rsidRPr="3CF1A161" w:rsidR="272D9D60">
        <w:rPr>
          <w:rFonts w:ascii="Arial" w:hAnsi="Arial" w:cs="Arial"/>
          <w:lang w:val="en-GB" w:eastAsia="en-GB"/>
        </w:rPr>
        <w:t xml:space="preserve"> </w:t>
      </w:r>
      <w:r w:rsidRPr="3CF1A161" w:rsidR="02154968">
        <w:rPr>
          <w:rFonts w:ascii="Arial" w:hAnsi="Arial" w:cs="Arial"/>
          <w:lang w:val="en-GB" w:eastAsia="en-GB"/>
        </w:rPr>
        <w:t xml:space="preserve">consistent, safe, and </w:t>
      </w:r>
      <w:r w:rsidRPr="3CF1A161" w:rsidR="02154968">
        <w:rPr>
          <w:rFonts w:ascii="Arial" w:hAnsi="Arial" w:cs="Arial"/>
          <w:lang w:val="en-GB" w:eastAsia="en-GB"/>
        </w:rPr>
        <w:t>equitable</w:t>
      </w:r>
      <w:r w:rsidRPr="3CF1A161" w:rsidR="02154968">
        <w:rPr>
          <w:rFonts w:ascii="Arial" w:hAnsi="Arial" w:cs="Arial"/>
          <w:lang w:val="en-GB" w:eastAsia="en-GB"/>
        </w:rPr>
        <w:t xml:space="preserve"> suppor</w:t>
      </w:r>
      <w:r w:rsidRPr="3CF1A161" w:rsidR="197ACF86">
        <w:rPr>
          <w:rFonts w:ascii="Arial" w:hAnsi="Arial" w:cs="Arial"/>
          <w:lang w:val="en-GB" w:eastAsia="en-GB"/>
        </w:rPr>
        <w:t>t w</w:t>
      </w:r>
      <w:r w:rsidRPr="3CF1A161" w:rsidR="3AC4A97C">
        <w:rPr>
          <w:rFonts w:ascii="Arial" w:hAnsi="Arial" w:cs="Arial"/>
          <w:lang w:val="en-GB" w:eastAsia="en-GB"/>
        </w:rPr>
        <w:t>hile improving overall health outcomes</w:t>
      </w:r>
      <w:r w:rsidRPr="3CF1A161" w:rsidR="7FDE3B31">
        <w:rPr>
          <w:rFonts w:ascii="Arial" w:hAnsi="Arial" w:cs="Arial"/>
          <w:lang w:val="en-GB" w:eastAsia="en-GB"/>
        </w:rPr>
        <w:t>.</w:t>
      </w:r>
      <w:r w:rsidRPr="3CF1A161" w:rsidR="3AC4A97C">
        <w:rPr>
          <w:rFonts w:ascii="Arial" w:hAnsi="Arial" w:cs="Arial"/>
          <w:lang w:val="en-GB" w:eastAsia="en-GB"/>
        </w:rPr>
        <w:t xml:space="preserve"> </w:t>
      </w:r>
      <w:r w:rsidRPr="3CF1A161" w:rsidR="22B23A5D">
        <w:rPr>
          <w:rFonts w:ascii="Arial" w:hAnsi="Arial" w:cs="Arial"/>
          <w:lang w:val="en-GB" w:eastAsia="en-GB"/>
        </w:rPr>
        <w:t>S</w:t>
      </w:r>
      <w:r w:rsidRPr="3CF1A161" w:rsidR="02154968">
        <w:rPr>
          <w:rFonts w:ascii="Arial" w:hAnsi="Arial" w:cs="Arial"/>
          <w:lang w:val="en-GB" w:eastAsia="en-GB"/>
        </w:rPr>
        <w:t>hared</w:t>
      </w:r>
      <w:r w:rsidRPr="3CF1A161" w:rsidR="5E11DA4A">
        <w:rPr>
          <w:rFonts w:ascii="Arial" w:hAnsi="Arial" w:cs="Arial"/>
          <w:lang w:val="en-GB" w:eastAsia="en-GB"/>
        </w:rPr>
        <w:t xml:space="preserve"> responsibility in achieving better health</w:t>
      </w:r>
      <w:r w:rsidRPr="3CF1A161" w:rsidR="387DA015">
        <w:rPr>
          <w:rFonts w:ascii="Arial" w:hAnsi="Arial" w:cs="Arial"/>
          <w:lang w:val="en-GB" w:eastAsia="en-GB"/>
        </w:rPr>
        <w:t xml:space="preserve"> outcomes for individuals. </w:t>
      </w:r>
      <w:r w:rsidRPr="3CF1A161" w:rsidR="2F95D9FC">
        <w:rPr>
          <w:rFonts w:ascii="Arial" w:hAnsi="Arial" w:cs="Arial"/>
          <w:lang w:val="en-GB" w:eastAsia="en-GB"/>
        </w:rPr>
        <w:t>and the NHS Long Term Plan (2019) encourage integration between health and social care systems (NHS England, 2023). Integrated Care Systems (ICSs) introduced in 2022 aim to reduce service fragmentation and tackle local health inequalities (NHS, 2024). Nonetheless, partnership efforts can be hindered by unclear professional roles, inconsistent communication, or conflicting organisational priorities (Glasby and Dickinson, 2014). To overcome these barriers, services require collaborative training, open leadership, and clearly defined accountability structures (Skills for Care, 2024).</w:t>
      </w:r>
    </w:p>
    <w:p w:rsidRPr="00FC22A2" w:rsidR="00FC22A2" w:rsidP="003E3A63" w:rsidRDefault="00FC22A2" w14:paraId="39DC49A0" w14:textId="77777777">
      <w:pPr>
        <w:spacing w:after="0" w:line="360" w:lineRule="auto"/>
        <w:rPr>
          <w:rFonts w:ascii="Arial" w:hAnsi="Arial" w:cs="Arial"/>
          <w:lang w:val="en-GB" w:eastAsia="en-GB"/>
        </w:rPr>
      </w:pPr>
    </w:p>
    <w:p w:rsidRPr="007C74AA" w:rsidR="00E8062C" w:rsidP="002B31B5" w:rsidRDefault="00FC22A2" w14:paraId="26FE9E8F" w14:textId="77777777">
      <w:pPr>
        <w:pStyle w:val="p1"/>
        <w:spacing w:line="360" w:lineRule="auto"/>
        <w:rPr>
          <w:rFonts w:ascii="Arial" w:hAnsi="Arial" w:cs="Arial"/>
          <w:sz w:val="26"/>
          <w:szCs w:val="26"/>
        </w:rPr>
      </w:pPr>
      <w:r w:rsidRPr="00FC22A2">
        <w:rPr>
          <w:rFonts w:ascii="Arial" w:hAnsi="Arial" w:cs="Arial"/>
          <w:sz w:val="22"/>
          <w:szCs w:val="22"/>
        </w:rPr>
        <w:t>When partnership principles are successfully embedded, outcomes improve through shared responsibility and collective problem-solving. The ICS model demonstrates how cooperation among NHS bodies, local authorities, and community organisations can deliver more equitable and consistent support (Department of Health and Social Care, 2022). Strong leadership, respect, and transparency remain central to maintaining these effective partnerships.</w:t>
      </w:r>
      <w:r w:rsidRPr="007C74AA" w:rsidR="00E8062C">
        <w:rPr>
          <w:rFonts w:ascii="Arial" w:hAnsi="Arial" w:cs="Arial"/>
        </w:rPr>
        <w:t xml:space="preserve"> </w:t>
      </w:r>
      <w:r w:rsidRPr="00A316D4" w:rsidR="00E8062C">
        <w:rPr>
          <w:rFonts w:ascii="Arial" w:hAnsi="Arial" w:cs="Arial"/>
          <w:sz w:val="22"/>
          <w:szCs w:val="22"/>
        </w:rPr>
        <w:t>Establishing strong partnership networks lays the foundation for effective policy implementation, ensuring that collaborative practice aligns with the legislative frameworks that govern UK health and social care</w:t>
      </w:r>
      <w:r w:rsidRPr="007C74AA" w:rsidR="00E8062C">
        <w:rPr>
          <w:rFonts w:ascii="Arial" w:hAnsi="Arial" w:cs="Arial"/>
          <w:sz w:val="26"/>
          <w:szCs w:val="26"/>
        </w:rPr>
        <w:t>.</w:t>
      </w:r>
    </w:p>
    <w:p w:rsidR="00892114" w:rsidP="002A1750" w:rsidRDefault="00892114" w14:paraId="1EC8240B" w14:textId="1115A314">
      <w:pPr>
        <w:spacing w:after="0" w:line="360" w:lineRule="auto"/>
        <w:rPr>
          <w:rFonts w:ascii="Arial" w:hAnsi="Arial" w:cs="Arial"/>
          <w:lang w:val="en-GB" w:eastAsia="en-GB"/>
        </w:rPr>
      </w:pPr>
    </w:p>
    <w:p w:rsidRPr="002A1750" w:rsidR="002A1750" w:rsidP="002A1750" w:rsidRDefault="002A1750" w14:paraId="73477386" w14:textId="77777777">
      <w:pPr>
        <w:spacing w:after="0" w:line="360" w:lineRule="auto"/>
        <w:rPr>
          <w:rFonts w:ascii="Arial" w:hAnsi="Arial" w:cs="Arial"/>
          <w:lang w:val="en-GB" w:eastAsia="en-GB"/>
        </w:rPr>
      </w:pPr>
    </w:p>
    <w:p w:rsidR="001434EF" w:rsidRDefault="00031262" w14:paraId="5F8714F6" w14:textId="77777777">
      <w:pPr>
        <w:pStyle w:val="Heading2"/>
      </w:pPr>
      <w:r>
        <w:t>6. Policy and Legislation in Health and Social Care</w:t>
      </w:r>
    </w:p>
    <w:p w:rsidR="004D44E6" w:rsidP="004D44E6" w:rsidRDefault="004D44E6" w14:paraId="2D18CF44" w14:textId="77777777"/>
    <w:p w:rsidRPr="004D44E6" w:rsidR="004D44E6" w:rsidP="00C23B6B" w:rsidRDefault="004D44E6" w14:paraId="6E973114" w14:textId="77777777">
      <w:pPr>
        <w:spacing w:after="0" w:line="360" w:lineRule="auto"/>
        <w:rPr>
          <w:rFonts w:ascii="Arial" w:hAnsi="Arial" w:cs="Arial"/>
          <w:lang w:val="en-GB" w:eastAsia="en-GB"/>
        </w:rPr>
      </w:pPr>
      <w:r w:rsidRPr="004D44E6">
        <w:rPr>
          <w:rFonts w:ascii="Arial" w:hAnsi="Arial" w:cs="Arial"/>
          <w:lang w:val="en-GB" w:eastAsia="en-GB"/>
        </w:rPr>
        <w:t>Legislative frameworks establish the ethical and practical standards that guide health and social care delivery. The Care Act 2014 places individual well-being at the centre of decision-making, promoting prevention, empowerment, and collaboration among multiple agencies. Similarly, the Health and Social Care Act 2012 supports closer integration between NHS services, local authorities, and independent providers (Department of Health and Social Care, 2022). The NHS Constitution (2021) ensures that people are treated with dignity and have a voice in decisions about their care (NHS, 2024). Together, these policies reinforce person-centred practice across the sector.</w:t>
      </w:r>
    </w:p>
    <w:p w:rsidRPr="004D44E6" w:rsidR="004D44E6" w:rsidP="00C23B6B" w:rsidRDefault="004D44E6" w14:paraId="3942BB16" w14:textId="77777777">
      <w:pPr>
        <w:spacing w:after="0" w:line="360" w:lineRule="auto"/>
        <w:rPr>
          <w:rFonts w:ascii="Arial" w:hAnsi="Arial" w:cs="Arial"/>
          <w:lang w:val="en-GB" w:eastAsia="en-GB"/>
        </w:rPr>
      </w:pPr>
    </w:p>
    <w:p w:rsidRPr="004D44E6" w:rsidR="004D44E6" w:rsidP="00C23B6B" w:rsidRDefault="004D44E6" w14:paraId="50100758" w14:textId="77777777">
      <w:pPr>
        <w:spacing w:after="0" w:line="360" w:lineRule="auto"/>
        <w:rPr>
          <w:rFonts w:ascii="Arial" w:hAnsi="Arial" w:cs="Arial"/>
          <w:lang w:val="en-GB" w:eastAsia="en-GB"/>
        </w:rPr>
      </w:pPr>
      <w:r w:rsidRPr="004D44E6">
        <w:rPr>
          <w:rFonts w:ascii="Arial" w:hAnsi="Arial" w:cs="Arial"/>
          <w:lang w:val="en-GB" w:eastAsia="en-GB"/>
        </w:rPr>
        <w:t>Other key legislation further protects fairness and rights. The Equality Act 2010 safeguards individuals from discrimination, while the Mental Capacity Act 2005 sets out how decisions should be made for those lacking capacity (Department of Health, 2005). Collectively, these laws provide a robust foundation for ethical, safe, and inclusive care that respects autonomy and equality.</w:t>
      </w:r>
    </w:p>
    <w:p w:rsidRPr="004D44E6" w:rsidR="004D44E6" w:rsidP="00C23B6B" w:rsidRDefault="004D44E6" w14:paraId="11F69855" w14:textId="77777777">
      <w:pPr>
        <w:spacing w:after="0" w:line="360" w:lineRule="auto"/>
        <w:rPr>
          <w:rFonts w:ascii="Arial" w:hAnsi="Arial" w:cs="Arial"/>
          <w:lang w:val="en-GB" w:eastAsia="en-GB"/>
        </w:rPr>
      </w:pPr>
    </w:p>
    <w:p w:rsidR="004D44E6" w:rsidP="00C23B6B" w:rsidRDefault="004D44E6" w14:paraId="3C3EB4CB" w14:textId="77777777">
      <w:pPr>
        <w:spacing w:after="0" w:line="360" w:lineRule="auto"/>
        <w:rPr>
          <w:rFonts w:ascii="Arial" w:hAnsi="Arial" w:cs="Arial"/>
          <w:lang w:val="en-GB" w:eastAsia="en-GB"/>
        </w:rPr>
      </w:pPr>
      <w:r w:rsidRPr="004D44E6">
        <w:rPr>
          <w:rFonts w:ascii="Arial" w:hAnsi="Arial" w:cs="Arial"/>
          <w:lang w:val="en-GB" w:eastAsia="en-GB"/>
        </w:rPr>
        <w:t>More recent reforms strengthen collaboration and accountability. The Health and Care Act 2022 requires NHS and social care organisations to cooperate through Integrated Care Boards, ensuring consistent standards across regions. The Care Act 2014 also shifts emphasis from crisis management to early intervention, helping improve independence and quality of life. However, effective implementation depends on local leadership and adequate resources; areas experiencing deprivation or workforce shortages may struggle to apply these frameworks fully (The King’s Fund, 2023). Ongoing evaluation is therefore vital to guarantee equitable access and long-term sustainability. Overall, UK legislation provides a strong ethical and operational base for delivering coordinated, person-centred, and partnership-oriented services.</w:t>
      </w:r>
    </w:p>
    <w:p w:rsidR="00607996" w:rsidP="00C23B6B" w:rsidRDefault="00607996" w14:paraId="449A65ED" w14:textId="77777777">
      <w:pPr>
        <w:spacing w:after="0" w:line="360" w:lineRule="auto"/>
        <w:rPr>
          <w:rFonts w:ascii="Arial" w:hAnsi="Arial" w:cs="Arial"/>
          <w:lang w:val="en-GB" w:eastAsia="en-GB"/>
        </w:rPr>
      </w:pPr>
    </w:p>
    <w:p w:rsidRPr="00607996" w:rsidR="00607996" w:rsidP="003C3DFC" w:rsidRDefault="00607996" w14:paraId="5846509E" w14:textId="77777777">
      <w:pPr>
        <w:spacing w:after="0" w:line="360" w:lineRule="auto"/>
        <w:rPr>
          <w:rFonts w:ascii="Arial" w:hAnsi="Arial" w:cs="Arial"/>
          <w:lang w:val="en-GB" w:eastAsia="en-GB"/>
        </w:rPr>
      </w:pPr>
      <w:r w:rsidRPr="00607996">
        <w:rPr>
          <w:rFonts w:ascii="Arial" w:hAnsi="Arial" w:cs="Arial"/>
          <w:lang w:val="en-GB" w:eastAsia="en-GB"/>
        </w:rPr>
        <w:t>A clear understanding of policy and legislation helps practitioners translate ethical principles into daily practice, which is essential for developing future strategies that enhance person-centred and partnership-based care.</w:t>
      </w:r>
    </w:p>
    <w:p w:rsidRPr="004D44E6" w:rsidR="00607996" w:rsidP="003C3DFC" w:rsidRDefault="00607996" w14:paraId="5E917C67" w14:textId="77777777">
      <w:pPr>
        <w:spacing w:after="0" w:line="360" w:lineRule="auto"/>
        <w:rPr>
          <w:rFonts w:ascii="Arial" w:hAnsi="Arial" w:cs="Arial"/>
          <w:lang w:val="en-GB" w:eastAsia="en-GB"/>
        </w:rPr>
      </w:pPr>
    </w:p>
    <w:p w:rsidR="006766A2" w:rsidP="006766A2" w:rsidRDefault="006766A2" w14:paraId="6044B34B" w14:textId="77777777">
      <w:pPr>
        <w:rPr>
          <w:rFonts w:ascii="Arial" w:hAnsi="Arial" w:eastAsia="Arial" w:cs="Arial"/>
        </w:rPr>
      </w:pPr>
    </w:p>
    <w:p w:rsidR="001434EF" w:rsidRDefault="00031262" w14:paraId="0F4284B0" w14:textId="3D0738A6">
      <w:pPr>
        <w:pStyle w:val="Heading2"/>
        <w:rPr>
          <w:rFonts w:ascii="Arial" w:hAnsi="Arial" w:eastAsia="Arial" w:cs="Arial"/>
          <w:sz w:val="22"/>
          <w:szCs w:val="22"/>
        </w:rPr>
      </w:pPr>
      <w:r w:rsidRPr="2653CEFF">
        <w:rPr>
          <w:rFonts w:ascii="Arial" w:hAnsi="Arial" w:eastAsia="Arial" w:cs="Arial"/>
          <w:sz w:val="22"/>
          <w:szCs w:val="22"/>
        </w:rPr>
        <w:t>7. Recommendations for Future Development</w:t>
      </w:r>
    </w:p>
    <w:p w:rsidR="0073336B" w:rsidP="0073336B" w:rsidRDefault="0073336B" w14:paraId="493BCB30" w14:textId="77777777">
      <w:pPr>
        <w:rPr>
          <w:rFonts w:ascii="Arial" w:hAnsi="Arial" w:eastAsia="Arial" w:cs="Arial"/>
        </w:rPr>
      </w:pPr>
    </w:p>
    <w:p w:rsidR="004938A6" w:rsidP="2653CEFF" w:rsidRDefault="004938A6" w14:paraId="63858410" w14:textId="715192FA">
      <w:pPr>
        <w:spacing w:line="360" w:lineRule="auto"/>
        <w:rPr>
          <w:rFonts w:ascii="Arial" w:hAnsi="Arial" w:eastAsia="Arial" w:cs="Arial"/>
        </w:rPr>
      </w:pPr>
      <w:r w:rsidRPr="2653CEFF">
        <w:rPr>
          <w:rFonts w:ascii="Arial" w:hAnsi="Arial" w:eastAsia="Arial" w:cs="Arial"/>
        </w:rPr>
        <w:t xml:space="preserve">To enhance </w:t>
      </w:r>
      <w:proofErr w:type="spellStart"/>
      <w:r w:rsidRPr="2653CEFF">
        <w:rPr>
          <w:rFonts w:ascii="Arial" w:hAnsi="Arial" w:eastAsia="Arial" w:cs="Arial"/>
        </w:rPr>
        <w:t>person-centred</w:t>
      </w:r>
      <w:proofErr w:type="spellEnd"/>
      <w:r w:rsidRPr="2653CEFF">
        <w:rPr>
          <w:rFonts w:ascii="Arial" w:hAnsi="Arial" w:eastAsia="Arial" w:cs="Arial"/>
        </w:rPr>
        <w:t xml:space="preserve"> care (PCC) and </w:t>
      </w:r>
      <w:proofErr w:type="spellStart"/>
      <w:r w:rsidRPr="2653CEFF">
        <w:rPr>
          <w:rFonts w:ascii="Arial" w:hAnsi="Arial" w:eastAsia="Arial" w:cs="Arial"/>
        </w:rPr>
        <w:t>personalised</w:t>
      </w:r>
      <w:proofErr w:type="spellEnd"/>
      <w:r w:rsidRPr="2653CEFF">
        <w:rPr>
          <w:rFonts w:ascii="Arial" w:hAnsi="Arial" w:eastAsia="Arial" w:cs="Arial"/>
        </w:rPr>
        <w:t xml:space="preserve"> wellness (PW), </w:t>
      </w:r>
      <w:proofErr w:type="spellStart"/>
      <w:r w:rsidRPr="2653CEFF">
        <w:rPr>
          <w:rFonts w:ascii="Arial" w:hAnsi="Arial" w:eastAsia="Arial" w:cs="Arial"/>
        </w:rPr>
        <w:t>organi</w:t>
      </w:r>
      <w:r w:rsidRPr="2653CEFF" w:rsidR="3EC9CF1E">
        <w:rPr>
          <w:rFonts w:ascii="Arial" w:hAnsi="Arial" w:eastAsia="Arial" w:cs="Arial"/>
        </w:rPr>
        <w:t>sa</w:t>
      </w:r>
      <w:r w:rsidRPr="2653CEFF">
        <w:rPr>
          <w:rFonts w:ascii="Arial" w:hAnsi="Arial" w:eastAsia="Arial" w:cs="Arial"/>
        </w:rPr>
        <w:t>tions</w:t>
      </w:r>
      <w:proofErr w:type="spellEnd"/>
      <w:r w:rsidRPr="2653CEFF">
        <w:rPr>
          <w:rFonts w:ascii="Arial" w:hAnsi="Arial" w:eastAsia="Arial" w:cs="Arial"/>
        </w:rPr>
        <w:t xml:space="preserve"> should concentrate on five essential areas:</w:t>
      </w:r>
    </w:p>
    <w:p w:rsidR="004938A6" w:rsidP="2653CEFF" w:rsidRDefault="004938A6" w14:paraId="14284424" w14:textId="44A04A91">
      <w:pPr>
        <w:spacing w:line="360" w:lineRule="auto"/>
        <w:rPr>
          <w:rFonts w:ascii="Arial" w:hAnsi="Arial" w:eastAsia="Arial" w:cs="Arial"/>
        </w:rPr>
      </w:pPr>
      <w:r w:rsidRPr="2653CEFF">
        <w:rPr>
          <w:rFonts w:ascii="Arial" w:hAnsi="Arial" w:eastAsia="Arial" w:cs="Arial"/>
        </w:rPr>
        <w:t xml:space="preserve">1. Ongoing Training: Providing continuous education in communication, empathy, and cultural understanding equips staff to offer </w:t>
      </w:r>
      <w:proofErr w:type="spellStart"/>
      <w:r w:rsidRPr="2653CEFF">
        <w:rPr>
          <w:rFonts w:ascii="Arial" w:hAnsi="Arial" w:eastAsia="Arial" w:cs="Arial"/>
        </w:rPr>
        <w:t>person-centred</w:t>
      </w:r>
      <w:proofErr w:type="spellEnd"/>
      <w:r w:rsidRPr="2653CEFF">
        <w:rPr>
          <w:rFonts w:ascii="Arial" w:hAnsi="Arial" w:eastAsia="Arial" w:cs="Arial"/>
        </w:rPr>
        <w:t xml:space="preserve"> and collaborative care (NHS, 2024).</w:t>
      </w:r>
    </w:p>
    <w:p w:rsidR="004938A6" w:rsidP="2653CEFF" w:rsidRDefault="00D03B3D" w14:paraId="67CAC2E3" w14:textId="64D2B686">
      <w:pPr>
        <w:spacing w:line="360" w:lineRule="auto"/>
        <w:rPr>
          <w:rFonts w:ascii="Arial" w:hAnsi="Arial" w:eastAsia="Arial" w:cs="Arial"/>
        </w:rPr>
      </w:pPr>
      <w:r>
        <w:rPr>
          <w:rFonts w:ascii="Arial" w:hAnsi="Arial" w:eastAsia="Arial" w:cs="Arial"/>
        </w:rPr>
        <w:t>“</w:t>
      </w:r>
      <w:r w:rsidRPr="2653CEFF" w:rsidR="004938A6">
        <w:rPr>
          <w:rFonts w:ascii="Arial" w:hAnsi="Arial" w:eastAsia="Arial" w:cs="Arial"/>
        </w:rPr>
        <w:t>2. Improved Communication and Information Sharing</w:t>
      </w:r>
      <w:r w:rsidR="007D01BD">
        <w:rPr>
          <w:rFonts w:ascii="Arial" w:hAnsi="Arial" w:eastAsia="Arial" w:cs="Arial"/>
        </w:rPr>
        <w:t>”</w:t>
      </w:r>
      <w:r w:rsidRPr="2653CEFF" w:rsidR="004938A6">
        <w:rPr>
          <w:rFonts w:ascii="Arial" w:hAnsi="Arial" w:eastAsia="Arial" w:cs="Arial"/>
        </w:rPr>
        <w:t xml:space="preserve"> Investing in digital technology and holding regular multidisciplinary team meetings fosters better coordination (Department of Health and Social Care, 2022).</w:t>
      </w:r>
    </w:p>
    <w:p w:rsidR="004938A6" w:rsidP="2653CEFF" w:rsidRDefault="004938A6" w14:paraId="68A365F0" w14:textId="0039BEFC">
      <w:pPr>
        <w:spacing w:line="360" w:lineRule="auto"/>
        <w:rPr>
          <w:rFonts w:ascii="Arial" w:hAnsi="Arial" w:eastAsia="Arial" w:cs="Arial"/>
        </w:rPr>
      </w:pPr>
      <w:r w:rsidRPr="2653CEFF">
        <w:rPr>
          <w:rFonts w:ascii="Arial" w:hAnsi="Arial" w:eastAsia="Arial" w:cs="Arial"/>
        </w:rPr>
        <w:t xml:space="preserve">3. Leadership and </w:t>
      </w:r>
      <w:proofErr w:type="spellStart"/>
      <w:r w:rsidRPr="2653CEFF">
        <w:rPr>
          <w:rFonts w:ascii="Arial" w:hAnsi="Arial" w:eastAsia="Arial" w:cs="Arial"/>
        </w:rPr>
        <w:t>Organi</w:t>
      </w:r>
      <w:r w:rsidRPr="2653CEFF" w:rsidR="35E4B5B3">
        <w:rPr>
          <w:rFonts w:ascii="Arial" w:hAnsi="Arial" w:eastAsia="Arial" w:cs="Arial"/>
        </w:rPr>
        <w:t>s</w:t>
      </w:r>
      <w:r w:rsidRPr="2653CEFF">
        <w:rPr>
          <w:rFonts w:ascii="Arial" w:hAnsi="Arial" w:eastAsia="Arial" w:cs="Arial"/>
        </w:rPr>
        <w:t>ational</w:t>
      </w:r>
      <w:proofErr w:type="spellEnd"/>
      <w:r w:rsidRPr="2653CEFF">
        <w:rPr>
          <w:rFonts w:ascii="Arial" w:hAnsi="Arial" w:eastAsia="Arial" w:cs="Arial"/>
        </w:rPr>
        <w:t xml:space="preserve"> Culture: Compassionate leadership boosts morale and reinforces </w:t>
      </w:r>
      <w:proofErr w:type="spellStart"/>
      <w:r w:rsidRPr="2653CEFF">
        <w:rPr>
          <w:rFonts w:ascii="Arial" w:hAnsi="Arial" w:eastAsia="Arial" w:cs="Arial"/>
        </w:rPr>
        <w:t>person-centred</w:t>
      </w:r>
      <w:proofErr w:type="spellEnd"/>
      <w:r w:rsidRPr="2653CEFF">
        <w:rPr>
          <w:rFonts w:ascii="Arial" w:hAnsi="Arial" w:eastAsia="Arial" w:cs="Arial"/>
        </w:rPr>
        <w:t xml:space="preserve"> principles (West et al., 2020).</w:t>
      </w:r>
    </w:p>
    <w:p w:rsidR="004938A6" w:rsidP="2653CEFF" w:rsidRDefault="004938A6" w14:paraId="5F8AA278" w14:textId="31254C80">
      <w:pPr>
        <w:spacing w:line="360" w:lineRule="auto"/>
        <w:rPr>
          <w:rFonts w:ascii="Arial" w:hAnsi="Arial" w:eastAsia="Arial" w:cs="Arial"/>
        </w:rPr>
      </w:pPr>
      <w:r w:rsidRPr="2653CEFF">
        <w:rPr>
          <w:rFonts w:ascii="Arial" w:hAnsi="Arial" w:eastAsia="Arial" w:cs="Arial"/>
        </w:rPr>
        <w:t>4. Involvement of Service Users: Actively seeking feedback and involving users in service design helps keep services inclusive and responsive (Health Foundation, 2021).</w:t>
      </w:r>
    </w:p>
    <w:p w:rsidRPr="0073336B" w:rsidR="004938A6" w:rsidP="2653CEFF" w:rsidRDefault="004938A6" w14:paraId="4B69A684" w14:textId="390DADD8">
      <w:pPr>
        <w:spacing w:line="360" w:lineRule="auto"/>
        <w:rPr>
          <w:rFonts w:ascii="Arial" w:hAnsi="Arial" w:eastAsia="Arial" w:cs="Arial"/>
        </w:rPr>
      </w:pPr>
      <w:r w:rsidRPr="2653CEFF">
        <w:rPr>
          <w:rFonts w:ascii="Arial" w:hAnsi="Arial" w:eastAsia="Arial" w:cs="Arial"/>
        </w:rPr>
        <w:t>5. Adequate Workforce and Resources: Sufficient staffing and funding provide the necessary time for meaningful engagement and comprehensive support (Skills for Care, 2024).</w:t>
      </w:r>
      <w:r w:rsidRPr="2653CEFF" w:rsidR="3BC08835">
        <w:rPr>
          <w:rFonts w:ascii="Arial" w:hAnsi="Arial" w:eastAsia="Arial" w:cs="Arial"/>
        </w:rPr>
        <w:t xml:space="preserve"> </w:t>
      </w:r>
      <w:r w:rsidRPr="2653CEFF">
        <w:rPr>
          <w:rFonts w:ascii="Arial" w:hAnsi="Arial" w:eastAsia="Arial" w:cs="Arial"/>
        </w:rPr>
        <w:t>Adopting these strategies will promote compassionate, fair, and effective care.</w:t>
      </w:r>
    </w:p>
    <w:p w:rsidR="00226F27" w:rsidRDefault="00226F27" w14:paraId="7B6B08E9" w14:textId="77777777">
      <w:pPr>
        <w:pStyle w:val="s5"/>
        <w:spacing w:before="0" w:beforeAutospacing="0" w:after="150" w:afterAutospacing="0"/>
        <w:rPr>
          <w:rStyle w:val="bumpedfont15"/>
          <w:rFonts w:ascii="Arial" w:hAnsi="Arial" w:eastAsia="Arial" w:cs="Arial"/>
          <w:color w:val="000000"/>
          <w:sz w:val="22"/>
          <w:szCs w:val="22"/>
        </w:rPr>
      </w:pPr>
    </w:p>
    <w:p w:rsidR="00226F27" w:rsidRDefault="00387788" w14:paraId="79A4DEA2" w14:textId="065482C2">
      <w:pPr>
        <w:pStyle w:val="s5"/>
        <w:spacing w:before="0" w:beforeAutospacing="0" w:after="150" w:afterAutospacing="0"/>
        <w:rPr>
          <w:rStyle w:val="bumpedfont15"/>
          <w:rFonts w:ascii="Arial" w:hAnsi="Arial" w:cs="Arial"/>
          <w:color w:val="000000"/>
          <w:sz w:val="27"/>
          <w:szCs w:val="27"/>
        </w:rPr>
      </w:pPr>
      <w:r w:rsidRPr="4CF12B28">
        <w:rPr>
          <w:rFonts w:ascii="Calibri" w:hAnsi="Calibri" w:eastAsia="Times New Roman"/>
          <w:b/>
          <w:color w:val="365F91" w:themeColor="accent1" w:themeShade="BF"/>
          <w:sz w:val="32"/>
          <w:szCs w:val="32"/>
        </w:rPr>
        <w:t xml:space="preserve">8. </w:t>
      </w:r>
      <w:r w:rsidRPr="588B16ED">
        <w:rPr>
          <w:rFonts w:ascii="Calibri" w:hAnsi="Calibri" w:eastAsia="Times New Roman"/>
          <w:b/>
          <w:bCs/>
          <w:color w:val="365F91" w:themeColor="accent1" w:themeShade="BF"/>
          <w:sz w:val="32"/>
          <w:szCs w:val="32"/>
        </w:rPr>
        <w:t>Conclusio</w:t>
      </w:r>
      <w:r w:rsidRPr="588B16ED" w:rsidR="4DC8031B">
        <w:rPr>
          <w:rFonts w:ascii="Calibri" w:hAnsi="Calibri" w:eastAsia="Times New Roman"/>
          <w:b/>
          <w:bCs/>
          <w:color w:val="365F91" w:themeColor="accent1" w:themeShade="BF"/>
          <w:sz w:val="32"/>
          <w:szCs w:val="32"/>
        </w:rPr>
        <w:t>n</w:t>
      </w:r>
    </w:p>
    <w:p w:rsidRPr="003A62AD" w:rsidR="004A397B" w:rsidP="00C75413" w:rsidRDefault="004A397B" w14:paraId="64E775B0" w14:textId="77777777">
      <w:pPr>
        <w:pStyle w:val="s5"/>
        <w:spacing w:before="0" w:beforeAutospacing="0" w:after="150" w:afterAutospacing="0" w:line="360" w:lineRule="auto"/>
        <w:rPr>
          <w:rFonts w:ascii="Arial" w:hAnsi="Arial" w:cs="Arial"/>
          <w:color w:val="000000"/>
          <w:sz w:val="22"/>
          <w:szCs w:val="22"/>
        </w:rPr>
      </w:pPr>
      <w:r w:rsidRPr="003A62AD">
        <w:rPr>
          <w:rStyle w:val="bumpedfont15"/>
          <w:rFonts w:ascii="Arial" w:hAnsi="Arial" w:cs="Arial"/>
          <w:color w:val="000000"/>
          <w:sz w:val="22"/>
          <w:szCs w:val="22"/>
        </w:rPr>
        <w:t>Person-centred care (PCC) and partnership models are essential elements of contemporary health and social care practices. They promote dignity, equality, and collaboration, ensuring that individuals are treated with respect and encouraged to engage actively in their care. By following important guidelines such as the Care Act 2014, NHS Constitution (2021), and Health and Social Care Act 2012, practitioners provide care that is ethical, coordinated, and inclusive.</w:t>
      </w:r>
    </w:p>
    <w:p w:rsidRPr="003A62AD" w:rsidR="004A397B" w:rsidP="00C75413" w:rsidRDefault="004A397B" w14:paraId="1E9ADE85" w14:textId="77777777">
      <w:pPr>
        <w:pStyle w:val="s5"/>
        <w:spacing w:before="0" w:beforeAutospacing="0" w:after="150" w:afterAutospacing="0" w:line="360" w:lineRule="auto"/>
        <w:rPr>
          <w:rFonts w:ascii="Arial" w:hAnsi="Arial" w:cs="Arial"/>
          <w:color w:val="000000"/>
          <w:sz w:val="22"/>
          <w:szCs w:val="22"/>
        </w:rPr>
      </w:pPr>
      <w:r w:rsidRPr="003A62AD">
        <w:rPr>
          <w:rStyle w:val="bumpedfont15"/>
          <w:rFonts w:ascii="Arial" w:hAnsi="Arial" w:cs="Arial"/>
          <w:color w:val="000000"/>
          <w:sz w:val="22"/>
          <w:szCs w:val="22"/>
        </w:rPr>
        <w:t>Despite ongoing challenges like workforce shortages and communication issues, continued professional development and robust leadership can lead to sustained improvements. Incorporating these principles into everyday practices helps ensure that services are responsive, safe, and compassionate.</w:t>
      </w:r>
    </w:p>
    <w:p w:rsidRPr="003A62AD" w:rsidR="004A397B" w:rsidP="00C75413" w:rsidRDefault="004A397B" w14:paraId="36575847" w14:textId="77777777">
      <w:pPr>
        <w:pStyle w:val="s5"/>
        <w:spacing w:before="0" w:beforeAutospacing="0" w:after="150" w:afterAutospacing="0" w:line="360" w:lineRule="auto"/>
        <w:rPr>
          <w:rFonts w:ascii="Arial" w:hAnsi="Arial" w:cs="Arial"/>
          <w:color w:val="000000"/>
          <w:sz w:val="22"/>
          <w:szCs w:val="22"/>
        </w:rPr>
      </w:pPr>
      <w:r w:rsidRPr="003A62AD">
        <w:rPr>
          <w:rStyle w:val="bumpedfont15"/>
          <w:rFonts w:ascii="Arial" w:hAnsi="Arial" w:cs="Arial"/>
          <w:color w:val="000000"/>
          <w:sz w:val="22"/>
          <w:szCs w:val="22"/>
        </w:rPr>
        <w:t>By committing to lifelong learning and enhancing collaborative leadership, professionals can make certain that health and social care practices remain flexible, evidence-based, and in accordance with the values of PCC and partnership care. Looking to the future, ongoing investment in workforce development, digital advancements, and collaborative leadership will be crucial for delivering high-quality care. The integration of health and social care services, as highlighted in the NHS Long Term Plan (2019), demonstrates a national commitment to enhancing personalised outcomes.</w:t>
      </w:r>
    </w:p>
    <w:p w:rsidRPr="003A62AD" w:rsidR="004A397B" w:rsidP="00C75413" w:rsidRDefault="004A397B" w14:paraId="4FE26BF7" w14:textId="77777777">
      <w:pPr>
        <w:pStyle w:val="s5"/>
        <w:spacing w:before="0" w:beforeAutospacing="0" w:after="150" w:afterAutospacing="0" w:line="360" w:lineRule="auto"/>
        <w:rPr>
          <w:rFonts w:ascii="Arial" w:hAnsi="Arial" w:cs="Arial"/>
          <w:color w:val="000000"/>
          <w:sz w:val="22"/>
          <w:szCs w:val="22"/>
        </w:rPr>
      </w:pPr>
      <w:r w:rsidRPr="003A62AD">
        <w:rPr>
          <w:rStyle w:val="bumpedfont15"/>
          <w:rFonts w:ascii="Arial" w:hAnsi="Arial" w:cs="Arial"/>
          <w:color w:val="000000"/>
          <w:sz w:val="22"/>
          <w:szCs w:val="22"/>
        </w:rPr>
        <w:t>Ultimately, empowering and supporting frontline practitioners to provide care that genuinely aligns with individual needs and preferences will promote lasting improvements in patient safety, satisfaction, and equality across the sector.</w:t>
      </w:r>
    </w:p>
    <w:p w:rsidR="00F959D9" w:rsidRDefault="00F959D9" w14:paraId="2D20581A" w14:textId="77777777">
      <w:pPr>
        <w:pStyle w:val="s3"/>
        <w:spacing w:before="360" w:beforeAutospacing="0" w:after="0" w:afterAutospacing="0"/>
        <w:rPr>
          <w:rStyle w:val="bumpedfont15"/>
          <w:rFonts w:ascii="Calibri" w:hAnsi="Calibri"/>
          <w:b/>
          <w:bCs/>
          <w:color w:val="365F91"/>
          <w:sz w:val="32"/>
          <w:szCs w:val="32"/>
        </w:rPr>
      </w:pPr>
      <w:r>
        <w:rPr>
          <w:rStyle w:val="bumpedfont15"/>
          <w:rFonts w:ascii="Calibri" w:hAnsi="Calibri"/>
          <w:b/>
          <w:bCs/>
          <w:color w:val="365F91"/>
          <w:sz w:val="32"/>
          <w:szCs w:val="32"/>
        </w:rPr>
        <w:t>Reference List</w:t>
      </w:r>
    </w:p>
    <w:p w:rsidR="00FF009D" w:rsidRDefault="00FF009D" w14:paraId="481E13FF" w14:textId="77777777">
      <w:pPr>
        <w:pStyle w:val="s3"/>
        <w:spacing w:before="360" w:beforeAutospacing="0" w:after="0" w:afterAutospacing="0"/>
        <w:rPr>
          <w:rFonts w:hint="eastAsia" w:ascii="-webkit-standard" w:hAnsi="-webkit-standard"/>
          <w:color w:val="000000"/>
          <w:sz w:val="27"/>
          <w:szCs w:val="27"/>
        </w:rPr>
      </w:pPr>
    </w:p>
    <w:p w:rsidR="00F959D9" w:rsidRDefault="00F959D9" w14:paraId="4CE09F4F"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Beauchamp, T. L. and Childress, J. F. (2019) *Principles of Biomedical Ethics.* 8th ed. New York: Oxford University Press.</w:t>
      </w:r>
    </w:p>
    <w:p w:rsidRPr="001E54A8" w:rsidR="00FF009D" w:rsidRDefault="00FF009D" w14:paraId="10B00081"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604C6693"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Department of Health (2005) *Mental Capacity Act 2005.* [Online] Available at: https://www.legislation.gov.uk/ukpga/2005/9/contents [Accessed 29 October 2025].</w:t>
      </w:r>
    </w:p>
    <w:p w:rsidRPr="001E54A8" w:rsidR="00FF009D" w:rsidRDefault="00FF009D" w14:paraId="6921EA22"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6E07FD2D"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Department of Health and Social Care (2022) *Health and Social Care Act 2012.* [Online] Available at: https://www.legislation.gov.uk/ukpga/2012/7/contents [Accessed 29 October 2025].</w:t>
      </w:r>
    </w:p>
    <w:p w:rsidRPr="001E54A8" w:rsidR="00FF009D" w:rsidRDefault="00FF009D" w14:paraId="41206EC5"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43889724"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Equality Act (2010) *Equality Act 2010.* [Online] Available at: https://www.legislation.gov.uk/ukpga/2010/15/contents [Accessed 29 October 2025].</w:t>
      </w:r>
    </w:p>
    <w:p w:rsidRPr="001E54A8" w:rsidR="00FF009D" w:rsidRDefault="00FF009D" w14:paraId="269758D3"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6A1B1A37" w14:textId="77777777">
      <w:pPr>
        <w:pStyle w:val="s5"/>
        <w:spacing w:before="0" w:beforeAutospacing="0" w:after="150" w:afterAutospacing="0"/>
        <w:ind w:left="540" w:hanging="540"/>
        <w:rPr>
          <w:rStyle w:val="bumpedfont15"/>
          <w:rFonts w:ascii="Arial" w:hAnsi="Arial" w:cs="Arial"/>
          <w:color w:val="000000"/>
          <w:sz w:val="22"/>
          <w:szCs w:val="22"/>
        </w:rPr>
      </w:pPr>
      <w:proofErr w:type="spellStart"/>
      <w:r w:rsidRPr="001E54A8">
        <w:rPr>
          <w:rStyle w:val="bumpedfont15"/>
          <w:rFonts w:ascii="Arial" w:hAnsi="Arial" w:cs="Arial"/>
          <w:color w:val="000000"/>
          <w:sz w:val="22"/>
          <w:szCs w:val="22"/>
        </w:rPr>
        <w:t>Glasby</w:t>
      </w:r>
      <w:proofErr w:type="spellEnd"/>
      <w:r w:rsidRPr="001E54A8">
        <w:rPr>
          <w:rStyle w:val="bumpedfont15"/>
          <w:rFonts w:ascii="Arial" w:hAnsi="Arial" w:cs="Arial"/>
          <w:color w:val="000000"/>
          <w:sz w:val="22"/>
          <w:szCs w:val="22"/>
        </w:rPr>
        <w:t>, J. and Dickinson, H. (2014) *Partnership Working in Health and Social Care: What Is Integrated Care and How Can We Deliver It?* 2nd ed. Bristol: Policy Press.</w:t>
      </w:r>
    </w:p>
    <w:p w:rsidRPr="001E54A8" w:rsidR="00FF009D" w:rsidRDefault="00FF009D" w14:paraId="35C4F2B8" w14:textId="77777777">
      <w:pPr>
        <w:pStyle w:val="s5"/>
        <w:spacing w:before="0" w:beforeAutospacing="0" w:after="150" w:afterAutospacing="0"/>
        <w:ind w:left="540" w:hanging="540"/>
        <w:rPr>
          <w:rFonts w:ascii="Arial" w:hAnsi="Arial" w:cs="Arial"/>
          <w:color w:val="000000"/>
          <w:sz w:val="22"/>
          <w:szCs w:val="22"/>
        </w:rPr>
      </w:pPr>
    </w:p>
    <w:p w:rsidR="00F959D9" w:rsidP="00400081" w:rsidRDefault="00F959D9" w14:paraId="2CC99D87" w14:textId="67BF49CA">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Health Foundation (2021) *Person-centred Care: An Overview for Health Professionals.* [Online] Available at: https://www.health.org.uk/publications [Accessed 29 October 2025].</w:t>
      </w:r>
    </w:p>
    <w:p w:rsidRPr="001E54A8" w:rsidR="00B05799" w:rsidP="00400081" w:rsidRDefault="00B05799" w14:paraId="6C32A125"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4DAD0CF3"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 xml:space="preserve">McCormack, B. and </w:t>
      </w:r>
      <w:proofErr w:type="spellStart"/>
      <w:r w:rsidRPr="001E54A8">
        <w:rPr>
          <w:rStyle w:val="bumpedfont15"/>
          <w:rFonts w:ascii="Arial" w:hAnsi="Arial" w:cs="Arial"/>
          <w:color w:val="000000"/>
          <w:sz w:val="22"/>
          <w:szCs w:val="22"/>
        </w:rPr>
        <w:t>McCance</w:t>
      </w:r>
      <w:proofErr w:type="spellEnd"/>
      <w:r w:rsidRPr="001E54A8">
        <w:rPr>
          <w:rStyle w:val="bumpedfont15"/>
          <w:rFonts w:ascii="Arial" w:hAnsi="Arial" w:cs="Arial"/>
          <w:color w:val="000000"/>
          <w:sz w:val="22"/>
          <w:szCs w:val="22"/>
        </w:rPr>
        <w:t>, T. (2017) *Person-Centred Practice in Nursing and Health Care: Theory and Practice.* 2nd ed. Chichester: Wiley Blackwell.</w:t>
      </w:r>
    </w:p>
    <w:p w:rsidRPr="001E54A8" w:rsidR="00B05799" w:rsidRDefault="00B05799" w14:paraId="220AF72E"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02D69601"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NHS (2024) *Type 2 Diabetes Overview.* [Online] Available at: https://www.nhs.uk/conditions/type-2-diabetes/ [Accessed 29 October 2025].</w:t>
      </w:r>
    </w:p>
    <w:p w:rsidRPr="001E54A8" w:rsidR="00B05799" w:rsidRDefault="00B05799" w14:paraId="78C706EE"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7D456207"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NHS Constitution (2021) *The NHS Constitution for England.* [Online] Available at: https://www.gov.uk/government/publications/the-nhs-constitution-for-england [Accessed 29 October 2025].</w:t>
      </w:r>
    </w:p>
    <w:p w:rsidRPr="001E54A8" w:rsidR="00B05799" w:rsidRDefault="00B05799" w14:paraId="716E92C3"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69CE9330"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NHS England (2023) *The NHS Long Term Plan.* [Online] Available at: https://www.longtermplan.nhs.uk [Accessed 29 October 2025].</w:t>
      </w:r>
    </w:p>
    <w:p w:rsidRPr="001E54A8" w:rsidR="00B05799" w:rsidRDefault="00B05799" w14:paraId="5C92B8E2"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34F197BE"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NICE (2023) *NG28: Type 2 Diabetes in Adults – Management.* [Online] Available at: https://www.nice.org.uk/guidance/ng28 [Accessed 29 October 2025].</w:t>
      </w:r>
    </w:p>
    <w:p w:rsidRPr="001E54A8" w:rsidR="00B05799" w:rsidRDefault="00B05799" w14:paraId="361862CC"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33571ECE"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NMC (2018) *The Code: Professional Standards of Practice and Behaviour for Nurses, Midwives and Nursing Associates.* [Online] Available at: https://www.nmc.org.uk/standards/code/ [Accessed 29 October 2025].</w:t>
      </w:r>
    </w:p>
    <w:p w:rsidRPr="001E54A8" w:rsidR="00B05799" w:rsidRDefault="00B05799" w14:paraId="02AE7495"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304582F4"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Skills for Care (2024) *Developing Person-Centred and Partnership Working Skills.* [Online] Available at: https://www.skillsforcare.org.uk [Accessed 29 October 2025].</w:t>
      </w:r>
    </w:p>
    <w:p w:rsidRPr="001E54A8" w:rsidR="00B05799" w:rsidRDefault="00B05799" w14:paraId="1E64B563"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75BD945E"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The King’s Fund (2023) *The Health and Care Act: Implications for the NHS.* [Online] Available at: https://www.kingsfund.org.uk [Accessed 29 October 2025].</w:t>
      </w:r>
    </w:p>
    <w:p w:rsidRPr="001E54A8" w:rsidR="00B05799" w:rsidRDefault="00B05799" w14:paraId="4FE1F7C9" w14:textId="77777777">
      <w:pPr>
        <w:pStyle w:val="s5"/>
        <w:spacing w:before="0" w:beforeAutospacing="0" w:after="150" w:afterAutospacing="0"/>
        <w:ind w:left="540" w:hanging="540"/>
        <w:rPr>
          <w:rFonts w:ascii="Arial" w:hAnsi="Arial" w:cs="Arial"/>
          <w:color w:val="000000"/>
          <w:sz w:val="22"/>
          <w:szCs w:val="22"/>
        </w:rPr>
      </w:pPr>
    </w:p>
    <w:p w:rsidR="00F959D9" w:rsidRDefault="00F959D9" w14:paraId="04F1D02A" w14:textId="77777777">
      <w:pPr>
        <w:pStyle w:val="s5"/>
        <w:spacing w:before="0" w:beforeAutospacing="0" w:after="150" w:afterAutospacing="0"/>
        <w:ind w:left="540" w:hanging="540"/>
        <w:rPr>
          <w:rStyle w:val="bumpedfont15"/>
          <w:rFonts w:ascii="Arial" w:hAnsi="Arial" w:cs="Arial"/>
          <w:color w:val="000000"/>
          <w:sz w:val="22"/>
          <w:szCs w:val="22"/>
        </w:rPr>
      </w:pPr>
      <w:r w:rsidRPr="001E54A8">
        <w:rPr>
          <w:rStyle w:val="bumpedfont15"/>
          <w:rFonts w:ascii="Arial" w:hAnsi="Arial" w:cs="Arial"/>
          <w:color w:val="000000"/>
          <w:sz w:val="22"/>
          <w:szCs w:val="22"/>
        </w:rPr>
        <w:t xml:space="preserve">West, M., </w:t>
      </w:r>
      <w:proofErr w:type="spellStart"/>
      <w:r w:rsidRPr="001E54A8">
        <w:rPr>
          <w:rStyle w:val="bumpedfont15"/>
          <w:rFonts w:ascii="Arial" w:hAnsi="Arial" w:cs="Arial"/>
          <w:color w:val="000000"/>
          <w:sz w:val="22"/>
          <w:szCs w:val="22"/>
        </w:rPr>
        <w:t>Eckert</w:t>
      </w:r>
      <w:proofErr w:type="spellEnd"/>
      <w:r w:rsidRPr="001E54A8">
        <w:rPr>
          <w:rStyle w:val="bumpedfont15"/>
          <w:rFonts w:ascii="Arial" w:hAnsi="Arial" w:cs="Arial"/>
          <w:color w:val="000000"/>
          <w:sz w:val="22"/>
          <w:szCs w:val="22"/>
        </w:rPr>
        <w:t xml:space="preserve">, R., Collins, B. and </w:t>
      </w:r>
      <w:proofErr w:type="spellStart"/>
      <w:r w:rsidRPr="001E54A8">
        <w:rPr>
          <w:rStyle w:val="bumpedfont15"/>
          <w:rFonts w:ascii="Arial" w:hAnsi="Arial" w:cs="Arial"/>
          <w:color w:val="000000"/>
          <w:sz w:val="22"/>
          <w:szCs w:val="22"/>
        </w:rPr>
        <w:t>Chowla</w:t>
      </w:r>
      <w:proofErr w:type="spellEnd"/>
      <w:r w:rsidRPr="001E54A8">
        <w:rPr>
          <w:rStyle w:val="bumpedfont15"/>
          <w:rFonts w:ascii="Arial" w:hAnsi="Arial" w:cs="Arial"/>
          <w:color w:val="000000"/>
          <w:sz w:val="22"/>
          <w:szCs w:val="22"/>
        </w:rPr>
        <w:t>, R. (2020) *Caring to Change: How Compassionate Leadership Can Stimulate Innovation in Health Care.* London: The King’s Fund.</w:t>
      </w:r>
    </w:p>
    <w:p w:rsidRPr="001E54A8" w:rsidR="00B05799" w:rsidRDefault="00B05799" w14:paraId="313CFB20" w14:textId="77777777">
      <w:pPr>
        <w:pStyle w:val="s5"/>
        <w:spacing w:before="0" w:beforeAutospacing="0" w:after="150" w:afterAutospacing="0"/>
        <w:ind w:left="540" w:hanging="540"/>
        <w:rPr>
          <w:rFonts w:ascii="Arial" w:hAnsi="Arial" w:cs="Arial"/>
          <w:color w:val="000000"/>
          <w:sz w:val="22"/>
          <w:szCs w:val="22"/>
        </w:rPr>
      </w:pPr>
    </w:p>
    <w:p w:rsidRPr="001E54A8" w:rsidR="00F959D9" w:rsidRDefault="00F959D9" w14:paraId="4BCB9208" w14:textId="77777777">
      <w:pPr>
        <w:pStyle w:val="s5"/>
        <w:spacing w:before="0" w:beforeAutospacing="0" w:after="150" w:afterAutospacing="0"/>
        <w:ind w:left="540" w:hanging="540"/>
        <w:rPr>
          <w:rFonts w:ascii="Arial" w:hAnsi="Arial" w:cs="Arial"/>
          <w:color w:val="000000"/>
          <w:sz w:val="22"/>
          <w:szCs w:val="22"/>
        </w:rPr>
      </w:pPr>
      <w:r w:rsidRPr="001E54A8">
        <w:rPr>
          <w:rStyle w:val="bumpedfont15"/>
          <w:rFonts w:ascii="Arial" w:hAnsi="Arial" w:cs="Arial"/>
          <w:color w:val="000000"/>
          <w:sz w:val="22"/>
          <w:szCs w:val="22"/>
        </w:rPr>
        <w:t xml:space="preserve">World Health </w:t>
      </w:r>
      <w:proofErr w:type="spellStart"/>
      <w:r w:rsidRPr="001E54A8">
        <w:rPr>
          <w:rStyle w:val="bumpedfont15"/>
          <w:rFonts w:ascii="Arial" w:hAnsi="Arial" w:cs="Arial"/>
          <w:color w:val="000000"/>
          <w:sz w:val="22"/>
          <w:szCs w:val="22"/>
        </w:rPr>
        <w:t>Organization</w:t>
      </w:r>
      <w:proofErr w:type="spellEnd"/>
      <w:r w:rsidRPr="001E54A8">
        <w:rPr>
          <w:rStyle w:val="bumpedfont15"/>
          <w:rFonts w:ascii="Arial" w:hAnsi="Arial" w:cs="Arial"/>
          <w:color w:val="000000"/>
          <w:sz w:val="22"/>
          <w:szCs w:val="22"/>
        </w:rPr>
        <w:t xml:space="preserve"> (2023) *Global Report on Diabetes.* [Online] Available at: https://www.who.int/publications/i/item/global-report-on-diabetes [Accessed 29 October 2025].</w:t>
      </w:r>
    </w:p>
    <w:p w:rsidRPr="001E54A8" w:rsidR="00B25BF2" w:rsidP="00C75413" w:rsidRDefault="00B25BF2" w14:paraId="31B1F41F" w14:textId="2CAEC196">
      <w:pPr>
        <w:spacing w:line="360" w:lineRule="auto"/>
        <w:rPr>
          <w:rFonts w:ascii="Arial" w:hAnsi="Arial" w:cs="Arial"/>
        </w:rPr>
      </w:pPr>
    </w:p>
    <w:sectPr w:rsidRPr="001E54A8" w:rsidR="00B25BF2" w:rsidSect="00034616">
      <w:headerReference w:type="default" r:id="rId8"/>
      <w:footerReference w:type="default" r:id="rId9"/>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5208" w:rsidP="0029185D" w:rsidRDefault="00B25208" w14:paraId="38C7A140" w14:textId="77777777">
      <w:pPr>
        <w:spacing w:after="0" w:line="240" w:lineRule="auto"/>
      </w:pPr>
      <w:r>
        <w:separator/>
      </w:r>
    </w:p>
  </w:endnote>
  <w:endnote w:type="continuationSeparator" w:id="0">
    <w:p w:rsidR="00B25208" w:rsidP="0029185D" w:rsidRDefault="00B25208" w14:paraId="59C91A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Ind w:w="-108" w:type="dxa"/>
      <w:tblLayout w:type="fixed"/>
      <w:tblCellMar>
        <w:left w:w="0" w:type="dxa"/>
        <w:right w:w="0" w:type="dxa"/>
      </w:tblCellMar>
      <w:tblLook w:val="06A0" w:firstRow="1" w:lastRow="0" w:firstColumn="1" w:lastColumn="0" w:noHBand="1" w:noVBand="1"/>
    </w:tblPr>
    <w:tblGrid>
      <w:gridCol w:w="2880"/>
      <w:gridCol w:w="2880"/>
      <w:gridCol w:w="2880"/>
    </w:tblGrid>
    <w:tr w:rsidR="2CC38DCD" w:rsidTr="2CC38DCD" w14:paraId="247A8163" w14:textId="77777777">
      <w:trPr>
        <w:trHeight w:val="300"/>
      </w:trPr>
      <w:tc>
        <w:tcPr>
          <w:tcW w:w="2880" w:type="dxa"/>
        </w:tcPr>
        <w:p w:rsidR="2CC38DCD" w:rsidP="2CC38DCD" w:rsidRDefault="2CC38DCD" w14:paraId="79E0A407" w14:textId="3B1DE2CD">
          <w:pPr>
            <w:pStyle w:val="Header"/>
            <w:ind w:left="-115"/>
          </w:pPr>
        </w:p>
      </w:tc>
      <w:tc>
        <w:tcPr>
          <w:tcW w:w="2880" w:type="dxa"/>
        </w:tcPr>
        <w:p w:rsidR="2CC38DCD" w:rsidP="2CC38DCD" w:rsidRDefault="2CC38DCD" w14:paraId="1327890E" w14:textId="5BC730CC">
          <w:pPr>
            <w:pStyle w:val="Header"/>
            <w:jc w:val="center"/>
          </w:pPr>
        </w:p>
      </w:tc>
      <w:tc>
        <w:tcPr>
          <w:tcW w:w="2880" w:type="dxa"/>
        </w:tcPr>
        <w:p w:rsidR="2CC38DCD" w:rsidP="2CC38DCD" w:rsidRDefault="2CC38DCD" w14:paraId="6043D78A" w14:textId="668587F3">
          <w:pPr>
            <w:pStyle w:val="Header"/>
            <w:ind w:right="-115"/>
            <w:jc w:val="right"/>
          </w:pPr>
        </w:p>
      </w:tc>
    </w:tr>
  </w:tbl>
  <w:p w:rsidR="0029185D" w:rsidRDefault="0029185D" w14:paraId="5E1D637B" w14:textId="18B1F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5208" w:rsidP="0029185D" w:rsidRDefault="00B25208" w14:paraId="36B6FC86" w14:textId="77777777">
      <w:pPr>
        <w:spacing w:after="0" w:line="240" w:lineRule="auto"/>
      </w:pPr>
      <w:r>
        <w:separator/>
      </w:r>
    </w:p>
  </w:footnote>
  <w:footnote w:type="continuationSeparator" w:id="0">
    <w:p w:rsidR="00B25208" w:rsidP="0029185D" w:rsidRDefault="00B25208" w14:paraId="6818150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Ind w:w="-108" w:type="dxa"/>
      <w:tblLayout w:type="fixed"/>
      <w:tblCellMar>
        <w:left w:w="0" w:type="dxa"/>
        <w:right w:w="0" w:type="dxa"/>
      </w:tblCellMar>
      <w:tblLook w:val="06A0" w:firstRow="1" w:lastRow="0" w:firstColumn="1" w:lastColumn="0" w:noHBand="1" w:noVBand="1"/>
    </w:tblPr>
    <w:tblGrid>
      <w:gridCol w:w="2880"/>
      <w:gridCol w:w="2880"/>
      <w:gridCol w:w="2880"/>
    </w:tblGrid>
    <w:tr w:rsidR="2CC38DCD" w:rsidTr="2CC38DCD" w14:paraId="0DDADCC8" w14:textId="77777777">
      <w:trPr>
        <w:trHeight w:val="300"/>
      </w:trPr>
      <w:tc>
        <w:tcPr>
          <w:tcW w:w="2880" w:type="dxa"/>
        </w:tcPr>
        <w:p w:rsidR="2CC38DCD" w:rsidP="2CC38DCD" w:rsidRDefault="2CC38DCD" w14:paraId="77918462" w14:textId="65EE383F">
          <w:pPr>
            <w:pStyle w:val="Header"/>
            <w:ind w:left="-115"/>
          </w:pPr>
        </w:p>
      </w:tc>
      <w:tc>
        <w:tcPr>
          <w:tcW w:w="2880" w:type="dxa"/>
        </w:tcPr>
        <w:p w:rsidR="2CC38DCD" w:rsidP="2CC38DCD" w:rsidRDefault="2CC38DCD" w14:paraId="5F72BD6D" w14:textId="12041483">
          <w:pPr>
            <w:pStyle w:val="Header"/>
            <w:jc w:val="center"/>
          </w:pPr>
        </w:p>
      </w:tc>
      <w:tc>
        <w:tcPr>
          <w:tcW w:w="2880" w:type="dxa"/>
        </w:tcPr>
        <w:p w:rsidR="2CC38DCD" w:rsidP="2CC38DCD" w:rsidRDefault="2CC38DCD" w14:paraId="6BF45A4B" w14:textId="0A74EFA8">
          <w:pPr>
            <w:pStyle w:val="Header"/>
            <w:ind w:right="-115"/>
            <w:jc w:val="right"/>
          </w:pPr>
        </w:p>
      </w:tc>
    </w:tr>
  </w:tbl>
  <w:p w:rsidR="0029185D" w:rsidRDefault="0029185D" w14:paraId="5443EC73" w14:textId="4B7FE3F1">
    <w:pPr>
      <w:pStyle w:val="Header"/>
    </w:pPr>
  </w:p>
</w:hdr>
</file>

<file path=word/intelligence2.xml><?xml version="1.0" encoding="utf-8"?>
<int2:intelligence xmlns:int2="http://schemas.microsoft.com/office/intelligence/2020/intelligence" xmlns:oel="http://schemas.microsoft.com/office/2019/extlst">
  <int2:observations>
    <int2:textHash int2:hashCode="gOigg3B4VG+1IR" int2:id="DJsETwU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lvlText w:val=""/>
      <w:lvlJc w:val="left"/>
      <w:pPr>
        <w:tabs>
          <w:tab w:val="num" w:pos="360"/>
        </w:tabs>
        <w:ind w:left="360" w:hanging="360"/>
      </w:pPr>
      <w:rPr>
        <w:rFonts w:hint="default" w:ascii="Symbol" w:hAnsi="Symbol"/>
      </w:rPr>
    </w:lvl>
  </w:abstractNum>
  <w:abstractNum w:abstractNumId="9" w15:restartNumberingAfterBreak="0">
    <w:nsid w:val="2C446345"/>
    <w:multiLevelType w:val="hybridMultilevel"/>
    <w:tmpl w:val="23B2D4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F9033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66909701">
    <w:abstractNumId w:val="5"/>
  </w:num>
  <w:num w:numId="2" w16cid:durableId="1470242738">
    <w:abstractNumId w:val="1"/>
  </w:num>
  <w:num w:numId="3" w16cid:durableId="1479804037">
    <w:abstractNumId w:val="3"/>
  </w:num>
  <w:num w:numId="4" w16cid:durableId="257566279">
    <w:abstractNumId w:val="0"/>
  </w:num>
  <w:num w:numId="5" w16cid:durableId="322899494">
    <w:abstractNumId w:val="4"/>
  </w:num>
  <w:num w:numId="6" w16cid:durableId="384642084">
    <w:abstractNumId w:val="9"/>
  </w:num>
  <w:num w:numId="7" w16cid:durableId="53629910">
    <w:abstractNumId w:val="7"/>
  </w:num>
  <w:num w:numId="8" w16cid:durableId="641272973">
    <w:abstractNumId w:val="6"/>
  </w:num>
  <w:num w:numId="9" w16cid:durableId="843129214">
    <w:abstractNumId w:val="2"/>
  </w:num>
  <w:num w:numId="10" w16cid:durableId="86705447">
    <w:abstractNumId w:val="8"/>
  </w:num>
  <w:num w:numId="11" w16cid:durableId="127625588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619"/>
    <w:rsid w:val="00007B81"/>
    <w:rsid w:val="00021490"/>
    <w:rsid w:val="00031262"/>
    <w:rsid w:val="00034616"/>
    <w:rsid w:val="000455BC"/>
    <w:rsid w:val="00055051"/>
    <w:rsid w:val="000558BD"/>
    <w:rsid w:val="00055BDD"/>
    <w:rsid w:val="0006063C"/>
    <w:rsid w:val="000770FF"/>
    <w:rsid w:val="00077CE1"/>
    <w:rsid w:val="00082EDB"/>
    <w:rsid w:val="000873E7"/>
    <w:rsid w:val="000A4A32"/>
    <w:rsid w:val="000B560F"/>
    <w:rsid w:val="000B79D4"/>
    <w:rsid w:val="000C1100"/>
    <w:rsid w:val="000C4B9D"/>
    <w:rsid w:val="000C7FC9"/>
    <w:rsid w:val="000F5998"/>
    <w:rsid w:val="000F62C7"/>
    <w:rsid w:val="000F6E16"/>
    <w:rsid w:val="00110D76"/>
    <w:rsid w:val="00125ECC"/>
    <w:rsid w:val="0012697A"/>
    <w:rsid w:val="00127DCF"/>
    <w:rsid w:val="00135BA0"/>
    <w:rsid w:val="001434EF"/>
    <w:rsid w:val="001442A6"/>
    <w:rsid w:val="00144E04"/>
    <w:rsid w:val="0015074B"/>
    <w:rsid w:val="00152A65"/>
    <w:rsid w:val="00154A81"/>
    <w:rsid w:val="00160FE6"/>
    <w:rsid w:val="001738A1"/>
    <w:rsid w:val="00190849"/>
    <w:rsid w:val="001A3D8D"/>
    <w:rsid w:val="001B5964"/>
    <w:rsid w:val="001B6E7A"/>
    <w:rsid w:val="001B7AD3"/>
    <w:rsid w:val="001C5DEE"/>
    <w:rsid w:val="001D353B"/>
    <w:rsid w:val="001D42B8"/>
    <w:rsid w:val="001E54A8"/>
    <w:rsid w:val="001F4659"/>
    <w:rsid w:val="0020393B"/>
    <w:rsid w:val="00210594"/>
    <w:rsid w:val="00211BFA"/>
    <w:rsid w:val="002143DB"/>
    <w:rsid w:val="00215EC3"/>
    <w:rsid w:val="002246EB"/>
    <w:rsid w:val="00226F27"/>
    <w:rsid w:val="0023055C"/>
    <w:rsid w:val="00230E91"/>
    <w:rsid w:val="00232A5E"/>
    <w:rsid w:val="002442C2"/>
    <w:rsid w:val="00264E68"/>
    <w:rsid w:val="002664EE"/>
    <w:rsid w:val="00276E67"/>
    <w:rsid w:val="00281401"/>
    <w:rsid w:val="0029185D"/>
    <w:rsid w:val="0029639D"/>
    <w:rsid w:val="002A1750"/>
    <w:rsid w:val="002A20FC"/>
    <w:rsid w:val="002B31B5"/>
    <w:rsid w:val="002C0872"/>
    <w:rsid w:val="002D02FE"/>
    <w:rsid w:val="002E6C5D"/>
    <w:rsid w:val="002F3160"/>
    <w:rsid w:val="00305926"/>
    <w:rsid w:val="00312849"/>
    <w:rsid w:val="00320193"/>
    <w:rsid w:val="003210C4"/>
    <w:rsid w:val="00326F90"/>
    <w:rsid w:val="003354F0"/>
    <w:rsid w:val="00343541"/>
    <w:rsid w:val="00352826"/>
    <w:rsid w:val="0035467C"/>
    <w:rsid w:val="003638EA"/>
    <w:rsid w:val="00364FBF"/>
    <w:rsid w:val="003653CB"/>
    <w:rsid w:val="00365726"/>
    <w:rsid w:val="003717C2"/>
    <w:rsid w:val="003721BA"/>
    <w:rsid w:val="003774C5"/>
    <w:rsid w:val="003779C3"/>
    <w:rsid w:val="00381C68"/>
    <w:rsid w:val="00387788"/>
    <w:rsid w:val="00394D0B"/>
    <w:rsid w:val="003A62AD"/>
    <w:rsid w:val="003C09A7"/>
    <w:rsid w:val="003C3DFC"/>
    <w:rsid w:val="003D25F2"/>
    <w:rsid w:val="003E1F99"/>
    <w:rsid w:val="003E2266"/>
    <w:rsid w:val="003E3A63"/>
    <w:rsid w:val="00400081"/>
    <w:rsid w:val="004107AC"/>
    <w:rsid w:val="00411932"/>
    <w:rsid w:val="00411FB9"/>
    <w:rsid w:val="00434CE4"/>
    <w:rsid w:val="004517D5"/>
    <w:rsid w:val="00456330"/>
    <w:rsid w:val="00456AE0"/>
    <w:rsid w:val="0046039A"/>
    <w:rsid w:val="0046122A"/>
    <w:rsid w:val="0046387E"/>
    <w:rsid w:val="004665CC"/>
    <w:rsid w:val="00472046"/>
    <w:rsid w:val="004938A6"/>
    <w:rsid w:val="004A0807"/>
    <w:rsid w:val="004A397B"/>
    <w:rsid w:val="004B00B7"/>
    <w:rsid w:val="004B7ED6"/>
    <w:rsid w:val="004C3E18"/>
    <w:rsid w:val="004C5D46"/>
    <w:rsid w:val="004D44E6"/>
    <w:rsid w:val="004D5AB6"/>
    <w:rsid w:val="004D7AFB"/>
    <w:rsid w:val="004E328D"/>
    <w:rsid w:val="00503551"/>
    <w:rsid w:val="005041EB"/>
    <w:rsid w:val="00504388"/>
    <w:rsid w:val="00526A42"/>
    <w:rsid w:val="005357A0"/>
    <w:rsid w:val="005451C6"/>
    <w:rsid w:val="00555E47"/>
    <w:rsid w:val="005573B8"/>
    <w:rsid w:val="005675AC"/>
    <w:rsid w:val="00567C16"/>
    <w:rsid w:val="00572FD2"/>
    <w:rsid w:val="00592A5D"/>
    <w:rsid w:val="005A3628"/>
    <w:rsid w:val="005A4907"/>
    <w:rsid w:val="005D7082"/>
    <w:rsid w:val="00607996"/>
    <w:rsid w:val="006132FC"/>
    <w:rsid w:val="006163BF"/>
    <w:rsid w:val="00616DD3"/>
    <w:rsid w:val="006272E0"/>
    <w:rsid w:val="00636B26"/>
    <w:rsid w:val="0064555A"/>
    <w:rsid w:val="006766A2"/>
    <w:rsid w:val="00680368"/>
    <w:rsid w:val="00692B25"/>
    <w:rsid w:val="00693DAF"/>
    <w:rsid w:val="006960CE"/>
    <w:rsid w:val="006A2689"/>
    <w:rsid w:val="006C0C27"/>
    <w:rsid w:val="006C7AB8"/>
    <w:rsid w:val="006D1634"/>
    <w:rsid w:val="006D4274"/>
    <w:rsid w:val="006E01E9"/>
    <w:rsid w:val="007048BC"/>
    <w:rsid w:val="00706997"/>
    <w:rsid w:val="00720DD6"/>
    <w:rsid w:val="00724CCC"/>
    <w:rsid w:val="007279A3"/>
    <w:rsid w:val="00727E78"/>
    <w:rsid w:val="0073336B"/>
    <w:rsid w:val="00744FDA"/>
    <w:rsid w:val="00763716"/>
    <w:rsid w:val="00776376"/>
    <w:rsid w:val="00777ABD"/>
    <w:rsid w:val="00781755"/>
    <w:rsid w:val="007822E8"/>
    <w:rsid w:val="007842A0"/>
    <w:rsid w:val="00786D4D"/>
    <w:rsid w:val="00796288"/>
    <w:rsid w:val="007A2232"/>
    <w:rsid w:val="007B292B"/>
    <w:rsid w:val="007B7CB1"/>
    <w:rsid w:val="007C5439"/>
    <w:rsid w:val="007C74AA"/>
    <w:rsid w:val="007D01BD"/>
    <w:rsid w:val="00803971"/>
    <w:rsid w:val="00806D57"/>
    <w:rsid w:val="00822B33"/>
    <w:rsid w:val="00822D90"/>
    <w:rsid w:val="008346E5"/>
    <w:rsid w:val="00842965"/>
    <w:rsid w:val="0084786B"/>
    <w:rsid w:val="00853BBF"/>
    <w:rsid w:val="0088441B"/>
    <w:rsid w:val="00886753"/>
    <w:rsid w:val="00886C3E"/>
    <w:rsid w:val="00892114"/>
    <w:rsid w:val="008A1136"/>
    <w:rsid w:val="008B0209"/>
    <w:rsid w:val="008B118B"/>
    <w:rsid w:val="008B5C20"/>
    <w:rsid w:val="008D6FE1"/>
    <w:rsid w:val="008E6DF3"/>
    <w:rsid w:val="008F0429"/>
    <w:rsid w:val="0090523B"/>
    <w:rsid w:val="00906A4F"/>
    <w:rsid w:val="00923404"/>
    <w:rsid w:val="0093419E"/>
    <w:rsid w:val="009A4829"/>
    <w:rsid w:val="009C2CF8"/>
    <w:rsid w:val="009C42FF"/>
    <w:rsid w:val="009D113C"/>
    <w:rsid w:val="009D11E1"/>
    <w:rsid w:val="009D65AB"/>
    <w:rsid w:val="009E61A2"/>
    <w:rsid w:val="00A11A95"/>
    <w:rsid w:val="00A30183"/>
    <w:rsid w:val="00A30287"/>
    <w:rsid w:val="00A316D4"/>
    <w:rsid w:val="00A46AC7"/>
    <w:rsid w:val="00A52DAB"/>
    <w:rsid w:val="00A54F69"/>
    <w:rsid w:val="00A66193"/>
    <w:rsid w:val="00A751AB"/>
    <w:rsid w:val="00A8538E"/>
    <w:rsid w:val="00A8784D"/>
    <w:rsid w:val="00A912F3"/>
    <w:rsid w:val="00AA0ADA"/>
    <w:rsid w:val="00AA1081"/>
    <w:rsid w:val="00AA1D8D"/>
    <w:rsid w:val="00AB11DF"/>
    <w:rsid w:val="00AC5C15"/>
    <w:rsid w:val="00AE01BF"/>
    <w:rsid w:val="00AE4169"/>
    <w:rsid w:val="00AF13D0"/>
    <w:rsid w:val="00B02B8A"/>
    <w:rsid w:val="00B05799"/>
    <w:rsid w:val="00B20C27"/>
    <w:rsid w:val="00B21481"/>
    <w:rsid w:val="00B23273"/>
    <w:rsid w:val="00B25208"/>
    <w:rsid w:val="00B25BF2"/>
    <w:rsid w:val="00B3470E"/>
    <w:rsid w:val="00B41BDD"/>
    <w:rsid w:val="00B47730"/>
    <w:rsid w:val="00B62ABE"/>
    <w:rsid w:val="00B8573B"/>
    <w:rsid w:val="00B92419"/>
    <w:rsid w:val="00B93568"/>
    <w:rsid w:val="00BB26DF"/>
    <w:rsid w:val="00BB3D0A"/>
    <w:rsid w:val="00BB4B8A"/>
    <w:rsid w:val="00BD42B9"/>
    <w:rsid w:val="00BE7022"/>
    <w:rsid w:val="00BF2FB8"/>
    <w:rsid w:val="00BF3AB1"/>
    <w:rsid w:val="00BF7B97"/>
    <w:rsid w:val="00C063C1"/>
    <w:rsid w:val="00C133D3"/>
    <w:rsid w:val="00C23B6B"/>
    <w:rsid w:val="00C27180"/>
    <w:rsid w:val="00C30113"/>
    <w:rsid w:val="00C36587"/>
    <w:rsid w:val="00C51A74"/>
    <w:rsid w:val="00C53D30"/>
    <w:rsid w:val="00C542C9"/>
    <w:rsid w:val="00C61D1A"/>
    <w:rsid w:val="00C6246F"/>
    <w:rsid w:val="00C74FF1"/>
    <w:rsid w:val="00C75413"/>
    <w:rsid w:val="00C80E57"/>
    <w:rsid w:val="00C82364"/>
    <w:rsid w:val="00CB0664"/>
    <w:rsid w:val="00CC19ED"/>
    <w:rsid w:val="00CE7B1B"/>
    <w:rsid w:val="00CF4EB7"/>
    <w:rsid w:val="00D02320"/>
    <w:rsid w:val="00D03B3D"/>
    <w:rsid w:val="00D10D10"/>
    <w:rsid w:val="00D26BF3"/>
    <w:rsid w:val="00D35798"/>
    <w:rsid w:val="00D513B9"/>
    <w:rsid w:val="00D60FB7"/>
    <w:rsid w:val="00D67297"/>
    <w:rsid w:val="00D73E9E"/>
    <w:rsid w:val="00D81E22"/>
    <w:rsid w:val="00D834C2"/>
    <w:rsid w:val="00D87787"/>
    <w:rsid w:val="00D9036F"/>
    <w:rsid w:val="00DC076E"/>
    <w:rsid w:val="00DC0B70"/>
    <w:rsid w:val="00DC1685"/>
    <w:rsid w:val="00DD0632"/>
    <w:rsid w:val="00DF4D46"/>
    <w:rsid w:val="00E0164D"/>
    <w:rsid w:val="00E01DED"/>
    <w:rsid w:val="00E052AF"/>
    <w:rsid w:val="00E057B4"/>
    <w:rsid w:val="00E2203B"/>
    <w:rsid w:val="00E223A0"/>
    <w:rsid w:val="00E31E84"/>
    <w:rsid w:val="00E56B1A"/>
    <w:rsid w:val="00E57D19"/>
    <w:rsid w:val="00E6451E"/>
    <w:rsid w:val="00E8062C"/>
    <w:rsid w:val="00EB1FE2"/>
    <w:rsid w:val="00EC373D"/>
    <w:rsid w:val="00EC5C13"/>
    <w:rsid w:val="00EC5F74"/>
    <w:rsid w:val="00EC6784"/>
    <w:rsid w:val="00EF6035"/>
    <w:rsid w:val="00EF6F50"/>
    <w:rsid w:val="00F02791"/>
    <w:rsid w:val="00F13CA2"/>
    <w:rsid w:val="00F30AD9"/>
    <w:rsid w:val="00F36476"/>
    <w:rsid w:val="00F46D33"/>
    <w:rsid w:val="00F50133"/>
    <w:rsid w:val="00F52241"/>
    <w:rsid w:val="00F61A13"/>
    <w:rsid w:val="00F6567A"/>
    <w:rsid w:val="00F73CAD"/>
    <w:rsid w:val="00F76B14"/>
    <w:rsid w:val="00F85545"/>
    <w:rsid w:val="00F8785C"/>
    <w:rsid w:val="00F911CD"/>
    <w:rsid w:val="00F959D9"/>
    <w:rsid w:val="00FA1634"/>
    <w:rsid w:val="00FB3292"/>
    <w:rsid w:val="00FC22A2"/>
    <w:rsid w:val="00FC693F"/>
    <w:rsid w:val="00FD1D42"/>
    <w:rsid w:val="00FE7504"/>
    <w:rsid w:val="00FF009D"/>
    <w:rsid w:val="00FF05FA"/>
    <w:rsid w:val="00FF3392"/>
    <w:rsid w:val="00FF64A6"/>
    <w:rsid w:val="01321D66"/>
    <w:rsid w:val="01F651CE"/>
    <w:rsid w:val="02154968"/>
    <w:rsid w:val="025AA42E"/>
    <w:rsid w:val="03C955ED"/>
    <w:rsid w:val="03EBE75A"/>
    <w:rsid w:val="04308911"/>
    <w:rsid w:val="04864F35"/>
    <w:rsid w:val="0523FA73"/>
    <w:rsid w:val="059543A8"/>
    <w:rsid w:val="06A7BA71"/>
    <w:rsid w:val="0869B9A2"/>
    <w:rsid w:val="08AF452D"/>
    <w:rsid w:val="094EA506"/>
    <w:rsid w:val="0A1AF597"/>
    <w:rsid w:val="0A98DFE4"/>
    <w:rsid w:val="0C7F4DA4"/>
    <w:rsid w:val="0C96F2CE"/>
    <w:rsid w:val="0E0EB9B1"/>
    <w:rsid w:val="0EBFD0FF"/>
    <w:rsid w:val="0F1B711C"/>
    <w:rsid w:val="103B886F"/>
    <w:rsid w:val="10BCBE9D"/>
    <w:rsid w:val="118224FA"/>
    <w:rsid w:val="11DC8FFB"/>
    <w:rsid w:val="1227BD3C"/>
    <w:rsid w:val="1229A599"/>
    <w:rsid w:val="1335AC11"/>
    <w:rsid w:val="13D6701D"/>
    <w:rsid w:val="1444C98D"/>
    <w:rsid w:val="146D64B9"/>
    <w:rsid w:val="159098F8"/>
    <w:rsid w:val="15A5A2CC"/>
    <w:rsid w:val="163122DE"/>
    <w:rsid w:val="1634A96C"/>
    <w:rsid w:val="167A9CED"/>
    <w:rsid w:val="17170AEB"/>
    <w:rsid w:val="173F64CB"/>
    <w:rsid w:val="176835A5"/>
    <w:rsid w:val="17D9955D"/>
    <w:rsid w:val="18155B25"/>
    <w:rsid w:val="18188DC1"/>
    <w:rsid w:val="18637168"/>
    <w:rsid w:val="18FB4478"/>
    <w:rsid w:val="18FEDBAA"/>
    <w:rsid w:val="1902F834"/>
    <w:rsid w:val="197ACF86"/>
    <w:rsid w:val="19A3E05D"/>
    <w:rsid w:val="1A1371A7"/>
    <w:rsid w:val="1B8612EB"/>
    <w:rsid w:val="1BAF9176"/>
    <w:rsid w:val="1BFE9CFC"/>
    <w:rsid w:val="1C11052E"/>
    <w:rsid w:val="1C502014"/>
    <w:rsid w:val="1C7DF71C"/>
    <w:rsid w:val="1C94E05B"/>
    <w:rsid w:val="1CBDE512"/>
    <w:rsid w:val="1D57588C"/>
    <w:rsid w:val="1D9A56C5"/>
    <w:rsid w:val="1E433583"/>
    <w:rsid w:val="1E7DDB35"/>
    <w:rsid w:val="1EDB129E"/>
    <w:rsid w:val="1F3DB1EB"/>
    <w:rsid w:val="1FB7509E"/>
    <w:rsid w:val="1FD2B24F"/>
    <w:rsid w:val="1FDF0194"/>
    <w:rsid w:val="20D65C18"/>
    <w:rsid w:val="21124448"/>
    <w:rsid w:val="2166691E"/>
    <w:rsid w:val="22780C7B"/>
    <w:rsid w:val="22B23A5D"/>
    <w:rsid w:val="23526DC4"/>
    <w:rsid w:val="2390F33D"/>
    <w:rsid w:val="261B1B0A"/>
    <w:rsid w:val="2653CEFF"/>
    <w:rsid w:val="26843040"/>
    <w:rsid w:val="26854740"/>
    <w:rsid w:val="2694AB00"/>
    <w:rsid w:val="26B9E077"/>
    <w:rsid w:val="26D94312"/>
    <w:rsid w:val="270C188D"/>
    <w:rsid w:val="272D9D60"/>
    <w:rsid w:val="27A3422D"/>
    <w:rsid w:val="27BF359E"/>
    <w:rsid w:val="27CB970A"/>
    <w:rsid w:val="280D33AD"/>
    <w:rsid w:val="28A4E068"/>
    <w:rsid w:val="28B53BE6"/>
    <w:rsid w:val="2A3FCE54"/>
    <w:rsid w:val="2B479B93"/>
    <w:rsid w:val="2B60B525"/>
    <w:rsid w:val="2BBD611E"/>
    <w:rsid w:val="2CC38DCD"/>
    <w:rsid w:val="2E54691C"/>
    <w:rsid w:val="2ED41035"/>
    <w:rsid w:val="2F338000"/>
    <w:rsid w:val="2F95D9FC"/>
    <w:rsid w:val="2FC1ED1A"/>
    <w:rsid w:val="30215A8E"/>
    <w:rsid w:val="31487311"/>
    <w:rsid w:val="3272FA92"/>
    <w:rsid w:val="3280EA70"/>
    <w:rsid w:val="3295FBA8"/>
    <w:rsid w:val="332C01D1"/>
    <w:rsid w:val="342B4EAF"/>
    <w:rsid w:val="34A3C534"/>
    <w:rsid w:val="35169945"/>
    <w:rsid w:val="35367FD6"/>
    <w:rsid w:val="35E4B5B3"/>
    <w:rsid w:val="36DB41D8"/>
    <w:rsid w:val="36FFA246"/>
    <w:rsid w:val="3716226C"/>
    <w:rsid w:val="38278BC3"/>
    <w:rsid w:val="3829C4C1"/>
    <w:rsid w:val="384837AC"/>
    <w:rsid w:val="385AA69D"/>
    <w:rsid w:val="386FC129"/>
    <w:rsid w:val="387DA015"/>
    <w:rsid w:val="39119675"/>
    <w:rsid w:val="399AA09D"/>
    <w:rsid w:val="399B431A"/>
    <w:rsid w:val="3AC4A97C"/>
    <w:rsid w:val="3B09C3AC"/>
    <w:rsid w:val="3BA04002"/>
    <w:rsid w:val="3BC08835"/>
    <w:rsid w:val="3BFA4C95"/>
    <w:rsid w:val="3C8E6F5A"/>
    <w:rsid w:val="3CF1A161"/>
    <w:rsid w:val="3E14C79D"/>
    <w:rsid w:val="3EC9CF1E"/>
    <w:rsid w:val="3FDFDA31"/>
    <w:rsid w:val="3FDFE83E"/>
    <w:rsid w:val="3FE82343"/>
    <w:rsid w:val="40004580"/>
    <w:rsid w:val="4016F094"/>
    <w:rsid w:val="405C69EA"/>
    <w:rsid w:val="406456F8"/>
    <w:rsid w:val="4170E4F8"/>
    <w:rsid w:val="41A5B39B"/>
    <w:rsid w:val="427903E8"/>
    <w:rsid w:val="431B792D"/>
    <w:rsid w:val="4356F53A"/>
    <w:rsid w:val="43968359"/>
    <w:rsid w:val="45095E92"/>
    <w:rsid w:val="460E517D"/>
    <w:rsid w:val="46867880"/>
    <w:rsid w:val="4730A09B"/>
    <w:rsid w:val="47509609"/>
    <w:rsid w:val="479E9548"/>
    <w:rsid w:val="47B611DF"/>
    <w:rsid w:val="488C92DF"/>
    <w:rsid w:val="48EA3ADF"/>
    <w:rsid w:val="49EA0767"/>
    <w:rsid w:val="4A237E46"/>
    <w:rsid w:val="4AB1B1D9"/>
    <w:rsid w:val="4AC4BED5"/>
    <w:rsid w:val="4B5A8BF7"/>
    <w:rsid w:val="4BA2F024"/>
    <w:rsid w:val="4CF12B28"/>
    <w:rsid w:val="4D4E772F"/>
    <w:rsid w:val="4DC8031B"/>
    <w:rsid w:val="4DE674E5"/>
    <w:rsid w:val="4E05520B"/>
    <w:rsid w:val="4E1C2E51"/>
    <w:rsid w:val="4E285AFF"/>
    <w:rsid w:val="4FB26864"/>
    <w:rsid w:val="501EA1E6"/>
    <w:rsid w:val="50D1005F"/>
    <w:rsid w:val="52070839"/>
    <w:rsid w:val="5230067A"/>
    <w:rsid w:val="52859627"/>
    <w:rsid w:val="52E2C665"/>
    <w:rsid w:val="53901974"/>
    <w:rsid w:val="5479956F"/>
    <w:rsid w:val="555D2C78"/>
    <w:rsid w:val="5599E47A"/>
    <w:rsid w:val="5616E6FD"/>
    <w:rsid w:val="56C74EAE"/>
    <w:rsid w:val="56CC6D48"/>
    <w:rsid w:val="57187165"/>
    <w:rsid w:val="581E67F8"/>
    <w:rsid w:val="588B16ED"/>
    <w:rsid w:val="59602902"/>
    <w:rsid w:val="5962146E"/>
    <w:rsid w:val="59C9C171"/>
    <w:rsid w:val="5B29AFBD"/>
    <w:rsid w:val="5C2F54AA"/>
    <w:rsid w:val="5CA69CC3"/>
    <w:rsid w:val="5DCE91A8"/>
    <w:rsid w:val="5E11DA4A"/>
    <w:rsid w:val="5E6D0068"/>
    <w:rsid w:val="5E76C240"/>
    <w:rsid w:val="5ECD0151"/>
    <w:rsid w:val="5FF59E30"/>
    <w:rsid w:val="5FFFB697"/>
    <w:rsid w:val="6159E5BC"/>
    <w:rsid w:val="62010F0E"/>
    <w:rsid w:val="6280D1E5"/>
    <w:rsid w:val="62E57FB0"/>
    <w:rsid w:val="632BDF53"/>
    <w:rsid w:val="64A56EFF"/>
    <w:rsid w:val="655D7B69"/>
    <w:rsid w:val="657E5AE6"/>
    <w:rsid w:val="6583BF96"/>
    <w:rsid w:val="65D1BC86"/>
    <w:rsid w:val="6693F174"/>
    <w:rsid w:val="66B21466"/>
    <w:rsid w:val="68181FAC"/>
    <w:rsid w:val="681FD00F"/>
    <w:rsid w:val="6887207D"/>
    <w:rsid w:val="6892C32B"/>
    <w:rsid w:val="68FA1DDD"/>
    <w:rsid w:val="6932AA4D"/>
    <w:rsid w:val="693E8D06"/>
    <w:rsid w:val="694972BA"/>
    <w:rsid w:val="6AC64F9C"/>
    <w:rsid w:val="6B1773A8"/>
    <w:rsid w:val="6B8AD6C5"/>
    <w:rsid w:val="6B9E57A5"/>
    <w:rsid w:val="6C17F211"/>
    <w:rsid w:val="6C6DAC87"/>
    <w:rsid w:val="6E201C12"/>
    <w:rsid w:val="6EA949B5"/>
    <w:rsid w:val="6EBB3A67"/>
    <w:rsid w:val="6F73075C"/>
    <w:rsid w:val="70189B27"/>
    <w:rsid w:val="70510E89"/>
    <w:rsid w:val="70B69409"/>
    <w:rsid w:val="70BFD79B"/>
    <w:rsid w:val="713AE88D"/>
    <w:rsid w:val="71482495"/>
    <w:rsid w:val="7166F240"/>
    <w:rsid w:val="73CF88C4"/>
    <w:rsid w:val="740F13E0"/>
    <w:rsid w:val="7478AE2F"/>
    <w:rsid w:val="753B1FE8"/>
    <w:rsid w:val="767EFA9F"/>
    <w:rsid w:val="76A00581"/>
    <w:rsid w:val="76FD35BD"/>
    <w:rsid w:val="7706FE8D"/>
    <w:rsid w:val="77123C8D"/>
    <w:rsid w:val="7766417D"/>
    <w:rsid w:val="77927475"/>
    <w:rsid w:val="77C2E6A8"/>
    <w:rsid w:val="7853DE66"/>
    <w:rsid w:val="7891E064"/>
    <w:rsid w:val="789C1CCC"/>
    <w:rsid w:val="78F4DB63"/>
    <w:rsid w:val="79AF8EEF"/>
    <w:rsid w:val="79EDC780"/>
    <w:rsid w:val="7B5F0526"/>
    <w:rsid w:val="7BE0AA53"/>
    <w:rsid w:val="7C927FFC"/>
    <w:rsid w:val="7CC95642"/>
    <w:rsid w:val="7D09E405"/>
    <w:rsid w:val="7D20FACE"/>
    <w:rsid w:val="7D2BC6BF"/>
    <w:rsid w:val="7D3DA072"/>
    <w:rsid w:val="7D5F56C5"/>
    <w:rsid w:val="7D8935AD"/>
    <w:rsid w:val="7E211186"/>
    <w:rsid w:val="7E8CEDA8"/>
    <w:rsid w:val="7F0524EC"/>
    <w:rsid w:val="7F574458"/>
    <w:rsid w:val="7FA3AB81"/>
    <w:rsid w:val="7FDE3B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BFC692"/>
  <w14:defaultImageDpi w14:val="300"/>
  <w15:docId w15:val="{2388F0DA-7610-43EC-8F59-29C07443E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tabs>
        <w:tab w:val="num" w:pos="360"/>
      </w:tabs>
      <w:ind w:left="360"/>
      <w:contextualSpacing/>
    </w:pPr>
  </w:style>
  <w:style w:type="paragraph" w:styleId="ListBullet2">
    <w:name w:val="List Bullet 2"/>
    <w:basedOn w:val="Normal"/>
    <w:uiPriority w:val="99"/>
    <w:unhideWhenUsed/>
    <w:rsid w:val="00326F90"/>
    <w:pPr>
      <w:tabs>
        <w:tab w:val="num" w:pos="720"/>
      </w:tabs>
      <w:ind w:left="720"/>
      <w:contextualSpacing/>
    </w:pPr>
  </w:style>
  <w:style w:type="paragraph" w:styleId="ListBullet3">
    <w:name w:val="List Bullet 3"/>
    <w:basedOn w:val="Normal"/>
    <w:uiPriority w:val="99"/>
    <w:unhideWhenUsed/>
    <w:rsid w:val="00326F90"/>
    <w:pPr>
      <w:tabs>
        <w:tab w:val="num" w:pos="1080"/>
      </w:tabs>
      <w:ind w:left="1080"/>
      <w:contextualSpacing/>
    </w:pPr>
  </w:style>
  <w:style w:type="paragraph" w:styleId="ListNumber">
    <w:name w:val="List Number"/>
    <w:basedOn w:val="Normal"/>
    <w:uiPriority w:val="99"/>
    <w:unhideWhenUsed/>
    <w:rsid w:val="00326F90"/>
    <w:pPr>
      <w:tabs>
        <w:tab w:val="num" w:pos="360"/>
      </w:tabs>
      <w:ind w:left="360"/>
      <w:contextualSpacing/>
    </w:pPr>
  </w:style>
  <w:style w:type="paragraph" w:styleId="ListNumber2">
    <w:name w:val="List Number 2"/>
    <w:basedOn w:val="Normal"/>
    <w:uiPriority w:val="99"/>
    <w:unhideWhenUsed/>
    <w:rsid w:val="0029639D"/>
    <w:pPr>
      <w:tabs>
        <w:tab w:val="num" w:pos="720"/>
      </w:tabs>
      <w:contextualSpacing/>
    </w:pPr>
  </w:style>
  <w:style w:type="paragraph" w:styleId="ListNumber3">
    <w:name w:val="List Number 3"/>
    <w:basedOn w:val="Normal"/>
    <w:uiPriority w:val="99"/>
    <w:unhideWhenUsed/>
    <w:rsid w:val="0029639D"/>
    <w:pPr>
      <w:tabs>
        <w:tab w:val="num" w:pos="1080"/>
      </w:tabs>
      <w:ind w:left="1080"/>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style>
  <w:style w:type="table" w:styleId="LightShading">
    <w:name w:val="Light Shading"/>
    <w:basedOn w:val="TableNormal"/>
    <w:uiPriority w:val="60"/>
    <w:rsid w:val="00FC693F"/>
    <w:pPr>
      <w:spacing w:after="0" w:line="240" w:lineRule="auto"/>
    </w:pPr>
    <w:rPr>
      <w:color w:val="000000" w:themeColor="text1" w:themeShade="BF"/>
    </w:rPr>
    <w:tbl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Pr>
    <w:tcPr>
      <w:tcBorders>
        <w:left w:val="nil"/>
        <w:right w:val="nil"/>
      </w:tcBorders>
      <w:shd w:val="clear" w:color="auto" w:fill="DFD8E8" w:themeFill="accent4" w:themeFillTint="3F"/>
    </w:tc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Pr w:type="firstRow">
      <w:pPr>
        <w:spacing w:before="0" w:after="0" w:line="240" w:lineRule="auto"/>
      </w:pPr>
      <w:rPr>
        <w:b/>
        <w:bCs/>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
    <w:name w:val="Light List"/>
    <w:basedOn w:val="TableNormal"/>
    <w:uiPriority w:val="61"/>
    <w:rsid w:val="00FC693F"/>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1">
    <w:name w:val="Light List Accent 1"/>
    <w:basedOn w:val="TableNormal"/>
    <w:uiPriority w:val="61"/>
    <w:rsid w:val="00FC693F"/>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2">
    <w:name w:val="Light List Accent 2"/>
    <w:basedOn w:val="TableNormal"/>
    <w:uiPriority w:val="61"/>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3">
    <w:name w:val="Light List Accent 3"/>
    <w:basedOn w:val="TableNormal"/>
    <w:uiPriority w:val="61"/>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4">
    <w:name w:val="Light List Accent 4"/>
    <w:basedOn w:val="TableNormal"/>
    <w:uiPriority w:val="61"/>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5">
    <w:name w:val="Light List Accent 5"/>
    <w:basedOn w:val="TableNormal"/>
    <w:uiPriority w:val="61"/>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6">
    <w:name w:val="Light List Accent 6"/>
    <w:basedOn w:val="TableNormal"/>
    <w:uiPriority w:val="61"/>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LightGrid">
    <w:name w:val="Light Grid"/>
    <w:basedOn w:val="TableNormal"/>
    <w:uiPriority w:val="62"/>
    <w:rsid w:val="00CB0664"/>
    <w:pPr>
      <w:spacing w:after="0" w:line="240" w:lineRule="auto"/>
    </w:pPr>
    <w:tblPr>
      <w:tblStyleColBandSize w:val="1"/>
    </w:tblPr>
    <w:tblStylePr w:type="firstRow">
      <w:pPr>
        <w:spacing w:before="0" w:after="0" w:line="240" w:lineRule="auto"/>
      </w:pPr>
      <w:rPr>
        <w:rFonts w:asciiTheme="majorHAnsi" w:hAnsiTheme="majorHAnsi" w:eastAsiaTheme="majorEastAsia" w:cstheme="majorBidi"/>
        <w:b/>
        <w:bCs/>
      </w:rPr>
    </w:tblStylePr>
    <w:tblStylePr w:type="lastRow">
      <w:pPr>
        <w:spacing w:before="0" w:after="0" w:line="240" w:lineRule="auto"/>
      </w:pPr>
      <w:rPr>
        <w:rFonts w:asciiTheme="majorHAnsi" w:hAnsiTheme="majorHAnsi" w:eastAsiaTheme="majorEastAsia" w:cstheme="majorBidi"/>
        <w:b/>
        <w:bCs/>
      </w:r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StylePr>
  </w:style>
  <w:style w:type="table" w:styleId="LightGrid-Accent1">
    <w:name w:val="Light Grid Accent 1"/>
    <w:basedOn w:val="TableNormal"/>
    <w:uiPriority w:val="62"/>
    <w:rsid w:val="00CB0664"/>
    <w:pPr>
      <w:spacing w:after="0" w:line="240" w:lineRule="auto"/>
    </w:pPr>
    <w:tblPr>
      <w:tblStyleRowBandSize w:val="1"/>
      <w:tblStyleColBandSize w:val="1"/>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shd w:val="clear" w:color="auto" w:fill="F79646" w:themeFill="accent6"/>
      </w:tcPr>
    </w:tblStylePr>
    <w:tblStylePr w:type="lastRow">
      <w:pPr>
        <w:spacing w:before="0" w:after="0" w:line="240" w:lineRule="auto"/>
      </w:pPr>
      <w:rPr>
        <w:rFonts w:asciiTheme="majorHAnsi" w:hAnsiTheme="majorHAnsi" w:eastAsiaTheme="majorEastAsia" w:cstheme="majorBidi"/>
        <w:b/>
        <w:bCs/>
      </w:r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StylePr>
  </w:style>
  <w:style w:type="table" w:styleId="LightGrid-Accent2">
    <w:name w:val="Light Grid Accent 2"/>
    <w:basedOn w:val="TableNormal"/>
    <w:uiPriority w:val="62"/>
    <w:rsid w:val="00CB0664"/>
    <w:pPr>
      <w:spacing w:after="0" w:line="240" w:lineRule="auto"/>
    </w:pPr>
    <w:tblPr>
      <w:tblStyleRowBandSize w:val="1"/>
      <w:tblStyleColBandSize w:val="1"/>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shd w:val="clear" w:color="auto" w:fill="F79646" w:themeFill="accent6"/>
      </w:tcPr>
    </w:tblStylePr>
    <w:tblStylePr w:type="lastRow">
      <w:pPr>
        <w:spacing w:before="0" w:after="0" w:line="240" w:lineRule="auto"/>
      </w:pPr>
      <w:rPr>
        <w:rFonts w:asciiTheme="majorHAnsi" w:hAnsiTheme="majorHAnsi" w:eastAsiaTheme="majorEastAsia" w:cstheme="majorBidi"/>
        <w:b/>
        <w:bCs/>
      </w:r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StylePr>
  </w:style>
  <w:style w:type="table" w:styleId="LightGrid-Accent3">
    <w:name w:val="Light Grid Accent 3"/>
    <w:basedOn w:val="TableNormal"/>
    <w:uiPriority w:val="62"/>
    <w:rsid w:val="00CB0664"/>
    <w:pPr>
      <w:spacing w:after="0" w:line="240" w:lineRule="auto"/>
    </w:pPr>
    <w:tblPr>
      <w:tblStyleRowBandSize w:val="1"/>
      <w:tblStyleColBandSize w:val="1"/>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ype="firstRow">
      <w:pPr>
        <w:spacing w:before="0" w:after="0" w:line="240" w:lineRule="auto"/>
      </w:pPr>
      <w:rPr>
        <w:rFonts w:asciiTheme="majorHAnsi" w:hAnsiTheme="majorHAnsi" w:eastAsiaTheme="majorEastAsia" w:cstheme="majorBidi"/>
        <w:b/>
        <w:bCs/>
      </w:rPr>
      <w:tblPr>
        <w:tblCellMar>
          <w:top w:w="0" w:type="dxa"/>
          <w:left w:w="0" w:type="dxa"/>
          <w:bottom w:w="0" w:type="dxa"/>
          <w:right w:w="0" w:type="dxa"/>
        </w:tblCellMar>
      </w:tblPr>
      <w:trPr>
        <w:wBefore w:w="0" w:type="nil"/>
      </w:tr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shd w:val="clear" w:color="auto" w:fill="EFD3D2" w:themeFill="accent2" w:themeFillTint="3F"/>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shd w:val="clear" w:color="auto" w:fill="EFD3D2" w:themeFill="accent2" w:themeFillTint="3F"/>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style>
  <w:style w:type="table" w:styleId="LightGrid-Accent4">
    <w:name w:val="Light Grid Accent 4"/>
    <w:basedOn w:val="TableNormal"/>
    <w:uiPriority w:val="62"/>
    <w:rsid w:val="00CB0664"/>
    <w:pPr>
      <w:spacing w:after="0" w:line="240" w:lineRule="auto"/>
    </w:pPr>
    <w:tblPr>
      <w:tblStyleRowBandSize w:val="1"/>
      <w:tblStyleColBandSize w:val="1"/>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ype="firstRow">
      <w:pPr>
        <w:spacing w:before="0" w:after="0" w:line="240" w:lineRule="auto"/>
      </w:pPr>
      <w:rPr>
        <w:rFonts w:asciiTheme="majorHAnsi" w:hAnsiTheme="majorHAnsi" w:eastAsiaTheme="majorEastAsia" w:cstheme="majorBidi"/>
        <w:b/>
        <w:bCs/>
      </w:rPr>
      <w:tblPr>
        <w:tblCellMar>
          <w:top w:w="0" w:type="dxa"/>
          <w:left w:w="0" w:type="dxa"/>
          <w:bottom w:w="0" w:type="dxa"/>
          <w:right w:w="0" w:type="dxa"/>
        </w:tblCellMar>
      </w:tblPr>
      <w:trPr>
        <w:wBefore w:w="0" w:type="nil"/>
      </w:tr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shd w:val="clear" w:color="auto" w:fill="EFD3D2" w:themeFill="accent2" w:themeFillTint="3F"/>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shd w:val="clear" w:color="auto" w:fill="EFD3D2" w:themeFill="accent2" w:themeFillTint="3F"/>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nil"/>
    </w:tblPr>
    <w:tcPr>
      <w:tcBorders>
        <w:left w:val="single" w:color="8064A2" w:themeColor="accent4" w:sz="8" w:space="0"/>
        <w:right w:val="single" w:color="8064A2" w:themeColor="accent4" w:sz="8" w:space="0"/>
      </w:tcBorders>
      <w:shd w:val="clear" w:color="auto" w:fill="DFD8E8" w:themeFill="accent4" w:themeFillTint="3F"/>
    </w:tcPr>
    <w:tblStylePr w:type="firstRow">
      <w:pPr>
        <w:spacing w:before="0" w:after="0" w:line="240" w:lineRule="auto"/>
      </w:pPr>
      <w:rPr>
        <w:rFonts w:asciiTheme="majorHAnsi" w:hAnsiTheme="majorHAnsi" w:eastAsiaTheme="majorEastAsia" w:cstheme="majorBidi"/>
        <w:b/>
        <w:bCs/>
      </w:rPr>
    </w:tblStylePr>
    <w:tblStylePr w:type="lastRow">
      <w:pPr>
        <w:spacing w:before="0" w:after="0" w:line="240" w:lineRule="auto"/>
      </w:pPr>
      <w:rPr>
        <w:rFonts w:asciiTheme="majorHAnsi" w:hAnsiTheme="majorHAnsi" w:eastAsiaTheme="majorEastAsia" w:cstheme="majorBidi"/>
        <w:b/>
        <w:bCs/>
      </w:r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StylePr>
    <w:tblStylePr w:type="band1Vert">
      <w:tblPr/>
      <w:tcPr>
        <w:tcBorders>
          <w:top w:val="single" w:color="000000" w:themeColor="text1" w:sz="8" w:space="0"/>
          <w:left w:val="single" w:color="000000" w:themeColor="text1" w:sz="8" w:space="0"/>
          <w:bottom w:val="single" w:color="000000" w:themeColor="text1" w:sz="8" w:space="0"/>
          <w:right w:val="none" w:color="FF3A56" w:sz="0" w:space="22" w:frame="1"/>
        </w:tcBorders>
      </w:tcPr>
    </w:tblStylePr>
  </w:style>
  <w:style w:type="table" w:styleId="LightGrid-Accent6">
    <w:name w:val="Light Grid Accent 6"/>
    <w:basedOn w:val="TableNormal"/>
    <w:uiPriority w:val="62"/>
    <w:rsid w:val="00CB0664"/>
    <w:pPr>
      <w:spacing w:after="0" w:line="240" w:lineRule="auto"/>
    </w:pPr>
    <w:tblPr/>
    <w:tblStylePr w:type="firstRow">
      <w:pPr>
        <w:spacing w:before="0" w:after="0" w:line="240" w:lineRule="auto"/>
      </w:pPr>
      <w:rPr>
        <w:rFonts w:asciiTheme="majorHAnsi" w:hAnsiTheme="majorHAnsi" w:eastAsiaTheme="majorEastAsia" w:cstheme="majorBidi"/>
        <w:b/>
        <w:bCs/>
      </w:rPr>
    </w:tblStylePr>
    <w:tblStylePr w:type="lastRow">
      <w:pPr>
        <w:spacing w:before="0" w:after="0" w:line="240" w:lineRule="auto"/>
      </w:pPr>
      <w:rPr>
        <w:rFonts w:asciiTheme="majorHAnsi" w:hAnsiTheme="majorHAnsi" w:eastAsiaTheme="majorEastAsia" w:cstheme="majorBidi"/>
        <w:b/>
        <w:bCs/>
      </w:r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StylePr>
  </w:style>
  <w:style w:type="table" w:styleId="MediumShading1">
    <w:name w:val="Medium Shading 1"/>
    <w:basedOn w:val="TableNormal"/>
    <w:uiPriority w:val="63"/>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Pr>
    <w:tcPr>
      <w:tcBorders>
        <w:left w:val="single" w:color="F79646" w:themeColor="accent6" w:sz="8" w:space="0"/>
        <w:right w:val="single" w:color="F79646" w:themeColor="accent6" w:sz="8" w:space="0"/>
      </w:tcBorders>
      <w:shd w:val="clear" w:color="00003A" w:fill="DBE7C4" w:themeFill="accent3" w:themeFillTint="5A" w:themeFillShade="00"/>
    </w:tc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Pr>
    <w:tcPr>
      <w:tcBorders>
        <w:right w:val="single" w:color="F79646" w:themeColor="accent6" w:sz="8" w:space="0"/>
      </w:tcBorders>
      <w:shd w:val="clear" w:color="auto" w:fill="C0C0C0" w:themeFill="text1" w:themeFillTint="3F"/>
    </w:tc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Pr>
    <w:tcPr>
      <w:tcBorders>
        <w:left w:val="single" w:color="F79646" w:themeColor="accent6" w:sz="8" w:space="0"/>
        <w:right w:val="single" w:color="F79646" w:themeColor="accent6" w:sz="8" w:space="0"/>
      </w:tcBorders>
      <w:shd w:val="clear" w:color="auto" w:fill="EFD3D2" w:themeFill="accent2" w:themeFillTint="3F"/>
    </w:tc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4">
    <w:name w:val="Medium Shading 1 Accent 4"/>
    <w:basedOn w:val="TableNormal"/>
    <w:uiPriority w:val="63"/>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5">
    <w:name w:val="Medium Shading 1 Accent 5"/>
    <w:basedOn w:val="TableNormal"/>
    <w:uiPriority w:val="63"/>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6">
    <w:name w:val="Medium Shading 1 Accent 6"/>
    <w:basedOn w:val="TableNormal"/>
    <w:uiPriority w:val="63"/>
    <w:rsid w:val="00CB0664"/>
    <w:pPr>
      <w:spacing w:after="0" w:line="240" w:lineRule="auto"/>
    </w:pPr>
    <w:tblPr/>
    <w:tblStylePr w:type="firstRow">
      <w:pPr>
        <w:spacing w:before="0" w:after="0" w:line="240" w:lineRule="auto"/>
      </w:pPr>
      <w:rPr>
        <w:b/>
        <w:bCs/>
        <w:color w:val="FFFFFF" w:themeColor="background1"/>
      </w:r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2">
    <w:name w:val="Medium Shading 2"/>
    <w:basedOn w:val="TableNormal"/>
    <w:uiPriority w:val="64"/>
    <w:rsid w:val="00CB0664"/>
    <w:pPr>
      <w:spacing w:after="0" w:line="240" w:lineRule="auto"/>
    </w:pPr>
    <w:tblPr>
      <w:tblStyleRowBandSize w:val="1"/>
      <w:tblStyleColBandSize w:val="1"/>
    </w:tblPr>
    <w:tcPr>
      <w:tcBorders>
        <w:top w:val="single" w:color="C0504D" w:themeColor="accent2" w:sz="8" w:space="0"/>
        <w:left w:val="nil"/>
        <w:bottom w:val="single" w:color="C0504D" w:themeColor="accent2" w:sz="18" w:space="0"/>
        <w:right w:val="nil"/>
      </w:tcBorders>
      <w:shd w:val="clear" w:color="auto" w:fill="D8D8D8" w:themeFill="background1" w:themeFillShade="D8"/>
    </w:tcPr>
    <w:tblStylePr w:type="firstRow">
      <w:pPr>
        <w:spacing w:before="0" w:after="0" w:line="240" w:lineRule="auto"/>
      </w:pPr>
      <w:rPr>
        <w:b/>
        <w:bCs/>
        <w:color w:val="FFFFFF" w:themeColor="background1"/>
      </w:rPr>
    </w:tblStylePr>
    <w:tblStylePr w:type="lastRow">
      <w:pPr>
        <w:spacing w:before="0" w:after="0" w:line="240" w:lineRule="auto"/>
      </w:pPr>
      <w:rPr>
        <w:color w:val="auto"/>
      </w:rPr>
    </w:tblStylePr>
    <w:tblStylePr w:type="firstCol">
      <w:rPr>
        <w:b/>
        <w:bCs/>
        <w:color w:val="FFFFFF" w:themeColor="background1"/>
      </w:rPr>
    </w:tblStylePr>
    <w:tblStylePr w:type="lastCol">
      <w:rPr>
        <w:b/>
        <w:bCs/>
        <w:color w:val="FFFFFF" w:themeColor="background1"/>
      </w:r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Pr>
    <w:tcPr>
      <w:tcBorders>
        <w:top w:val="nil"/>
        <w:left w:val="nil"/>
        <w:bottom w:val="single" w:color="auto" w:sz="18" w:space="0"/>
        <w:right w:val="nil"/>
      </w:tcBorders>
      <w:shd w:val="clear" w:color="auto" w:fill="D8D8D8" w:themeFill="background1" w:themeFillShade="D8"/>
    </w:tcPr>
    <w:tblStylePr w:type="firstRow">
      <w:pPr>
        <w:spacing w:before="0" w:after="0" w:line="240" w:lineRule="auto"/>
      </w:pPr>
      <w:rPr>
        <w:b/>
        <w:bCs/>
        <w:color w:val="FFFFFF" w:themeColor="background1"/>
      </w:rPr>
      <w:tblPr>
        <w:tblCellMar>
          <w:top w:w="0" w:type="dxa"/>
          <w:left w:w="0" w:type="dxa"/>
          <w:bottom w:w="0" w:type="dxa"/>
          <w:right w:w="0" w:type="dxa"/>
        </w:tblCellMa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StylePr>
    <w:tblStylePr w:type="lastCol">
      <w:rPr>
        <w:b/>
        <w:bCs/>
        <w:color w:val="FFFFFF" w:themeColor="background1"/>
      </w:r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shd w:val="clear" w:color="auto" w:fill="FDE4D0" w:themeFill="accent6" w:themeFillTint="3F"/>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CellMar>
        <w:left w:w="0" w:type="dxa"/>
        <w:right w:w="0" w:type="dxa"/>
      </w:tblCellMar>
    </w:tblPr>
    <w:tcPr>
      <w:tcBorders>
        <w:top w:val="single" w:color="auto" w:sz="18" w:space="0"/>
        <w:left w:val="nil"/>
        <w:bottom w:val="single" w:color="auto" w:sz="18" w:space="0"/>
        <w:right w:val="nil"/>
      </w:tcBorders>
      <w:shd w:val="clear" w:color="auto" w:fill="D8D8D8" w:themeFill="background1" w:themeFillShade="D8"/>
    </w:tcPr>
    <w:tblStylePr w:type="firstRow">
      <w:pPr>
        <w:spacing w:before="0" w:after="0" w:line="240" w:lineRule="auto"/>
      </w:pPr>
      <w:rPr>
        <w:b/>
        <w:bCs/>
        <w:color w:val="FFFFFF" w:themeColor="background1"/>
      </w:rPr>
      <w:tblPr>
        <w:tblCellMar>
          <w:top w:w="0" w:type="dxa"/>
          <w:left w:w="0" w:type="dxa"/>
          <w:bottom w:w="0" w:type="dxa"/>
          <w:right w:w="0" w:type="dxa"/>
        </w:tblCellMa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StylePr>
    <w:tblStylePr w:type="lastCol">
      <w:rPr>
        <w:b/>
        <w:bCs/>
        <w:color w:val="FFFFFF" w:themeColor="background1"/>
      </w:r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shd w:val="clear" w:color="auto" w:fill="FDE4D0" w:themeFill="accent6" w:themeFillTint="3F"/>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CellMar>
        <w:left w:w="0" w:type="dxa"/>
        <w:right w:w="0" w:type="dxa"/>
      </w:tblCellMar>
    </w:tblPr>
    <w:tcPr>
      <w:tcBorders>
        <w:top w:val="nil"/>
        <w:left w:val="nil"/>
        <w:bottom w:val="single" w:color="auto" w:sz="18" w:space="0"/>
        <w:right w:val="nil"/>
      </w:tcBorders>
      <w:shd w:val="clear" w:color="auto" w:fill="D8D8D8" w:themeFill="background1" w:themeFillShade="D8"/>
    </w:tcPr>
    <w:tblStylePr w:type="firstRow">
      <w:pPr>
        <w:spacing w:before="0" w:after="0" w:line="240" w:lineRule="auto"/>
      </w:pPr>
      <w:rPr>
        <w:b/>
        <w:bCs/>
        <w:color w:val="FFFFFF" w:themeColor="background1"/>
      </w:rPr>
      <w:tblPr>
        <w:tblCellMar>
          <w:top w:w="0" w:type="dxa"/>
          <w:left w:w="0" w:type="dxa"/>
          <w:bottom w:w="0" w:type="dxa"/>
          <w:right w:w="0" w:type="dxa"/>
        </w:tblCellMa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blCellMar>
          <w:top w:w="0" w:type="dxa"/>
          <w:left w:w="0" w:type="dxa"/>
          <w:bottom w:w="0" w:type="dxa"/>
          <w:right w:w="0" w:type="dxa"/>
        </w:tblCellMar>
      </w:tblPr>
      <w:trPr>
        <w:wBefore w:w="0" w:type="nil"/>
      </w:tr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StylePr>
    <w:tblStylePr w:type="lastCol">
      <w:rPr>
        <w:b/>
        <w:bCs/>
        <w:color w:val="FFFFFF" w:themeColor="background1"/>
      </w:rPr>
    </w:tblStylePr>
    <w:tblStylePr w:type="neCell">
      <w:tblPr/>
      <w:tcPr>
        <w:tcBorders>
          <w:top w:val="single" w:color="auto" w:sz="18" w:space="0"/>
          <w:left w:val="nil"/>
          <w:bottom w:val="single" w:color="auto" w:sz="18" w:space="0"/>
          <w:right w:val="nil"/>
          <w:insideH w:val="nil"/>
          <w:insideV w:val="nil"/>
        </w:tcBorders>
        <w:shd w:val="clear" w:color="auto" w:fill="FDE4D0" w:themeFill="accent6" w:themeFillTint="3F"/>
      </w:tcPr>
    </w:tblStylePr>
    <w:tblStylePr w:type="nwCell">
      <w:rPr>
        <w:color w:val="FFFFFF" w:themeColor="background1"/>
      </w:rPr>
      <w:tblPr/>
      <w:tcPr>
        <w:tcBorders>
          <w:top w:val="single" w:color="auto" w:sz="18" w:space="0"/>
          <w:left w:val="nil"/>
          <w:bottom w:val="single" w:color="auto" w:sz="18" w:space="0"/>
          <w:right w:val="nil"/>
          <w:insideH w:val="nil"/>
          <w:insideV w:val="nil"/>
        </w:tcBorders>
        <w:shd w:val="clear" w:color="auto" w:fill="FDE4D0" w:themeFill="accent6" w:themeFillTint="3F"/>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CellMar>
        <w:left w:w="0" w:type="dxa"/>
        <w:right w:w="0" w:type="dxa"/>
      </w:tblCellMar>
    </w:tblPr>
    <w:tcPr>
      <w:tcBorders>
        <w:top w:val="double" w:color="auto" w:sz="6" w:space="0"/>
        <w:left w:val="nil"/>
        <w:bottom w:val="single" w:color="auto" w:sz="18" w:space="0"/>
        <w:right w:val="nil"/>
      </w:tcBorders>
      <w:shd w:val="clear" w:color="auto" w:fill="D8D8D8" w:themeFill="background1" w:themeFillShade="D8"/>
    </w:tcPr>
    <w:tblStylePr w:type="firstRow">
      <w:pPr>
        <w:spacing w:before="0" w:after="0" w:line="240" w:lineRule="auto"/>
      </w:pPr>
      <w:rPr>
        <w:b/>
        <w:bCs/>
        <w:color w:val="FFFFFF" w:themeColor="background1"/>
      </w:rPr>
    </w:tblStylePr>
    <w:tblStylePr w:type="lastRow">
      <w:pPr>
        <w:spacing w:before="0" w:after="0" w:line="240" w:lineRule="auto"/>
      </w:pPr>
      <w:rPr>
        <w:color w:val="auto"/>
      </w:rPr>
    </w:tblStylePr>
    <w:tblStylePr w:type="firstCol">
      <w:rPr>
        <w:b/>
        <w:bCs/>
        <w:color w:val="FFFFFF" w:themeColor="background1"/>
      </w:rPr>
    </w:tblStylePr>
    <w:tblStylePr w:type="lastCol">
      <w:rPr>
        <w:b/>
        <w:bCs/>
        <w:color w:val="FFFFFF" w:themeColor="background1"/>
      </w:rPr>
    </w:tblStylePr>
    <w:tblStylePr w:type="neCell">
      <w:tblPr/>
      <w:tcPr>
        <w:tcBorders>
          <w:top w:val="single" w:color="auto" w:sz="18" w:space="0"/>
          <w:left w:val="confetti" w:color="FFFFFF" w:sz="86" w:space="0"/>
          <w:bottom w:val="single" w:color="auto" w:sz="18" w:space="0"/>
          <w:right w:val="nil"/>
          <w:insideH w:val="confetti" w:color="FFFFFF" w:sz="86" w:space="0"/>
        </w:tcBorders>
        <w:shd w:val="clear" w:color="auto" w:fill="FDE4D0" w:themeFill="accent6" w:themeFillTint="3F"/>
      </w:tcPr>
    </w:tblStylePr>
    <w:tblStylePr w:type="nwCell">
      <w:rPr>
        <w:color w:val="FFFFFF" w:themeColor="background1"/>
      </w:rPr>
      <w:tblPr/>
      <w:tcPr>
        <w:tcBorders>
          <w:top w:val="single" w:color="auto" w:sz="18" w:space="0"/>
          <w:left w:val="nil"/>
          <w:bottom w:val="single" w:color="auto" w:sz="18" w:space="0"/>
          <w:right w:val="nil"/>
          <w:insideH w:val="nil"/>
          <w:insideV w:val="nil"/>
        </w:tcBorders>
        <w:shd w:val="clear" w:color="auto" w:fill="FDE4D0" w:themeFill="accent6" w:themeFillTint="3F"/>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CellMar>
        <w:left w:w="0" w:type="dxa"/>
        <w:right w:w="0" w:type="dxa"/>
      </w:tblCellMar>
    </w:tblPr>
    <w:tcPr>
      <w:tcBorders>
        <w:top w:val="double" w:color="auto" w:sz="6" w:space="0"/>
        <w:left w:val="nil"/>
        <w:bottom w:val="single" w:color="auto" w:sz="18" w:space="0"/>
        <w:right w:val="nil"/>
      </w:tcBorders>
      <w:shd w:val="clear" w:color="auto" w:fill="D8D8D8" w:themeFill="background1" w:themeFillShade="D8"/>
    </w:tcPr>
    <w:tblStylePr w:type="firstRow">
      <w:pPr>
        <w:spacing w:before="0" w:after="0" w:line="240" w:lineRule="auto"/>
      </w:pPr>
      <w:rPr>
        <w:b/>
        <w:bCs/>
        <w:color w:val="FFFFFF" w:themeColor="background1"/>
      </w:rPr>
      <w:tblPr>
        <w:tblCellMar>
          <w:top w:w="0" w:type="dxa"/>
          <w:left w:w="0" w:type="dxa"/>
          <w:bottom w:w="0" w:type="dxa"/>
          <w:right w:w="0" w:type="dxa"/>
        </w:tblCellMa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blCellMar>
          <w:top w:w="0" w:type="dxa"/>
          <w:left w:w="0" w:type="dxa"/>
          <w:bottom w:w="0" w:type="dxa"/>
          <w:right w:w="0" w:type="dxa"/>
        </w:tblCellMar>
      </w:tblPr>
      <w:trPr>
        <w:wBefore w:w="0" w:type="nil"/>
      </w:trPr>
      <w:tcPr>
        <w:tcBorders>
          <w:top w:val="none" w:color="00003A" w:sz="100" w:space="20" w:shadow="1"/>
        </w:tcBorders>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StylePr>
    <w:tblStylePr w:type="neCell">
      <w:tblPr/>
      <w:tcPr>
        <w:tcBorders>
          <w:top w:val="single" w:color="auto" w:sz="18" w:space="0"/>
          <w:left w:val="nil"/>
          <w:bottom w:val="single" w:color="auto" w:sz="18" w:space="0"/>
          <w:right w:val="nil"/>
          <w:insideH w:val="nil"/>
          <w:insideV w:val="nil"/>
        </w:tcBorders>
        <w:shd w:val="clear" w:color="auto" w:fill="FDE4D0" w:themeFill="accent6" w:themeFillTint="3F"/>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Pr>
    <w:tcPr>
      <w:tcBorders>
        <w:top w:val="double" w:color="auto" w:sz="6" w:space="0"/>
        <w:left w:val="nil"/>
        <w:bottom w:val="single" w:color="auto" w:sz="18" w:space="0"/>
        <w:right w:val="nil"/>
      </w:tcBorders>
      <w:shd w:val="clear" w:color="auto" w:fill="D8D8D8" w:themeFill="background1" w:themeFillShade="D8"/>
    </w:tcPr>
    <w:tblStylePr w:type="firstRow">
      <w:pPr>
        <w:spacing w:before="0" w:after="0" w:line="240" w:lineRule="auto"/>
      </w:pPr>
      <w:rPr>
        <w:b/>
        <w:bCs/>
        <w:color w:val="FFFFFF" w:themeColor="background1"/>
      </w:rPr>
    </w:tblStylePr>
    <w:tblStylePr w:type="lastRow">
      <w:pPr>
        <w:spacing w:before="0" w:after="0" w:line="240" w:lineRule="auto"/>
      </w:pPr>
      <w:rPr>
        <w:color w:val="auto"/>
      </w:rPr>
    </w:tblStylePr>
    <w:tblStylePr w:type="firstCol">
      <w:rPr>
        <w:b/>
        <w:bCs/>
        <w:color w:val="FFFFFF" w:themeColor="background1"/>
      </w:rPr>
    </w:tblStylePr>
    <w:tblStylePr w:type="lastCol">
      <w:rPr>
        <w:b/>
        <w:bCs/>
        <w:color w:val="FFFFFF" w:themeColor="background1"/>
      </w:r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celticKnotwork" w:color="auto" w:sz="58" w:space="6" w:shadow="1" w:frame="1"/>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ColBandSize w:val="1"/>
    </w:tblPr>
    <w:tcPr>
      <w:tcBorders>
        <w:top w:val="single" w:color="auto" w:sz="18" w:space="0"/>
        <w:left w:val="nil"/>
        <w:bottom w:val="single" w:color="auto" w:sz="18" w:space="0"/>
        <w:right w:val="nil"/>
      </w:tcBorders>
      <w:shd w:val="clear" w:color="auto" w:fill="8064A2" w:themeFill="accent4"/>
    </w:tcPr>
    <w:tblStylePr w:type="firstRow">
      <w:rPr>
        <w:rFonts w:asciiTheme="majorHAnsi" w:hAnsiTheme="majorHAnsi" w:eastAsiaTheme="majorEastAsia" w:cstheme="majorBidi"/>
      </w:rPr>
    </w:tblStylePr>
    <w:tblStylePr w:type="lastRow">
      <w:rPr>
        <w:b/>
        <w:bCs/>
        <w:color w:val="1F497D" w:themeColor="text2"/>
      </w:rPr>
    </w:tblStylePr>
    <w:tblStylePr w:type="firstCol">
      <w:rPr>
        <w:b/>
        <w:bCs/>
      </w:rPr>
    </w:tblStylePr>
    <w:tblStylePr w:type="lastCol">
      <w:rPr>
        <w:b/>
        <w:bCs/>
      </w:rPr>
    </w:tblStylePr>
  </w:style>
  <w:style w:type="table" w:styleId="MediumList1-Accent1">
    <w:name w:val="Medium List 1 Accent 1"/>
    <w:basedOn w:val="TableNormal"/>
    <w:uiPriority w:val="65"/>
    <w:rsid w:val="00CB0664"/>
    <w:pPr>
      <w:spacing w:after="0" w:line="240" w:lineRule="auto"/>
    </w:pPr>
    <w:rPr>
      <w:color w:val="000000" w:themeColor="text1"/>
    </w:rPr>
    <w:tblPr/>
    <w:tblStylePr w:type="firstRow">
      <w:rPr>
        <w:rFonts w:asciiTheme="majorHAnsi" w:hAnsiTheme="majorHAnsi" w:eastAsiaTheme="majorEastAsia" w:cstheme="majorBidi"/>
      </w:rPr>
    </w:tblStylePr>
    <w:tblStylePr w:type="lastRow">
      <w:rPr>
        <w:b/>
        <w:bCs/>
        <w:color w:val="1F497D" w:themeColor="text2"/>
      </w:rPr>
    </w:tblStylePr>
    <w:tblStylePr w:type="firstCol">
      <w:rPr>
        <w:b/>
        <w:bCs/>
      </w:rPr>
    </w:tblStylePr>
    <w:tblStylePr w:type="lastCol">
      <w:rPr>
        <w:b/>
        <w:bCs/>
      </w:rPr>
    </w:tblStylePr>
  </w:style>
  <w:style w:type="table" w:styleId="MediumList1-Accent2">
    <w:name w:val="Medium List 1 Accent 2"/>
    <w:basedOn w:val="TableNormal"/>
    <w:uiPriority w:val="65"/>
    <w:rsid w:val="00CB0664"/>
    <w:pPr>
      <w:spacing w:after="0" w:line="240" w:lineRule="auto"/>
    </w:pPr>
    <w:rPr>
      <w:color w:val="000000" w:themeColor="text1"/>
    </w:rPr>
    <w:tblPr/>
    <w:tblStylePr w:type="firstRow">
      <w:rPr>
        <w:rFonts w:asciiTheme="majorHAnsi" w:hAnsiTheme="majorHAnsi" w:eastAsiaTheme="majorEastAsia" w:cstheme="majorBidi"/>
      </w:rPr>
    </w:tblStylePr>
    <w:tblStylePr w:type="lastRow">
      <w:rPr>
        <w:b/>
        <w:bCs/>
        <w:color w:val="1F497D" w:themeColor="text2"/>
      </w:rPr>
    </w:tblStylePr>
    <w:tblStylePr w:type="firstCol">
      <w:rPr>
        <w:b/>
        <w:bCs/>
      </w:rPr>
    </w:tblStylePr>
    <w:tblStylePr w:type="lastCol">
      <w:rPr>
        <w:b/>
        <w:bCs/>
      </w:r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Pr>
    <w:tcPr>
      <w:tcBorders>
        <w:top w:val="nil"/>
        <w:left w:val="nil"/>
        <w:bottom w:val="single" w:color="000000" w:themeColor="text1" w:sz="8" w:space="0"/>
        <w:right w:val="nil"/>
      </w:tcBorders>
      <w:shd w:val="clear" w:color="auto" w:fill="E6EED5" w:themeFill="accent3" w:themeFillTint="3F"/>
    </w:tc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blCellMar>
          <w:top w:w="0" w:type="dxa"/>
          <w:left w:w="0" w:type="dxa"/>
          <w:bottom w:w="0" w:type="dxa"/>
          <w:right w:w="0" w:type="dxa"/>
        </w:tblCellMa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StylePr>
  </w:style>
  <w:style w:type="table" w:styleId="MediumList1-Accent4">
    <w:name w:val="Medium List 1 Accent 4"/>
    <w:basedOn w:val="TableNormal"/>
    <w:uiPriority w:val="65"/>
    <w:rsid w:val="00CB0664"/>
    <w:pPr>
      <w:spacing w:after="0" w:line="240" w:lineRule="auto"/>
    </w:pPr>
    <w:rPr>
      <w:color w:val="000000" w:themeColor="text1"/>
    </w:rPr>
    <w:tblPr/>
    <w:tblStylePr w:type="firstRow">
      <w:rPr>
        <w:rFonts w:asciiTheme="majorHAnsi" w:hAnsiTheme="majorHAnsi" w:eastAsiaTheme="majorEastAsia" w:cstheme="majorBidi"/>
      </w:rPr>
    </w:tblStylePr>
    <w:tblStylePr w:type="lastRow">
      <w:rPr>
        <w:b/>
        <w:bCs/>
        <w:color w:val="1F497D" w:themeColor="text2"/>
      </w:rPr>
    </w:tblStylePr>
    <w:tblStylePr w:type="firstCol">
      <w:rPr>
        <w:b/>
        <w:bCs/>
      </w:rPr>
    </w:tblStylePr>
    <w:tblStylePr w:type="lastCol">
      <w:rPr>
        <w:b/>
        <w:bCs/>
      </w:r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Pr>
    <w:tcPr>
      <w:tcBorders>
        <w:top w:val="nil"/>
        <w:left w:val="nil"/>
        <w:bottom w:val="none" w:color="7A2C6C" w:sz="0" w:space="0"/>
        <w:right w:val="nil"/>
      </w:tcBorders>
      <w:shd w:val="clear" w:color="auto" w:fill="D2EAF1" w:themeFill="accent5" w:themeFillTint="3F"/>
    </w:tcPr>
    <w:tblStylePr w:type="firstRow">
      <w:rPr>
        <w:rFonts w:asciiTheme="majorHAnsi" w:hAnsiTheme="majorHAnsi" w:eastAsiaTheme="majorEastAsia" w:cstheme="majorBidi"/>
      </w:rPr>
    </w:tblStylePr>
    <w:tblStylePr w:type="lastRow">
      <w:rPr>
        <w:b/>
        <w:bCs/>
        <w:color w:val="1F497D" w:themeColor="text2"/>
      </w:rPr>
      <w:tblPr>
        <w:tblCellMar>
          <w:top w:w="0" w:type="dxa"/>
          <w:left w:w="0" w:type="dxa"/>
          <w:bottom w:w="0" w:type="dxa"/>
          <w:right w:w="0" w:type="dxa"/>
        </w:tblCellMar>
      </w:tblPr>
      <w:tcPr>
        <w:tcBorders>
          <w:top w:val="nil"/>
        </w:tcBorders>
      </w:tcPr>
    </w:tblStylePr>
    <w:tblStylePr w:type="firstCol">
      <w:rPr>
        <w:b/>
        <w:bCs/>
      </w:rPr>
    </w:tblStylePr>
    <w:tblStylePr w:type="lastCol">
      <w:rPr>
        <w:b/>
        <w:bCs/>
      </w:r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Pr>
    <w:tcPr>
      <w:tcBorders>
        <w:top w:val="nil"/>
        <w:left w:val="nil"/>
        <w:bottom w:val="none" w:color="7A2C6C" w:sz="0" w:space="0"/>
        <w:right w:val="nil"/>
      </w:tcBorders>
      <w:shd w:val="clear" w:color="auto" w:fill="FDE4D0" w:themeFill="accent6" w:themeFillTint="3F"/>
    </w:tcPr>
    <w:tblStylePr w:type="firstRow">
      <w:rPr>
        <w:rFonts w:asciiTheme="majorHAnsi" w:hAnsiTheme="majorHAnsi" w:eastAsiaTheme="majorEastAsia" w:cstheme="majorBidi"/>
      </w:rPr>
    </w:tblStylePr>
    <w:tblStylePr w:type="lastRow">
      <w:rPr>
        <w:b/>
        <w:bCs/>
        <w:color w:val="1F497D" w:themeColor="text2"/>
      </w:rPr>
      <w:tblPr>
        <w:tblCellMar>
          <w:top w:w="0" w:type="dxa"/>
          <w:left w:w="0" w:type="dxa"/>
          <w:bottom w:w="0" w:type="dxa"/>
          <w:right w:w="0" w:type="dxa"/>
        </w:tblCellMar>
      </w:tblPr>
      <w:tcPr>
        <w:tcBorders>
          <w:top w:val="nil"/>
        </w:tcBorders>
      </w:tcPr>
    </w:tblStylePr>
    <w:tblStylePr w:type="firstCol">
      <w:rPr>
        <w:b/>
        <w:bCs/>
      </w:rPr>
    </w:tblStylePr>
    <w:tblStylePr w:type="lastCol">
      <w:rPr>
        <w:b/>
        <w:bCs/>
      </w:r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Pr>
    <w:tcPr>
      <w:tcBorders>
        <w:top w:val="nil"/>
        <w:left w:val="single" w:color="000000" w:themeColor="text1" w:sz="8" w:space="0"/>
        <w:bottom w:val="single" w:color="000000" w:themeColor="text1" w:sz="8" w:space="0"/>
        <w:right w:val="nil"/>
      </w:tcBorders>
      <w:shd w:val="clear" w:color="auto" w:fill="4BACC6" w:themeFill="accent5"/>
    </w:tc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blCellMar>
          <w:top w:w="0" w:type="dxa"/>
          <w:left w:w="0" w:type="dxa"/>
          <w:bottom w:w="0" w:type="dxa"/>
          <w:right w:w="0" w:type="dxa"/>
        </w:tblCellMar>
      </w:tblPr>
      <w:tcPr>
        <w:tcBorders>
          <w:top w:val="single" w:color="000000" w:themeColor="text1" w:sz="8" w:space="0"/>
          <w:left w:val="nil"/>
          <w:bottom w:val="nil"/>
          <w:right w:val="nil"/>
          <w:insideH w:val="nil"/>
          <w:insideV w:val="nil"/>
        </w:tcBorders>
        <w:shd w:val="clear" w:color="auto" w:fill="FFFFFF" w:themeFill="background1"/>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Pr>
    <w:tcPr>
      <w:tcBorders>
        <w:top w:val="nil"/>
        <w:left w:val="single" w:color="000000" w:themeColor="text1" w:sz="8" w:space="0"/>
        <w:bottom w:val="nil"/>
        <w:right w:val="nil"/>
      </w:tcBorders>
      <w:shd w:val="clear" w:color="auto" w:fill="D3DFEE" w:themeFill="accent1" w:themeFillTint="3F"/>
    </w:tc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blCellMar>
          <w:top w:w="0" w:type="dxa"/>
          <w:left w:w="0" w:type="dxa"/>
          <w:bottom w:w="0" w:type="dxa"/>
          <w:right w:w="0" w:type="dxa"/>
        </w:tblCellMar>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CellMar>
        <w:left w:w="0" w:type="dxa"/>
        <w:right w:w="0" w:type="dxa"/>
      </w:tblCellMar>
    </w:tblPr>
    <w:tcPr>
      <w:tcBorders>
        <w:top w:val="nil"/>
        <w:left w:val="single" w:color="C0504D" w:themeColor="accent2" w:sz="8" w:space="0"/>
        <w:bottom w:val="nil"/>
        <w:right w:val="nil"/>
      </w:tcBorders>
      <w:shd w:val="clear" w:color="auto" w:fill="EFD3D2" w:themeFill="accent2" w:themeFillTint="3F"/>
    </w:tcPr>
    <w:tblStylePr w:type="firstRow">
      <w:rPr>
        <w:sz w:val="24"/>
        <w:szCs w:val="24"/>
      </w:r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Pr w:type="firstRow">
      <w:rPr>
        <w:sz w:val="24"/>
        <w:szCs w:val="24"/>
      </w:r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Pr w:type="firstRow">
      <w:rPr>
        <w:sz w:val="24"/>
        <w:szCs w:val="24"/>
      </w:r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Pr w:type="firstRow">
      <w:rPr>
        <w:sz w:val="24"/>
        <w:szCs w:val="24"/>
      </w:r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Pr w:type="firstRow">
      <w:rPr>
        <w:sz w:val="24"/>
        <w:szCs w:val="24"/>
      </w:rPr>
    </w:tblStylePr>
  </w:style>
  <w:style w:type="table" w:styleId="MediumGrid1">
    <w:name w:val="Medium Grid 1"/>
    <w:basedOn w:val="TableNormal"/>
    <w:uiPriority w:val="67"/>
    <w:rsid w:val="00CB0664"/>
    <w:pPr>
      <w:spacing w:after="0" w:line="240" w:lineRule="auto"/>
    </w:pPr>
    <w:tblPr>
      <w:tblStyleRowBandSize w:val="1"/>
      <w:tblStyleColBandSize w:val="1"/>
    </w:tblPr>
    <w:tcPr>
      <w:tcBorders>
        <w:right w:val="nil"/>
      </w:tcBorders>
      <w:shd w:val="clear" w:color="auto" w:fill="C0C0C0" w:themeFill="text1" w:themeFillTint="3F"/>
    </w:tcPr>
    <w:tblStylePr w:type="firstRow">
      <w:rPr>
        <w:b/>
        <w:bCs/>
      </w:rPr>
    </w:tblStylePr>
    <w:tblStylePr w:type="lastRow">
      <w:rPr>
        <w:b/>
        <w:bCs/>
      </w:rPr>
    </w:tblStylePr>
    <w:tblStylePr w:type="firstCol">
      <w:rPr>
        <w:b/>
        <w:bCs/>
      </w:rPr>
    </w:tblStylePr>
    <w:tblStylePr w:type="lastCol">
      <w:rPr>
        <w:b/>
        <w:bCs/>
      </w:rPr>
    </w:tblStylePr>
  </w:style>
  <w:style w:type="table" w:styleId="MediumGrid1-Accent1">
    <w:name w:val="Medium Grid 1 Accent 1"/>
    <w:basedOn w:val="TableNormal"/>
    <w:uiPriority w:val="67"/>
    <w:rsid w:val="00CB066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MediumGrid1-Accent2">
    <w:name w:val="Medium Grid 1 Accent 2"/>
    <w:basedOn w:val="TableNormal"/>
    <w:uiPriority w:val="67"/>
    <w:rsid w:val="00CB066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MediumGrid1-Accent3">
    <w:name w:val="Medium Grid 1 Accent 3"/>
    <w:basedOn w:val="TableNormal"/>
    <w:uiPriority w:val="67"/>
    <w:rsid w:val="00CB066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MediumGrid1-Accent4">
    <w:name w:val="Medium Grid 1 Accent 4"/>
    <w:basedOn w:val="TableNormal"/>
    <w:uiPriority w:val="67"/>
    <w:rsid w:val="00CB066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MediumGrid1-Accent5">
    <w:name w:val="Medium Grid 1 Accent 5"/>
    <w:basedOn w:val="TableNormal"/>
    <w:uiPriority w:val="67"/>
    <w:rsid w:val="00CB066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MediumGrid1-Accent6">
    <w:name w:val="Medium Grid 1 Accent 6"/>
    <w:basedOn w:val="TableNormal"/>
    <w:uiPriority w:val="67"/>
    <w:rsid w:val="00CB066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Pr w:type="firstRow">
      <w:rPr>
        <w:b/>
        <w:bCs/>
        <w:color w:val="000000" w:themeColor="text1"/>
      </w:rPr>
    </w:tblStylePr>
    <w:tblStylePr w:type="lastRow">
      <w:rPr>
        <w:b/>
        <w:bCs/>
        <w:color w:val="000000" w:themeColor="text1"/>
      </w:rPr>
    </w:tblStylePr>
    <w:tblStylePr w:type="firstCol">
      <w:rPr>
        <w:b/>
        <w:bCs/>
        <w:color w:val="000000" w:themeColor="text1"/>
      </w:rPr>
    </w:tblStylePr>
    <w:tblStylePr w:type="lastCol">
      <w:rPr>
        <w:b w:val="0"/>
        <w:bCs w:val="0"/>
        <w:color w:val="000000" w:themeColor="text1"/>
      </w:r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nil"/>
      <w:tblCellMar>
        <w:left w:w="0" w:type="dxa"/>
        <w:right w:w="0" w:type="dxa"/>
      </w:tblCellMar>
    </w:tblPr>
    <w:tcPr>
      <w:tcBorders>
        <w:top w:val="nil"/>
        <w:left w:val="single" w:color="4BACC6" w:themeColor="accent5" w:sz="8" w:space="0"/>
        <w:bottom w:val="nil"/>
        <w:right w:val="nil"/>
      </w:tcBorders>
      <w:shd w:val="clear" w:color="auto" w:fill="D3DFEE" w:themeFill="accent1" w:themeFillTint="3F"/>
    </w:tcPr>
    <w:tblStylePr w:type="firstRow">
      <w:rPr>
        <w:b/>
        <w:bCs/>
        <w:color w:val="000000" w:themeColor="text1"/>
      </w:rPr>
    </w:tblStylePr>
    <w:tblStylePr w:type="lastRow">
      <w:rPr>
        <w:b/>
        <w:bCs/>
        <w:color w:val="000000" w:themeColor="text1"/>
      </w:rPr>
    </w:tblStylePr>
    <w:tblStylePr w:type="firstCol">
      <w:rPr>
        <w:b/>
        <w:bCs/>
        <w:color w:val="000000" w:themeColor="text1"/>
      </w:rPr>
    </w:tblStylePr>
    <w:tblStylePr w:type="lastCol">
      <w:rPr>
        <w:b w:val="0"/>
        <w:bCs w:val="0"/>
        <w:color w:val="000000" w:themeColor="text1"/>
      </w:r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nil"/>
      <w:tblCellMar>
        <w:left w:w="0" w:type="dxa"/>
        <w:right w:w="0" w:type="dxa"/>
      </w:tblCellMar>
    </w:tblPr>
    <w:tcPr>
      <w:tcBorders>
        <w:top w:val="nil"/>
        <w:left w:val="single" w:color="4BACC6" w:themeColor="accent5" w:sz="8" w:space="0"/>
        <w:bottom w:val="nil"/>
        <w:right w:val="nil"/>
      </w:tcBorders>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StylePr>
    <w:tblStylePr w:type="lastCol">
      <w:rPr>
        <w:b w:val="0"/>
        <w:bCs w:val="0"/>
        <w:color w:val="000000" w:themeColor="text1"/>
      </w:r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nil"/>
      <w:tblCellMar>
        <w:left w:w="0" w:type="dxa"/>
        <w:right w:w="0" w:type="dxa"/>
      </w:tblCellMar>
    </w:tblPr>
    <w:tcPr>
      <w:tcBorders>
        <w:top w:val="nil"/>
        <w:left w:val="nil"/>
        <w:bottom w:val="nil"/>
        <w:right w:val="nil"/>
      </w:tcBorders>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StylePr>
    <w:tblStylePr w:type="firstCol">
      <w:rPr>
        <w:b/>
        <w:bCs/>
        <w:color w:val="000000" w:themeColor="text1"/>
      </w:rPr>
    </w:tblStylePr>
    <w:tblStylePr w:type="lastCol">
      <w:rPr>
        <w:b w:val="0"/>
        <w:bCs w:val="0"/>
        <w:color w:val="000000" w:themeColor="text1"/>
      </w:r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Pr>
    <w:tcPr>
      <w:tcBorders>
        <w:top w:val="single" w:color="000000" w:themeColor="text1" w:sz="12" w:space="0"/>
        <w:left w:val="nil"/>
        <w:bottom w:val="nil"/>
        <w:right w:val="nil"/>
      </w:tcBorders>
      <w:shd w:val="clear" w:color="auto" w:fill="DBE5F1" w:themeFill="accent1" w:themeFillTint="33"/>
    </w:tcPr>
    <w:tblStylePr w:type="firstRow">
      <w:rPr>
        <w:b/>
        <w:bCs/>
        <w:color w:val="000000" w:themeColor="text1"/>
      </w:rPr>
      <w:tblPr/>
      <w:tcPr>
        <w:shd w:val="clear" w:color="auto" w:fill="F5F8EE" w:themeFill="accent3" w:themeFillTint="19"/>
      </w:tcPr>
    </w:tblStylePr>
    <w:tblStylePr w:type="lastRow">
      <w:rPr>
        <w:b/>
        <w:bCs/>
        <w:color w:val="000000" w:themeColor="text1"/>
      </w:rPr>
    </w:tblStylePr>
    <w:tblStylePr w:type="firstCol">
      <w:rPr>
        <w:b/>
        <w:bCs/>
        <w:color w:val="000000" w:themeColor="text1"/>
      </w:rPr>
    </w:tblStylePr>
    <w:tblStylePr w:type="lastCol">
      <w:rPr>
        <w:b w:val="0"/>
        <w:bCs w:val="0"/>
        <w:color w:val="000000" w:themeColor="text1"/>
      </w:r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ColBandSize w:val="1"/>
    </w:tblPr>
    <w:tblStylePr w:type="firstRow">
      <w:rPr>
        <w:b/>
        <w:bCs/>
        <w:color w:val="000000" w:themeColor="text1"/>
      </w:rPr>
    </w:tblStylePr>
    <w:tblStylePr w:type="lastRow">
      <w:rPr>
        <w:b/>
        <w:bCs/>
        <w:color w:val="000000" w:themeColor="text1"/>
      </w:rPr>
    </w:tblStylePr>
    <w:tblStylePr w:type="firstCol">
      <w:rPr>
        <w:b/>
        <w:bCs/>
        <w:color w:val="000000" w:themeColor="text1"/>
      </w:rPr>
    </w:tblStylePr>
    <w:tblStylePr w:type="lastCol">
      <w:rPr>
        <w:b w:val="0"/>
        <w:bCs w:val="0"/>
        <w:color w:val="000000" w:themeColor="text1"/>
      </w:r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Pr w:type="firstRow">
      <w:rPr>
        <w:b/>
        <w:bCs/>
        <w:color w:val="000000" w:themeColor="text1"/>
      </w:rPr>
    </w:tblStylePr>
    <w:tblStylePr w:type="lastRow">
      <w:rPr>
        <w:b/>
        <w:bCs/>
        <w:color w:val="000000" w:themeColor="text1"/>
      </w:rPr>
    </w:tblStylePr>
    <w:tblStylePr w:type="firstCol">
      <w:rPr>
        <w:b/>
        <w:bCs/>
        <w:color w:val="000000" w:themeColor="text1"/>
      </w:rPr>
    </w:tblStylePr>
    <w:tblStylePr w:type="lastCol">
      <w:rPr>
        <w:b w:val="0"/>
        <w:bCs w:val="0"/>
        <w:color w:val="000000" w:themeColor="text1"/>
      </w:rPr>
    </w:tblStylePr>
  </w:style>
  <w:style w:type="table" w:styleId="MediumGrid3">
    <w:name w:val="Medium Grid 3"/>
    <w:basedOn w:val="TableNormal"/>
    <w:uiPriority w:val="69"/>
    <w:rsid w:val="00CB0664"/>
    <w:pPr>
      <w:spacing w:after="0" w:line="240" w:lineRule="auto"/>
    </w:pPr>
    <w:tblPr>
      <w:tblStyleRowBandSize w:val="1"/>
      <w:tblStyleColBandSize w:val="1"/>
      <w:tblCellMar>
        <w:left w:w="0" w:type="dxa"/>
        <w:right w:w="0" w:type="dxa"/>
      </w:tblCellMar>
    </w:tblPr>
    <w:tcPr>
      <w:tcBorders>
        <w:top w:val="nil"/>
        <w:left w:val="single" w:color="FFFFFF" w:themeColor="background1" w:sz="8" w:space="0"/>
        <w:bottom w:val="nil"/>
        <w:right w:val="single" w:color="FFFFFF" w:themeColor="background1" w:sz="8" w:space="0"/>
      </w:tcBorders>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blCellMar>
          <w:top w:w="0" w:type="dxa"/>
          <w:left w:w="0" w:type="dxa"/>
          <w:bottom w:w="0" w:type="dxa"/>
          <w:right w:w="0" w:type="dxa"/>
        </w:tblCellMar>
      </w:tblPr>
    </w:tblStylePr>
    <w:tblStylePr w:type="firstCol">
      <w:rPr>
        <w:b/>
        <w:bCs/>
        <w:i w:val="0"/>
        <w:iCs w:val="0"/>
        <w:color w:val="FFFFFF" w:themeColor="background1"/>
      </w:rPr>
    </w:tblStylePr>
    <w:tblStylePr w:type="lastCol">
      <w:rPr>
        <w:b/>
        <w:bCs/>
        <w:i w:val="0"/>
        <w:iCs w:val="0"/>
        <w:color w:val="FFFFFF" w:themeColor="background1"/>
      </w:rPr>
    </w:tblStylePr>
    <w:tblStylePr w:type="nwCell">
      <w:tblPr/>
      <w:tcPr>
        <w:shd w:val="clear" w:color="auto" w:fill="FFFFFF" w:themeFill="background1"/>
      </w:tcPr>
    </w:tblStylePr>
  </w:style>
  <w:style w:type="table" w:styleId="MediumGrid3-Accent1">
    <w:name w:val="Medium Grid 3 Accent 1"/>
    <w:basedOn w:val="TableNormal"/>
    <w:uiPriority w:val="69"/>
    <w:rsid w:val="00CB0664"/>
    <w:pPr>
      <w:spacing w:after="0" w:line="240" w:lineRule="auto"/>
    </w:pPr>
    <w:tblPr>
      <w:tblStyleColBandSize w:val="1"/>
    </w:tblPr>
    <w:tblStylePr w:type="firstRow">
      <w:rPr>
        <w:b/>
        <w:bCs/>
        <w:i w:val="0"/>
        <w:iCs w:val="0"/>
        <w:color w:val="FFFFFF" w:themeColor="background1"/>
      </w:rPr>
    </w:tblStylePr>
    <w:tblStylePr w:type="lastRow">
      <w:rPr>
        <w:b/>
        <w:bCs/>
        <w:i w:val="0"/>
        <w:iCs w:val="0"/>
        <w:color w:val="FFFFFF" w:themeColor="background1"/>
      </w:rPr>
    </w:tblStylePr>
    <w:tblStylePr w:type="firstCol">
      <w:rPr>
        <w:b/>
        <w:bCs/>
        <w:i w:val="0"/>
        <w:iCs w:val="0"/>
        <w:color w:val="FFFFFF" w:themeColor="background1"/>
      </w:rPr>
    </w:tblStylePr>
    <w:tblStylePr w:type="lastCol">
      <w:rPr>
        <w:b/>
        <w:bCs/>
        <w:i w:val="0"/>
        <w:iCs w:val="0"/>
        <w:color w:val="FFFFFF" w:themeColor="background1"/>
      </w:rPr>
    </w:tblStylePr>
  </w:style>
  <w:style w:type="table" w:styleId="MediumGrid3-Accent2">
    <w:name w:val="Medium Grid 3 Accent 2"/>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FD3D2" w:themeFill="accent2" w:themeFillTint="3F"/>
    </w:tcPr>
    <w:tblStylePr w:type="firstRow">
      <w:rPr>
        <w:b/>
        <w:bCs/>
        <w:i w:val="0"/>
        <w:iCs w:val="0"/>
        <w:color w:val="FFFFFF" w:themeColor="background1"/>
      </w:rPr>
    </w:tblStylePr>
    <w:tblStylePr w:type="lastRow">
      <w:rPr>
        <w:b/>
        <w:bCs/>
        <w:i w:val="0"/>
        <w:iCs w:val="0"/>
        <w:color w:val="FFFFFF" w:themeColor="background1"/>
      </w:rPr>
    </w:tblStylePr>
    <w:tblStylePr w:type="firstCol">
      <w:rPr>
        <w:b/>
        <w:bCs/>
        <w:i w:val="0"/>
        <w:iCs w:val="0"/>
        <w:color w:val="FFFFFF" w:themeColor="background1"/>
      </w:rPr>
    </w:tblStylePr>
    <w:tblStylePr w:type="lastCol">
      <w:rPr>
        <w:b/>
        <w:bCs/>
        <w:i w:val="0"/>
        <w:iCs w:val="0"/>
        <w:color w:val="FFFFFF" w:themeColor="background1"/>
      </w:rPr>
    </w:tblStylePr>
    <w:tblStylePr w:type="nwCell">
      <w:tblPr/>
      <w:tcPr>
        <w:shd w:val="clear" w:color="auto" w:fill="FFFFFF" w:themeFill="background1"/>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blCellMar>
          <w:top w:w="0" w:type="dxa"/>
          <w:left w:w="0" w:type="dxa"/>
          <w:bottom w:w="0" w:type="dxa"/>
          <w:right w:w="0" w:type="dxa"/>
        </w:tblCellMar>
      </w:tblPr>
      <w:trPr>
        <w:wBefore w:w="0" w:type="nil"/>
      </w:tr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StylePr>
    <w:tblStylePr w:type="lastCol">
      <w:rPr>
        <w:b/>
        <w:bCs/>
        <w:i w:val="0"/>
        <w:iCs w:val="0"/>
        <w:color w:val="FFFFFF" w:themeColor="background1"/>
      </w:rPr>
    </w:tblStylePr>
    <w:tblStylePr w:type="nwCell">
      <w:tblPr/>
      <w:tcPr>
        <w:shd w:val="clear" w:color="auto" w:fill="FFFFFF" w:themeFill="background1"/>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FD8E8" w:themeFill="accent4" w:themeFillTint="3F"/>
    </w:tcPr>
    <w:tblStylePr w:type="firstRow">
      <w:rPr>
        <w:b/>
        <w:bCs/>
        <w:i w:val="0"/>
        <w:iCs w:val="0"/>
        <w:color w:val="FFFFFF" w:themeColor="background1"/>
      </w:rPr>
      <w:tblPr>
        <w:tblCellMar>
          <w:top w:w="0" w:type="dxa"/>
          <w:left w:w="0" w:type="dxa"/>
          <w:bottom w:w="0" w:type="dxa"/>
          <w:right w:w="0" w:type="dxa"/>
        </w:tblCellMa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blCellMar>
          <w:top w:w="0" w:type="dxa"/>
          <w:left w:w="0" w:type="dxa"/>
          <w:bottom w:w="0" w:type="dxa"/>
          <w:right w:w="0" w:type="dxa"/>
        </w:tblCellMar>
      </w:tblPr>
      <w:trPr>
        <w:wBefore w:w="0" w:type="nil"/>
      </w:tr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StylePr>
    <w:tblStylePr w:type="lastCol">
      <w:rPr>
        <w:b/>
        <w:bCs/>
        <w:i w:val="0"/>
        <w:iCs w:val="0"/>
        <w:color w:val="FFFFFF" w:themeColor="background1"/>
      </w:rPr>
    </w:tblStylePr>
  </w:style>
  <w:style w:type="table" w:styleId="MediumGrid3-Accent5">
    <w:name w:val="Medium Grid 3 Accent 5"/>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2EAF1" w:themeFill="accent5" w:themeFillTint="3F"/>
    </w:tcPr>
    <w:tblStylePr w:type="firstRow">
      <w:rPr>
        <w:b/>
        <w:bCs/>
        <w:i w:val="0"/>
        <w:iCs w:val="0"/>
        <w:color w:val="FFFFFF" w:themeColor="background1"/>
      </w:rPr>
      <w:tblPr>
        <w:tblCellMar>
          <w:top w:w="0" w:type="dxa"/>
          <w:left w:w="0" w:type="dxa"/>
          <w:bottom w:w="0" w:type="dxa"/>
          <w:right w:w="0" w:type="dxa"/>
        </w:tblCellMa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blCellMar>
          <w:top w:w="0" w:type="dxa"/>
          <w:left w:w="0" w:type="dxa"/>
          <w:bottom w:w="0" w:type="dxa"/>
          <w:right w:w="0" w:type="dxa"/>
        </w:tblCellMar>
      </w:tblPr>
      <w:trPr>
        <w:wBefore w:w="0" w:type="nil"/>
      </w:tr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StylePr>
    <w:tblStylePr w:type="lastCol">
      <w:rPr>
        <w:b/>
        <w:bCs/>
        <w:i w:val="0"/>
        <w:iCs w:val="0"/>
        <w:color w:val="FFFFFF" w:themeColor="background1"/>
      </w:r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nil"/>
      <w:tblCellMar>
        <w:left w:w="0" w:type="dxa"/>
        <w:right w:w="0" w:type="dxa"/>
      </w:tblCellMar>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DE4D0" w:themeFill="accent6" w:themeFillTint="3F"/>
    </w:tcPr>
    <w:tblStylePr w:type="firstRow">
      <w:rPr>
        <w:b/>
        <w:bCs/>
        <w:i w:val="0"/>
        <w:iCs w:val="0"/>
        <w:color w:val="FFFFFF" w:themeColor="background1"/>
      </w:rPr>
      <w:tblPr>
        <w:tblCellMar>
          <w:top w:w="0" w:type="dxa"/>
          <w:left w:w="0" w:type="dxa"/>
          <w:bottom w:w="0" w:type="dxa"/>
          <w:right w:w="0" w:type="dxa"/>
        </w:tblCellMa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StylePr>
    <w:tblStylePr w:type="firstCol">
      <w:rPr>
        <w:b/>
        <w:bCs/>
        <w:i w:val="0"/>
        <w:iCs w:val="0"/>
        <w:color w:val="FFFFFF" w:themeColor="background1"/>
      </w:rPr>
      <w:tblPr/>
      <w:tcPr>
        <w:tcBorders>
          <w:top w:val="nil"/>
          <w:left w:val="single" w:color="FFFFFF" w:themeColor="background1" w:sz="8" w:space="0"/>
          <w:bottom w:val="nil"/>
          <w:right w:val="single" w:color="FFFFFF" w:themeColor="background1" w:sz="24" w:space="0"/>
          <w:insideH w:val="nil"/>
          <w:insideV w:val="nil"/>
        </w:tcBorders>
        <w:shd w:val="clear" w:color="auto" w:fill="3A5689"/>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CellMar>
        <w:left w:w="0" w:type="dxa"/>
        <w:right w:w="0" w:type="dxa"/>
      </w:tblCellMar>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000000" w:themeFill="text1"/>
    </w:tcPr>
    <w:tblStylePr w:type="firstRow">
      <w:rPr>
        <w:b/>
        <w:bCs/>
      </w:r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4F81BD" w:themeFill="accent1"/>
    </w:tcPr>
    <w:tblStylePr w:type="firstRow">
      <w:rPr>
        <w:b/>
        <w:bCs/>
      </w:rPr>
      <w:tblPr>
        <w:tblCellMar>
          <w:top w:w="0" w:type="dxa"/>
          <w:left w:w="0" w:type="dxa"/>
          <w:bottom w:w="0" w:type="dxa"/>
          <w:right w:w="0" w:type="dxa"/>
        </w:tblCellMa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blCellMar>
          <w:top w:w="0" w:type="dxa"/>
          <w:left w:w="0" w:type="dxa"/>
          <w:bottom w:w="0" w:type="dxa"/>
          <w:right w:w="0" w:type="dxa"/>
        </w:tblCellMar>
      </w:tblPr>
      <w:trPr>
        <w:wBefore w:w="0" w:type="nil"/>
      </w:trPr>
      <w:tcPr>
        <w:tcBorders>
          <w:top w:val="single" w:color="FFFFFF" w:themeColor="background1" w:sz="18" w:space="0"/>
          <w:left w:val="nil"/>
          <w:bottom w:val="nil"/>
          <w:right w:val="nil"/>
          <w:insideH w:val="nil"/>
          <w:insideV w:val="nil"/>
        </w:tcBorders>
        <w:shd w:val="clear" w:color="auto" w:fill="243F60" w:themeFill="accent1" w:themeFillShade="7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CellMar>
        <w:left w:w="0" w:type="dxa"/>
        <w:right w:w="0" w:type="dxa"/>
      </w:tblCellMar>
    </w:tblPr>
    <w:tcPr>
      <w:tcBorders>
        <w:top w:val="nil"/>
        <w:left w:val="single" w:color="FFFFFF" w:themeColor="background1" w:sz="18" w:space="0"/>
        <w:bottom w:val="nil"/>
        <w:right w:val="nil"/>
      </w:tcBorders>
      <w:shd w:val="clear" w:color="auto" w:fill="C0504D" w:themeFill="accent2"/>
    </w:tcPr>
    <w:tblStylePr w:type="firstRow">
      <w:rPr>
        <w:b/>
        <w:bCs/>
      </w:rPr>
      <w:tblPr>
        <w:tblCellMar>
          <w:top w:w="0" w:type="dxa"/>
          <w:left w:w="0" w:type="dxa"/>
          <w:bottom w:w="0" w:type="dxa"/>
          <w:right w:w="0" w:type="dxa"/>
        </w:tblCellMa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blCellMar>
          <w:top w:w="0" w:type="dxa"/>
          <w:left w:w="0" w:type="dxa"/>
          <w:bottom w:w="0" w:type="dxa"/>
          <w:right w:w="0" w:type="dxa"/>
        </w:tblCellMar>
      </w:tblPr>
      <w:trPr>
        <w:wBefore w:w="0" w:type="nil"/>
      </w:trPr>
      <w:tcPr>
        <w:tcBorders>
          <w:top w:val="single" w:color="FFFFFF" w:themeColor="background1" w:sz="18" w:space="0"/>
          <w:left w:val="nil"/>
          <w:bottom w:val="nil"/>
          <w:right w:val="nil"/>
          <w:insideH w:val="nil"/>
          <w:insideV w:val="nil"/>
        </w:tcBorders>
        <w:shd w:val="clear" w:color="auto" w:fill="243F60" w:themeFill="accent1" w:themeFillShade="7F"/>
      </w:tcPr>
    </w:tblStylePr>
  </w:style>
  <w:style w:type="table" w:styleId="DarkList-Accent3">
    <w:name w:val="Dark List Accent 3"/>
    <w:basedOn w:val="TableNormal"/>
    <w:uiPriority w:val="70"/>
    <w:rsid w:val="00CB0664"/>
    <w:pPr>
      <w:spacing w:after="0" w:line="240" w:lineRule="auto"/>
    </w:pPr>
    <w:rPr>
      <w:color w:val="FFFFFF" w:themeColor="background1"/>
    </w:rPr>
    <w:tblPr>
      <w:tblCellMar>
        <w:left w:w="0" w:type="dxa"/>
        <w:right w:w="0" w:type="dxa"/>
      </w:tblCellMar>
    </w:tblPr>
    <w:tcPr>
      <w:tcBorders>
        <w:top w:val="nil"/>
        <w:left w:val="nil"/>
        <w:bottom w:val="nil"/>
        <w:right w:val="single" w:color="FFFFFF" w:themeColor="background1" w:sz="18" w:space="0"/>
      </w:tcBorders>
      <w:shd w:val="clear" w:color="auto" w:fill="000000" w:themeFill="text1" w:themeFillShade="BF"/>
    </w:tcPr>
    <w:tblStylePr w:type="firstRow">
      <w:rPr>
        <w:b/>
        <w:bCs/>
      </w:rPr>
    </w:tblStylePr>
  </w:style>
  <w:style w:type="table" w:styleId="DarkList-Accent4">
    <w:name w:val="Dark List Accent 4"/>
    <w:basedOn w:val="TableNormal"/>
    <w:uiPriority w:val="70"/>
    <w:rsid w:val="00CB0664"/>
    <w:pPr>
      <w:spacing w:after="0" w:line="240" w:lineRule="auto"/>
    </w:pPr>
    <w:rPr>
      <w:color w:val="FFFFFF" w:themeColor="background1"/>
    </w:rPr>
    <w:tblPr/>
    <w:tblStylePr w:type="firstRow">
      <w:rPr>
        <w:b/>
        <w:bCs/>
      </w:r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blStylePr w:type="firstRow">
      <w:rPr>
        <w:b/>
        <w:bCs/>
      </w:r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blStylePr w:type="firstRow">
      <w:rPr>
        <w:b/>
        <w:bCs/>
      </w:rPr>
    </w:tblStylePr>
  </w:style>
  <w:style w:type="table" w:styleId="ColorfulShading">
    <w:name w:val="Colorful Shading"/>
    <w:basedOn w:val="TableNormal"/>
    <w:uiPriority w:val="71"/>
    <w:rsid w:val="00CB0664"/>
    <w:pPr>
      <w:spacing w:after="0" w:line="240" w:lineRule="auto"/>
    </w:pPr>
    <w:rPr>
      <w:color w:val="000000" w:themeColor="text1"/>
    </w:rPr>
    <w:tblPr>
      <w:tblStyleColBandSize w:val="1"/>
    </w:tblPr>
    <w:tblStylePr w:type="firstRow">
      <w:rPr>
        <w:b/>
        <w:bCs/>
      </w:rPr>
    </w:tblStylePr>
    <w:tblStylePr w:type="lastRow">
      <w:rPr>
        <w:b/>
        <w:bCs/>
        <w:color w:val="FFFFFF" w:themeColor="background1"/>
      </w:rPr>
    </w:tblStylePr>
    <w:tblStylePr w:type="firstCol">
      <w:rPr>
        <w:color w:val="FFFFFF" w:themeColor="background1"/>
      </w:r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left w:val="nil"/>
          <w:bottom w:val="nil"/>
          <w:right w:val="nil"/>
          <w:insideH w:val="nil"/>
          <w:insideV w:val="nil"/>
        </w:tcBorders>
        <w:shd w:val="clear" w:color="auto" w:fill="2C4C74" w:themeFill="accent1" w:themeFillShade="99"/>
      </w:tcPr>
    </w:tblStylePr>
    <w:tblStylePr w:type="firstCol">
      <w:rPr>
        <w:color w:val="FFFFFF" w:themeColor="background1"/>
      </w:rPr>
    </w:tblStylePr>
    <w:tblStylePr w:type="lastCol">
      <w:rPr>
        <w:color w:val="FFFFFF" w:themeColor="background1"/>
      </w:rPr>
    </w:tblStylePr>
    <w:tblStylePr w:type="neCell">
      <w:rPr>
        <w:color w:val="000000" w:themeColor="text1"/>
      </w:rPr>
    </w:tblStylePr>
    <w:tblStylePr w:type="nwCell">
      <w:rPr>
        <w:color w:val="000000" w:themeColor="text1"/>
      </w:rPr>
      <w:tblPr/>
      <w:tcPr>
        <w:tcBorders>
          <w:top w:val="nil"/>
          <w:left w:val="nil"/>
          <w:bottom w:val="nil"/>
          <w:right w:val="nil"/>
          <w:insideH w:val="nil"/>
          <w:insideV w:val="twistedLines1" w:color="3A5692" w:sz="52" w:space="6"/>
        </w:tcBorders>
      </w:tc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left w:val="nil"/>
          <w:bottom w:val="nil"/>
          <w:right w:val="nil"/>
          <w:insideH w:val="nil"/>
          <w:insideV w:val="nil"/>
        </w:tcBorders>
        <w:shd w:val="clear" w:color="auto" w:fill="772C2A" w:themeFill="accent2" w:themeFillShade="99"/>
      </w:tcPr>
    </w:tblStylePr>
    <w:tblStylePr w:type="firstCol">
      <w:rPr>
        <w:color w:val="FFFFFF" w:themeColor="background1"/>
      </w:rPr>
    </w:tblStylePr>
    <w:tblStylePr w:type="lastCol">
      <w:rPr>
        <w:color w:val="FFFFFF" w:themeColor="background1"/>
      </w:rPr>
    </w:tblStylePr>
    <w:tblStylePr w:type="neCell">
      <w:rPr>
        <w:color w:val="000000" w:themeColor="text1"/>
      </w:rPr>
    </w:tblStylePr>
    <w:tblStylePr w:type="nwCell">
      <w:rPr>
        <w:color w:val="000000" w:themeColor="text1"/>
      </w:rPr>
      <w:tblPr/>
      <w:tcPr>
        <w:tcBorders>
          <w:top w:val="nil"/>
          <w:left w:val="nil"/>
          <w:bottom w:val="nil"/>
          <w:right w:val="nil"/>
          <w:insideH w:val="nil"/>
          <w:insideV w:val="twistedLines1" w:color="3A5692" w:sz="52" w:space="6"/>
        </w:tcBorders>
      </w:tc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left w:val="nil"/>
          <w:bottom w:val="nil"/>
          <w:right w:val="nil"/>
          <w:insideH w:val="nil"/>
          <w:insideV w:val="nil"/>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StylePr>
    <w:tblStylePr w:type="nwCell">
      <w:tblPr/>
      <w:tcPr>
        <w:tcBorders>
          <w:top w:val="nil"/>
          <w:left w:val="nil"/>
          <w:bottom w:val="nil"/>
          <w:right w:val="nil"/>
          <w:insideH w:val="nil"/>
          <w:insideV w:val="twistedLines1" w:color="3A5692" w:sz="52" w:space="6"/>
        </w:tcBorders>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2EFF6" w:themeFill="accent4" w:themeFillTint="19"/>
    </w:tcPr>
    <w:tblStylePr w:type="firstRow">
      <w:rPr>
        <w:b/>
        <w:bCs/>
      </w:rPr>
      <w:tblPr>
        <w:tblCellMar>
          <w:top w:w="0" w:type="dxa"/>
          <w:left w:w="0" w:type="dxa"/>
          <w:bottom w:w="0" w:type="dxa"/>
          <w:right w:w="0" w:type="dxa"/>
        </w:tblCellMa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blCellMar>
          <w:top w:w="0" w:type="dxa"/>
          <w:left w:w="0" w:type="dxa"/>
          <w:bottom w:w="0" w:type="dxa"/>
          <w:right w:w="0" w:type="dxa"/>
        </w:tblCellMar>
      </w:tblPr>
      <w:tcPr>
        <w:tcBorders>
          <w:top w:val="single" w:color="FFFFFF" w:themeColor="background1" w:sz="6" w:space="0"/>
          <w:left w:val="nil"/>
          <w:bottom w:val="nil"/>
          <w:right w:val="nil"/>
          <w:insideH w:val="nil"/>
          <w:insideV w:val="nil"/>
        </w:tcBorders>
        <w:shd w:val="clear" w:color="auto" w:fill="4C3B62" w:themeFill="accent4" w:themeFillShade="99"/>
      </w:tcPr>
    </w:tblStylePr>
    <w:tblStylePr w:type="firstCol">
      <w:rPr>
        <w:color w:val="FFFFFF" w:themeColor="background1"/>
      </w:rPr>
      <w:tblPr>
        <w:tblCellMar>
          <w:top w:w="0" w:type="dxa"/>
          <w:left w:w="0" w:type="dxa"/>
          <w:bottom w:w="0" w:type="dxa"/>
          <w:right w:w="0" w:type="dxa"/>
        </w:tblCellMa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neCell">
      <w:rPr>
        <w:color w:val="000000" w:themeColor="text1"/>
      </w:rPr>
      <w:tblPr>
        <w:tblCellMar>
          <w:top w:w="0" w:type="dxa"/>
          <w:left w:w="0" w:type="dxa"/>
          <w:bottom w:w="0" w:type="dxa"/>
          <w:right w:w="0" w:type="dxa"/>
        </w:tblCellMar>
      </w:tbl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CellMar>
        <w:left w:w="0" w:type="dxa"/>
        <w:right w:w="0" w:type="dxa"/>
      </w:tblCellMar>
    </w:tblPr>
    <w:tcPr>
      <w:tcBorders>
        <w:top w:val="nil"/>
        <w:left w:val="nil"/>
        <w:bottom w:val="nil"/>
        <w:right w:val="nil"/>
      </w:tcBorders>
      <w:shd w:val="clear" w:color="auto" w:fill="EDF6F9" w:themeFill="accent5" w:themeFillTint="19"/>
    </w:tcPr>
    <w:tblStylePr w:type="firstRow">
      <w:rPr>
        <w:b/>
        <w:bCs/>
      </w:rPr>
      <w:tblPr>
        <w:tblCellMar>
          <w:top w:w="0" w:type="dxa"/>
          <w:left w:w="0" w:type="dxa"/>
          <w:bottom w:w="0" w:type="dxa"/>
          <w:right w:w="0" w:type="dxa"/>
        </w:tblCellMa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blCellMar>
          <w:top w:w="0" w:type="dxa"/>
          <w:left w:w="0" w:type="dxa"/>
          <w:bottom w:w="0" w:type="dxa"/>
          <w:right w:w="0" w:type="dxa"/>
        </w:tblCellMar>
      </w:tblPr>
      <w:tcPr>
        <w:tcBorders>
          <w:top w:val="single" w:color="FFFFFF" w:themeColor="background1" w:sz="6" w:space="0"/>
          <w:left w:val="nil"/>
          <w:bottom w:val="nil"/>
          <w:right w:val="nil"/>
          <w:insideH w:val="nil"/>
          <w:insideV w:val="nil"/>
        </w:tcBorders>
      </w:tcPr>
    </w:tblStylePr>
    <w:tblStylePr w:type="firstCol">
      <w:rPr>
        <w:color w:val="FFFFFF" w:themeColor="background1"/>
      </w:rPr>
    </w:tblStylePr>
    <w:tblStylePr w:type="lastCol">
      <w:rPr>
        <w:color w:val="FFFFFF" w:themeColor="background1"/>
      </w:rPr>
    </w:tblStylePr>
    <w:tblStylePr w:type="neCell">
      <w:rPr>
        <w:color w:val="000000" w:themeColor="text1"/>
      </w:rPr>
      <w:tblPr>
        <w:tblCellMar>
          <w:top w:w="0" w:type="dxa"/>
          <w:left w:w="0" w:type="dxa"/>
          <w:bottom w:w="0" w:type="dxa"/>
          <w:right w:w="0" w:type="dxa"/>
        </w:tblCellMar>
      </w:tblPr>
    </w:tblStylePr>
    <w:tblStylePr w:type="nwCell">
      <w:rPr>
        <w:color w:val="000000" w:themeColor="text1"/>
      </w:rPr>
      <w:tblPr>
        <w:tblCellMar>
          <w:top w:w="0" w:type="dxa"/>
          <w:left w:w="0" w:type="dxa"/>
          <w:bottom w:w="0" w:type="dxa"/>
          <w:right w:w="0" w:type="dxa"/>
        </w:tblCellMar>
      </w:tbl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CellMar>
        <w:left w:w="0" w:type="dxa"/>
        <w:right w:w="0" w:type="dxa"/>
      </w:tblCellMar>
    </w:tblPr>
    <w:tcPr>
      <w:tcBorders>
        <w:top w:val="nil"/>
        <w:left w:val="nil"/>
        <w:bottom w:val="nil"/>
        <w:right w:val="nil"/>
      </w:tcBorders>
      <w:shd w:val="clear" w:color="auto" w:fill="FEF4EC" w:themeFill="accent6" w:themeFillTint="19"/>
    </w:tcPr>
    <w:tblStylePr w:type="firstRow">
      <w:rPr>
        <w:b/>
        <w:bCs/>
      </w:rPr>
      <w:tblPr>
        <w:tblCellMar>
          <w:top w:w="0" w:type="dxa"/>
          <w:left w:w="0" w:type="dxa"/>
          <w:bottom w:w="0" w:type="dxa"/>
          <w:right w:w="0" w:type="dxa"/>
        </w:tblCellMa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blCellMar>
          <w:top w:w="0" w:type="dxa"/>
          <w:left w:w="0" w:type="dxa"/>
          <w:bottom w:w="0" w:type="dxa"/>
          <w:right w:w="0" w:type="dxa"/>
        </w:tblCellMar>
      </w:tblPr>
      <w:tcPr>
        <w:tcBorders>
          <w:top w:val="single" w:color="FFFFFF" w:themeColor="background1" w:sz="6" w:space="0"/>
          <w:left w:val="nil"/>
          <w:bottom w:val="none" w:color="FFFF3A" w:sz="150" w:space="20" w:shadow="1"/>
          <w:right w:val="nil"/>
          <w:insideH w:val="nil"/>
          <w:insideV w:val="nil"/>
        </w:tcBorders>
        <w:shd w:val="clear" w:color="auto" w:fill="5E7530" w:themeFill="accent3" w:themeFillShade="99"/>
      </w:tcPr>
    </w:tblStylePr>
    <w:tblStylePr w:type="firstCol">
      <w:rPr>
        <w:color w:val="FFFFFF" w:themeColor="background1"/>
      </w:rPr>
    </w:tblStylePr>
    <w:tblStylePr w:type="lastCol">
      <w:rPr>
        <w:color w:val="FFFFFF" w:themeColor="background1"/>
      </w:rPr>
    </w:tblStylePr>
    <w:tblStylePr w:type="neCell">
      <w:rPr>
        <w:color w:val="000000" w:themeColor="text1"/>
      </w:rPr>
    </w:tblStylePr>
    <w:tblStylePr w:type="nwCell">
      <w:rPr>
        <w:color w:val="000000" w:themeColor="text1"/>
      </w:rPr>
      <w:tblPr>
        <w:tblCellMar>
          <w:top w:w="0" w:type="dxa"/>
          <w:left w:w="0" w:type="dxa"/>
          <w:bottom w:w="0" w:type="dxa"/>
          <w:right w:w="0" w:type="dxa"/>
        </w:tblCellMar>
      </w:tbl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CellMar>
        <w:left w:w="0" w:type="dxa"/>
        <w:right w:w="0" w:type="dxa"/>
      </w:tblCellMar>
    </w:tblPr>
    <w:tcPr>
      <w:tcBorders>
        <w:top w:val="nil"/>
        <w:left w:val="nil"/>
        <w:bottom w:val="nil"/>
        <w:right w:val="nil"/>
      </w:tcBorders>
      <w:shd w:val="clear" w:color="auto" w:fill="E6E6E6" w:themeFill="text1" w:themeFillTint="19"/>
    </w:tcPr>
    <w:tblStylePr w:type="firstRow">
      <w:rPr>
        <w:b/>
        <w:bCs/>
        <w:color w:val="FFFFFF" w:themeColor="background1"/>
      </w:rPr>
      <w:tblPr/>
      <w:tcPr>
        <w:tcBorders>
          <w:top w:val="nil"/>
          <w:left w:val="nil"/>
          <w:bottom w:val="single" w:color="FFFFFF" w:themeColor="background1" w:sz="12" w:space="0"/>
          <w:right w:val="nil"/>
          <w:insideH w:val="nil"/>
          <w:insideV w:val="nil"/>
        </w:tcBorders>
        <w:shd w:val="clear" w:color="auto" w:fill="9E3A38" w:themeFill="accent2" w:themeFillShade="CC"/>
      </w:tcPr>
    </w:tblStylePr>
    <w:tblStylePr w:type="lastRow">
      <w:rPr>
        <w:b/>
        <w:bCs/>
        <w:color w:val="9E3A38" w:themeColor="accent2" w:themeShade="CC"/>
      </w:rPr>
    </w:tblStylePr>
    <w:tblStylePr w:type="firstCol">
      <w:rPr>
        <w:b/>
        <w:bCs/>
      </w:rPr>
    </w:tblStylePr>
    <w:tblStylePr w:type="lastCol">
      <w:rPr>
        <w:b/>
        <w:bCs/>
      </w:rPr>
    </w:tblStylePr>
    <w:tblStylePr w:type="nwCell">
      <w:tblPr>
        <w:tblCellMar>
          <w:top w:w="0" w:type="dxa"/>
          <w:left w:w="0" w:type="dxa"/>
          <w:bottom w:w="0" w:type="dxa"/>
          <w:right w:w="0" w:type="dxa"/>
        </w:tblCellMar>
      </w:tblPr>
    </w:tblStylePr>
  </w:style>
  <w:style w:type="table" w:styleId="ColorfulList-Accent1">
    <w:name w:val="Colorful List Accent 1"/>
    <w:basedOn w:val="TableNormal"/>
    <w:uiPriority w:val="72"/>
    <w:rsid w:val="00CB0664"/>
    <w:pPr>
      <w:spacing w:after="0" w:line="240" w:lineRule="auto"/>
    </w:pPr>
    <w:rPr>
      <w:color w:val="000000" w:themeColor="text1"/>
    </w:rPr>
    <w:tblPr/>
    <w:tblStylePr w:type="firstRow">
      <w:rPr>
        <w:b/>
        <w:bCs/>
        <w:color w:val="FFFFFF" w:themeColor="background1"/>
      </w:rPr>
    </w:tblStylePr>
    <w:tblStylePr w:type="lastRow">
      <w:rPr>
        <w:b/>
        <w:bCs/>
        <w:color w:val="9E3A38" w:themeColor="accent2" w:themeShade="CC"/>
      </w:rPr>
    </w:tblStylePr>
    <w:tblStylePr w:type="firstCol">
      <w:rPr>
        <w:b/>
        <w:bCs/>
      </w:rPr>
    </w:tblStylePr>
    <w:tblStylePr w:type="lastCol">
      <w:rPr>
        <w:b/>
        <w:bCs/>
      </w:rPr>
    </w:tblStylePr>
  </w:style>
  <w:style w:type="table" w:styleId="ColorfulList-Accent2">
    <w:name w:val="Colorful List Accent 2"/>
    <w:basedOn w:val="TableNormal"/>
    <w:uiPriority w:val="72"/>
    <w:rsid w:val="00CB0664"/>
    <w:pPr>
      <w:spacing w:after="0" w:line="240" w:lineRule="auto"/>
    </w:pPr>
    <w:rPr>
      <w:color w:val="000000" w:themeColor="text1"/>
    </w:rPr>
    <w:tblPr/>
    <w:tblStylePr w:type="firstRow">
      <w:rPr>
        <w:b/>
        <w:bCs/>
        <w:color w:val="FFFFFF" w:themeColor="background1"/>
      </w:rPr>
    </w:tblStylePr>
    <w:tblStylePr w:type="lastRow">
      <w:rPr>
        <w:b/>
        <w:bCs/>
        <w:color w:val="9E3A38" w:themeColor="accent2" w:themeShade="CC"/>
      </w:rPr>
    </w:tblStylePr>
    <w:tblStylePr w:type="firstCol">
      <w:rPr>
        <w:b/>
        <w:bCs/>
      </w:rPr>
    </w:tblStylePr>
    <w:tblStylePr w:type="lastCol">
      <w:rPr>
        <w:b/>
        <w:bCs/>
      </w:rPr>
    </w:tblStylePr>
  </w:style>
  <w:style w:type="table" w:styleId="ColorfulList-Accent3">
    <w:name w:val="Colorful List Accent 3"/>
    <w:basedOn w:val="TableNormal"/>
    <w:uiPriority w:val="72"/>
    <w:rsid w:val="00CB0664"/>
    <w:pPr>
      <w:spacing w:after="0" w:line="240" w:lineRule="auto"/>
    </w:pPr>
    <w:rPr>
      <w:color w:val="000000" w:themeColor="text1"/>
    </w:rPr>
    <w:tblPr/>
    <w:tblStylePr w:type="firstRow">
      <w:rPr>
        <w:b/>
        <w:bCs/>
        <w:color w:val="FFFFFF" w:themeColor="background1"/>
      </w:rPr>
    </w:tblStylePr>
    <w:tblStylePr w:type="lastRow">
      <w:rPr>
        <w:b/>
        <w:bCs/>
        <w:color w:val="664E82" w:themeColor="accent4" w:themeShade="CC"/>
      </w:rPr>
    </w:tblStylePr>
    <w:tblStylePr w:type="firstCol">
      <w:rPr>
        <w:b/>
        <w:bCs/>
      </w:rPr>
    </w:tblStylePr>
    <w:tblStylePr w:type="lastCol">
      <w:rPr>
        <w:b/>
        <w:bCs/>
      </w:rPr>
    </w:tblStylePr>
  </w:style>
  <w:style w:type="table" w:styleId="ColorfulList-Accent4">
    <w:name w:val="Colorful List Accent 4"/>
    <w:basedOn w:val="TableNormal"/>
    <w:uiPriority w:val="72"/>
    <w:rsid w:val="00CB0664"/>
    <w:pPr>
      <w:spacing w:after="0" w:line="240" w:lineRule="auto"/>
    </w:pPr>
    <w:rPr>
      <w:color w:val="000000" w:themeColor="text1"/>
    </w:rPr>
    <w:tblPr/>
    <w:tblStylePr w:type="firstRow">
      <w:rPr>
        <w:b/>
        <w:bCs/>
        <w:color w:val="FFFFFF" w:themeColor="background1"/>
      </w:rPr>
    </w:tblStylePr>
    <w:tblStylePr w:type="lastRow">
      <w:rPr>
        <w:b/>
        <w:bCs/>
        <w:color w:val="7E9C40" w:themeColor="accent3" w:themeShade="CC"/>
      </w:rPr>
    </w:tblStylePr>
    <w:tblStylePr w:type="firstCol">
      <w:rPr>
        <w:b/>
        <w:bCs/>
      </w:rPr>
    </w:tblStylePr>
    <w:tblStylePr w:type="lastCol">
      <w:rPr>
        <w:b/>
        <w:bCs/>
      </w:rPr>
    </w:tblStylePr>
  </w:style>
  <w:style w:type="table" w:styleId="ColorfulList-Accent5">
    <w:name w:val="Colorful List Accent 5"/>
    <w:basedOn w:val="TableNormal"/>
    <w:uiPriority w:val="72"/>
    <w:rsid w:val="00CB0664"/>
    <w:pPr>
      <w:spacing w:after="0" w:line="240" w:lineRule="auto"/>
    </w:pPr>
    <w:rPr>
      <w:color w:val="000000" w:themeColor="text1"/>
    </w:rPr>
    <w:tblPr/>
    <w:tblStylePr w:type="firstRow">
      <w:rPr>
        <w:b/>
        <w:bCs/>
        <w:color w:val="FFFFFF" w:themeColor="background1"/>
      </w:rPr>
    </w:tblStylePr>
    <w:tblStylePr w:type="lastRow">
      <w:rPr>
        <w:b/>
        <w:bCs/>
        <w:color w:val="F2730A" w:themeColor="accent6" w:themeShade="CC"/>
      </w:rPr>
    </w:tblStylePr>
    <w:tblStylePr w:type="firstCol">
      <w:rPr>
        <w:b/>
        <w:bCs/>
      </w:rPr>
    </w:tblStylePr>
    <w:tblStylePr w:type="lastCol">
      <w:rPr>
        <w:b/>
        <w:bCs/>
      </w:rPr>
    </w:tblStylePr>
  </w:style>
  <w:style w:type="table" w:styleId="ColorfulList-Accent6">
    <w:name w:val="Colorful List Accent 6"/>
    <w:basedOn w:val="TableNormal"/>
    <w:uiPriority w:val="72"/>
    <w:rsid w:val="00CB0664"/>
    <w:pPr>
      <w:spacing w:after="0" w:line="240" w:lineRule="auto"/>
    </w:pPr>
    <w:rPr>
      <w:color w:val="000000" w:themeColor="text1"/>
    </w:rPr>
    <w:tblPr/>
    <w:tblStylePr w:type="firstRow">
      <w:rPr>
        <w:b/>
        <w:bCs/>
        <w:color w:val="FFFFFF" w:themeColor="background1"/>
      </w:rPr>
    </w:tblStylePr>
    <w:tblStylePr w:type="lastRow">
      <w:rPr>
        <w:b/>
        <w:bCs/>
        <w:color w:val="348DA5" w:themeColor="accent5" w:themeShade="CC"/>
      </w:rPr>
    </w:tblStylePr>
    <w:tblStylePr w:type="firstCol">
      <w:rPr>
        <w:b/>
        <w:bCs/>
      </w:rPr>
    </w:tblStylePr>
    <w:tblStylePr w:type="lastCol">
      <w:rPr>
        <w:b/>
        <w:bCs/>
      </w:rPr>
    </w:tblStylePr>
  </w:style>
  <w:style w:type="table" w:styleId="ColorfulGrid">
    <w:name w:val="Colorful Grid"/>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table" w:styleId="ColorfulGrid-Accent1">
    <w:name w:val="Colorful Grid Accent 1"/>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table" w:styleId="ColorfulGrid-Accent2">
    <w:name w:val="Colorful Grid Accent 2"/>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table" w:styleId="ColorfulGrid-Accent3">
    <w:name w:val="Colorful Grid Accent 3"/>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table" w:styleId="ColorfulGrid-Accent4">
    <w:name w:val="Colorful Grid Accent 4"/>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table" w:styleId="ColorfulGrid-Accent5">
    <w:name w:val="Colorful Grid Accent 5"/>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table" w:styleId="ColorfulGrid-Accent6">
    <w:name w:val="Colorful Grid Accent 6"/>
    <w:basedOn w:val="TableNormal"/>
    <w:uiPriority w:val="73"/>
    <w:rsid w:val="00CB0664"/>
    <w:pPr>
      <w:spacing w:after="0" w:line="240" w:lineRule="auto"/>
    </w:pPr>
    <w:rPr>
      <w:color w:val="000000" w:themeColor="text1"/>
    </w:rPr>
    <w:tblPr/>
    <w:tblStylePr w:type="firstRow">
      <w:rPr>
        <w:b/>
        <w:bCs/>
      </w:rPr>
    </w:tblStylePr>
    <w:tblStylePr w:type="lastRow">
      <w:rPr>
        <w:b/>
        <w:bCs/>
        <w:color w:val="000000" w:themeColor="text1"/>
      </w:rPr>
    </w:tblStylePr>
    <w:tblStylePr w:type="firstCol">
      <w:rPr>
        <w:color w:val="FFFFFF" w:themeColor="background1"/>
      </w:rPr>
    </w:tblStylePr>
    <w:tblStylePr w:type="lastCol">
      <w:rPr>
        <w:color w:val="FFFFFF" w:themeColor="background1"/>
      </w:rPr>
    </w:tblStylePr>
  </w:style>
  <w:style w:type="paragraph" w:styleId="s3" w:customStyle="1">
    <w:name w:val="s3"/>
    <w:basedOn w:val="Normal"/>
    <w:rsid w:val="00F13CA2"/>
    <w:pPr>
      <w:spacing w:before="100" w:beforeAutospacing="1" w:after="100" w:afterAutospacing="1" w:line="240" w:lineRule="auto"/>
    </w:pPr>
    <w:rPr>
      <w:rFonts w:ascii="Times New Roman" w:hAnsi="Times New Roman" w:cs="Times New Roman"/>
      <w:sz w:val="24"/>
      <w:szCs w:val="24"/>
      <w:lang w:val="en-GB" w:eastAsia="en-GB"/>
    </w:rPr>
  </w:style>
  <w:style w:type="character" w:styleId="bumpedfont15" w:customStyle="1">
    <w:name w:val="bumpedfont15"/>
    <w:basedOn w:val="DefaultParagraphFont"/>
    <w:rsid w:val="00F13CA2"/>
  </w:style>
  <w:style w:type="character" w:styleId="s4" w:customStyle="1">
    <w:name w:val="s4"/>
    <w:basedOn w:val="DefaultParagraphFont"/>
    <w:rsid w:val="003721BA"/>
  </w:style>
  <w:style w:type="character" w:styleId="apple-converted-space" w:customStyle="1">
    <w:name w:val="apple-converted-space"/>
    <w:basedOn w:val="DefaultParagraphFont"/>
    <w:rsid w:val="003721BA"/>
  </w:style>
  <w:style w:type="paragraph" w:styleId="s5" w:customStyle="1">
    <w:name w:val="s5"/>
    <w:basedOn w:val="Normal"/>
    <w:rsid w:val="004A397B"/>
    <w:pPr>
      <w:spacing w:before="100" w:beforeAutospacing="1" w:after="100" w:afterAutospacing="1" w:line="240" w:lineRule="auto"/>
    </w:pPr>
    <w:rPr>
      <w:rFonts w:ascii="Times New Roman" w:hAnsi="Times New Roman" w:cs="Times New Roman"/>
      <w:sz w:val="24"/>
      <w:szCs w:val="24"/>
      <w:lang w:val="en-GB" w:eastAsia="en-GB"/>
    </w:rPr>
  </w:style>
  <w:style w:type="character" w:styleId="s1" w:customStyle="1">
    <w:name w:val="s1"/>
    <w:basedOn w:val="DefaultParagraphFont"/>
    <w:rsid w:val="00A912F3"/>
  </w:style>
  <w:style w:type="paragraph" w:styleId="p1" w:customStyle="1">
    <w:name w:val="p1"/>
    <w:basedOn w:val="Normal"/>
    <w:rsid w:val="00B3470E"/>
    <w:pPr>
      <w:spacing w:before="100" w:beforeAutospacing="1" w:after="100" w:afterAutospacing="1" w:line="240" w:lineRule="auto"/>
    </w:pPr>
    <w:rPr>
      <w:rFonts w:ascii="Times New Roman" w:hAnsi="Times New Roman" w:cs="Times New Roman"/>
      <w:sz w:val="24"/>
      <w:szCs w:val="24"/>
      <w:lang w:val="en-GB" w:eastAsia="en-GB"/>
    </w:rPr>
  </w:style>
  <w:style w:type="paragraph" w:styleId="p2" w:customStyle="1">
    <w:name w:val="p2"/>
    <w:basedOn w:val="Normal"/>
    <w:rsid w:val="00822B33"/>
    <w:pPr>
      <w:spacing w:before="100" w:beforeAutospacing="1" w:after="100" w:afterAutospacing="1" w:line="240" w:lineRule="auto"/>
    </w:pPr>
    <w:rPr>
      <w:rFonts w:ascii="Times New Roman" w:hAnsi="Times New Roman" w:cs="Times New Roman"/>
      <w:sz w:val="24"/>
      <w:szCs w:val="24"/>
      <w:lang w:val="en-GB" w:eastAsia="en-GB"/>
    </w:rPr>
  </w:style>
  <w:style w:type="character" w:styleId="s2" w:customStyle="1">
    <w:name w:val="s2"/>
    <w:basedOn w:val="DefaultParagraphFont"/>
    <w:rsid w:val="00822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microsoft.com/office/2020/10/relationships/intelligence" Target="intelligence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Sofia Hameed Rafaqat (2131225)</lastModifiedBy>
  <revision>15</revision>
  <dcterms:created xsi:type="dcterms:W3CDTF">2025-11-08T09:34:00.0000000Z</dcterms:created>
  <dcterms:modified xsi:type="dcterms:W3CDTF">2025-11-08T14:46:00.7241075Z</dcterms:modified>
  <category/>
</coreProperties>
</file>