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C93A3E" w14:textId="77777777" w:rsidR="00A57DE5" w:rsidRPr="009A2610" w:rsidRDefault="00A57DE5" w:rsidP="00A57DE5">
      <w:pPr>
        <w:rPr>
          <w:rFonts w:ascii="Arial" w:eastAsiaTheme="minorHAnsi" w:hAnsi="Arial" w:cs="Arial"/>
          <w:color w:val="000000"/>
          <w:kern w:val="0"/>
          <w:sz w:val="22"/>
          <w:szCs w:val="22"/>
          <w:lang w:eastAsia="en-US"/>
        </w:rPr>
      </w:pPr>
      <w:r>
        <w:rPr>
          <w:rFonts w:ascii="Arial" w:eastAsiaTheme="minorHAnsi" w:hAnsi="Arial" w:cs="Arial"/>
          <w:b/>
          <w:bCs/>
          <w:color w:val="000000"/>
          <w:kern w:val="0"/>
          <w:sz w:val="22"/>
          <w:szCs w:val="22"/>
          <w:lang w:eastAsia="en-US"/>
        </w:rPr>
        <w:t>Task One Activity – Similarity Check</w:t>
      </w:r>
    </w:p>
    <w:p w14:paraId="60CC38FC" w14:textId="77777777" w:rsidR="00A57DE5" w:rsidRDefault="00A57DE5" w:rsidP="00A57DE5"/>
    <w:p w14:paraId="15B2FAEF" w14:textId="77777777" w:rsidR="00A57DE5" w:rsidRPr="00430CAD" w:rsidRDefault="00A57DE5" w:rsidP="00A57DE5">
      <w:r w:rsidRPr="00430CAD">
        <w:t>Success in both academic and professional environments relies heavily on a combination of core transferable skills, including critical thinking, problem-solving, time management, adaptability, and communication. These skills enable individuals to think logically, manage their responsibilities effectively, adapt to change, and share ideas clearly with others. Together, they form the foundation for independent learning, teamwork, and strong performance.</w:t>
      </w:r>
      <w:sdt>
        <w:sdtPr>
          <w:id w:val="-1074895613"/>
          <w:citation/>
        </w:sdtPr>
        <w:sdtContent>
          <w:r>
            <w:fldChar w:fldCharType="begin"/>
          </w:r>
          <w:r>
            <w:instrText xml:space="preserve"> CITATION Ste13 \l 2057 </w:instrText>
          </w:r>
          <w:r>
            <w:fldChar w:fldCharType="separate"/>
          </w:r>
          <w:r>
            <w:rPr>
              <w:noProof/>
            </w:rPr>
            <w:t xml:space="preserve"> </w:t>
          </w:r>
          <w:r w:rsidRPr="00DC0E75">
            <w:rPr>
              <w:noProof/>
            </w:rPr>
            <w:t>[1]</w:t>
          </w:r>
          <w:r>
            <w:fldChar w:fldCharType="end"/>
          </w:r>
        </w:sdtContent>
      </w:sdt>
    </w:p>
    <w:p w14:paraId="0E515F12" w14:textId="77777777" w:rsidR="00A57DE5" w:rsidRPr="008745FE" w:rsidRDefault="00A57DE5" w:rsidP="00A57DE5">
      <w:r w:rsidRPr="008745FE">
        <w:t>Critical thinking is essential for analysing and evaluating information from multiple sources. By comparing perspectives and weighing evidence, individuals can confirm accuracy, identify bias, and develop a reliable understanding of complex topics. This process supports informed decision-making and helps to avoid misinformation.</w:t>
      </w:r>
      <w:sdt>
        <w:sdtPr>
          <w:id w:val="76404469"/>
          <w:citation/>
        </w:sdtPr>
        <w:sdtContent>
          <w:r>
            <w:fldChar w:fldCharType="begin"/>
          </w:r>
          <w:r>
            <w:instrText xml:space="preserve"> CITATION Pet151 \l 2057 </w:instrText>
          </w:r>
          <w:r>
            <w:fldChar w:fldCharType="separate"/>
          </w:r>
          <w:r>
            <w:rPr>
              <w:noProof/>
            </w:rPr>
            <w:t xml:space="preserve"> </w:t>
          </w:r>
          <w:r w:rsidRPr="00DC0E75">
            <w:rPr>
              <w:noProof/>
            </w:rPr>
            <w:t>[2]</w:t>
          </w:r>
          <w:r>
            <w:fldChar w:fldCharType="end"/>
          </w:r>
        </w:sdtContent>
      </w:sdt>
    </w:p>
    <w:p w14:paraId="62B8EA83" w14:textId="77777777" w:rsidR="00A57DE5" w:rsidRPr="008745FE" w:rsidRDefault="00A57DE5" w:rsidP="00A57DE5">
      <w:r w:rsidRPr="008745FE">
        <w:t>Time management is another vital skill that allows individuals to prioritise tasks, plan effectively, and meet deadlines. Setting clear goals and managing time efficiently improve productivity and reliability in both study and work contexts.</w:t>
      </w:r>
      <w:sdt>
        <w:sdtPr>
          <w:id w:val="-767998607"/>
          <w:citation/>
        </w:sdtPr>
        <w:sdtContent>
          <w:r>
            <w:fldChar w:fldCharType="begin"/>
          </w:r>
          <w:r>
            <w:instrText xml:space="preserve"> CITATION Cov20 \l 2057 </w:instrText>
          </w:r>
          <w:r>
            <w:fldChar w:fldCharType="separate"/>
          </w:r>
          <w:r>
            <w:rPr>
              <w:noProof/>
            </w:rPr>
            <w:t xml:space="preserve"> </w:t>
          </w:r>
          <w:r w:rsidRPr="00DC0E75">
            <w:rPr>
              <w:noProof/>
            </w:rPr>
            <w:t>[3]</w:t>
          </w:r>
          <w:r>
            <w:fldChar w:fldCharType="end"/>
          </w:r>
        </w:sdtContent>
      </w:sdt>
    </w:p>
    <w:p w14:paraId="6B098D89" w14:textId="77777777" w:rsidR="00A57DE5" w:rsidRPr="008745FE" w:rsidRDefault="00A57DE5" w:rsidP="00A57DE5">
      <w:r w:rsidRPr="008745FE">
        <w:t>Adaptability enables individuals to adjust to new technologies, environments, and challenges. In a constantly changing world, being flexible and open-minded promotes resilience and continuous learning</w:t>
      </w:r>
      <w:r>
        <w:t xml:space="preserve"> </w:t>
      </w:r>
      <w:r w:rsidRPr="008745FE">
        <w:t>qualities highly valued by educators and employers.</w:t>
      </w:r>
      <w:sdt>
        <w:sdtPr>
          <w:id w:val="-292755203"/>
          <w:citation/>
        </w:sdtPr>
        <w:sdtContent>
          <w:r>
            <w:fldChar w:fldCharType="begin"/>
          </w:r>
          <w:r>
            <w:instrText xml:space="preserve"> CITATION Car20 \l 2057 </w:instrText>
          </w:r>
          <w:r>
            <w:fldChar w:fldCharType="separate"/>
          </w:r>
          <w:r>
            <w:rPr>
              <w:noProof/>
            </w:rPr>
            <w:t xml:space="preserve"> </w:t>
          </w:r>
          <w:r w:rsidRPr="00DC0E75">
            <w:rPr>
              <w:noProof/>
            </w:rPr>
            <w:t>[4]</w:t>
          </w:r>
          <w:r>
            <w:fldChar w:fldCharType="end"/>
          </w:r>
        </w:sdtContent>
      </w:sdt>
    </w:p>
    <w:p w14:paraId="6887BAD3" w14:textId="77777777" w:rsidR="00A57DE5" w:rsidRPr="008745FE" w:rsidRDefault="00A57DE5" w:rsidP="00A57DE5">
      <w:r w:rsidRPr="008745FE">
        <w:t>Problem-solving encourages individuals to think critically and creatively when faced with challenges. It enhances efficiency, supports sound decision-making, and contributes to both individual and group success.</w:t>
      </w:r>
      <w:sdt>
        <w:sdtPr>
          <w:id w:val="-1612978552"/>
          <w:citation/>
        </w:sdtPr>
        <w:sdtContent>
          <w:r>
            <w:fldChar w:fldCharType="begin"/>
          </w:r>
          <w:r>
            <w:instrText xml:space="preserve"> CITATION TTa20 \l 2057 </w:instrText>
          </w:r>
          <w:r>
            <w:fldChar w:fldCharType="separate"/>
          </w:r>
          <w:r>
            <w:rPr>
              <w:noProof/>
            </w:rPr>
            <w:t xml:space="preserve"> </w:t>
          </w:r>
          <w:r w:rsidRPr="00DC0E75">
            <w:rPr>
              <w:noProof/>
            </w:rPr>
            <w:t>[5]</w:t>
          </w:r>
          <w:r>
            <w:fldChar w:fldCharType="end"/>
          </w:r>
        </w:sdtContent>
      </w:sdt>
    </w:p>
    <w:p w14:paraId="3A172CCF" w14:textId="77777777" w:rsidR="00A57DE5" w:rsidRDefault="00A57DE5" w:rsidP="00A57DE5">
      <w:r w:rsidRPr="008745FE">
        <w:t>Finally, communication is crucial for understanding, collaboration, and progress. Whether in academic discussions or workplace interactions, effective communication ensures clarity, coordination, and teamwork.</w:t>
      </w:r>
    </w:p>
    <w:p w14:paraId="261EDA37" w14:textId="77777777" w:rsidR="00A57DE5" w:rsidRDefault="00A57DE5" w:rsidP="00A57DE5">
      <w:r w:rsidRPr="00424099">
        <w:t>In conclusion, these core skills complement each other to enhance learning, performance, and success across all areas of life.</w:t>
      </w:r>
    </w:p>
    <w:p w14:paraId="08A641BB" w14:textId="77777777" w:rsidR="00A57DE5" w:rsidRDefault="00A57DE5" w:rsidP="00A57DE5"/>
    <w:tbl>
      <w:tblPr>
        <w:tblpPr w:leftFromText="180" w:rightFromText="180" w:vertAnchor="text" w:tblpY="235"/>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A57DE5" w:rsidRPr="0019586D" w14:paraId="36FCE6E1" w14:textId="77777777" w:rsidTr="00E57969">
        <w:trPr>
          <w:tblCellSpacing w:w="15" w:type="dxa"/>
        </w:trPr>
        <w:tc>
          <w:tcPr>
            <w:tcW w:w="166" w:type="pct"/>
            <w:hideMark/>
          </w:tcPr>
          <w:p w14:paraId="6D345CED" w14:textId="77777777" w:rsidR="00A57DE5" w:rsidRPr="0019586D" w:rsidRDefault="00A57DE5" w:rsidP="00E57969">
            <w:pPr>
              <w:pStyle w:val="Bibliography"/>
              <w:rPr>
                <w:noProof/>
                <w:kern w:val="0"/>
                <w:sz w:val="21"/>
                <w:szCs w:val="21"/>
                <w14:ligatures w14:val="none"/>
              </w:rPr>
            </w:pPr>
            <w:r w:rsidRPr="0019586D">
              <w:rPr>
                <w:noProof/>
                <w:sz w:val="21"/>
                <w:szCs w:val="21"/>
              </w:rPr>
              <w:t xml:space="preserve">[1] </w:t>
            </w:r>
          </w:p>
        </w:tc>
        <w:tc>
          <w:tcPr>
            <w:tcW w:w="0" w:type="auto"/>
            <w:hideMark/>
          </w:tcPr>
          <w:p w14:paraId="0CDDE092" w14:textId="77777777" w:rsidR="00A57DE5" w:rsidRPr="0019586D" w:rsidRDefault="00A57DE5" w:rsidP="00E57969">
            <w:pPr>
              <w:pStyle w:val="Bibliography"/>
              <w:rPr>
                <w:noProof/>
                <w:sz w:val="21"/>
                <w:szCs w:val="21"/>
              </w:rPr>
            </w:pPr>
            <w:r w:rsidRPr="0019586D">
              <w:rPr>
                <w:noProof/>
                <w:sz w:val="21"/>
                <w:szCs w:val="21"/>
              </w:rPr>
              <w:t xml:space="preserve">S. j. a. Y. m, Capability and quality in higher education.Routledge., london: routledge, 2013. </w:t>
            </w:r>
          </w:p>
        </w:tc>
      </w:tr>
      <w:tr w:rsidR="00A57DE5" w:rsidRPr="0019586D" w14:paraId="68B01D46" w14:textId="77777777" w:rsidTr="00E57969">
        <w:trPr>
          <w:tblCellSpacing w:w="15" w:type="dxa"/>
        </w:trPr>
        <w:tc>
          <w:tcPr>
            <w:tcW w:w="166" w:type="pct"/>
            <w:hideMark/>
          </w:tcPr>
          <w:p w14:paraId="1F32152A" w14:textId="77777777" w:rsidR="00A57DE5" w:rsidRPr="0019586D" w:rsidRDefault="00A57DE5" w:rsidP="00E57969">
            <w:pPr>
              <w:pStyle w:val="Bibliography"/>
              <w:rPr>
                <w:noProof/>
                <w:sz w:val="21"/>
                <w:szCs w:val="21"/>
              </w:rPr>
            </w:pPr>
            <w:r w:rsidRPr="0019586D">
              <w:rPr>
                <w:noProof/>
                <w:sz w:val="21"/>
                <w:szCs w:val="21"/>
              </w:rPr>
              <w:t xml:space="preserve">[2] </w:t>
            </w:r>
          </w:p>
        </w:tc>
        <w:tc>
          <w:tcPr>
            <w:tcW w:w="0" w:type="auto"/>
            <w:hideMark/>
          </w:tcPr>
          <w:p w14:paraId="5F62B46A" w14:textId="77777777" w:rsidR="00A57DE5" w:rsidRPr="0019586D" w:rsidRDefault="00A57DE5" w:rsidP="00E57969">
            <w:pPr>
              <w:pStyle w:val="Bibliography"/>
              <w:rPr>
                <w:noProof/>
                <w:sz w:val="21"/>
                <w:szCs w:val="21"/>
              </w:rPr>
            </w:pPr>
            <w:r w:rsidRPr="0019586D">
              <w:rPr>
                <w:noProof/>
                <w:sz w:val="21"/>
                <w:szCs w:val="21"/>
              </w:rPr>
              <w:t xml:space="preserve">Peter A, Facione, Critical Thinking: What It Is and Why It Counts, California : California Academic Press LLC, 2015. </w:t>
            </w:r>
          </w:p>
        </w:tc>
      </w:tr>
      <w:tr w:rsidR="00A57DE5" w:rsidRPr="0019586D" w14:paraId="49058D06" w14:textId="77777777" w:rsidTr="00E57969">
        <w:trPr>
          <w:tblCellSpacing w:w="15" w:type="dxa"/>
        </w:trPr>
        <w:tc>
          <w:tcPr>
            <w:tcW w:w="166" w:type="pct"/>
            <w:hideMark/>
          </w:tcPr>
          <w:p w14:paraId="475FED4E" w14:textId="77777777" w:rsidR="00A57DE5" w:rsidRPr="0019586D" w:rsidRDefault="00A57DE5" w:rsidP="00E57969">
            <w:pPr>
              <w:pStyle w:val="Bibliography"/>
              <w:rPr>
                <w:noProof/>
                <w:sz w:val="21"/>
                <w:szCs w:val="21"/>
              </w:rPr>
            </w:pPr>
            <w:r w:rsidRPr="0019586D">
              <w:rPr>
                <w:noProof/>
                <w:sz w:val="21"/>
                <w:szCs w:val="21"/>
              </w:rPr>
              <w:t xml:space="preserve">[3] </w:t>
            </w:r>
          </w:p>
        </w:tc>
        <w:tc>
          <w:tcPr>
            <w:tcW w:w="0" w:type="auto"/>
            <w:hideMark/>
          </w:tcPr>
          <w:p w14:paraId="461FB23C" w14:textId="77777777" w:rsidR="00A57DE5" w:rsidRPr="0019586D" w:rsidRDefault="00A57DE5" w:rsidP="00E57969">
            <w:pPr>
              <w:pStyle w:val="Bibliography"/>
              <w:rPr>
                <w:noProof/>
                <w:sz w:val="21"/>
                <w:szCs w:val="21"/>
              </w:rPr>
            </w:pPr>
            <w:r w:rsidRPr="0019586D">
              <w:rPr>
                <w:noProof/>
                <w:sz w:val="21"/>
                <w:szCs w:val="21"/>
              </w:rPr>
              <w:t>Covey, S.R, The Seven Habits Of Highly Effective People, New</w:t>
            </w:r>
            <w:r w:rsidRPr="0019586D">
              <w:rPr>
                <w:rFonts w:ascii="Arial" w:hAnsi="Arial" w:cs="Arial"/>
                <w:noProof/>
                <w:sz w:val="21"/>
                <w:szCs w:val="21"/>
              </w:rPr>
              <w:t> </w:t>
            </w:r>
            <w:r w:rsidRPr="0019586D">
              <w:rPr>
                <w:noProof/>
                <w:sz w:val="21"/>
                <w:szCs w:val="21"/>
              </w:rPr>
              <w:t xml:space="preserve">York: Simon &amp; Schuster, 2020. </w:t>
            </w:r>
          </w:p>
        </w:tc>
      </w:tr>
      <w:tr w:rsidR="00A57DE5" w:rsidRPr="0019586D" w14:paraId="0338BAAF" w14:textId="77777777" w:rsidTr="00E57969">
        <w:trPr>
          <w:tblCellSpacing w:w="15" w:type="dxa"/>
        </w:trPr>
        <w:tc>
          <w:tcPr>
            <w:tcW w:w="166" w:type="pct"/>
            <w:hideMark/>
          </w:tcPr>
          <w:p w14:paraId="7500083A" w14:textId="77777777" w:rsidR="00A57DE5" w:rsidRPr="0019586D" w:rsidRDefault="00A57DE5" w:rsidP="00E57969">
            <w:pPr>
              <w:pStyle w:val="Bibliography"/>
              <w:rPr>
                <w:noProof/>
                <w:sz w:val="21"/>
                <w:szCs w:val="21"/>
              </w:rPr>
            </w:pPr>
            <w:r w:rsidRPr="0019586D">
              <w:rPr>
                <w:noProof/>
                <w:sz w:val="21"/>
                <w:szCs w:val="21"/>
              </w:rPr>
              <w:t xml:space="preserve">[4] </w:t>
            </w:r>
          </w:p>
        </w:tc>
        <w:tc>
          <w:tcPr>
            <w:tcW w:w="0" w:type="auto"/>
            <w:hideMark/>
          </w:tcPr>
          <w:p w14:paraId="1D488C3D" w14:textId="77777777" w:rsidR="00A57DE5" w:rsidRPr="0019586D" w:rsidRDefault="00A57DE5" w:rsidP="00E57969">
            <w:pPr>
              <w:pStyle w:val="Bibliography"/>
              <w:rPr>
                <w:noProof/>
                <w:sz w:val="21"/>
                <w:szCs w:val="21"/>
              </w:rPr>
            </w:pPr>
            <w:r w:rsidRPr="0019586D">
              <w:rPr>
                <w:noProof/>
                <w:sz w:val="21"/>
                <w:szCs w:val="21"/>
              </w:rPr>
              <w:t>Carol</w:t>
            </w:r>
            <w:r w:rsidRPr="0019586D">
              <w:rPr>
                <w:rFonts w:ascii="Arial" w:hAnsi="Arial" w:cs="Arial"/>
                <w:noProof/>
                <w:sz w:val="21"/>
                <w:szCs w:val="21"/>
              </w:rPr>
              <w:t> </w:t>
            </w:r>
            <w:r w:rsidRPr="0019586D">
              <w:rPr>
                <w:noProof/>
                <w:sz w:val="21"/>
                <w:szCs w:val="21"/>
              </w:rPr>
              <w:t xml:space="preserve">S. Dweck, The New Psychology of Success, (Updated), New york: Ballantine Books, 2020. </w:t>
            </w:r>
          </w:p>
        </w:tc>
      </w:tr>
      <w:tr w:rsidR="00A57DE5" w:rsidRPr="0019586D" w14:paraId="1BFE9FD9" w14:textId="77777777" w:rsidTr="00E57969">
        <w:trPr>
          <w:tblCellSpacing w:w="15" w:type="dxa"/>
        </w:trPr>
        <w:tc>
          <w:tcPr>
            <w:tcW w:w="166" w:type="pct"/>
            <w:hideMark/>
          </w:tcPr>
          <w:p w14:paraId="325E79BB" w14:textId="77777777" w:rsidR="00A57DE5" w:rsidRPr="0019586D" w:rsidRDefault="00A57DE5" w:rsidP="00E57969">
            <w:pPr>
              <w:pStyle w:val="Bibliography"/>
              <w:rPr>
                <w:noProof/>
                <w:sz w:val="21"/>
                <w:szCs w:val="21"/>
              </w:rPr>
            </w:pPr>
            <w:r w:rsidRPr="0019586D">
              <w:rPr>
                <w:noProof/>
                <w:sz w:val="21"/>
                <w:szCs w:val="21"/>
              </w:rPr>
              <w:t xml:space="preserve">[5] </w:t>
            </w:r>
          </w:p>
        </w:tc>
        <w:tc>
          <w:tcPr>
            <w:tcW w:w="0" w:type="auto"/>
            <w:hideMark/>
          </w:tcPr>
          <w:p w14:paraId="6D70D094" w14:textId="77777777" w:rsidR="00A57DE5" w:rsidRPr="0019586D" w:rsidRDefault="00A57DE5" w:rsidP="00E57969">
            <w:pPr>
              <w:pStyle w:val="Bibliography"/>
              <w:rPr>
                <w:noProof/>
                <w:sz w:val="21"/>
                <w:szCs w:val="21"/>
              </w:rPr>
            </w:pPr>
            <w:r w:rsidRPr="0019586D">
              <w:rPr>
                <w:noProof/>
                <w:sz w:val="21"/>
                <w:szCs w:val="21"/>
              </w:rPr>
              <w:t>V. a. V. T.</w:t>
            </w:r>
            <w:r w:rsidRPr="0019586D">
              <w:rPr>
                <w:rFonts w:ascii="Arial" w:hAnsi="Arial" w:cs="Arial"/>
                <w:noProof/>
                <w:sz w:val="21"/>
                <w:szCs w:val="21"/>
              </w:rPr>
              <w:t> </w:t>
            </w:r>
            <w:r w:rsidRPr="0019586D">
              <w:rPr>
                <w:noProof/>
                <w:sz w:val="21"/>
                <w:szCs w:val="21"/>
              </w:rPr>
              <w:t xml:space="preserve">Tang, ““Developing critical thinking, collective creativity skills and problem solving through playful design jams”,” </w:t>
            </w:r>
            <w:r w:rsidRPr="0019586D">
              <w:rPr>
                <w:i/>
                <w:iCs/>
                <w:noProof/>
                <w:sz w:val="21"/>
                <w:szCs w:val="21"/>
              </w:rPr>
              <w:t xml:space="preserve">Thinking Skills and Creativity., </w:t>
            </w:r>
            <w:r w:rsidRPr="0019586D">
              <w:rPr>
                <w:noProof/>
                <w:sz w:val="21"/>
                <w:szCs w:val="21"/>
              </w:rPr>
              <w:t xml:space="preserve">vol. 37, no. 4, p. 100696, 2020. </w:t>
            </w:r>
          </w:p>
        </w:tc>
      </w:tr>
    </w:tbl>
    <w:p w14:paraId="124718D5" w14:textId="77777777" w:rsidR="00A57DE5" w:rsidRDefault="00A57DE5" w:rsidP="00A57DE5"/>
    <w:p w14:paraId="4468CDDE" w14:textId="77777777" w:rsidR="005C6CC9" w:rsidRDefault="005C6CC9"/>
    <w:sectPr w:rsidR="005C6C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CC9"/>
    <w:rsid w:val="005C6CC9"/>
    <w:rsid w:val="00A57DE5"/>
    <w:rsid w:val="00DA32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9CA94E"/>
  <w15:chartTrackingRefBased/>
  <w15:docId w15:val="{E18FB0E3-614A-7D41-87C1-3928E9CD4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6CC9"/>
    <w:rPr>
      <w:rFonts w:eastAsiaTheme="minorEastAsia"/>
      <w:lang w:eastAsia="zh-CN"/>
    </w:rPr>
  </w:style>
  <w:style w:type="paragraph" w:styleId="Heading1">
    <w:name w:val="heading 1"/>
    <w:basedOn w:val="Normal"/>
    <w:next w:val="Normal"/>
    <w:link w:val="Heading1Char"/>
    <w:uiPriority w:val="9"/>
    <w:qFormat/>
    <w:rsid w:val="005C6CC9"/>
    <w:pPr>
      <w:keepNext/>
      <w:keepLines/>
      <w:spacing w:before="360" w:after="80"/>
      <w:outlineLvl w:val="0"/>
    </w:pPr>
    <w:rPr>
      <w:rFonts w:asciiTheme="majorHAnsi" w:eastAsiaTheme="majorEastAsia" w:hAnsiTheme="majorHAnsi" w:cstheme="majorBidi"/>
      <w:color w:val="2F5496" w:themeColor="accent1" w:themeShade="BF"/>
      <w:sz w:val="40"/>
      <w:szCs w:val="40"/>
      <w:lang w:eastAsia="en-US"/>
    </w:rPr>
  </w:style>
  <w:style w:type="paragraph" w:styleId="Heading2">
    <w:name w:val="heading 2"/>
    <w:basedOn w:val="Normal"/>
    <w:next w:val="Normal"/>
    <w:link w:val="Heading2Char"/>
    <w:uiPriority w:val="9"/>
    <w:unhideWhenUsed/>
    <w:qFormat/>
    <w:rsid w:val="005C6CC9"/>
    <w:pPr>
      <w:keepNext/>
      <w:keepLines/>
      <w:spacing w:before="160" w:after="80"/>
      <w:outlineLvl w:val="1"/>
    </w:pPr>
    <w:rPr>
      <w:rFonts w:asciiTheme="majorHAnsi" w:eastAsiaTheme="majorEastAsia" w:hAnsiTheme="majorHAnsi" w:cstheme="majorBidi"/>
      <w:color w:val="2F5496" w:themeColor="accent1" w:themeShade="BF"/>
      <w:sz w:val="32"/>
      <w:szCs w:val="32"/>
      <w:lang w:eastAsia="en-US"/>
    </w:rPr>
  </w:style>
  <w:style w:type="paragraph" w:styleId="Heading3">
    <w:name w:val="heading 3"/>
    <w:basedOn w:val="Normal"/>
    <w:next w:val="Normal"/>
    <w:link w:val="Heading3Char"/>
    <w:uiPriority w:val="9"/>
    <w:unhideWhenUsed/>
    <w:qFormat/>
    <w:rsid w:val="005C6CC9"/>
    <w:pPr>
      <w:keepNext/>
      <w:keepLines/>
      <w:spacing w:before="160" w:after="80"/>
      <w:outlineLvl w:val="2"/>
    </w:pPr>
    <w:rPr>
      <w:rFonts w:eastAsiaTheme="majorEastAsia" w:cstheme="majorBidi"/>
      <w:color w:val="2F5496" w:themeColor="accent1" w:themeShade="BF"/>
      <w:sz w:val="28"/>
      <w:szCs w:val="28"/>
      <w:lang w:eastAsia="en-US"/>
    </w:rPr>
  </w:style>
  <w:style w:type="paragraph" w:styleId="Heading4">
    <w:name w:val="heading 4"/>
    <w:basedOn w:val="Normal"/>
    <w:next w:val="Normal"/>
    <w:link w:val="Heading4Char"/>
    <w:uiPriority w:val="9"/>
    <w:semiHidden/>
    <w:unhideWhenUsed/>
    <w:qFormat/>
    <w:rsid w:val="005C6CC9"/>
    <w:pPr>
      <w:keepNext/>
      <w:keepLines/>
      <w:spacing w:before="80" w:after="40"/>
      <w:outlineLvl w:val="3"/>
    </w:pPr>
    <w:rPr>
      <w:rFonts w:eastAsiaTheme="majorEastAsia" w:cstheme="majorBidi"/>
      <w:i/>
      <w:iCs/>
      <w:color w:val="2F5496" w:themeColor="accent1" w:themeShade="BF"/>
      <w:lang w:eastAsia="en-US"/>
    </w:rPr>
  </w:style>
  <w:style w:type="paragraph" w:styleId="Heading5">
    <w:name w:val="heading 5"/>
    <w:basedOn w:val="Normal"/>
    <w:next w:val="Normal"/>
    <w:link w:val="Heading5Char"/>
    <w:uiPriority w:val="9"/>
    <w:semiHidden/>
    <w:unhideWhenUsed/>
    <w:qFormat/>
    <w:rsid w:val="005C6CC9"/>
    <w:pPr>
      <w:keepNext/>
      <w:keepLines/>
      <w:spacing w:before="80" w:after="40"/>
      <w:outlineLvl w:val="4"/>
    </w:pPr>
    <w:rPr>
      <w:rFonts w:eastAsiaTheme="majorEastAsia" w:cstheme="majorBidi"/>
      <w:color w:val="2F5496" w:themeColor="accent1" w:themeShade="BF"/>
      <w:lang w:eastAsia="en-US"/>
    </w:rPr>
  </w:style>
  <w:style w:type="paragraph" w:styleId="Heading6">
    <w:name w:val="heading 6"/>
    <w:basedOn w:val="Normal"/>
    <w:next w:val="Normal"/>
    <w:link w:val="Heading6Char"/>
    <w:uiPriority w:val="9"/>
    <w:semiHidden/>
    <w:unhideWhenUsed/>
    <w:qFormat/>
    <w:rsid w:val="005C6CC9"/>
    <w:pPr>
      <w:keepNext/>
      <w:keepLines/>
      <w:spacing w:before="40" w:after="0"/>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5C6CC9"/>
    <w:pPr>
      <w:keepNext/>
      <w:keepLines/>
      <w:spacing w:before="40" w:after="0"/>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5C6CC9"/>
    <w:pPr>
      <w:keepNext/>
      <w:keepLines/>
      <w:spacing w:after="0"/>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5C6CC9"/>
    <w:pPr>
      <w:keepNext/>
      <w:keepLines/>
      <w:spacing w:after="0"/>
      <w:outlineLvl w:val="8"/>
    </w:pPr>
    <w:rPr>
      <w:rFonts w:eastAsiaTheme="majorEastAsia"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6CC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C6CC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C6CC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C6CC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C6CC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C6C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6C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6C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6CC9"/>
    <w:rPr>
      <w:rFonts w:eastAsiaTheme="majorEastAsia" w:cstheme="majorBidi"/>
      <w:color w:val="272727" w:themeColor="text1" w:themeTint="D8"/>
    </w:rPr>
  </w:style>
  <w:style w:type="paragraph" w:styleId="Title">
    <w:name w:val="Title"/>
    <w:basedOn w:val="Normal"/>
    <w:next w:val="Normal"/>
    <w:link w:val="TitleChar"/>
    <w:uiPriority w:val="10"/>
    <w:qFormat/>
    <w:rsid w:val="005C6CC9"/>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5C6C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6CC9"/>
    <w:pPr>
      <w:numPr>
        <w:ilvl w:val="1"/>
      </w:numPr>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5C6C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6CC9"/>
    <w:pPr>
      <w:spacing w:before="160"/>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5C6CC9"/>
    <w:rPr>
      <w:i/>
      <w:iCs/>
      <w:color w:val="404040" w:themeColor="text1" w:themeTint="BF"/>
    </w:rPr>
  </w:style>
  <w:style w:type="paragraph" w:styleId="ListParagraph">
    <w:name w:val="List Paragraph"/>
    <w:basedOn w:val="Normal"/>
    <w:uiPriority w:val="34"/>
    <w:qFormat/>
    <w:rsid w:val="005C6CC9"/>
    <w:pPr>
      <w:ind w:left="720"/>
      <w:contextualSpacing/>
    </w:pPr>
    <w:rPr>
      <w:rFonts w:eastAsiaTheme="minorHAnsi"/>
      <w:lang w:eastAsia="en-US"/>
    </w:rPr>
  </w:style>
  <w:style w:type="character" w:styleId="IntenseEmphasis">
    <w:name w:val="Intense Emphasis"/>
    <w:basedOn w:val="DefaultParagraphFont"/>
    <w:uiPriority w:val="21"/>
    <w:qFormat/>
    <w:rsid w:val="005C6CC9"/>
    <w:rPr>
      <w:i/>
      <w:iCs/>
      <w:color w:val="2F5496" w:themeColor="accent1" w:themeShade="BF"/>
    </w:rPr>
  </w:style>
  <w:style w:type="paragraph" w:styleId="IntenseQuote">
    <w:name w:val="Intense Quote"/>
    <w:basedOn w:val="Normal"/>
    <w:next w:val="Normal"/>
    <w:link w:val="IntenseQuoteChar"/>
    <w:uiPriority w:val="30"/>
    <w:qFormat/>
    <w:rsid w:val="005C6CC9"/>
    <w:pPr>
      <w:pBdr>
        <w:top w:val="single" w:sz="4" w:space="10" w:color="2F5496" w:themeColor="accent1" w:themeShade="BF"/>
        <w:bottom w:val="single" w:sz="4" w:space="10" w:color="2F5496" w:themeColor="accent1" w:themeShade="BF"/>
      </w:pBdr>
      <w:spacing w:before="360" w:after="360"/>
      <w:ind w:left="864" w:right="864"/>
      <w:jc w:val="center"/>
    </w:pPr>
    <w:rPr>
      <w:rFonts w:eastAsiaTheme="minorHAnsi"/>
      <w:i/>
      <w:iCs/>
      <w:color w:val="2F5496" w:themeColor="accent1" w:themeShade="BF"/>
      <w:lang w:eastAsia="en-US"/>
    </w:rPr>
  </w:style>
  <w:style w:type="character" w:customStyle="1" w:styleId="IntenseQuoteChar">
    <w:name w:val="Intense Quote Char"/>
    <w:basedOn w:val="DefaultParagraphFont"/>
    <w:link w:val="IntenseQuote"/>
    <w:uiPriority w:val="30"/>
    <w:rsid w:val="005C6CC9"/>
    <w:rPr>
      <w:i/>
      <w:iCs/>
      <w:color w:val="2F5496" w:themeColor="accent1" w:themeShade="BF"/>
    </w:rPr>
  </w:style>
  <w:style w:type="character" w:styleId="IntenseReference">
    <w:name w:val="Intense Reference"/>
    <w:basedOn w:val="DefaultParagraphFont"/>
    <w:uiPriority w:val="32"/>
    <w:qFormat/>
    <w:rsid w:val="005C6CC9"/>
    <w:rPr>
      <w:b/>
      <w:bCs/>
      <w:smallCaps/>
      <w:color w:val="2F5496" w:themeColor="accent1" w:themeShade="BF"/>
      <w:spacing w:val="5"/>
    </w:rPr>
  </w:style>
  <w:style w:type="paragraph" w:styleId="Bibliography">
    <w:name w:val="Bibliography"/>
    <w:basedOn w:val="Normal"/>
    <w:next w:val="Normal"/>
    <w:uiPriority w:val="37"/>
    <w:unhideWhenUsed/>
    <w:rsid w:val="00A57D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Ste13</b:Tag>
    <b:SourceType>Book</b:SourceType>
    <b:Guid>{16C22FAC-31B1-324A-9309-EF9BC25750D3}</b:Guid>
    <b:Author>
      <b:Author>
        <b:NameList>
          <b:Person>
            <b:Last>m</b:Last>
            <b:First>Stephenson</b:First>
            <b:Middle>j and Yorke</b:Middle>
          </b:Person>
        </b:NameList>
      </b:Author>
    </b:Author>
    <b:Title>Capability and quality in higher education.Routledge.</b:Title>
    <b:City>london</b:City>
    <b:Publisher>routledge</b:Publisher>
    <b:Year>2013</b:Year>
    <b:RefOrder>1</b:RefOrder>
  </b:Source>
  <b:Source>
    <b:Tag>Pet151</b:Tag>
    <b:SourceType>Book</b:SourceType>
    <b:Guid>{1A32FDBD-B78E-864E-8ABB-75A07204D385}</b:Guid>
    <b:Author>
      <b:Author>
        <b:Corporate>Peter A, Facione</b:Corporate>
      </b:Author>
    </b:Author>
    <b:Title>Critical Thinking: What It Is and Why It Counts</b:Title>
    <b:City>California </b:City>
    <b:Publisher>California Academic Press LLC</b:Publisher>
    <b:Year>2015</b:Year>
    <b:RefOrder>2</b:RefOrder>
  </b:Source>
  <b:Source>
    <b:Tag>Cov20</b:Tag>
    <b:SourceType>Book</b:SourceType>
    <b:Guid>{AAB6DDF4-0430-7C46-B32B-E9FC98FBE793}</b:Guid>
    <b:Author>
      <b:Author>
        <b:Corporate>Covey, S.R</b:Corporate>
      </b:Author>
    </b:Author>
    <b:Title>The Seven Habits Of Highly Effective People</b:Title>
    <b:City>New York</b:City>
    <b:Publisher>Simon &amp; Schuster</b:Publisher>
    <b:Year>2020</b:Year>
    <b:RefOrder>3</b:RefOrder>
  </b:Source>
  <b:Source>
    <b:Tag>Car20</b:Tag>
    <b:SourceType>Book</b:SourceType>
    <b:Guid>{A8F92346-4B1D-424E-B043-5220A18226A7}</b:Guid>
    <b:Author>
      <b:Author>
        <b:Corporate>Carol S. Dweck</b:Corporate>
      </b:Author>
    </b:Author>
    <b:Title>The New Psychology of Success, (Updated)</b:Title>
    <b:City>New york</b:City>
    <b:Publisher>Ballantine Books</b:Publisher>
    <b:Year>2020</b:Year>
    <b:RefOrder>4</b:RefOrder>
  </b:Source>
  <b:Source>
    <b:Tag>TTa20</b:Tag>
    <b:SourceType>JournalArticle</b:SourceType>
    <b:Guid>{B267C89E-29AD-5D4E-BFEF-EBAEF2DB6309}</b:Guid>
    <b:Author>
      <b:Author>
        <b:NameList>
          <b:Person>
            <b:Last>T. Tang</b:Last>
            <b:First>V. Vezzani,</b:First>
            <b:Middle>and V. Eriksson</b:Middle>
          </b:Person>
        </b:NameList>
      </b:Author>
    </b:Author>
    <b:Title>“Developing critical thinking, collective creativity skills and problem solving through playful design jams”</b:Title>
    <b:City>Amsterdam, Netherlands</b:City>
    <b:Publisher>Elsevier</b:Publisher>
    <b:Year>2020</b:Year>
    <b:JournalName>Thinking Skills and Creativity.</b:JournalName>
    <b:Volume>37</b:Volume>
    <b:Issue>4</b:Issue>
    <b:Pages>100696</b:Pages>
    <b:RefOrder>5</b:RefOrder>
  </b:Source>
</b:Sources>
</file>

<file path=customXml/itemProps1.xml><?xml version="1.0" encoding="utf-8"?>
<ds:datastoreItem xmlns:ds="http://schemas.openxmlformats.org/officeDocument/2006/customXml" ds:itemID="{8126F253-3577-A34E-B4CD-928F93FFBE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397</Words>
  <Characters>2267</Characters>
  <Application>Microsoft Office Word</Application>
  <DocSecurity>0</DocSecurity>
  <Lines>18</Lines>
  <Paragraphs>5</Paragraphs>
  <ScaleCrop>false</ScaleCrop>
  <Company/>
  <LinksUpToDate>false</LinksUpToDate>
  <CharactersWithSpaces>2659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Sidorela Daullja</dc:creator>
  <cp:keywords/>
  <dc:description/>
  <cp:lastModifiedBy>Sidorela Daullja</cp:lastModifiedBy>
  <cp:revision>3</cp:revision>
  <dcterms:created xsi:type="dcterms:W3CDTF">2025-11-15T20:35:00Z</dcterms:created>
  <dcterms:modified xsi:type="dcterms:W3CDTF">2025-11-19T17:16:00Z</dcterms:modified>
</cp:coreProperties>
</file>