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31D145" w14:textId="77777777" w:rsidR="00C03CCA" w:rsidRPr="00E43385" w:rsidRDefault="00C03CCA" w:rsidP="00E539A4">
      <w:pPr>
        <w:spacing w:before="520"/>
      </w:pPr>
    </w:p>
    <w:p w14:paraId="37363F53" w14:textId="77777777" w:rsidR="00C03CCA" w:rsidRPr="00E43385" w:rsidRDefault="003F4FAA">
      <w:pPr>
        <w:spacing w:before="360"/>
        <w:jc w:val="center"/>
      </w:pPr>
      <w:r w:rsidRPr="00E43385">
        <w:rPr>
          <w:b/>
          <w:bCs/>
          <w:sz w:val="36"/>
          <w:szCs w:val="36"/>
        </w:rPr>
        <w:t>Obsessive-Compulsive Disorder in ICD-11</w:t>
      </w:r>
    </w:p>
    <w:p w14:paraId="37282546" w14:textId="77777777" w:rsidR="00C03CCA" w:rsidRPr="00E43385" w:rsidRDefault="003F4FAA">
      <w:pPr>
        <w:jc w:val="center"/>
      </w:pPr>
      <w:r w:rsidRPr="00E43385">
        <w:rPr>
          <w:i/>
          <w:iCs/>
          <w:sz w:val="24"/>
          <w:szCs w:val="24"/>
        </w:rPr>
        <w:t>Classification, Diagnosis, Treatment, Rehabilitation and Contemporary Debate</w:t>
      </w:r>
    </w:p>
    <w:p w14:paraId="1A2ACB45" w14:textId="77777777" w:rsidR="00C03CCA" w:rsidRPr="00E43385" w:rsidRDefault="00C03CCA">
      <w:pPr>
        <w:spacing w:after="160"/>
      </w:pPr>
    </w:p>
    <w:tbl>
      <w:tblPr>
        <w:tblW w:w="9360" w:type="dxa"/>
        <w:tblLayout w:type="fixed"/>
        <w:tblLook w:val="04A0" w:firstRow="1" w:lastRow="0" w:firstColumn="1" w:lastColumn="0" w:noHBand="0" w:noVBand="1"/>
      </w:tblPr>
      <w:tblGrid>
        <w:gridCol w:w="4680"/>
        <w:gridCol w:w="4680"/>
      </w:tblGrid>
      <w:tr w:rsidR="00C03CCA" w:rsidRPr="00E43385" w14:paraId="16449523" w14:textId="77777777" w:rsidTr="00FF1D50">
        <w:tc>
          <w:tcPr>
            <w:tcW w:w="4680" w:type="dxa"/>
          </w:tcPr>
          <w:p w14:paraId="76C4CB90" w14:textId="77777777" w:rsidR="00C03CCA" w:rsidRPr="00E43385" w:rsidRDefault="003F4FAA">
            <w:pPr>
              <w:spacing w:after="40"/>
              <w:jc w:val="left"/>
            </w:pPr>
            <w:r w:rsidRPr="00E43385">
              <w:rPr>
                <w:b/>
                <w:bCs/>
              </w:rPr>
              <w:t>Student name:</w:t>
            </w:r>
          </w:p>
        </w:tc>
        <w:tc>
          <w:tcPr>
            <w:tcW w:w="4680" w:type="dxa"/>
          </w:tcPr>
          <w:p w14:paraId="76C247AC" w14:textId="3AE17296" w:rsidR="00C03CCA" w:rsidRPr="00E43385" w:rsidRDefault="003F4FAA">
            <w:pPr>
              <w:spacing w:after="40"/>
              <w:jc w:val="left"/>
            </w:pPr>
            <w:r w:rsidRPr="00E43385">
              <w:t>Saira</w:t>
            </w:r>
            <w:r w:rsidR="00E539A4" w:rsidRPr="00E43385">
              <w:t xml:space="preserve"> Zaeed</w:t>
            </w:r>
          </w:p>
        </w:tc>
      </w:tr>
      <w:tr w:rsidR="00C03CCA" w:rsidRPr="00E43385" w14:paraId="31626742" w14:textId="77777777" w:rsidTr="00FF1D50">
        <w:tc>
          <w:tcPr>
            <w:tcW w:w="4680" w:type="dxa"/>
          </w:tcPr>
          <w:p w14:paraId="601A18BC" w14:textId="77777777" w:rsidR="00C03CCA" w:rsidRPr="00E43385" w:rsidRDefault="003F4FAA">
            <w:pPr>
              <w:spacing w:after="40"/>
              <w:jc w:val="left"/>
            </w:pPr>
            <w:r w:rsidRPr="00E43385">
              <w:rPr>
                <w:b/>
                <w:bCs/>
              </w:rPr>
              <w:t>Student number:</w:t>
            </w:r>
          </w:p>
        </w:tc>
        <w:tc>
          <w:tcPr>
            <w:tcW w:w="4680" w:type="dxa"/>
          </w:tcPr>
          <w:p w14:paraId="6433C6E7" w14:textId="64699AFA" w:rsidR="00C03CCA" w:rsidRPr="00E43385" w:rsidRDefault="00E539A4">
            <w:pPr>
              <w:spacing w:after="40"/>
              <w:jc w:val="left"/>
            </w:pPr>
            <w:r w:rsidRPr="00E43385">
              <w:t>2332</w:t>
            </w:r>
            <w:r w:rsidR="000F5C38" w:rsidRPr="00E43385">
              <w:t>2</w:t>
            </w:r>
            <w:r w:rsidRPr="00E43385">
              <w:t>16</w:t>
            </w:r>
          </w:p>
        </w:tc>
      </w:tr>
      <w:tr w:rsidR="00C03CCA" w:rsidRPr="00E43385" w14:paraId="65750C71" w14:textId="77777777" w:rsidTr="00FF1D50">
        <w:tc>
          <w:tcPr>
            <w:tcW w:w="4680" w:type="dxa"/>
          </w:tcPr>
          <w:p w14:paraId="4F856EA3" w14:textId="048D2EB8" w:rsidR="00C03CCA" w:rsidRDefault="003F4FAA">
            <w:pPr>
              <w:spacing w:after="40"/>
              <w:jc w:val="left"/>
              <w:rPr>
                <w:b/>
                <w:bCs/>
              </w:rPr>
            </w:pPr>
            <w:r w:rsidRPr="00E43385">
              <w:rPr>
                <w:b/>
                <w:bCs/>
              </w:rPr>
              <w:t xml:space="preserve">Module </w:t>
            </w:r>
            <w:r w:rsidR="007804E4" w:rsidRPr="00E43385">
              <w:rPr>
                <w:b/>
                <w:bCs/>
              </w:rPr>
              <w:t>code:</w:t>
            </w:r>
          </w:p>
          <w:p w14:paraId="27201290" w14:textId="67962EF2" w:rsidR="007804E4" w:rsidRPr="00AA0775" w:rsidRDefault="007804E4">
            <w:pPr>
              <w:spacing w:after="40"/>
              <w:jc w:val="left"/>
              <w:rPr>
                <w:b/>
                <w:bCs/>
              </w:rPr>
            </w:pPr>
            <w:r w:rsidRPr="00AA0775">
              <w:rPr>
                <w:b/>
                <w:bCs/>
              </w:rPr>
              <w:t>Module</w:t>
            </w:r>
            <w:r w:rsidR="00AA0775" w:rsidRPr="00AA0775">
              <w:rPr>
                <w:b/>
                <w:bCs/>
              </w:rPr>
              <w:t xml:space="preserve"> title</w:t>
            </w:r>
            <w:r w:rsidR="00F90C70">
              <w:rPr>
                <w:b/>
                <w:bCs/>
              </w:rPr>
              <w:t>:</w:t>
            </w:r>
          </w:p>
        </w:tc>
        <w:tc>
          <w:tcPr>
            <w:tcW w:w="4680" w:type="dxa"/>
          </w:tcPr>
          <w:p w14:paraId="50AD5C90" w14:textId="33F58821" w:rsidR="00F90C70" w:rsidRDefault="003F4FAA">
            <w:pPr>
              <w:spacing w:after="40"/>
              <w:jc w:val="left"/>
            </w:pPr>
            <w:r w:rsidRPr="00E43385">
              <w:t xml:space="preserve">BMHP6029 </w:t>
            </w:r>
          </w:p>
          <w:p w14:paraId="1474F203" w14:textId="0793EB0F" w:rsidR="00C03CCA" w:rsidRPr="00E43385" w:rsidRDefault="003F4FAA">
            <w:pPr>
              <w:spacing w:after="40"/>
              <w:jc w:val="left"/>
            </w:pPr>
            <w:r w:rsidRPr="00E43385">
              <w:t xml:space="preserve"> Psychopathological Classifications and Provisions</w:t>
            </w:r>
          </w:p>
        </w:tc>
      </w:tr>
      <w:tr w:rsidR="00C03CCA" w:rsidRPr="00E43385" w14:paraId="04859B49" w14:textId="77777777" w:rsidTr="00FF1D50">
        <w:tc>
          <w:tcPr>
            <w:tcW w:w="4680" w:type="dxa"/>
          </w:tcPr>
          <w:p w14:paraId="566B4376" w14:textId="77777777" w:rsidR="00C03CCA" w:rsidRPr="00E43385" w:rsidRDefault="003F4FAA">
            <w:pPr>
              <w:spacing w:after="40"/>
              <w:jc w:val="left"/>
            </w:pPr>
            <w:r w:rsidRPr="00E43385">
              <w:rPr>
                <w:b/>
                <w:bCs/>
              </w:rPr>
              <w:t>Assignment:</w:t>
            </w:r>
          </w:p>
        </w:tc>
        <w:tc>
          <w:tcPr>
            <w:tcW w:w="4680" w:type="dxa"/>
          </w:tcPr>
          <w:p w14:paraId="6C07DBBC" w14:textId="77777777" w:rsidR="00C03CCA" w:rsidRPr="00E43385" w:rsidRDefault="003F4FAA">
            <w:pPr>
              <w:spacing w:after="40"/>
              <w:jc w:val="left"/>
            </w:pPr>
            <w:r w:rsidRPr="00E43385">
              <w:t>Component 2 - Individual Written Report</w:t>
            </w:r>
          </w:p>
        </w:tc>
      </w:tr>
      <w:tr w:rsidR="00C03CCA" w:rsidRPr="00E43385" w14:paraId="55DD97CD" w14:textId="77777777" w:rsidTr="00FF1D50">
        <w:tc>
          <w:tcPr>
            <w:tcW w:w="4680" w:type="dxa"/>
          </w:tcPr>
          <w:p w14:paraId="14A2E6DC" w14:textId="756E0A73" w:rsidR="00C03CCA" w:rsidRPr="00E43385" w:rsidRDefault="00E539A4">
            <w:pPr>
              <w:spacing w:after="40"/>
              <w:jc w:val="left"/>
              <w:rPr>
                <w:b/>
                <w:bCs/>
                <w:sz w:val="24"/>
                <w:szCs w:val="24"/>
              </w:rPr>
            </w:pPr>
            <w:r w:rsidRPr="00E43385">
              <w:rPr>
                <w:b/>
                <w:bCs/>
                <w:sz w:val="24"/>
                <w:szCs w:val="24"/>
              </w:rPr>
              <w:t>Lecturer Name:</w:t>
            </w:r>
          </w:p>
        </w:tc>
        <w:tc>
          <w:tcPr>
            <w:tcW w:w="4680" w:type="dxa"/>
          </w:tcPr>
          <w:p w14:paraId="487F4742" w14:textId="33DE5AE9" w:rsidR="00C03CCA" w:rsidRPr="00E43385" w:rsidRDefault="00E539A4">
            <w:pPr>
              <w:spacing w:after="40"/>
              <w:jc w:val="left"/>
            </w:pPr>
            <w:r w:rsidRPr="00E43385">
              <w:t>Neal Had</w:t>
            </w:r>
            <w:r w:rsidR="00E360B5" w:rsidRPr="00E43385">
              <w:t>d</w:t>
            </w:r>
            <w:r w:rsidR="003F4FAA" w:rsidRPr="00E43385">
              <w:t>o</w:t>
            </w:r>
            <w:r w:rsidRPr="00E43385">
              <w:t xml:space="preserve">n </w:t>
            </w:r>
          </w:p>
        </w:tc>
      </w:tr>
    </w:tbl>
    <w:p w14:paraId="311571BC" w14:textId="77777777" w:rsidR="00C03CCA" w:rsidRPr="00E43385" w:rsidRDefault="00C03CCA">
      <w:pPr>
        <w:spacing w:before="480"/>
        <w:jc w:val="center"/>
      </w:pPr>
    </w:p>
    <w:p w14:paraId="1EB9001B" w14:textId="77777777" w:rsidR="00C03CCA" w:rsidRPr="00E43385" w:rsidRDefault="003F4FAA">
      <w:r w:rsidRPr="00E43385">
        <w:br w:type="page"/>
      </w:r>
    </w:p>
    <w:p w14:paraId="3A45D83C" w14:textId="77777777" w:rsidR="00C03CCA" w:rsidRPr="00E43385" w:rsidRDefault="003F4FAA">
      <w:pPr>
        <w:spacing w:after="200"/>
        <w:jc w:val="center"/>
      </w:pPr>
      <w:r w:rsidRPr="00E43385">
        <w:rPr>
          <w:b/>
          <w:bCs/>
          <w:sz w:val="30"/>
          <w:szCs w:val="30"/>
        </w:rPr>
        <w:lastRenderedPageBreak/>
        <w:t>Obsessive-Compulsive Disorder in ICD-11</w:t>
      </w:r>
    </w:p>
    <w:p w14:paraId="24855A21" w14:textId="77777777" w:rsidR="00C03CCA" w:rsidRPr="00E43385" w:rsidRDefault="003F4FAA">
      <w:pPr>
        <w:pStyle w:val="Heading1"/>
        <w:jc w:val="left"/>
      </w:pPr>
      <w:r w:rsidRPr="00E43385">
        <w:t>1. Introduction</w:t>
      </w:r>
    </w:p>
    <w:p w14:paraId="2ADF5FC8" w14:textId="0F3F12A2" w:rsidR="00C03CCA" w:rsidRPr="00E43385" w:rsidRDefault="003F4FAA">
      <w:pPr>
        <w:ind w:firstLine="432"/>
      </w:pPr>
      <w:r w:rsidRPr="00E43385">
        <w:t>When it is</w:t>
      </w:r>
      <w:r w:rsidR="00516C5E">
        <w:t xml:space="preserve"> </w:t>
      </w:r>
      <w:r w:rsidR="00B514A4">
        <w:t>condensed</w:t>
      </w:r>
      <w:r w:rsidRPr="00E43385">
        <w:t xml:space="preserve"> to talk, obsessive-compulsive disorder (OCD) is often related to cleanliness, </w:t>
      </w:r>
      <w:r w:rsidR="0036478F" w:rsidRPr="00E43385">
        <w:t>order,</w:t>
      </w:r>
      <w:r w:rsidRPr="00E43385">
        <w:t xml:space="preserve"> or perfectionism. But clinically, it can be about checking, mental rituals, fears of contamination, intrusive sexual or violent images, </w:t>
      </w:r>
      <w:r w:rsidR="00205CC5" w:rsidRPr="00E43385">
        <w:t>religious</w:t>
      </w:r>
      <w:r w:rsidRPr="00E43385">
        <w:t xml:space="preserve"> </w:t>
      </w:r>
      <w:r w:rsidR="0036478F" w:rsidRPr="00E43385">
        <w:t>scrupulosity,</w:t>
      </w:r>
      <w:r w:rsidRPr="00E43385">
        <w:t xml:space="preserve"> and a search for certainty</w:t>
      </w:r>
      <w:r w:rsidR="0036478F" w:rsidRPr="00E43385">
        <w:t xml:space="preserve">. </w:t>
      </w:r>
      <w:r w:rsidRPr="00E43385">
        <w:t>Such experiences may last for hours, interfere with schooling and work</w:t>
      </w:r>
      <w:r w:rsidR="00205CC5" w:rsidRPr="00E43385">
        <w:t>, and family</w:t>
      </w:r>
      <w:r w:rsidRPr="00E43385">
        <w:t xml:space="preserve"> and lead to depression and risk of suicide. Provision shifted away from moral and psychoanalytic accounts towards a neuropsychiatric account with community treatment and structured </w:t>
      </w:r>
      <w:r w:rsidR="004860AA" w:rsidRPr="00E43385">
        <w:t>behavioural</w:t>
      </w:r>
      <w:r w:rsidR="000F5C38" w:rsidRPr="00E43385">
        <w:t xml:space="preserve"> therapy</w:t>
      </w:r>
      <w:r w:rsidR="00205CC5" w:rsidRPr="00E43385">
        <w:t>. A</w:t>
      </w:r>
      <w:r w:rsidRPr="00E43385">
        <w:t xml:space="preserve"> ground-breaking contribution to the field, this book offers a critical evaluation of OCD </w:t>
      </w:r>
      <w:r w:rsidR="00E539A4" w:rsidRPr="00E43385">
        <w:t xml:space="preserve">in </w:t>
      </w:r>
      <w:r w:rsidRPr="00E43385">
        <w:t xml:space="preserve">the ICD-11 way, elaborating on </w:t>
      </w:r>
      <w:r w:rsidR="005C0676" w:rsidRPr="00E43385">
        <w:t>categorization’s</w:t>
      </w:r>
      <w:r w:rsidRPr="00E43385">
        <w:t xml:space="preserve">, evaluation, </w:t>
      </w:r>
      <w:r w:rsidR="0036478F" w:rsidRPr="00E43385">
        <w:t>intervention,</w:t>
      </w:r>
      <w:r w:rsidRPr="00E43385">
        <w:t xml:space="preserve"> and rehabilitation. It even tackles thorny issues: like</w:t>
      </w:r>
      <w:r w:rsidR="003D01DF">
        <w:t xml:space="preserve"> whether merging multiple disorders under an obsessive-compulsive spectrum umbrella improves validity; the extent to which insight and culture impact diagnosis; the appropriate applications of neurodivergence language; and when digital technologies might be seen as expanding access or amplifying reassurance-seeking</w:t>
      </w:r>
      <w:r w:rsidRPr="00E43385">
        <w:t xml:space="preserve">. The argument is that the ICD-11 will facilitate </w:t>
      </w:r>
      <w:r w:rsidR="0036478F" w:rsidRPr="00E43385">
        <w:t>easy</w:t>
      </w:r>
      <w:r w:rsidRPr="00E43385">
        <w:t xml:space="preserve"> diagnosis and provide guidance on treatment, while actual recovery will depend on a meaningful formulation, specialist input and functional rather than symptom count. </w:t>
      </w:r>
    </w:p>
    <w:p w14:paraId="566A538C" w14:textId="4E0F787C" w:rsidR="00C03CCA" w:rsidRPr="00E43385" w:rsidRDefault="003F4FAA">
      <w:pPr>
        <w:pStyle w:val="Heading1"/>
        <w:jc w:val="left"/>
      </w:pPr>
      <w:r w:rsidRPr="00E43385">
        <w:t xml:space="preserve">2. Classification, </w:t>
      </w:r>
      <w:r w:rsidR="0036478F" w:rsidRPr="00E43385">
        <w:t>history,</w:t>
      </w:r>
      <w:r w:rsidRPr="00E43385">
        <w:t xml:space="preserve"> and diagnostic language</w:t>
      </w:r>
    </w:p>
    <w:p w14:paraId="4813FE2C" w14:textId="4EC85A08" w:rsidR="00C03CCA" w:rsidRPr="00E43385" w:rsidRDefault="003F4FAA">
      <w:pPr>
        <w:ind w:firstLine="432"/>
      </w:pPr>
      <w:r w:rsidRPr="00E43385">
        <w:t>In ICD-11, OCD is now classified separately from other anxiety disorders under a new chapter</w:t>
      </w:r>
      <w:r w:rsidR="0036478F" w:rsidRPr="00E43385">
        <w:t>,</w:t>
      </w:r>
      <w:r w:rsidRPr="00E43385">
        <w:t xml:space="preserve"> “Obsessive-compulsive or related disorders” with the code 6B20 (WHO, 2024). The new section also contains body dysmorphic disorder, olfactory reference disorder, hypochondriasis, hoarding disorder, and body-focused repetitive </w:t>
      </w:r>
      <w:r w:rsidR="00372623">
        <w:t>behaviour</w:t>
      </w:r>
      <w:r w:rsidRPr="00E43385">
        <w:t xml:space="preserve"> disorders. This reclassification is based on shared characteristics, which include intrusive thoughts or concerns with repetitive </w:t>
      </w:r>
      <w:r w:rsidR="00372623">
        <w:t>behaviours</w:t>
      </w:r>
      <w:r w:rsidRPr="00E43385">
        <w:t xml:space="preserve">, avoidance, or mental actions. </w:t>
      </w:r>
      <w:r w:rsidR="00205CC5" w:rsidRPr="00E43385">
        <w:t>It</w:t>
      </w:r>
      <w:r w:rsidRPr="00E43385">
        <w:t xml:space="preserve"> also </w:t>
      </w:r>
      <w:r w:rsidR="00372623">
        <w:t>separated it</w:t>
      </w:r>
      <w:r w:rsidRPr="00E43385">
        <w:t xml:space="preserve"> from things that were lumped together. Hoarding, for instance, is no longer viewed as simply an OCD symptom. Field trials demonstrated that the ICD-11 guidelines improved diagnostic decisions for obsessive-compulsive and related disorders compared to ICD-10, providing support for the value of the revision (Kogan et al., 2020). But the category is so disparate: a repetition is not diagnostic of one "spectrum" </w:t>
      </w:r>
      <w:r w:rsidR="0036478F" w:rsidRPr="00E43385">
        <w:t xml:space="preserve">as an </w:t>
      </w:r>
      <w:r w:rsidR="008D040F" w:rsidRPr="00E43385">
        <w:t>aetiologia</w:t>
      </w:r>
      <w:r w:rsidRPr="00E43385">
        <w:t xml:space="preserve">, and "spectrum" language could blind clinicians to </w:t>
      </w:r>
      <w:r w:rsidR="0036478F" w:rsidRPr="00E43385">
        <w:t>significant differences</w:t>
      </w:r>
      <w:r w:rsidRPr="00E43385">
        <w:t xml:space="preserve"> in motivation, phenomenology, and therapeutic response. </w:t>
      </w:r>
    </w:p>
    <w:p w14:paraId="420AAF6E" w14:textId="40CC4B23" w:rsidR="00C03CCA" w:rsidRPr="00E43385" w:rsidRDefault="003F4FAA">
      <w:pPr>
        <w:ind w:firstLine="432"/>
      </w:pPr>
      <w:r w:rsidRPr="00E43385">
        <w:t xml:space="preserve">Persistent obsessions or compulsions or both are the hallmark. Unwanted and repetitive thoughts, images, or impulses that are intrusive and lead to feelings of anxiety, disgust, or a need for completeness are obsessions. Compulsions are mental or bodily actions that a person who </w:t>
      </w:r>
      <w:r w:rsidRPr="00E43385">
        <w:lastRenderedPageBreak/>
        <w:t xml:space="preserve">is suffering from OCD feels compelled to perform in compliance with certain rules or to mitigate anxiety or prevent a terrible event. The event could be only loosely related to the feared activity. They must be time-consuming or cause significant distress or disability, and cannot be better explained by another disorder, substance, medication, or neurological condition (WHO, 2024). Unlike depictions in culture, compulsions can be invisible, like praying, </w:t>
      </w:r>
      <w:r w:rsidR="0036478F" w:rsidRPr="00E43385">
        <w:t>counting,</w:t>
      </w:r>
      <w:r w:rsidRPr="00E43385">
        <w:t xml:space="preserve"> or mentally </w:t>
      </w:r>
      <w:r w:rsidR="000F5C38" w:rsidRPr="00E43385">
        <w:t>neutralizing</w:t>
      </w:r>
      <w:r w:rsidRPr="00E43385">
        <w:t xml:space="preserve"> a thought, or rechecking memories. </w:t>
      </w:r>
    </w:p>
    <w:p w14:paraId="2EF8F9CF" w14:textId="5FA33989" w:rsidR="00C03CCA" w:rsidRPr="00E43385" w:rsidRDefault="003F4FAA">
      <w:pPr>
        <w:ind w:firstLine="432"/>
      </w:pPr>
      <w:r w:rsidRPr="00E43385">
        <w:t xml:space="preserve">Moderate to good and poor to absent insight: ICD-11 further details. This is important because the former group is individuals who know that their fears are </w:t>
      </w:r>
      <w:r w:rsidR="0036478F" w:rsidRPr="00E43385">
        <w:t>exaggerated</w:t>
      </w:r>
      <w:r w:rsidRPr="00E43385">
        <w:t xml:space="preserve">, but the latter group is those who are almost certain that contamination, </w:t>
      </w:r>
      <w:r w:rsidR="0036478F" w:rsidRPr="00E43385">
        <w:t>responsibility,</w:t>
      </w:r>
      <w:r w:rsidRPr="00E43385">
        <w:t xml:space="preserve"> or danger-related beliefs are true. Retaining OCD with poor insight may also avoid misdiagnosis as a primary psychotic disorder and facilitate the </w:t>
      </w:r>
      <w:r w:rsidR="008D040F" w:rsidRPr="00E43385">
        <w:t>person's</w:t>
      </w:r>
      <w:r w:rsidRPr="00E43385">
        <w:t xml:space="preserve"> treatment. The modifier is not, however, a biological marker and can change under duress. It should therefore be used to inform formulation, risk assessment and communication, and not as a fixed label.</w:t>
      </w:r>
    </w:p>
    <w:p w14:paraId="3BBD4B99" w14:textId="54141912" w:rsidR="00C03CCA" w:rsidRPr="00E43385" w:rsidRDefault="003F4FAA" w:rsidP="00ED7AC7">
      <w:pPr>
        <w:ind w:firstLine="432"/>
      </w:pPr>
      <w:r w:rsidRPr="00E43385">
        <w:t xml:space="preserve">Practical implications of "disorder" The term has consequences in this life. It represents clinically meaningful distress, lets you bill insurance, and distinguishes OCD from preferences. But flippant statements such as "I'm so OCD" turn a debilitating disorder into a simple personality quirk. It </w:t>
      </w:r>
      <w:r w:rsidR="00ED7AC7" w:rsidRPr="00E43385">
        <w:t>can</w:t>
      </w:r>
      <w:r w:rsidRPr="00E43385">
        <w:t xml:space="preserve"> </w:t>
      </w:r>
      <w:r w:rsidR="00A04D04">
        <w:t>trivialise</w:t>
      </w:r>
      <w:r w:rsidRPr="00E43385">
        <w:t xml:space="preserve"> secret rituals and add shame for people with taboo obsessions. A diagnosis can be a relief and explain things, but the language should remain person-led and focus on needs, </w:t>
      </w:r>
      <w:r w:rsidR="0036478F" w:rsidRPr="00E43385">
        <w:t>strengths,</w:t>
      </w:r>
      <w:r w:rsidRPr="00E43385">
        <w:t xml:space="preserve"> and context rather than an alphanumeric that defines the person. </w:t>
      </w:r>
    </w:p>
    <w:p w14:paraId="680A0A77" w14:textId="77777777" w:rsidR="00C03CCA" w:rsidRPr="00E43385" w:rsidRDefault="003F4FAA">
      <w:pPr>
        <w:pStyle w:val="Heading1"/>
        <w:jc w:val="left"/>
      </w:pPr>
      <w:r w:rsidRPr="00E43385">
        <w:t>3. Diagnosis and assessment</w:t>
      </w:r>
    </w:p>
    <w:p w14:paraId="644067EC" w14:textId="584C6208" w:rsidR="00C03CCA" w:rsidRPr="00E43385" w:rsidRDefault="003F4FAA">
      <w:pPr>
        <w:ind w:firstLine="432"/>
      </w:pPr>
      <w:r w:rsidRPr="00E43385">
        <w:t xml:space="preserve">There is no scan, blood test or cognitive test that can </w:t>
      </w:r>
      <w:r w:rsidR="003C6A1E">
        <w:t>diagnose</w:t>
      </w:r>
      <w:r w:rsidR="00ED7AC7" w:rsidRPr="00E43385">
        <w:t>.</w:t>
      </w:r>
      <w:r w:rsidRPr="00E43385">
        <w:t xml:space="preserve"> </w:t>
      </w:r>
      <w:r w:rsidR="003C6A1E">
        <w:t>Postdiagnosis is</w:t>
      </w:r>
      <w:r w:rsidRPr="00E43385">
        <w:t xml:space="preserve"> a clinical decision based on one or more evaluations that </w:t>
      </w:r>
      <w:r w:rsidR="00ED7AC7" w:rsidRPr="00E43385">
        <w:t>consider</w:t>
      </w:r>
      <w:r w:rsidRPr="00E43385">
        <w:t xml:space="preserve"> the type, frequency, </w:t>
      </w:r>
      <w:r w:rsidR="00ED7AC7" w:rsidRPr="00E43385">
        <w:t>trigger</w:t>
      </w:r>
      <w:r w:rsidRPr="00E43385">
        <w:t xml:space="preserve">, and impact of obsessions and compulsions. Clinicians need to be frank and compassionate when asking about checking, washing, ordering, avoiding, </w:t>
      </w:r>
      <w:r w:rsidR="00ED7AC7" w:rsidRPr="00E43385">
        <w:t xml:space="preserve">reassurance-seeking, and unwanted thoughts, as shame often </w:t>
      </w:r>
      <w:r w:rsidRPr="00E43385">
        <w:t xml:space="preserve">prevents early disclosure. NICE (2005) acknowledges the </w:t>
      </w:r>
      <w:r w:rsidR="000056AA">
        <w:t>unrecognised</w:t>
      </w:r>
      <w:r w:rsidRPr="00E43385">
        <w:t xml:space="preserve"> distress and recommends that patients be informed that </w:t>
      </w:r>
      <w:r w:rsidR="00ED7AC7" w:rsidRPr="00E43385">
        <w:t>the general population experiences intrusive thoughts</w:t>
      </w:r>
      <w:r w:rsidRPr="00E43385">
        <w:t xml:space="preserve">; it is in OCD where the frequency, </w:t>
      </w:r>
      <w:r w:rsidR="008D040F" w:rsidRPr="00E43385">
        <w:t>importance,</w:t>
      </w:r>
      <w:r w:rsidRPr="00E43385">
        <w:t xml:space="preserve"> and the patient's reaction in the form </w:t>
      </w:r>
      <w:r w:rsidR="008D040F" w:rsidRPr="00E43385">
        <w:t xml:space="preserve">of </w:t>
      </w:r>
      <w:r w:rsidRPr="00E43385">
        <w:t xml:space="preserve">rituals </w:t>
      </w:r>
      <w:r w:rsidR="00ED7AC7" w:rsidRPr="00E43385">
        <w:t>bring</w:t>
      </w:r>
      <w:r w:rsidRPr="00E43385">
        <w:t xml:space="preserve"> about </w:t>
      </w:r>
      <w:r w:rsidR="00ED7AC7" w:rsidRPr="00E43385">
        <w:t>impairment</w:t>
      </w:r>
      <w:r w:rsidRPr="00E43385">
        <w:t xml:space="preserve">. Severity scores such as the Yale-Brown Obsessive Compulsive Scale may </w:t>
      </w:r>
      <w:r w:rsidR="00314E74" w:rsidRPr="00E43385">
        <w:t>be utilized</w:t>
      </w:r>
      <w:r w:rsidRPr="00E43385">
        <w:t xml:space="preserve"> to monitor progress</w:t>
      </w:r>
      <w:r w:rsidR="00ED7AC7" w:rsidRPr="00E43385">
        <w:t>;</w:t>
      </w:r>
      <w:r w:rsidRPr="00E43385">
        <w:t xml:space="preserve"> however</w:t>
      </w:r>
      <w:r w:rsidR="00ED7AC7" w:rsidRPr="00E43385">
        <w:t>,</w:t>
      </w:r>
      <w:r w:rsidRPr="00E43385">
        <w:t xml:space="preserve"> a number cannot replace diagnosis or case formulation. </w:t>
      </w:r>
    </w:p>
    <w:p w14:paraId="15DFA9C5" w14:textId="27E69CEE" w:rsidR="00C03CCA" w:rsidRPr="00E43385" w:rsidRDefault="003F4FAA">
      <w:pPr>
        <w:ind w:firstLine="432"/>
      </w:pPr>
      <w:r w:rsidRPr="00E43385">
        <w:t xml:space="preserve">Assessment should address onset, course, family history, physical health, medication, substance use, developmental history, depression, and suicide risk. It also needs to </w:t>
      </w:r>
      <w:r w:rsidR="00205CC5" w:rsidRPr="00E43385">
        <w:t>recognize</w:t>
      </w:r>
      <w:r w:rsidRPr="00E43385">
        <w:t xml:space="preserve"> family accommodation when relatives are responding to repetitive questions, taking part in </w:t>
      </w:r>
      <w:r w:rsidR="0036478F" w:rsidRPr="00E43385">
        <w:lastRenderedPageBreak/>
        <w:t>rituals,</w:t>
      </w:r>
      <w:r w:rsidRPr="00E43385">
        <w:t xml:space="preserve"> or rescheduling their lives around avoidance. While accommodation temporarily lessens discomfort, it usually perpetuates the cycle and can cause distress. For young people, parent and school information is helpful, but the young person’s own account is vital as adults may observe rituals without knowing the feared meaning.</w:t>
      </w:r>
    </w:p>
    <w:p w14:paraId="4080A6A9" w14:textId="52ADBD3D" w:rsidR="00C03CCA" w:rsidRPr="00E43385" w:rsidRDefault="003F4FAA">
      <w:pPr>
        <w:ind w:firstLine="432"/>
      </w:pPr>
      <w:r w:rsidRPr="00E43385">
        <w:t xml:space="preserve">Differential diagnosis is challenging. </w:t>
      </w:r>
      <w:r w:rsidR="008D040F" w:rsidRPr="00E43385">
        <w:t>Generalized</w:t>
      </w:r>
      <w:r w:rsidRPr="00E43385">
        <w:t xml:space="preserve"> anxiety, by contrast, features general worry, not particular obsession-compulsion cycles. Depressive rumination is typically mood-congruent; psychotic beliefs are </w:t>
      </w:r>
      <w:r w:rsidR="00DD03DE" w:rsidRPr="00E43385">
        <w:t>not often</w:t>
      </w:r>
      <w:r w:rsidRPr="00E43385">
        <w:t xml:space="preserve"> resisted or </w:t>
      </w:r>
      <w:r w:rsidR="008D040F" w:rsidRPr="00E43385">
        <w:t>neutralized</w:t>
      </w:r>
      <w:r w:rsidRPr="00E43385">
        <w:t xml:space="preserve">; obsessive-compulsive personality disorder is </w:t>
      </w:r>
      <w:r w:rsidR="008D040F" w:rsidRPr="00E43385">
        <w:t>characterized</w:t>
      </w:r>
      <w:r w:rsidRPr="00E43385">
        <w:t xml:space="preserve"> by pervasive perfectionism that is regarded as appropriate, as opposed to unwanted compulsions. Repetitive </w:t>
      </w:r>
      <w:r w:rsidR="005571B2" w:rsidRPr="00E43385">
        <w:t>behaviours</w:t>
      </w:r>
      <w:r w:rsidRPr="00E43385">
        <w:t xml:space="preserve"> in autism may be pleasurable, </w:t>
      </w:r>
      <w:r w:rsidR="0036478F" w:rsidRPr="00E43385">
        <w:t>predictable,</w:t>
      </w:r>
      <w:r w:rsidRPr="00E43385">
        <w:t xml:space="preserve"> or related to sensory regulation, but OCD compulsions are typically completed to get away from perceived threat or distress, although both can co-occur. Consideration also </w:t>
      </w:r>
      <w:r w:rsidR="00205CC5" w:rsidRPr="00E43385">
        <w:t>needs</w:t>
      </w:r>
      <w:r w:rsidRPr="00E43385">
        <w:t xml:space="preserve"> to be given to eating disorders, tic disorders, post‑traumatic </w:t>
      </w:r>
      <w:r w:rsidR="0036478F" w:rsidRPr="00E43385">
        <w:t>stress,</w:t>
      </w:r>
      <w:r w:rsidRPr="00E43385">
        <w:t xml:space="preserve"> and health anxiety. Cultural and religious rituals should not be </w:t>
      </w:r>
      <w:r w:rsidR="008D040F" w:rsidRPr="00E43385">
        <w:t>pathologized</w:t>
      </w:r>
      <w:r w:rsidRPr="00E43385">
        <w:t xml:space="preserve"> simply because they are repetitive. Clinical responsibility may be shared (with consent) with an appropriate faith leader if scrupulosity is suspected (NICE, 2005), but </w:t>
      </w:r>
      <w:r w:rsidR="0036478F" w:rsidRPr="00E43385">
        <w:t>the</w:t>
      </w:r>
      <w:r w:rsidRPr="00E43385">
        <w:t xml:space="preserve"> clinician remains responsible. </w:t>
      </w:r>
    </w:p>
    <w:p w14:paraId="1A5553F0" w14:textId="7EAADE81" w:rsidR="00C03CCA" w:rsidRPr="00E43385" w:rsidRDefault="003F4FAA">
      <w:r w:rsidRPr="00E43385">
        <w:t xml:space="preserve">Diagnostic delay continues to be high in levels of service failure. Shame, lack of awareness in the public, misunderstanding amongst clinicians and a lack of specialist pathways continue to </w:t>
      </w:r>
      <w:r w:rsidR="0036478F" w:rsidRPr="00E43385">
        <w:t>function as</w:t>
      </w:r>
      <w:r w:rsidRPr="00E43385">
        <w:t xml:space="preserve"> barriers (Wongbusarakum et al., 2025). </w:t>
      </w:r>
      <w:r w:rsidR="00205CC5" w:rsidRPr="00E43385">
        <w:t>Anion</w:t>
      </w:r>
      <w:r w:rsidRPr="00E43385">
        <w:t xml:space="preserve"> and Chasseguet-Smirgel, 1985) they are ego-dystonic and not indication of intent), sexual, </w:t>
      </w:r>
      <w:r w:rsidR="0036478F" w:rsidRPr="00E43385">
        <w:t>religious,</w:t>
      </w:r>
      <w:r w:rsidRPr="00E43385">
        <w:t xml:space="preserve"> and violent obsessions are most </w:t>
      </w:r>
      <w:r w:rsidR="00205CC5" w:rsidRPr="00E43385">
        <w:t>suspected</w:t>
      </w:r>
      <w:r w:rsidRPr="00E43385">
        <w:t xml:space="preserve"> </w:t>
      </w:r>
      <w:r w:rsidR="00205CC5" w:rsidRPr="00E43385">
        <w:t>of</w:t>
      </w:r>
      <w:r w:rsidRPr="00E43385">
        <w:t xml:space="preserve"> misinterpretation. Too hurried a risk response may reinforce the person's fear that disclosure is hazardous. Consequently, assessment involves safeguarding as well as phenomenological insight: clinicians need to be able to differentiate between an unwanted fear of harming others and actual desire, </w:t>
      </w:r>
      <w:r w:rsidR="0036478F" w:rsidRPr="00E43385">
        <w:t>intent,</w:t>
      </w:r>
      <w:r w:rsidRPr="00E43385">
        <w:t xml:space="preserve"> or loss of control. </w:t>
      </w:r>
    </w:p>
    <w:p w14:paraId="5681F122" w14:textId="77777777" w:rsidR="00C03CCA" w:rsidRPr="00E43385" w:rsidRDefault="003F4FAA">
      <w:pPr>
        <w:pStyle w:val="Heading1"/>
        <w:jc w:val="left"/>
      </w:pPr>
      <w:r w:rsidRPr="00E43385">
        <w:t>4. Treatment and rehabilitation</w:t>
      </w:r>
    </w:p>
    <w:p w14:paraId="520C821D" w14:textId="417533E9" w:rsidR="00C03CCA" w:rsidRPr="00E43385" w:rsidRDefault="003F4FAA">
      <w:pPr>
        <w:ind w:firstLine="432"/>
      </w:pPr>
      <w:r w:rsidRPr="00E43385">
        <w:t xml:space="preserve">Modern approaches differ vastly from the previously custodial or </w:t>
      </w:r>
      <w:r w:rsidR="00205CC5" w:rsidRPr="00E43385">
        <w:t>explanatory</w:t>
      </w:r>
      <w:r w:rsidRPr="00E43385">
        <w:t xml:space="preserve"> methods. NICE recommends using a stepped care approach, involving education and low-intensity psychological support, with step-up care determined by severity, risk, and response. The primary psychological treatment is exposure and response prevention (ERP) as a component of cognitive </w:t>
      </w:r>
      <w:r w:rsidR="00A31E5E" w:rsidRPr="00E43385">
        <w:t>behavioural</w:t>
      </w:r>
      <w:r w:rsidRPr="00E43385">
        <w:t xml:space="preserve"> therapy. With collaborative planning, the person faces </w:t>
      </w:r>
      <w:r w:rsidR="00205CC5" w:rsidRPr="00E43385">
        <w:t>fearful</w:t>
      </w:r>
      <w:r w:rsidRPr="00E43385">
        <w:t xml:space="preserve"> situations, images, or uncertainty that is ritual, avoidance, and reassurance-free. You </w:t>
      </w:r>
      <w:r w:rsidR="0036478F" w:rsidRPr="00E43385">
        <w:t>do not</w:t>
      </w:r>
      <w:r w:rsidRPr="00E43385">
        <w:t xml:space="preserve"> just learn that anxiety decreases, you learn that you can stand not knowing and that compulsions are unnecessary. Meta-analytic data confirm the effectiveness of ERP as a front-line treatment also in remotely delivered formats, which may increase the accessibility of this treatment (Mao et al., 2022; Steele et al., 2025).</w:t>
      </w:r>
    </w:p>
    <w:p w14:paraId="22D4B916" w14:textId="2997B9DF" w:rsidR="00C03CCA" w:rsidRPr="00E43385" w:rsidRDefault="003F4FAA" w:rsidP="000523BB">
      <w:r w:rsidRPr="00E43385">
        <w:lastRenderedPageBreak/>
        <w:t xml:space="preserve">ERP has high demands </w:t>
      </w:r>
      <w:r w:rsidR="00205CC5" w:rsidRPr="00E43385">
        <w:t>for</w:t>
      </w:r>
      <w:r w:rsidRPr="00E43385">
        <w:t xml:space="preserve"> practitioners and patients and is not always successful. Drop out happens when exposures are rolled out too quickly, feel coercive, discount trauma, culture, autism or physical disability, or the person’s goals. Inadequately trained clinicians might teach general anxiety management, give repeated reassurance, or not include response prevention. </w:t>
      </w:r>
      <w:r w:rsidR="00205CC5" w:rsidRPr="00E43385">
        <w:t>Also,</w:t>
      </w:r>
      <w:r w:rsidRPr="00E43385">
        <w:t xml:space="preserve"> services tend to record symptom reduction in good numbers and to underreport involvement, </w:t>
      </w:r>
      <w:r w:rsidR="0036478F" w:rsidRPr="00E43385">
        <w:t>relationships,</w:t>
      </w:r>
      <w:r w:rsidRPr="00E43385">
        <w:t xml:space="preserve"> and quality of life. Treatment, therefore, should employ a joint hierarchy, state the rationale, continually revisit consent, and allow for flexibility in the means without abandoning the ends of therapy. Family work is usually needed so that relatives support exposure but are not policing the person or actively accommodating. </w:t>
      </w:r>
    </w:p>
    <w:p w14:paraId="55CD3777" w14:textId="664725A4" w:rsidR="00C03CCA" w:rsidRPr="00E43385" w:rsidRDefault="003F4FAA">
      <w:pPr>
        <w:ind w:firstLine="432"/>
      </w:pPr>
      <w:r w:rsidRPr="00E43385">
        <w:t xml:space="preserve">Selective Serotonin Reuptake Inhibitors (SSRIs) are the mainstay pharmacologic treatment. OCD may require an adequate trial of up to 12 weeks and doses may be higher than those typically used in depression, under specialist supervision. Nausea, sleep disturbance, sexual dysfunction, emotional blunting, </w:t>
      </w:r>
      <w:r w:rsidR="0036478F" w:rsidRPr="00E43385">
        <w:t>activation,</w:t>
      </w:r>
      <w:r w:rsidRPr="00E43385">
        <w:t xml:space="preserve"> and discontinuation symptoms must be weighed up against the benefits. Younger people and anyone with depression or suicide risk require closer monitoring. If an SSRI or ERP alone is not enough, the two treatments are added together; one more SSRI or clomipramine may then be suggested. Clomipramine is effective</w:t>
      </w:r>
      <w:r w:rsidR="00205CC5" w:rsidRPr="00E43385">
        <w:t>,</w:t>
      </w:r>
      <w:r w:rsidRPr="00E43385">
        <w:t xml:space="preserve"> but due to its higher anticholinergic and cardiac risk, ECG monitoring and concerns about toxicity in overdose are required (NICE, 2005). Drug therapy relieves symptoms in a lot of </w:t>
      </w:r>
      <w:r w:rsidR="00205CC5" w:rsidRPr="00E43385">
        <w:t>people,</w:t>
      </w:r>
      <w:r w:rsidRPr="00E43385">
        <w:t xml:space="preserve"> but it </w:t>
      </w:r>
      <w:r w:rsidR="0036478F" w:rsidRPr="00E43385">
        <w:t>does not</w:t>
      </w:r>
      <w:r w:rsidRPr="00E43385">
        <w:t xml:space="preserve"> necessarily fix routines, </w:t>
      </w:r>
      <w:r w:rsidR="0036478F" w:rsidRPr="00E43385">
        <w:t>confidence,</w:t>
      </w:r>
      <w:r w:rsidRPr="00E43385">
        <w:t xml:space="preserve"> or social roles.</w:t>
      </w:r>
    </w:p>
    <w:p w14:paraId="3CD5AC18" w14:textId="4CC5E122" w:rsidR="00C03CCA" w:rsidRPr="00E43385" w:rsidRDefault="003F4FAA">
      <w:pPr>
        <w:ind w:firstLine="432"/>
      </w:pPr>
      <w:r w:rsidRPr="00E43385">
        <w:t xml:space="preserve">For treatment-refractory severe OCD, expert multidisciplinary assessment should confirm diagnosis, comorbidity, and whether previous ERP has been adequately delivered. Atypical antipsychotic augmentation may be useful in a subgroup, particularly when tics coexist, but side effects, metabolic and neurological, prevent </w:t>
      </w:r>
      <w:r w:rsidR="00205CC5" w:rsidRPr="00E43385">
        <w:t>their</w:t>
      </w:r>
      <w:r w:rsidRPr="00E43385">
        <w:t xml:space="preserve"> routine use (Fineberg et al., 2020). Repetitive transcranial magnetic stimulation is </w:t>
      </w:r>
      <w:r w:rsidR="005571B2" w:rsidRPr="00E43385">
        <w:t>non-invasive</w:t>
      </w:r>
      <w:r w:rsidRPr="00E43385">
        <w:t xml:space="preserve"> and exhibits a small average effect, though protocols, targets, and duration remain to be identified. Deep brain stimulation or lesioning neurosurgery can be offered in extremely severe, chronic, treatment-refractory cases. </w:t>
      </w:r>
    </w:p>
    <w:p w14:paraId="6C37E2B7" w14:textId="5A6400ED" w:rsidR="00C03CCA" w:rsidRPr="00E43385" w:rsidRDefault="003F4FAA">
      <w:pPr>
        <w:ind w:firstLine="432"/>
      </w:pPr>
      <w:r w:rsidRPr="00E43385">
        <w:t xml:space="preserve">These procedures invoke questions about surgical risk, consent under desperation, inequitable access to care and the risk of portraying circuit-based treatment as confirmation of an overly simplistic biological </w:t>
      </w:r>
      <w:r w:rsidR="005571B2" w:rsidRPr="00E43385">
        <w:t>ethology</w:t>
      </w:r>
      <w:r w:rsidRPr="00E43385">
        <w:t xml:space="preserve">. </w:t>
      </w:r>
    </w:p>
    <w:p w14:paraId="1C9CCBAE" w14:textId="26E4B71B" w:rsidR="00C03CCA" w:rsidRPr="00E43385" w:rsidRDefault="003F4FAA" w:rsidP="00205CC5">
      <w:pPr>
        <w:ind w:firstLine="432"/>
      </w:pPr>
      <w:r w:rsidRPr="00E43385">
        <w:t xml:space="preserve">Rehabilitation is not an add-on cure after the symptoms have abated. It is the means by which participation is restored during the process of treatment. The ICD-11 </w:t>
      </w:r>
      <w:r w:rsidR="007C6E67" w:rsidRPr="00E43385">
        <w:t xml:space="preserve">defines what constitutes an impairment, but not how to implement rehabilitation; therefore, clinicians need to be able </w:t>
      </w:r>
      <w:r w:rsidRPr="00E43385">
        <w:t xml:space="preserve">to convert descriptive classification into an individual plan. These can include a graded return to school or work, occupational therapy, assistance with personal care, sleep and </w:t>
      </w:r>
      <w:r w:rsidRPr="00E43385">
        <w:lastRenderedPageBreak/>
        <w:t>community activities, family education, reasonable adjustments,</w:t>
      </w:r>
      <w:r w:rsidR="007C6E67" w:rsidRPr="00E43385">
        <w:t xml:space="preserve"> financial advice,</w:t>
      </w:r>
      <w:r w:rsidRPr="00E43385">
        <w:t xml:space="preserve"> and planning for relapses. Severe cases may require intensive home treatment, specialist inpatient care, or resettlement in the community through supported housing to recover the skills needed for independent living (NICE, 2005). Recovery should involve less time spent engaged in rituals, as well as freedom, relationships, studying, employment, and learning how to cope with </w:t>
      </w:r>
      <w:r w:rsidR="00205CC5" w:rsidRPr="00E43385">
        <w:t>relapses</w:t>
      </w:r>
      <w:r w:rsidRPr="00E43385">
        <w:t> </w:t>
      </w:r>
      <w:r w:rsidRPr="00E43385">
        <w:t xml:space="preserve">without waiting for the next </w:t>
      </w:r>
      <w:r w:rsidR="00205CC5" w:rsidRPr="00E43385">
        <w:t>crisis.</w:t>
      </w:r>
    </w:p>
    <w:p w14:paraId="463E902D" w14:textId="77777777" w:rsidR="00C03CCA" w:rsidRPr="00E43385" w:rsidRDefault="003F4FAA">
      <w:pPr>
        <w:pStyle w:val="Heading1"/>
        <w:jc w:val="left"/>
      </w:pPr>
      <w:r w:rsidRPr="00E43385">
        <w:t>5. Current debates and emerging issues</w:t>
      </w:r>
    </w:p>
    <w:p w14:paraId="692DF080" w14:textId="02CB063F" w:rsidR="00C03CCA" w:rsidRPr="00E43385" w:rsidRDefault="003F4FAA">
      <w:pPr>
        <w:ind w:firstLine="432"/>
      </w:pPr>
      <w:r w:rsidRPr="00E43385">
        <w:t xml:space="preserve">One debate is whether it is better to err on the side of underdiagnosis or diagnostic inflation. Publicity enables individuals to identify symptoms they had been unaware of having, but some online material treats neatness, intrusive </w:t>
      </w:r>
      <w:r w:rsidR="0036478F" w:rsidRPr="00E43385">
        <w:t>thoughts,</w:t>
      </w:r>
      <w:r w:rsidRPr="00E43385">
        <w:t xml:space="preserve"> or reassurance-seeking as de facto signs of OCD. Unwanted impulses are </w:t>
      </w:r>
      <w:r w:rsidR="00205CC5" w:rsidRPr="00E43385">
        <w:t>common</w:t>
      </w:r>
      <w:r w:rsidRPr="00E43385">
        <w:t xml:space="preserve"> by themselves; diagnosis needs a persistent sequence that causes "significant distress or dysfunction". The response should not be to challenge self-</w:t>
      </w:r>
      <w:r w:rsidR="00205CC5" w:rsidRPr="00E43385">
        <w:t>identification, which</w:t>
      </w:r>
      <w:r w:rsidRPr="00E43385">
        <w:t xml:space="preserve"> may be the first step towards </w:t>
      </w:r>
      <w:r w:rsidR="00205CC5" w:rsidRPr="00E43385">
        <w:t>care,</w:t>
      </w:r>
      <w:r w:rsidRPr="00E43385">
        <w:t xml:space="preserve"> but to delimit education and screening from full evaluation. Nevertheless, evidence from a global survey still suggests considerable disability and unmet </w:t>
      </w:r>
      <w:r w:rsidR="00205CC5" w:rsidRPr="00E43385">
        <w:t>treatment needs</w:t>
      </w:r>
      <w:r w:rsidRPr="00E43385">
        <w:t>, so to claim much of this is a matter of overdiagnosis sounds too facile (World Mental Health Survey Collaborators, 2025).</w:t>
      </w:r>
    </w:p>
    <w:p w14:paraId="22705CC2" w14:textId="5D29FFD0" w:rsidR="00C03CCA" w:rsidRPr="00E43385" w:rsidRDefault="003F4FAA">
      <w:pPr>
        <w:ind w:firstLine="432"/>
      </w:pPr>
      <w:r w:rsidRPr="00E43385">
        <w:t>Neurodivergence contributes to this tension as wel</w:t>
      </w:r>
      <w:r w:rsidR="00BE4B17">
        <w:t>l.</w:t>
      </w:r>
      <w:r w:rsidRPr="00E43385">
        <w:t xml:space="preserve"> OCD</w:t>
      </w:r>
      <w:r w:rsidR="00785064" w:rsidRPr="00E43385">
        <w:t xml:space="preserve"> </w:t>
      </w:r>
      <w:r w:rsidR="001426D3">
        <w:t xml:space="preserve">is not </w:t>
      </w:r>
      <w:r w:rsidR="00785064" w:rsidRPr="00E43385">
        <w:t>classified</w:t>
      </w:r>
      <w:r w:rsidRPr="00E43385">
        <w:t xml:space="preserve"> as a neurodevelopmental disorder in ICD-11, although broad neurodiversity narratives are sometimes extended to cover any long-lasting variation in thought or brain activity. A system-oriented perspective also answers the question of how environments, stigma and social norms magnify impairment (Chapman, 2021). For </w:t>
      </w:r>
      <w:r w:rsidR="00205CC5" w:rsidRPr="00E43385">
        <w:t>OCD,</w:t>
      </w:r>
      <w:r w:rsidRPr="00E43385">
        <w:t xml:space="preserve"> seeing a positive identity must not mean </w:t>
      </w:r>
      <w:r w:rsidR="00205CC5" w:rsidRPr="00E43385">
        <w:t>romanticizing</w:t>
      </w:r>
      <w:r w:rsidRPr="00E43385">
        <w:t xml:space="preserve"> compulsions as if they were an identity aspect for someone who sees them as unwanted, oppressive and life-limiting. The most responsible route is a pluralistic one: </w:t>
      </w:r>
      <w:r w:rsidR="005571B2" w:rsidRPr="00E43385">
        <w:t>honour</w:t>
      </w:r>
      <w:r w:rsidRPr="00E43385">
        <w:t xml:space="preserve"> self-identification and provide </w:t>
      </w:r>
      <w:r w:rsidR="00205CC5" w:rsidRPr="00E43385">
        <w:t>accommodation</w:t>
      </w:r>
      <w:r w:rsidRPr="00E43385">
        <w:t xml:space="preserve"> while maintaining availability of approaches that treat them to alleviate suffering. And it is also important when OCD is present alongside autism or ADHD, given that traditional ERP might need to be modified for individuals’ communication styles, pace and sensory needs — without pathologizing all repetition. </w:t>
      </w:r>
    </w:p>
    <w:p w14:paraId="4BA3346D" w14:textId="77777777" w:rsidR="00C03CCA" w:rsidRPr="00E43385" w:rsidRDefault="00C03CCA">
      <w:pPr>
        <w:ind w:firstLine="432"/>
      </w:pPr>
    </w:p>
    <w:p w14:paraId="4F1F0B0B" w14:textId="2CA36816" w:rsidR="00C03CCA" w:rsidRPr="00E43385" w:rsidRDefault="003F4FAA">
      <w:pPr>
        <w:ind w:firstLine="432"/>
      </w:pPr>
      <w:r w:rsidRPr="00E43385">
        <w:t xml:space="preserve">Digital care is yet another challenge in the making. Video-based ERP, apps and symptom monitoring can mitigate physical distance and allow for between-session support. AI can potentially enable screening and provide personalized prompts, but the evidence is </w:t>
      </w:r>
      <w:r w:rsidR="00205CC5" w:rsidRPr="00E43385">
        <w:t>nascent,</w:t>
      </w:r>
      <w:r w:rsidRPr="00E43385">
        <w:t xml:space="preserve"> and issues of bias, privacy and clinical accountability are unresolved (Kim et al., 2025). </w:t>
      </w:r>
      <w:r w:rsidR="0036478F" w:rsidRPr="00E43385">
        <w:t>An</w:t>
      </w:r>
      <w:r w:rsidRPr="00E43385">
        <w:t xml:space="preserve"> </w:t>
      </w:r>
      <w:r w:rsidR="00205CC5" w:rsidRPr="00E43385">
        <w:t>always available</w:t>
      </w:r>
      <w:r w:rsidRPr="00E43385">
        <w:t xml:space="preserve"> chatbot can become a reassurance ritual: repeated demands for certainty may ironically </w:t>
      </w:r>
      <w:r w:rsidRPr="00E43385">
        <w:lastRenderedPageBreak/>
        <w:t xml:space="preserve">serve to reinforce the very learning cycle that ERP attempts to break. Digital tools should be co-designed with clinicians and people with lived experience, identify repetitive reassurance patterns, do not provide definitive guarantees, and route risk appropriately.” </w:t>
      </w:r>
    </w:p>
    <w:p w14:paraId="74F78FD7" w14:textId="77777777" w:rsidR="00C03CCA" w:rsidRPr="00E43385" w:rsidRDefault="003F4FAA">
      <w:pPr>
        <w:pStyle w:val="Heading1"/>
        <w:jc w:val="left"/>
      </w:pPr>
      <w:r w:rsidRPr="00E43385">
        <w:t>6. Recommendations</w:t>
      </w:r>
    </w:p>
    <w:p w14:paraId="58562C0E" w14:textId="5D06011D" w:rsidR="00C03CCA" w:rsidRPr="00E43385" w:rsidRDefault="003F4FAA">
      <w:pPr>
        <w:ind w:firstLine="432"/>
      </w:pPr>
      <w:r w:rsidRPr="00E43385">
        <w:t xml:space="preserve">Services should be able to meet auditable diagnostic criteria which includes asking directly about taboo and mental compulsions, differential diagnosis, cultural formulation, suicide risk assessment and the functional impact. Primary care and mental health generalist training should </w:t>
      </w:r>
      <w:r w:rsidR="00205CC5" w:rsidRPr="00E43385">
        <w:t>be conducted</w:t>
      </w:r>
      <w:r w:rsidRPr="00E43385">
        <w:t xml:space="preserve"> with </w:t>
      </w:r>
      <w:r w:rsidR="00205CC5" w:rsidRPr="00E43385">
        <w:t>OECD</w:t>
      </w:r>
      <w:r w:rsidRPr="00E43385">
        <w:t xml:space="preserve"> people, </w:t>
      </w:r>
      <w:r w:rsidR="00205CC5" w:rsidRPr="00E43385">
        <w:t>minimizing</w:t>
      </w:r>
      <w:r w:rsidRPr="00E43385">
        <w:t xml:space="preserve"> stigmatising and inappropriate emergency responses. Commissioners should increase access to specialist ERP in a timely manner via supervised face-to-face and remote pathways, and should monitor therapist competence, completion, adverse </w:t>
      </w:r>
      <w:r w:rsidR="0036478F" w:rsidRPr="00E43385">
        <w:t>events,</w:t>
      </w:r>
      <w:r w:rsidRPr="00E43385">
        <w:t xml:space="preserve"> and wider outcomes beyond symptom scores. Rehabilitation plans should address family accommodation, education, </w:t>
      </w:r>
      <w:r w:rsidR="0036478F" w:rsidRPr="00E43385">
        <w:t>employment,</w:t>
      </w:r>
      <w:r w:rsidRPr="00E43385">
        <w:t> </w:t>
      </w:r>
      <w:r w:rsidRPr="00E43385">
        <w:t xml:space="preserve">and relapse prevention from the outset. Policy for digital mental health should mandate with transparent evidence privacy protections and design features that do not incentivize compulsive reassurance seeking. Research priorities are long-term comparative effectiveness, adaptations for neurodivergent people, functional recovery, and equity in access to advanced interventions. </w:t>
      </w:r>
    </w:p>
    <w:p w14:paraId="7CE50626" w14:textId="77777777" w:rsidR="00C03CCA" w:rsidRPr="00E43385" w:rsidRDefault="00C03CCA">
      <w:pPr>
        <w:pStyle w:val="Heading1"/>
        <w:jc w:val="left"/>
      </w:pPr>
    </w:p>
    <w:p w14:paraId="7929E3AD" w14:textId="77777777" w:rsidR="00C03CCA" w:rsidRPr="00E43385" w:rsidRDefault="00C03CCA">
      <w:pPr>
        <w:pStyle w:val="Heading1"/>
        <w:jc w:val="left"/>
      </w:pPr>
    </w:p>
    <w:p w14:paraId="5710580F" w14:textId="77777777" w:rsidR="00C03CCA" w:rsidRPr="00E43385" w:rsidRDefault="003F4FAA">
      <w:pPr>
        <w:pStyle w:val="Heading1"/>
        <w:jc w:val="left"/>
      </w:pPr>
      <w:r w:rsidRPr="00E43385">
        <w:t>7. Conclusion</w:t>
      </w:r>
    </w:p>
    <w:p w14:paraId="290F2D2A" w14:textId="51D17E8B" w:rsidR="00C03CCA" w:rsidRPr="00E43385" w:rsidRDefault="003F4FAA">
      <w:pPr>
        <w:ind w:firstLine="432"/>
      </w:pPr>
      <w:r w:rsidRPr="00E43385">
        <w:t>ICD‑</w:t>
      </w:r>
      <w:r w:rsidR="000B0611" w:rsidRPr="00E43385">
        <w:t>11</w:t>
      </w:r>
      <w:r w:rsidRPr="00E43385">
        <w:t xml:space="preserve"> also enhances the classification of OCD by establishing a separate related‑disorders grouping at the same hierarchical level and by acknowledging mental compulsions and the degree of insight. Its usefulness, however, relies on expert </w:t>
      </w:r>
      <w:r w:rsidR="0036478F" w:rsidRPr="00E43385">
        <w:t>interpretation because</w:t>
      </w:r>
      <w:r w:rsidRPr="00E43385">
        <w:t xml:space="preserve"> repetition, intrusive thoughts, and culture are not inherently pathological. Although ERP and SSRIs continue to be effective cornerstones, barriers to access, tolerability, and delivery contribute to a substantial portion of the population remaining untreated or only partially recovered. An answer-level response to OCD is thus more than a list of symptoms: it is thorough diagnosis, compassionate language, evidence-based </w:t>
      </w:r>
      <w:r w:rsidR="0036478F" w:rsidRPr="00E43385">
        <w:t>treatment,</w:t>
      </w:r>
      <w:r w:rsidRPr="00E43385">
        <w:t xml:space="preserve"> and rehabilitation focused on real life. Future policy should increase specialist provision </w:t>
      </w:r>
      <w:r w:rsidR="00AF2B7B" w:rsidRPr="00E43385">
        <w:t xml:space="preserve">while guarding against trivialization, digital reinforcement, and </w:t>
      </w:r>
      <w:r w:rsidRPr="00E43385">
        <w:t xml:space="preserve">unequal care. </w:t>
      </w:r>
    </w:p>
    <w:p w14:paraId="46446572" w14:textId="77777777" w:rsidR="00C03CCA" w:rsidRPr="00E43385" w:rsidRDefault="003F4FAA">
      <w:r w:rsidRPr="00E43385">
        <w:br w:type="page"/>
      </w:r>
    </w:p>
    <w:p w14:paraId="48F4A14D" w14:textId="77777777" w:rsidR="00C03CCA" w:rsidRPr="00E43385" w:rsidRDefault="003F4FAA">
      <w:pPr>
        <w:pStyle w:val="Heading1"/>
        <w:jc w:val="left"/>
      </w:pPr>
      <w:r w:rsidRPr="00E43385">
        <w:lastRenderedPageBreak/>
        <w:t>References</w:t>
      </w:r>
    </w:p>
    <w:p w14:paraId="6BDCED79" w14:textId="77777777" w:rsidR="00C03CCA" w:rsidRPr="00E43385" w:rsidRDefault="003F4FAA">
      <w:pPr>
        <w:numPr>
          <w:ilvl w:val="0"/>
          <w:numId w:val="1"/>
        </w:numPr>
        <w:spacing w:after="0"/>
        <w:jc w:val="left"/>
      </w:pPr>
      <w:r w:rsidRPr="00E43385">
        <w:t>Chapman, R. (2021) 'Neurodiversity and the social ecology of mental functions', Perspectives on Psychological Science, 16(6), pp. 1360-1372. Available at: https://doi.org/10.1177/1745691620959833.</w:t>
      </w:r>
    </w:p>
    <w:p w14:paraId="158F2762" w14:textId="6A26FA38" w:rsidR="00C03CCA" w:rsidRPr="00E43385" w:rsidRDefault="003F4FAA">
      <w:pPr>
        <w:numPr>
          <w:ilvl w:val="0"/>
          <w:numId w:val="1"/>
        </w:numPr>
        <w:spacing w:after="0"/>
        <w:jc w:val="left"/>
      </w:pPr>
      <w:r w:rsidRPr="00E43385">
        <w:t xml:space="preserve">Fineberg, N.A., Hollander, E., </w:t>
      </w:r>
      <w:r w:rsidR="00205CC5" w:rsidRPr="00E43385">
        <w:t>Pallante</w:t>
      </w:r>
      <w:r w:rsidRPr="00E43385">
        <w:t>, S., Walitza, S., Grunblatt, E., Dell'Osso, B., Albert, U., Geller, D., Brakoulias, V., Reddy, Y.C.J., Arumugham, S.S., Shavitt, R.G., Drummond, L., Grancini, B., De Carlo, V., Cinosi, E., Chamberlain, S.R., Ioannidis, K., Rodriguez, C.I., Garg, K., Castle, D., van Ameringen, M., Stein, D.J., Carmi, L., Zohar, J. and Menchon, J.M. (2020) 'Clinical advances in obsessive-compulsive disorder: a position statement by the International College of Obsessive-Compulsive Spectrum Disorders', International Clinical Psychopharmacology, 35(4), pp. 173-193. Available at: https://doi.org/10.1097/YIC.0000000000000314.</w:t>
      </w:r>
    </w:p>
    <w:p w14:paraId="2FE687C9" w14:textId="77777777" w:rsidR="00C03CCA" w:rsidRPr="00E43385" w:rsidRDefault="003F4FAA">
      <w:pPr>
        <w:numPr>
          <w:ilvl w:val="0"/>
          <w:numId w:val="1"/>
        </w:numPr>
        <w:spacing w:after="0"/>
        <w:jc w:val="left"/>
      </w:pPr>
      <w:r w:rsidRPr="00E43385">
        <w:t>Kim, J., Pacheco, J.P.G., Golden, A. et al. (2025) 'Artificial intelligence in obsessive-compulsive disorder: a systematic review', Current Treatment Options in Psychiatry, 12, article 23. Available at: https://doi.org/10.1007/s40501-025-00359-8.</w:t>
      </w:r>
    </w:p>
    <w:p w14:paraId="39F3F1CD" w14:textId="77777777" w:rsidR="00C03CCA" w:rsidRPr="00E43385" w:rsidRDefault="003F4FAA">
      <w:pPr>
        <w:numPr>
          <w:ilvl w:val="0"/>
          <w:numId w:val="1"/>
        </w:numPr>
        <w:spacing w:after="0"/>
        <w:jc w:val="left"/>
      </w:pPr>
      <w:r w:rsidRPr="00E43385">
        <w:t>Kogan, C.S., Stein, D.J., Rebello, T.J. et al. (2020) 'Accuracy of diagnostic judgments using ICD-11 versus ICD-10 diagnostic guidelines for obsessive-compulsive and related disorders', Journal of Affective Disorders, 273, pp. 328-340. Available at: https://doi.org/10.1016/j.jad.2020.04.036.</w:t>
      </w:r>
    </w:p>
    <w:p w14:paraId="5E901FC2" w14:textId="77777777" w:rsidR="00C03CCA" w:rsidRPr="00E43385" w:rsidRDefault="003F4FAA">
      <w:pPr>
        <w:numPr>
          <w:ilvl w:val="0"/>
          <w:numId w:val="1"/>
        </w:numPr>
        <w:spacing w:after="0"/>
        <w:jc w:val="left"/>
      </w:pPr>
      <w:r w:rsidRPr="00E43385">
        <w:t>Mao, L., Hu, M., Luo, J., Li, Y., Wang, Z., Zhao, Y., Huang, Y. and Liu, Y. (2022) 'The effectiveness of exposure and response prevention combined with pharmacotherapy for obsessive-compulsive disorder: a systematic review and meta-analysis', Frontiers in Psychiatry, 13, article 973838. Available at: https://doi.org/10.3389/fpsyt.2022.973838.</w:t>
      </w:r>
    </w:p>
    <w:p w14:paraId="5A1F50F5" w14:textId="4B546324" w:rsidR="00C03CCA" w:rsidRPr="00E43385" w:rsidRDefault="003F4FAA">
      <w:pPr>
        <w:numPr>
          <w:ilvl w:val="0"/>
          <w:numId w:val="1"/>
        </w:numPr>
        <w:spacing w:after="0"/>
        <w:jc w:val="left"/>
      </w:pPr>
      <w:r w:rsidRPr="00E43385">
        <w:t xml:space="preserve">National Institute for Health and Care Excellence (NICE) (2005) </w:t>
      </w:r>
      <w:r w:rsidR="00205CC5" w:rsidRPr="00E43385">
        <w:t>obsessive-compulsive disorder</w:t>
      </w:r>
      <w:r w:rsidRPr="00E43385">
        <w:t xml:space="preserve"> and body dysmorphic disorder: treatment (CG31). Last reviewed 11 July 2024. Available at: https://www.nice.org.uk/guidance/cg31 (Accessed: 14 July 2026).</w:t>
      </w:r>
    </w:p>
    <w:p w14:paraId="7E71AE07" w14:textId="77777777" w:rsidR="00C03CCA" w:rsidRPr="00E43385" w:rsidRDefault="003F4FAA">
      <w:pPr>
        <w:numPr>
          <w:ilvl w:val="0"/>
          <w:numId w:val="1"/>
        </w:numPr>
        <w:spacing w:after="0"/>
        <w:jc w:val="left"/>
      </w:pPr>
      <w:r w:rsidRPr="00E43385">
        <w:t>Steele, D.W., Kanaan, G., Caputo, E.L. et al. (2025) 'Treatment of obsessive-compulsive disorder in children and youth: a meta-analysis', Pediatrics, 155(3), article e2024068992. Available at: https://doi.org/10.1542/peds.2024-068992.</w:t>
      </w:r>
    </w:p>
    <w:p w14:paraId="6A2E3961" w14:textId="3CC71EF4" w:rsidR="00C03CCA" w:rsidRPr="00E43385" w:rsidRDefault="003F4FAA">
      <w:pPr>
        <w:numPr>
          <w:ilvl w:val="0"/>
          <w:numId w:val="1"/>
        </w:numPr>
        <w:spacing w:after="0"/>
        <w:jc w:val="left"/>
      </w:pPr>
      <w:r w:rsidRPr="00E43385">
        <w:t xml:space="preserve">Wongbusarakum, K., Schug, E., Visher, T., </w:t>
      </w:r>
      <w:r w:rsidR="00205CC5" w:rsidRPr="00E43385">
        <w:t>Markis</w:t>
      </w:r>
      <w:r w:rsidRPr="00E43385">
        <w:t xml:space="preserve">, M., Sullivan-Pascual, K., Rhee, </w:t>
      </w:r>
      <w:r w:rsidR="0036478F" w:rsidRPr="00E43385">
        <w:t>P.,</w:t>
      </w:r>
      <w:r w:rsidRPr="00E43385">
        <w:t xml:space="preserve"> and Frank, A.C. (2025) 'Factors associated with delays in assessment and treatment of obsessive-compulsive disorder: a scoping review', Journal of Obsessive-Compulsive and Related Disorders, 47, article 100982. Available at: https://doi.org/10.1016/j.jocrd.2025.100982.</w:t>
      </w:r>
    </w:p>
    <w:p w14:paraId="0A5C1B61" w14:textId="1F5F4908" w:rsidR="00C03CCA" w:rsidRPr="00E43385" w:rsidRDefault="003F4FAA">
      <w:pPr>
        <w:numPr>
          <w:ilvl w:val="0"/>
          <w:numId w:val="1"/>
        </w:numPr>
        <w:spacing w:after="0"/>
        <w:jc w:val="left"/>
      </w:pPr>
      <w:r w:rsidRPr="00E43385">
        <w:lastRenderedPageBreak/>
        <w:t xml:space="preserve">World Health Organization (WHO) (2024) Clinical descriptions and diagnostic requirements for ICD-11 mental, </w:t>
      </w:r>
      <w:r w:rsidR="0036478F" w:rsidRPr="00E43385">
        <w:t>behavioral,</w:t>
      </w:r>
      <w:r w:rsidRPr="00E43385">
        <w:t xml:space="preserve"> and neurodevelopmental disorders. Geneva: World Health Organization. Available at: https://www.who.int/publications/i/item/9789240077263 (Accessed: 14 July 2026).</w:t>
      </w:r>
    </w:p>
    <w:p w14:paraId="0A930340" w14:textId="77777777" w:rsidR="00C03CCA" w:rsidRDefault="003F4FAA">
      <w:pPr>
        <w:numPr>
          <w:ilvl w:val="0"/>
          <w:numId w:val="1"/>
        </w:numPr>
        <w:jc w:val="left"/>
      </w:pPr>
      <w:r w:rsidRPr="00E43385">
        <w:t>World Mental Health Survey Collaborators (2025) 'Obsessive-compulsive disorder in the World Mental Health surveys', BMC Medicine, 23(1), article 416. Available at: https://doi.org/10.1186/s12916-025-04209-5.</w:t>
      </w:r>
    </w:p>
    <w:sectPr w:rsidR="00C03CCA">
      <w:headerReference w:type="default" r:id="rId7"/>
      <w:footerReference w:type="default" r:id="rId8"/>
      <w:pgSz w:w="12240" w:h="15840"/>
      <w:pgMar w:top="1224" w:right="1440" w:bottom="1152"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DC5387" w14:textId="77777777" w:rsidR="00A51167" w:rsidRPr="00E43385" w:rsidRDefault="00A51167">
      <w:pPr>
        <w:spacing w:after="0" w:line="240" w:lineRule="auto"/>
      </w:pPr>
      <w:r w:rsidRPr="00E43385">
        <w:separator/>
      </w:r>
    </w:p>
  </w:endnote>
  <w:endnote w:type="continuationSeparator" w:id="0">
    <w:p w14:paraId="19F86A87" w14:textId="77777777" w:rsidR="00A51167" w:rsidRPr="00E43385" w:rsidRDefault="00A51167">
      <w:pPr>
        <w:spacing w:after="0" w:line="240" w:lineRule="auto"/>
      </w:pPr>
      <w:r w:rsidRPr="00E4338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4DA9C7C-52B2-4284-84A6-BE8A1E1FD915}"/>
    <w:embedBold r:id="rId2" w:fontKey="{039AC4BF-5A7B-49A0-A082-FC37008D7E82}"/>
    <w:embedItalic r:id="rId3" w:fontKey="{52002B92-D3CC-4F55-A24B-D7F3C5F65D8A}"/>
    <w:embedBoldItalic r:id="rId4" w:fontKey="{6EEAC3FB-C1CA-4D91-837D-FE45E7D597E1}"/>
  </w:font>
  <w:font w:name="Cambria">
    <w:panose1 w:val="02040503050406030204"/>
    <w:charset w:val="00"/>
    <w:family w:val="roman"/>
    <w:pitch w:val="variable"/>
    <w:sig w:usb0="E00006FF" w:usb1="420024FF" w:usb2="02000000" w:usb3="00000000" w:csb0="0000019F" w:csb1="00000000"/>
    <w:embedRegular r:id="rId5" w:fontKey="{0A66144B-60D1-46D8-9054-5A21EE36D59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C0F1E6" w14:textId="77777777" w:rsidR="00C03CCA" w:rsidRPr="00E43385" w:rsidRDefault="003F4FAA">
    <w:pPr>
      <w:pBdr>
        <w:top w:val="nil"/>
        <w:left w:val="nil"/>
        <w:bottom w:val="nil"/>
        <w:right w:val="nil"/>
        <w:between w:val="nil"/>
      </w:pBdr>
      <w:tabs>
        <w:tab w:val="center" w:pos="4680"/>
        <w:tab w:val="right" w:pos="9360"/>
      </w:tabs>
      <w:spacing w:after="0" w:line="240" w:lineRule="auto"/>
      <w:jc w:val="center"/>
      <w:rPr>
        <w:color w:val="000000"/>
      </w:rPr>
    </w:pPr>
    <w:r w:rsidRPr="00E43385">
      <w:rPr>
        <w:color w:val="000000"/>
        <w:sz w:val="18"/>
        <w:szCs w:val="18"/>
      </w:rPr>
      <w:fldChar w:fldCharType="begin"/>
    </w:r>
    <w:r w:rsidRPr="00E43385">
      <w:rPr>
        <w:color w:val="000000"/>
        <w:sz w:val="18"/>
        <w:szCs w:val="18"/>
      </w:rPr>
      <w:instrText>PAGE</w:instrText>
    </w:r>
    <w:r w:rsidRPr="00E43385">
      <w:rPr>
        <w:color w:val="000000"/>
        <w:sz w:val="18"/>
        <w:szCs w:val="18"/>
      </w:rPr>
      <w:fldChar w:fldCharType="separate"/>
    </w:r>
    <w:r w:rsidR="00ED7AC7" w:rsidRPr="00E43385">
      <w:rPr>
        <w:color w:val="000000"/>
        <w:sz w:val="18"/>
        <w:szCs w:val="18"/>
      </w:rPr>
      <w:t>1</w:t>
    </w:r>
    <w:r w:rsidRPr="00E43385">
      <w:rPr>
        <w:color w:val="00000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2C404" w14:textId="77777777" w:rsidR="00A51167" w:rsidRPr="00E43385" w:rsidRDefault="00A51167">
      <w:pPr>
        <w:spacing w:after="0" w:line="240" w:lineRule="auto"/>
      </w:pPr>
      <w:r w:rsidRPr="00E43385">
        <w:separator/>
      </w:r>
    </w:p>
  </w:footnote>
  <w:footnote w:type="continuationSeparator" w:id="0">
    <w:p w14:paraId="4426BE1D" w14:textId="77777777" w:rsidR="00A51167" w:rsidRPr="00E43385" w:rsidRDefault="00A51167">
      <w:pPr>
        <w:spacing w:after="0" w:line="240" w:lineRule="auto"/>
      </w:pPr>
      <w:r w:rsidRPr="00E43385">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B05B92" w14:textId="77777777" w:rsidR="00C03CCA" w:rsidRPr="00E43385" w:rsidRDefault="003F4FAA">
    <w:pPr>
      <w:pBdr>
        <w:top w:val="nil"/>
        <w:left w:val="nil"/>
        <w:bottom w:val="nil"/>
        <w:right w:val="nil"/>
        <w:between w:val="nil"/>
      </w:pBdr>
      <w:tabs>
        <w:tab w:val="center" w:pos="4680"/>
        <w:tab w:val="right" w:pos="9360"/>
      </w:tabs>
      <w:spacing w:after="0" w:line="240" w:lineRule="auto"/>
      <w:jc w:val="right"/>
      <w:rPr>
        <w:color w:val="000000"/>
      </w:rPr>
    </w:pPr>
    <w:r w:rsidRPr="00E43385">
      <w:fldChar w:fldCharType="begin"/>
    </w:r>
    <w:r w:rsidRPr="00E43385">
      <w:instrText>PAGE</w:instrText>
    </w:r>
    <w:r w:rsidRPr="00E43385">
      <w:fldChar w:fldCharType="separate"/>
    </w:r>
    <w:r w:rsidR="00ED7AC7" w:rsidRPr="00E43385">
      <w:t>1</w:t>
    </w:r>
    <w:r w:rsidRPr="00E43385">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814111"/>
    <w:multiLevelType w:val="multilevel"/>
    <w:tmpl w:val="D474F9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05576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3CCA"/>
    <w:rsid w:val="000056AA"/>
    <w:rsid w:val="00017F83"/>
    <w:rsid w:val="000241AB"/>
    <w:rsid w:val="000523BB"/>
    <w:rsid w:val="00075C3D"/>
    <w:rsid w:val="000B0611"/>
    <w:rsid w:val="000D37EA"/>
    <w:rsid w:val="000D75E6"/>
    <w:rsid w:val="000F5C38"/>
    <w:rsid w:val="001426D3"/>
    <w:rsid w:val="001E401B"/>
    <w:rsid w:val="001E7E59"/>
    <w:rsid w:val="00205CC5"/>
    <w:rsid w:val="002562A8"/>
    <w:rsid w:val="00314E74"/>
    <w:rsid w:val="00334F0A"/>
    <w:rsid w:val="00342459"/>
    <w:rsid w:val="0036478F"/>
    <w:rsid w:val="00372623"/>
    <w:rsid w:val="003C6A1E"/>
    <w:rsid w:val="003D01DF"/>
    <w:rsid w:val="003F4FAA"/>
    <w:rsid w:val="00435B85"/>
    <w:rsid w:val="004860AA"/>
    <w:rsid w:val="004E6F45"/>
    <w:rsid w:val="004F1BF7"/>
    <w:rsid w:val="00516C5E"/>
    <w:rsid w:val="005571B2"/>
    <w:rsid w:val="00574139"/>
    <w:rsid w:val="005C0676"/>
    <w:rsid w:val="005C24C7"/>
    <w:rsid w:val="00664BBA"/>
    <w:rsid w:val="00667EE4"/>
    <w:rsid w:val="007804E4"/>
    <w:rsid w:val="00785064"/>
    <w:rsid w:val="007C6E67"/>
    <w:rsid w:val="0080183C"/>
    <w:rsid w:val="0083653E"/>
    <w:rsid w:val="008D040F"/>
    <w:rsid w:val="00915729"/>
    <w:rsid w:val="00962E29"/>
    <w:rsid w:val="00A04D04"/>
    <w:rsid w:val="00A31E5E"/>
    <w:rsid w:val="00A51167"/>
    <w:rsid w:val="00AA0775"/>
    <w:rsid w:val="00AF2B7B"/>
    <w:rsid w:val="00AF4968"/>
    <w:rsid w:val="00B107BB"/>
    <w:rsid w:val="00B3276C"/>
    <w:rsid w:val="00B514A4"/>
    <w:rsid w:val="00B63864"/>
    <w:rsid w:val="00BC3339"/>
    <w:rsid w:val="00BE4B17"/>
    <w:rsid w:val="00C03CCA"/>
    <w:rsid w:val="00C25CE1"/>
    <w:rsid w:val="00C27323"/>
    <w:rsid w:val="00C62F15"/>
    <w:rsid w:val="00C90A80"/>
    <w:rsid w:val="00DD03DE"/>
    <w:rsid w:val="00E360B5"/>
    <w:rsid w:val="00E43385"/>
    <w:rsid w:val="00E539A4"/>
    <w:rsid w:val="00E62EB0"/>
    <w:rsid w:val="00ED7AC7"/>
    <w:rsid w:val="00F7291F"/>
    <w:rsid w:val="00F90C70"/>
    <w:rsid w:val="00FB6723"/>
    <w:rsid w:val="00FD628D"/>
    <w:rsid w:val="00FF1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ADBC3"/>
  <w15:docId w15:val="{D95091BD-7E86-405D-BD29-9592802CC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00" w:after="80"/>
      <w:outlineLvl w:val="0"/>
    </w:pPr>
    <w:rPr>
      <w:b/>
      <w:bCs/>
      <w:sz w:val="26"/>
      <w:szCs w:val="26"/>
    </w:rPr>
  </w:style>
  <w:style w:type="paragraph" w:styleId="Heading2">
    <w:name w:val="heading 2"/>
    <w:basedOn w:val="Normal"/>
    <w:next w:val="Normal"/>
    <w:uiPriority w:val="9"/>
    <w:semiHidden/>
    <w:unhideWhenUsed/>
    <w:qFormat/>
    <w:pPr>
      <w:keepNext/>
      <w:keepLines/>
      <w:spacing w:before="200" w:after="80"/>
      <w:outlineLvl w:val="1"/>
    </w:pPr>
    <w:rPr>
      <w:b/>
      <w:bCs/>
    </w:rPr>
  </w:style>
  <w:style w:type="paragraph" w:styleId="Heading3">
    <w:name w:val="heading 3"/>
    <w:basedOn w:val="Normal"/>
    <w:next w:val="Normal"/>
    <w:uiPriority w:val="9"/>
    <w:semiHidden/>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sz w:val="24"/>
      <w:szCs w:val="24"/>
    </w:rPr>
  </w:style>
  <w:style w:type="table" w:customStyle="1" w:styleId="a">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9</Pages>
  <Words>3005</Words>
  <Characters>17130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Saira Zaeed (2332216)</cp:lastModifiedBy>
  <cp:revision>2</cp:revision>
  <dcterms:created xsi:type="dcterms:W3CDTF">2026-07-16T20:56:00Z</dcterms:created>
  <dcterms:modified xsi:type="dcterms:W3CDTF">2026-07-16T20:56:00Z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505bf99c-7b16-4d1a-9adb-9263537b46c6</vt:lpwstr>
  </property>
</Properties>
</file>