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7DE08" w14:textId="56051550" w:rsidR="009439AB" w:rsidRDefault="009439AB">
      <w:pPr>
        <w:rPr>
          <w:b/>
          <w:bCs/>
        </w:rPr>
      </w:pPr>
    </w:p>
    <w:p w14:paraId="1C0F72BC" w14:textId="77777777" w:rsidR="009439AB" w:rsidRDefault="009439AB">
      <w:pPr>
        <w:rPr>
          <w:b/>
          <w:bCs/>
        </w:rPr>
      </w:pPr>
      <w:r>
        <w:rPr>
          <w:b/>
          <w:bCs/>
        </w:rPr>
        <w:br w:type="page"/>
      </w:r>
    </w:p>
    <w:p w14:paraId="54190750" w14:textId="77777777" w:rsidR="009439AB" w:rsidRPr="00650D2F" w:rsidRDefault="009439AB" w:rsidP="00A134E3">
      <w:pPr>
        <w:spacing w:line="360" w:lineRule="auto"/>
        <w:rPr>
          <w:rFonts w:ascii="Arial" w:hAnsi="Arial" w:cs="Arial"/>
          <w:b/>
          <w:bCs/>
          <w:sz w:val="24"/>
          <w:szCs w:val="24"/>
        </w:rPr>
      </w:pPr>
      <w:r w:rsidRPr="00650D2F">
        <w:rPr>
          <w:rFonts w:ascii="Arial" w:hAnsi="Arial" w:cs="Arial"/>
          <w:b/>
          <w:bCs/>
          <w:sz w:val="24"/>
          <w:szCs w:val="24"/>
        </w:rPr>
        <w:lastRenderedPageBreak/>
        <w:t>Compare and critically contrast Mircea Eliade and Emile Durkheim’s views of sacred space.</w:t>
      </w:r>
    </w:p>
    <w:p w14:paraId="39CF0524" w14:textId="5F3A583C" w:rsidR="009439AB" w:rsidRPr="00650D2F" w:rsidRDefault="009439AB" w:rsidP="00A134E3">
      <w:pPr>
        <w:spacing w:line="360" w:lineRule="auto"/>
        <w:rPr>
          <w:rFonts w:ascii="Arial" w:hAnsi="Arial" w:cs="Arial"/>
          <w:b/>
          <w:bCs/>
          <w:sz w:val="24"/>
          <w:szCs w:val="24"/>
        </w:rPr>
      </w:pPr>
      <w:r w:rsidRPr="00650D2F">
        <w:rPr>
          <w:rFonts w:ascii="Arial" w:hAnsi="Arial" w:cs="Arial"/>
          <w:b/>
          <w:bCs/>
          <w:sz w:val="24"/>
          <w:szCs w:val="24"/>
        </w:rPr>
        <w:t>Introduction</w:t>
      </w:r>
    </w:p>
    <w:p w14:paraId="1F34E33F" w14:textId="16048D3D" w:rsidR="004C448A" w:rsidRPr="00650D2F" w:rsidRDefault="004C448A" w:rsidP="00A134E3">
      <w:pPr>
        <w:spacing w:line="360" w:lineRule="auto"/>
        <w:rPr>
          <w:rFonts w:ascii="Arial" w:hAnsi="Arial" w:cs="Arial"/>
          <w:sz w:val="24"/>
          <w:szCs w:val="24"/>
        </w:rPr>
      </w:pPr>
      <w:r w:rsidRPr="00650D2F">
        <w:rPr>
          <w:rFonts w:ascii="Arial" w:hAnsi="Arial" w:cs="Arial"/>
          <w:sz w:val="24"/>
          <w:szCs w:val="24"/>
        </w:rPr>
        <w:t xml:space="preserve">This essay will compare and contrast </w:t>
      </w:r>
      <w:r w:rsidR="001A2650">
        <w:rPr>
          <w:rFonts w:ascii="Arial" w:hAnsi="Arial" w:cs="Arial"/>
          <w:sz w:val="24"/>
          <w:szCs w:val="24"/>
        </w:rPr>
        <w:t xml:space="preserve">the views on sacred space of </w:t>
      </w:r>
      <w:r w:rsidRPr="00650D2F">
        <w:rPr>
          <w:rFonts w:ascii="Arial" w:hAnsi="Arial" w:cs="Arial"/>
          <w:sz w:val="24"/>
          <w:szCs w:val="24"/>
        </w:rPr>
        <w:t>Mircea Eliade</w:t>
      </w:r>
      <w:r w:rsidR="001A2650">
        <w:rPr>
          <w:rFonts w:ascii="Arial" w:hAnsi="Arial" w:cs="Arial"/>
          <w:sz w:val="24"/>
          <w:szCs w:val="24"/>
        </w:rPr>
        <w:t xml:space="preserve"> in </w:t>
      </w:r>
      <w:r w:rsidR="006E79F7" w:rsidRPr="00650D2F">
        <w:rPr>
          <w:rFonts w:ascii="Arial" w:hAnsi="Arial" w:cs="Arial"/>
          <w:sz w:val="24"/>
          <w:szCs w:val="24"/>
        </w:rPr>
        <w:t>‘</w:t>
      </w:r>
      <w:r w:rsidR="008B679A" w:rsidRPr="00650D2F">
        <w:rPr>
          <w:rFonts w:ascii="Arial" w:hAnsi="Arial" w:cs="Arial"/>
          <w:sz w:val="24"/>
          <w:szCs w:val="24"/>
        </w:rPr>
        <w:t xml:space="preserve">The </w:t>
      </w:r>
      <w:r w:rsidR="006E79F7" w:rsidRPr="00650D2F">
        <w:rPr>
          <w:rFonts w:ascii="Arial" w:hAnsi="Arial" w:cs="Arial"/>
          <w:sz w:val="24"/>
          <w:szCs w:val="24"/>
        </w:rPr>
        <w:t>Sacred and</w:t>
      </w:r>
      <w:r w:rsidR="008B679A" w:rsidRPr="00650D2F">
        <w:rPr>
          <w:rFonts w:ascii="Arial" w:hAnsi="Arial" w:cs="Arial"/>
          <w:sz w:val="24"/>
          <w:szCs w:val="24"/>
        </w:rPr>
        <w:t xml:space="preserve"> The</w:t>
      </w:r>
      <w:r w:rsidR="006E79F7" w:rsidRPr="00650D2F">
        <w:rPr>
          <w:rFonts w:ascii="Arial" w:hAnsi="Arial" w:cs="Arial"/>
          <w:sz w:val="24"/>
          <w:szCs w:val="24"/>
        </w:rPr>
        <w:t xml:space="preserve"> Profane</w:t>
      </w:r>
      <w:r w:rsidR="00621EC4" w:rsidRPr="00650D2F">
        <w:rPr>
          <w:rFonts w:ascii="Arial" w:hAnsi="Arial" w:cs="Arial"/>
          <w:sz w:val="24"/>
          <w:szCs w:val="24"/>
        </w:rPr>
        <w:t>: The Nature of Religion</w:t>
      </w:r>
      <w:r w:rsidR="006E79F7" w:rsidRPr="00650D2F">
        <w:rPr>
          <w:rFonts w:ascii="Arial" w:hAnsi="Arial" w:cs="Arial"/>
          <w:sz w:val="24"/>
          <w:szCs w:val="24"/>
        </w:rPr>
        <w:t>’</w:t>
      </w:r>
      <w:r w:rsidR="00C44640" w:rsidRPr="00650D2F">
        <w:rPr>
          <w:rStyle w:val="FootnoteReference"/>
          <w:rFonts w:ascii="Arial" w:hAnsi="Arial" w:cs="Arial"/>
          <w:sz w:val="24"/>
          <w:szCs w:val="24"/>
        </w:rPr>
        <w:footnoteReference w:id="2"/>
      </w:r>
      <w:r w:rsidR="00100455" w:rsidRPr="00650D2F">
        <w:rPr>
          <w:rFonts w:ascii="Arial" w:hAnsi="Arial" w:cs="Arial"/>
          <w:sz w:val="24"/>
          <w:szCs w:val="24"/>
        </w:rPr>
        <w:t xml:space="preserve"> and Emile Durkheim</w:t>
      </w:r>
      <w:r w:rsidR="001A2650">
        <w:rPr>
          <w:rFonts w:ascii="Arial" w:hAnsi="Arial" w:cs="Arial"/>
          <w:sz w:val="24"/>
          <w:szCs w:val="24"/>
        </w:rPr>
        <w:t xml:space="preserve"> in</w:t>
      </w:r>
      <w:r w:rsidR="00100455" w:rsidRPr="00650D2F">
        <w:rPr>
          <w:rFonts w:ascii="Arial" w:hAnsi="Arial" w:cs="Arial"/>
          <w:sz w:val="24"/>
          <w:szCs w:val="24"/>
        </w:rPr>
        <w:t xml:space="preserve"> ‘</w:t>
      </w:r>
      <w:r w:rsidR="00E26077" w:rsidRPr="00650D2F">
        <w:rPr>
          <w:rFonts w:ascii="Arial" w:hAnsi="Arial" w:cs="Arial"/>
          <w:sz w:val="24"/>
          <w:szCs w:val="24"/>
        </w:rPr>
        <w:t xml:space="preserve">The Elementary Forms </w:t>
      </w:r>
      <w:r w:rsidR="009204E3" w:rsidRPr="00650D2F">
        <w:rPr>
          <w:rFonts w:ascii="Arial" w:hAnsi="Arial" w:cs="Arial"/>
          <w:sz w:val="24"/>
          <w:szCs w:val="24"/>
        </w:rPr>
        <w:t>of Religious Life</w:t>
      </w:r>
      <w:r w:rsidR="004E1804" w:rsidRPr="00650D2F">
        <w:rPr>
          <w:rFonts w:ascii="Arial" w:hAnsi="Arial" w:cs="Arial"/>
          <w:sz w:val="24"/>
          <w:szCs w:val="24"/>
        </w:rPr>
        <w:t>’</w:t>
      </w:r>
      <w:r w:rsidR="004E1804" w:rsidRPr="00650D2F">
        <w:rPr>
          <w:rStyle w:val="FootnoteReference"/>
          <w:rFonts w:ascii="Arial" w:hAnsi="Arial" w:cs="Arial"/>
          <w:sz w:val="24"/>
          <w:szCs w:val="24"/>
        </w:rPr>
        <w:footnoteReference w:id="3"/>
      </w:r>
      <w:r w:rsidR="00D549AB" w:rsidRPr="00650D2F">
        <w:rPr>
          <w:rFonts w:ascii="Arial" w:hAnsi="Arial" w:cs="Arial"/>
          <w:sz w:val="24"/>
          <w:szCs w:val="24"/>
        </w:rPr>
        <w:t xml:space="preserve">. </w:t>
      </w:r>
    </w:p>
    <w:p w14:paraId="72E5B2F9" w14:textId="795D507A" w:rsidR="0073041C" w:rsidRPr="000328C5" w:rsidRDefault="008B70A8" w:rsidP="00A134E3">
      <w:pPr>
        <w:spacing w:line="360" w:lineRule="auto"/>
        <w:rPr>
          <w:rFonts w:ascii="Arial" w:hAnsi="Arial" w:cs="Arial"/>
          <w:sz w:val="24"/>
          <w:szCs w:val="24"/>
        </w:rPr>
      </w:pPr>
      <w:r w:rsidRPr="00650D2F">
        <w:rPr>
          <w:rFonts w:ascii="Arial" w:hAnsi="Arial" w:cs="Arial"/>
          <w:sz w:val="24"/>
          <w:szCs w:val="24"/>
        </w:rPr>
        <w:t xml:space="preserve">Mircea Eliade was a Romanian historian of religion, </w:t>
      </w:r>
      <w:r w:rsidR="00F0662A" w:rsidRPr="00650D2F">
        <w:rPr>
          <w:rFonts w:ascii="Arial" w:hAnsi="Arial" w:cs="Arial"/>
          <w:sz w:val="24"/>
          <w:szCs w:val="24"/>
        </w:rPr>
        <w:t>who studied and taught at the University of Bucharest and the University of Chicago</w:t>
      </w:r>
      <w:r w:rsidR="00F0662A" w:rsidRPr="00650D2F">
        <w:rPr>
          <w:rStyle w:val="FootnoteReference"/>
          <w:rFonts w:ascii="Arial" w:hAnsi="Arial" w:cs="Arial"/>
          <w:sz w:val="24"/>
          <w:szCs w:val="24"/>
        </w:rPr>
        <w:footnoteReference w:id="4"/>
      </w:r>
      <w:r w:rsidR="00F0662A" w:rsidRPr="00650D2F">
        <w:rPr>
          <w:rFonts w:ascii="Arial" w:hAnsi="Arial" w:cs="Arial"/>
          <w:sz w:val="24"/>
          <w:szCs w:val="24"/>
        </w:rPr>
        <w:t xml:space="preserve">. </w:t>
      </w:r>
      <w:r w:rsidRPr="00650D2F">
        <w:rPr>
          <w:rFonts w:ascii="Arial" w:hAnsi="Arial" w:cs="Arial"/>
          <w:sz w:val="24"/>
          <w:szCs w:val="24"/>
        </w:rPr>
        <w:t xml:space="preserve"> </w:t>
      </w:r>
      <w:r w:rsidR="006F7B70" w:rsidRPr="00650D2F">
        <w:rPr>
          <w:rFonts w:ascii="Arial" w:hAnsi="Arial" w:cs="Arial"/>
          <w:sz w:val="24"/>
          <w:szCs w:val="24"/>
        </w:rPr>
        <w:t>Eliade had a variety of academic and personal interests, including Indian philosophy</w:t>
      </w:r>
      <w:r w:rsidR="00610B43" w:rsidRPr="00650D2F">
        <w:rPr>
          <w:rFonts w:ascii="Arial" w:hAnsi="Arial" w:cs="Arial"/>
          <w:sz w:val="24"/>
          <w:szCs w:val="24"/>
        </w:rPr>
        <w:t>, alchemy</w:t>
      </w:r>
      <w:r w:rsidR="006F7B70" w:rsidRPr="00650D2F">
        <w:rPr>
          <w:rStyle w:val="FootnoteReference"/>
          <w:rFonts w:ascii="Arial" w:hAnsi="Arial" w:cs="Arial"/>
          <w:sz w:val="24"/>
          <w:szCs w:val="24"/>
        </w:rPr>
        <w:footnoteReference w:id="5"/>
      </w:r>
      <w:r w:rsidR="00610B43" w:rsidRPr="00650D2F">
        <w:rPr>
          <w:rFonts w:ascii="Arial" w:hAnsi="Arial" w:cs="Arial"/>
          <w:sz w:val="24"/>
          <w:szCs w:val="24"/>
        </w:rPr>
        <w:t xml:space="preserve"> and world religions. </w:t>
      </w:r>
    </w:p>
    <w:p w14:paraId="582B3DA4" w14:textId="4BEB78AC" w:rsidR="0082108C" w:rsidRPr="00650D2F" w:rsidRDefault="0073041C" w:rsidP="00A134E3">
      <w:pPr>
        <w:spacing w:line="360" w:lineRule="auto"/>
        <w:rPr>
          <w:rFonts w:ascii="Arial" w:hAnsi="Arial" w:cs="Arial"/>
          <w:sz w:val="24"/>
          <w:szCs w:val="24"/>
        </w:rPr>
      </w:pPr>
      <w:r w:rsidRPr="00650D2F">
        <w:rPr>
          <w:rFonts w:ascii="Arial" w:hAnsi="Arial" w:cs="Arial"/>
          <w:sz w:val="24"/>
          <w:szCs w:val="24"/>
        </w:rPr>
        <w:t>Emile Durkheim</w:t>
      </w:r>
      <w:r w:rsidR="00A61E14" w:rsidRPr="00650D2F">
        <w:rPr>
          <w:rFonts w:ascii="Arial" w:hAnsi="Arial" w:cs="Arial"/>
          <w:sz w:val="24"/>
          <w:szCs w:val="24"/>
        </w:rPr>
        <w:t xml:space="preserve"> was a French sociologist, writing in the 19</w:t>
      </w:r>
      <w:r w:rsidR="00A61E14" w:rsidRPr="00650D2F">
        <w:rPr>
          <w:rFonts w:ascii="Arial" w:hAnsi="Arial" w:cs="Arial"/>
          <w:sz w:val="24"/>
          <w:szCs w:val="24"/>
          <w:vertAlign w:val="superscript"/>
        </w:rPr>
        <w:t>th</w:t>
      </w:r>
      <w:r w:rsidR="00A61E14" w:rsidRPr="00650D2F">
        <w:rPr>
          <w:rFonts w:ascii="Arial" w:hAnsi="Arial" w:cs="Arial"/>
          <w:sz w:val="24"/>
          <w:szCs w:val="24"/>
        </w:rPr>
        <w:t xml:space="preserve"> and 20</w:t>
      </w:r>
      <w:r w:rsidR="00A61E14" w:rsidRPr="00650D2F">
        <w:rPr>
          <w:rFonts w:ascii="Arial" w:hAnsi="Arial" w:cs="Arial"/>
          <w:sz w:val="24"/>
          <w:szCs w:val="24"/>
          <w:vertAlign w:val="superscript"/>
        </w:rPr>
        <w:t>th</w:t>
      </w:r>
      <w:r w:rsidR="00A61E14" w:rsidRPr="00650D2F">
        <w:rPr>
          <w:rFonts w:ascii="Arial" w:hAnsi="Arial" w:cs="Arial"/>
          <w:sz w:val="24"/>
          <w:szCs w:val="24"/>
        </w:rPr>
        <w:t xml:space="preserve"> centuries</w:t>
      </w:r>
      <w:r w:rsidR="00F93B2C" w:rsidRPr="00650D2F">
        <w:rPr>
          <w:rFonts w:ascii="Arial" w:hAnsi="Arial" w:cs="Arial"/>
          <w:sz w:val="24"/>
          <w:szCs w:val="24"/>
        </w:rPr>
        <w:t xml:space="preserve">. </w:t>
      </w:r>
      <w:r w:rsidR="00661907" w:rsidRPr="00650D2F">
        <w:rPr>
          <w:rFonts w:ascii="Arial" w:hAnsi="Arial" w:cs="Arial"/>
          <w:sz w:val="24"/>
          <w:szCs w:val="24"/>
        </w:rPr>
        <w:t>Durkheim wrote i</w:t>
      </w:r>
      <w:r w:rsidR="00EC2DFC" w:rsidRPr="00650D2F">
        <w:rPr>
          <w:rFonts w:ascii="Arial" w:hAnsi="Arial" w:cs="Arial"/>
          <w:sz w:val="24"/>
          <w:szCs w:val="24"/>
        </w:rPr>
        <w:t xml:space="preserve">n ‘Forms’ </w:t>
      </w:r>
      <w:r w:rsidR="00DD6AEA" w:rsidRPr="00650D2F">
        <w:rPr>
          <w:rFonts w:ascii="Arial" w:hAnsi="Arial" w:cs="Arial"/>
          <w:sz w:val="24"/>
          <w:szCs w:val="24"/>
        </w:rPr>
        <w:t>that only a sociological approach to religion could ‘</w:t>
      </w:r>
      <w:r w:rsidR="00863D3E" w:rsidRPr="00650D2F">
        <w:rPr>
          <w:rFonts w:ascii="Arial" w:hAnsi="Arial" w:cs="Arial"/>
          <w:sz w:val="24"/>
          <w:szCs w:val="24"/>
        </w:rPr>
        <w:t>lead an understanding of the religious nature of man … to show us an essential and permanent aspect of humanity’</w:t>
      </w:r>
      <w:r w:rsidR="00863D3E" w:rsidRPr="00650D2F">
        <w:rPr>
          <w:rStyle w:val="FootnoteReference"/>
          <w:rFonts w:ascii="Arial" w:hAnsi="Arial" w:cs="Arial"/>
          <w:sz w:val="24"/>
          <w:szCs w:val="24"/>
        </w:rPr>
        <w:footnoteReference w:id="6"/>
      </w:r>
      <w:r w:rsidR="00181FF9" w:rsidRPr="00650D2F">
        <w:rPr>
          <w:rFonts w:ascii="Arial" w:hAnsi="Arial" w:cs="Arial"/>
          <w:sz w:val="24"/>
          <w:szCs w:val="24"/>
        </w:rPr>
        <w:t xml:space="preserve"> in comparison to previous historical and ethnographical approaches.</w:t>
      </w:r>
      <w:r w:rsidR="00181FF9" w:rsidRPr="00650D2F">
        <w:rPr>
          <w:rStyle w:val="FootnoteReference"/>
          <w:rFonts w:ascii="Arial" w:hAnsi="Arial" w:cs="Arial"/>
          <w:sz w:val="24"/>
          <w:szCs w:val="24"/>
        </w:rPr>
        <w:footnoteReference w:id="7"/>
      </w:r>
      <w:r w:rsidR="00AA3727" w:rsidRPr="00650D2F">
        <w:rPr>
          <w:rFonts w:ascii="Arial" w:hAnsi="Arial" w:cs="Arial"/>
          <w:sz w:val="24"/>
          <w:szCs w:val="24"/>
        </w:rPr>
        <w:t xml:space="preserve"> </w:t>
      </w:r>
    </w:p>
    <w:p w14:paraId="411D3463" w14:textId="59C374D9" w:rsidR="00823CF7" w:rsidRPr="00650D2F" w:rsidRDefault="00D549AB" w:rsidP="00A134E3">
      <w:pPr>
        <w:spacing w:line="360" w:lineRule="auto"/>
        <w:rPr>
          <w:rFonts w:ascii="Arial" w:hAnsi="Arial" w:cs="Arial"/>
          <w:sz w:val="24"/>
          <w:szCs w:val="24"/>
        </w:rPr>
      </w:pPr>
      <w:r w:rsidRPr="00650D2F">
        <w:rPr>
          <w:rFonts w:ascii="Arial" w:hAnsi="Arial" w:cs="Arial"/>
          <w:sz w:val="24"/>
          <w:szCs w:val="24"/>
        </w:rPr>
        <w:t>By</w:t>
      </w:r>
      <w:r w:rsidR="00823CF7" w:rsidRPr="00650D2F">
        <w:rPr>
          <w:rFonts w:ascii="Arial" w:hAnsi="Arial" w:cs="Arial"/>
          <w:sz w:val="24"/>
          <w:szCs w:val="24"/>
        </w:rPr>
        <w:t xml:space="preserve"> compar</w:t>
      </w:r>
      <w:r w:rsidRPr="00650D2F">
        <w:rPr>
          <w:rFonts w:ascii="Arial" w:hAnsi="Arial" w:cs="Arial"/>
          <w:sz w:val="24"/>
          <w:szCs w:val="24"/>
        </w:rPr>
        <w:t>ing</w:t>
      </w:r>
      <w:r w:rsidR="00823CF7" w:rsidRPr="00650D2F">
        <w:rPr>
          <w:rFonts w:ascii="Arial" w:hAnsi="Arial" w:cs="Arial"/>
          <w:sz w:val="24"/>
          <w:szCs w:val="24"/>
        </w:rPr>
        <w:t xml:space="preserve"> and contrast</w:t>
      </w:r>
      <w:r w:rsidRPr="00650D2F">
        <w:rPr>
          <w:rFonts w:ascii="Arial" w:hAnsi="Arial" w:cs="Arial"/>
          <w:sz w:val="24"/>
          <w:szCs w:val="24"/>
        </w:rPr>
        <w:t>ing</w:t>
      </w:r>
      <w:r w:rsidR="00823CF7" w:rsidRPr="00650D2F">
        <w:rPr>
          <w:rFonts w:ascii="Arial" w:hAnsi="Arial" w:cs="Arial"/>
          <w:sz w:val="24"/>
          <w:szCs w:val="24"/>
        </w:rPr>
        <w:t xml:space="preserve"> both authors’ approaches to sacred space</w:t>
      </w:r>
      <w:r w:rsidRPr="00650D2F">
        <w:rPr>
          <w:rFonts w:ascii="Arial" w:hAnsi="Arial" w:cs="Arial"/>
          <w:sz w:val="24"/>
          <w:szCs w:val="24"/>
        </w:rPr>
        <w:t xml:space="preserve">, this essay will </w:t>
      </w:r>
      <w:r w:rsidR="00823CF7" w:rsidRPr="00650D2F">
        <w:rPr>
          <w:rFonts w:ascii="Arial" w:hAnsi="Arial" w:cs="Arial"/>
          <w:sz w:val="24"/>
          <w:szCs w:val="24"/>
        </w:rPr>
        <w:t>examine whether the</w:t>
      </w:r>
      <w:r w:rsidRPr="00650D2F">
        <w:rPr>
          <w:rFonts w:ascii="Arial" w:hAnsi="Arial" w:cs="Arial"/>
          <w:sz w:val="24"/>
          <w:szCs w:val="24"/>
        </w:rPr>
        <w:t xml:space="preserve"> authors</w:t>
      </w:r>
      <w:r w:rsidR="00823CF7" w:rsidRPr="00650D2F">
        <w:rPr>
          <w:rFonts w:ascii="Arial" w:hAnsi="Arial" w:cs="Arial"/>
          <w:sz w:val="24"/>
          <w:szCs w:val="24"/>
        </w:rPr>
        <w:t xml:space="preserve"> effectively presented and argued for new perspectives on sacred space.</w:t>
      </w:r>
    </w:p>
    <w:p w14:paraId="6A777C55" w14:textId="157EEB7F" w:rsidR="00422F95" w:rsidRPr="00650D2F" w:rsidRDefault="00422F95" w:rsidP="00A134E3">
      <w:pPr>
        <w:spacing w:line="360" w:lineRule="auto"/>
        <w:rPr>
          <w:rFonts w:ascii="Arial" w:hAnsi="Arial" w:cs="Arial"/>
          <w:b/>
          <w:bCs/>
          <w:sz w:val="24"/>
          <w:szCs w:val="24"/>
        </w:rPr>
      </w:pPr>
      <w:r w:rsidRPr="00650D2F">
        <w:rPr>
          <w:rFonts w:ascii="Arial" w:hAnsi="Arial" w:cs="Arial"/>
          <w:b/>
          <w:bCs/>
          <w:sz w:val="24"/>
          <w:szCs w:val="24"/>
        </w:rPr>
        <w:t>Context</w:t>
      </w:r>
    </w:p>
    <w:p w14:paraId="1456CCB0" w14:textId="4735EEBA" w:rsidR="00242F20" w:rsidRPr="00650D2F" w:rsidRDefault="00861283" w:rsidP="00A134E3">
      <w:pPr>
        <w:spacing w:line="360" w:lineRule="auto"/>
        <w:rPr>
          <w:rFonts w:ascii="Arial" w:hAnsi="Arial" w:cs="Arial"/>
          <w:sz w:val="24"/>
          <w:szCs w:val="24"/>
        </w:rPr>
      </w:pPr>
      <w:r w:rsidRPr="00650D2F">
        <w:rPr>
          <w:rFonts w:ascii="Arial" w:hAnsi="Arial" w:cs="Arial"/>
          <w:sz w:val="24"/>
          <w:szCs w:val="24"/>
        </w:rPr>
        <w:t xml:space="preserve">Eliade and </w:t>
      </w:r>
      <w:r w:rsidR="008B1605" w:rsidRPr="00650D2F">
        <w:rPr>
          <w:rFonts w:ascii="Arial" w:hAnsi="Arial" w:cs="Arial"/>
          <w:sz w:val="24"/>
          <w:szCs w:val="24"/>
        </w:rPr>
        <w:t>Durkheim showed complimentary and contrasting views of sacred space,</w:t>
      </w:r>
      <w:r w:rsidR="00C56415" w:rsidRPr="00650D2F">
        <w:rPr>
          <w:rFonts w:ascii="Arial" w:hAnsi="Arial" w:cs="Arial"/>
          <w:sz w:val="24"/>
          <w:szCs w:val="24"/>
        </w:rPr>
        <w:t xml:space="preserve"> </w:t>
      </w:r>
      <w:r w:rsidR="003429E0" w:rsidRPr="00650D2F">
        <w:rPr>
          <w:rFonts w:ascii="Arial" w:hAnsi="Arial" w:cs="Arial"/>
          <w:sz w:val="24"/>
          <w:szCs w:val="24"/>
        </w:rPr>
        <w:t xml:space="preserve">and </w:t>
      </w:r>
      <w:r w:rsidR="008B1605" w:rsidRPr="00650D2F">
        <w:rPr>
          <w:rFonts w:ascii="Arial" w:hAnsi="Arial" w:cs="Arial"/>
          <w:sz w:val="24"/>
          <w:szCs w:val="24"/>
        </w:rPr>
        <w:t xml:space="preserve">their approaches </w:t>
      </w:r>
      <w:r w:rsidR="00A451FA">
        <w:rPr>
          <w:rFonts w:ascii="Arial" w:hAnsi="Arial" w:cs="Arial"/>
          <w:sz w:val="24"/>
          <w:szCs w:val="24"/>
        </w:rPr>
        <w:t>may have been</w:t>
      </w:r>
      <w:r w:rsidR="00F94093" w:rsidRPr="00650D2F">
        <w:rPr>
          <w:rFonts w:ascii="Arial" w:hAnsi="Arial" w:cs="Arial"/>
          <w:sz w:val="24"/>
          <w:szCs w:val="24"/>
        </w:rPr>
        <w:t xml:space="preserve"> impacted by their academic backgrounds</w:t>
      </w:r>
      <w:r w:rsidR="002922BD">
        <w:rPr>
          <w:rFonts w:ascii="Arial" w:hAnsi="Arial" w:cs="Arial"/>
          <w:sz w:val="24"/>
          <w:szCs w:val="24"/>
        </w:rPr>
        <w:t xml:space="preserve"> and </w:t>
      </w:r>
      <w:r w:rsidR="00C33D6E">
        <w:rPr>
          <w:rFonts w:ascii="Arial" w:hAnsi="Arial" w:cs="Arial"/>
          <w:sz w:val="24"/>
          <w:szCs w:val="24"/>
        </w:rPr>
        <w:t>purposes.</w:t>
      </w:r>
      <w:r w:rsidR="002922BD">
        <w:rPr>
          <w:rFonts w:ascii="Arial" w:hAnsi="Arial" w:cs="Arial"/>
          <w:sz w:val="24"/>
          <w:szCs w:val="24"/>
        </w:rPr>
        <w:t xml:space="preserve"> </w:t>
      </w:r>
    </w:p>
    <w:p w14:paraId="4226D327" w14:textId="538E160F" w:rsidR="003F738B" w:rsidRDefault="00ED4513" w:rsidP="00A134E3">
      <w:pPr>
        <w:spacing w:line="360" w:lineRule="auto"/>
        <w:rPr>
          <w:rFonts w:ascii="Arial" w:hAnsi="Arial" w:cs="Arial"/>
          <w:sz w:val="24"/>
          <w:szCs w:val="24"/>
        </w:rPr>
      </w:pPr>
      <w:r w:rsidRPr="00650D2F">
        <w:rPr>
          <w:rFonts w:ascii="Arial" w:hAnsi="Arial" w:cs="Arial"/>
          <w:sz w:val="24"/>
          <w:szCs w:val="24"/>
        </w:rPr>
        <w:lastRenderedPageBreak/>
        <w:t xml:space="preserve">In </w:t>
      </w:r>
      <w:r w:rsidR="00C33D6E">
        <w:rPr>
          <w:rFonts w:ascii="Arial" w:hAnsi="Arial" w:cs="Arial"/>
          <w:sz w:val="24"/>
          <w:szCs w:val="24"/>
        </w:rPr>
        <w:t>his introduction</w:t>
      </w:r>
      <w:r w:rsidRPr="00650D2F">
        <w:rPr>
          <w:rFonts w:ascii="Arial" w:hAnsi="Arial" w:cs="Arial"/>
          <w:sz w:val="24"/>
          <w:szCs w:val="24"/>
        </w:rPr>
        <w:t xml:space="preserve">, Eliade credited </w:t>
      </w:r>
      <w:r w:rsidR="0028684D">
        <w:rPr>
          <w:rFonts w:ascii="Arial" w:hAnsi="Arial" w:cs="Arial"/>
          <w:sz w:val="24"/>
          <w:szCs w:val="24"/>
        </w:rPr>
        <w:t xml:space="preserve">historian of religion </w:t>
      </w:r>
      <w:r w:rsidRPr="00650D2F">
        <w:rPr>
          <w:rFonts w:ascii="Arial" w:hAnsi="Arial" w:cs="Arial"/>
          <w:sz w:val="24"/>
          <w:szCs w:val="24"/>
        </w:rPr>
        <w:t xml:space="preserve">Rudolf Otto’s </w:t>
      </w:r>
      <w:r w:rsidR="00E143D5">
        <w:rPr>
          <w:rFonts w:ascii="Arial" w:hAnsi="Arial" w:cs="Arial"/>
          <w:sz w:val="24"/>
          <w:szCs w:val="24"/>
        </w:rPr>
        <w:t>‘</w:t>
      </w:r>
      <w:r w:rsidR="00E143D5" w:rsidRPr="00650D2F">
        <w:rPr>
          <w:rFonts w:ascii="Arial" w:hAnsi="Arial" w:cs="Arial"/>
          <w:sz w:val="24"/>
          <w:szCs w:val="24"/>
        </w:rPr>
        <w:t>The</w:t>
      </w:r>
      <w:r w:rsidRPr="00650D2F">
        <w:rPr>
          <w:rFonts w:ascii="Arial" w:hAnsi="Arial" w:cs="Arial"/>
          <w:sz w:val="24"/>
          <w:szCs w:val="24"/>
        </w:rPr>
        <w:t xml:space="preserve"> Sacred</w:t>
      </w:r>
      <w:r w:rsidR="00E3121A">
        <w:rPr>
          <w:rFonts w:ascii="Arial" w:hAnsi="Arial" w:cs="Arial"/>
          <w:sz w:val="24"/>
          <w:szCs w:val="24"/>
        </w:rPr>
        <w:t>’</w:t>
      </w:r>
      <w:r w:rsidRPr="00650D2F">
        <w:rPr>
          <w:rFonts w:ascii="Arial" w:hAnsi="Arial" w:cs="Arial"/>
          <w:sz w:val="24"/>
          <w:szCs w:val="24"/>
        </w:rPr>
        <w:t>, published in 1917</w:t>
      </w:r>
      <w:r w:rsidR="0028684D">
        <w:rPr>
          <w:rStyle w:val="FootnoteReference"/>
          <w:rFonts w:ascii="Arial" w:hAnsi="Arial" w:cs="Arial"/>
          <w:sz w:val="24"/>
          <w:szCs w:val="24"/>
        </w:rPr>
        <w:footnoteReference w:id="8"/>
      </w:r>
      <w:r w:rsidR="00E3121A">
        <w:rPr>
          <w:rFonts w:ascii="Arial" w:hAnsi="Arial" w:cs="Arial"/>
          <w:sz w:val="24"/>
          <w:szCs w:val="24"/>
        </w:rPr>
        <w:t>,</w:t>
      </w:r>
      <w:r w:rsidRPr="00650D2F">
        <w:rPr>
          <w:rFonts w:ascii="Arial" w:hAnsi="Arial" w:cs="Arial"/>
          <w:sz w:val="24"/>
          <w:szCs w:val="24"/>
        </w:rPr>
        <w:t xml:space="preserve"> with bringing ‘religious experience’ as opposed to ‘the </w:t>
      </w:r>
      <w:r w:rsidRPr="00650D2F">
        <w:rPr>
          <w:rFonts w:ascii="Arial" w:hAnsi="Arial" w:cs="Arial"/>
          <w:i/>
          <w:iCs/>
          <w:sz w:val="24"/>
          <w:szCs w:val="24"/>
        </w:rPr>
        <w:t xml:space="preserve">ideas </w:t>
      </w:r>
      <w:r w:rsidRPr="00650D2F">
        <w:rPr>
          <w:rFonts w:ascii="Arial" w:hAnsi="Arial" w:cs="Arial"/>
          <w:sz w:val="24"/>
          <w:szCs w:val="24"/>
        </w:rPr>
        <w:t>of God and religion’ to the forefront of world interest</w:t>
      </w:r>
      <w:r w:rsidRPr="00650D2F">
        <w:rPr>
          <w:rStyle w:val="FootnoteReference"/>
          <w:rFonts w:ascii="Arial" w:hAnsi="Arial" w:cs="Arial"/>
          <w:sz w:val="24"/>
          <w:szCs w:val="24"/>
        </w:rPr>
        <w:footnoteReference w:id="9"/>
      </w:r>
      <w:r w:rsidRPr="00650D2F">
        <w:rPr>
          <w:rFonts w:ascii="Arial" w:hAnsi="Arial" w:cs="Arial"/>
          <w:sz w:val="24"/>
          <w:szCs w:val="24"/>
        </w:rPr>
        <w:t>. Eliade</w:t>
      </w:r>
      <w:r w:rsidR="002922BD">
        <w:rPr>
          <w:rFonts w:ascii="Arial" w:hAnsi="Arial" w:cs="Arial"/>
          <w:sz w:val="24"/>
          <w:szCs w:val="24"/>
        </w:rPr>
        <w:t xml:space="preserve"> </w:t>
      </w:r>
      <w:r w:rsidR="0013077E">
        <w:rPr>
          <w:rFonts w:ascii="Arial" w:hAnsi="Arial" w:cs="Arial"/>
          <w:sz w:val="24"/>
          <w:szCs w:val="24"/>
        </w:rPr>
        <w:t xml:space="preserve">sought to build on Otto’s </w:t>
      </w:r>
      <w:r w:rsidR="0047767C">
        <w:rPr>
          <w:rFonts w:ascii="Arial" w:hAnsi="Arial" w:cs="Arial"/>
          <w:sz w:val="24"/>
          <w:szCs w:val="24"/>
        </w:rPr>
        <w:t>work, and</w:t>
      </w:r>
      <w:r w:rsidRPr="00650D2F">
        <w:rPr>
          <w:rFonts w:ascii="Arial" w:hAnsi="Arial" w:cs="Arial"/>
          <w:sz w:val="24"/>
          <w:szCs w:val="24"/>
        </w:rPr>
        <w:t xml:space="preserve"> ‘present the phenomenon of the sacred in all its complexity, and not only in so far as it is </w:t>
      </w:r>
      <w:r w:rsidRPr="00650D2F">
        <w:rPr>
          <w:rFonts w:ascii="Arial" w:hAnsi="Arial" w:cs="Arial"/>
          <w:i/>
          <w:iCs/>
          <w:sz w:val="24"/>
          <w:szCs w:val="24"/>
        </w:rPr>
        <w:t>irrational…</w:t>
      </w:r>
      <w:r w:rsidR="00D310D1">
        <w:rPr>
          <w:rFonts w:ascii="Arial" w:hAnsi="Arial" w:cs="Arial"/>
          <w:i/>
          <w:iCs/>
          <w:sz w:val="24"/>
          <w:szCs w:val="24"/>
        </w:rPr>
        <w:t xml:space="preserve"> </w:t>
      </w:r>
      <w:r w:rsidR="00D310D1">
        <w:rPr>
          <w:rFonts w:ascii="Arial" w:hAnsi="Arial" w:cs="Arial"/>
          <w:sz w:val="24"/>
          <w:szCs w:val="24"/>
        </w:rPr>
        <w:t>but</w:t>
      </w:r>
      <w:r w:rsidRPr="00650D2F">
        <w:rPr>
          <w:rFonts w:ascii="Arial" w:hAnsi="Arial" w:cs="Arial"/>
          <w:i/>
          <w:iCs/>
          <w:sz w:val="24"/>
          <w:szCs w:val="24"/>
        </w:rPr>
        <w:t xml:space="preserve"> </w:t>
      </w:r>
      <w:r w:rsidRPr="00650D2F">
        <w:rPr>
          <w:rFonts w:ascii="Arial" w:hAnsi="Arial" w:cs="Arial"/>
          <w:sz w:val="24"/>
          <w:szCs w:val="24"/>
        </w:rPr>
        <w:t>the sacred in its entirety</w:t>
      </w:r>
      <w:r w:rsidR="00137C77">
        <w:rPr>
          <w:rFonts w:ascii="Arial" w:hAnsi="Arial" w:cs="Arial"/>
          <w:sz w:val="24"/>
          <w:szCs w:val="24"/>
        </w:rPr>
        <w:t>.</w:t>
      </w:r>
      <w:r w:rsidRPr="00650D2F">
        <w:rPr>
          <w:rFonts w:ascii="Arial" w:hAnsi="Arial" w:cs="Arial"/>
          <w:sz w:val="24"/>
          <w:szCs w:val="24"/>
        </w:rPr>
        <w:t>’</w:t>
      </w:r>
      <w:r w:rsidRPr="00650D2F">
        <w:rPr>
          <w:rStyle w:val="FootnoteReference"/>
          <w:rFonts w:ascii="Arial" w:hAnsi="Arial" w:cs="Arial"/>
          <w:sz w:val="24"/>
          <w:szCs w:val="24"/>
        </w:rPr>
        <w:footnoteReference w:id="10"/>
      </w:r>
      <w:r w:rsidR="00137C77">
        <w:rPr>
          <w:rFonts w:ascii="Arial" w:hAnsi="Arial" w:cs="Arial"/>
          <w:sz w:val="24"/>
          <w:szCs w:val="24"/>
        </w:rPr>
        <w:t xml:space="preserve"> </w:t>
      </w:r>
      <w:r w:rsidR="0047767C">
        <w:rPr>
          <w:rFonts w:ascii="Arial" w:hAnsi="Arial" w:cs="Arial"/>
          <w:sz w:val="24"/>
          <w:szCs w:val="24"/>
        </w:rPr>
        <w:t>The sacred</w:t>
      </w:r>
      <w:r w:rsidR="00B6621A">
        <w:rPr>
          <w:rFonts w:ascii="Arial" w:hAnsi="Arial" w:cs="Arial"/>
          <w:sz w:val="24"/>
          <w:szCs w:val="24"/>
        </w:rPr>
        <w:t xml:space="preserve"> merited work that examined it as an entity, not an aspect of something else.</w:t>
      </w:r>
    </w:p>
    <w:p w14:paraId="316445F9" w14:textId="4A4A7596" w:rsidR="00ED05CD" w:rsidRDefault="00401CEB" w:rsidP="00A134E3">
      <w:pPr>
        <w:spacing w:line="360" w:lineRule="auto"/>
        <w:rPr>
          <w:rFonts w:ascii="Arial" w:hAnsi="Arial" w:cs="Arial"/>
          <w:sz w:val="24"/>
          <w:szCs w:val="24"/>
        </w:rPr>
      </w:pPr>
      <w:r w:rsidRPr="00650D2F">
        <w:rPr>
          <w:rFonts w:ascii="Arial" w:hAnsi="Arial" w:cs="Arial"/>
          <w:sz w:val="24"/>
          <w:szCs w:val="24"/>
        </w:rPr>
        <w:t>Similarly, i</w:t>
      </w:r>
      <w:r w:rsidR="00367914" w:rsidRPr="00650D2F">
        <w:rPr>
          <w:rFonts w:ascii="Arial" w:hAnsi="Arial" w:cs="Arial"/>
          <w:sz w:val="24"/>
          <w:szCs w:val="24"/>
        </w:rPr>
        <w:t xml:space="preserve">n the introduction to ‘Forms’, </w:t>
      </w:r>
      <w:r w:rsidR="003F738B">
        <w:rPr>
          <w:rFonts w:ascii="Arial" w:hAnsi="Arial" w:cs="Arial"/>
          <w:sz w:val="24"/>
          <w:szCs w:val="24"/>
        </w:rPr>
        <w:t>Durkheim</w:t>
      </w:r>
      <w:r w:rsidR="000D78BA" w:rsidRPr="00650D2F">
        <w:rPr>
          <w:rFonts w:ascii="Arial" w:hAnsi="Arial" w:cs="Arial"/>
          <w:sz w:val="24"/>
          <w:szCs w:val="24"/>
        </w:rPr>
        <w:t xml:space="preserve"> differentiated</w:t>
      </w:r>
      <w:r w:rsidR="009C4F97" w:rsidRPr="00650D2F">
        <w:rPr>
          <w:rFonts w:ascii="Arial" w:hAnsi="Arial" w:cs="Arial"/>
          <w:sz w:val="24"/>
          <w:szCs w:val="24"/>
        </w:rPr>
        <w:t xml:space="preserve"> himself from ethnographers and historians</w:t>
      </w:r>
      <w:r w:rsidR="009C4F97" w:rsidRPr="00650D2F">
        <w:rPr>
          <w:rStyle w:val="FootnoteReference"/>
          <w:rFonts w:ascii="Arial" w:hAnsi="Arial" w:cs="Arial"/>
          <w:sz w:val="24"/>
          <w:szCs w:val="24"/>
        </w:rPr>
        <w:footnoteReference w:id="11"/>
      </w:r>
      <w:r w:rsidR="00445E0E" w:rsidRPr="00650D2F">
        <w:rPr>
          <w:rFonts w:ascii="Arial" w:hAnsi="Arial" w:cs="Arial"/>
          <w:sz w:val="24"/>
          <w:szCs w:val="24"/>
        </w:rPr>
        <w:t xml:space="preserve"> of the </w:t>
      </w:r>
      <w:r w:rsidR="00D310D1">
        <w:rPr>
          <w:rFonts w:ascii="Arial" w:hAnsi="Arial" w:cs="Arial"/>
          <w:sz w:val="24"/>
          <w:szCs w:val="24"/>
        </w:rPr>
        <w:t>time, describing his discipline of</w:t>
      </w:r>
      <w:r w:rsidR="00623192" w:rsidRPr="00650D2F">
        <w:rPr>
          <w:rFonts w:ascii="Arial" w:hAnsi="Arial" w:cs="Arial"/>
          <w:sz w:val="24"/>
          <w:szCs w:val="24"/>
        </w:rPr>
        <w:t xml:space="preserve"> sociology as a ‘positive science’</w:t>
      </w:r>
      <w:r w:rsidR="00623192" w:rsidRPr="00650D2F">
        <w:rPr>
          <w:rStyle w:val="FootnoteReference"/>
          <w:rFonts w:ascii="Arial" w:hAnsi="Arial" w:cs="Arial"/>
          <w:sz w:val="24"/>
          <w:szCs w:val="24"/>
        </w:rPr>
        <w:footnoteReference w:id="12"/>
      </w:r>
      <w:r w:rsidR="00C33D6E">
        <w:rPr>
          <w:rFonts w:ascii="Arial" w:hAnsi="Arial" w:cs="Arial"/>
          <w:sz w:val="24"/>
          <w:szCs w:val="24"/>
        </w:rPr>
        <w:t xml:space="preserve">; </w:t>
      </w:r>
      <w:r w:rsidR="00B902DD" w:rsidRPr="00650D2F">
        <w:rPr>
          <w:rFonts w:ascii="Arial" w:hAnsi="Arial" w:cs="Arial"/>
          <w:sz w:val="24"/>
          <w:szCs w:val="24"/>
        </w:rPr>
        <w:t>to ‘explain a present reality that is near to us and thus capable of affect</w:t>
      </w:r>
      <w:r w:rsidR="00BA4426" w:rsidRPr="00650D2F">
        <w:rPr>
          <w:rFonts w:ascii="Arial" w:hAnsi="Arial" w:cs="Arial"/>
          <w:sz w:val="24"/>
          <w:szCs w:val="24"/>
        </w:rPr>
        <w:t>ing</w:t>
      </w:r>
      <w:r w:rsidR="00B902DD" w:rsidRPr="00650D2F">
        <w:rPr>
          <w:rFonts w:ascii="Arial" w:hAnsi="Arial" w:cs="Arial"/>
          <w:sz w:val="24"/>
          <w:szCs w:val="24"/>
        </w:rPr>
        <w:t xml:space="preserve"> our ideas and actions’</w:t>
      </w:r>
      <w:r w:rsidR="00B902DD" w:rsidRPr="00650D2F">
        <w:rPr>
          <w:rStyle w:val="FootnoteReference"/>
          <w:rFonts w:ascii="Arial" w:hAnsi="Arial" w:cs="Arial"/>
          <w:sz w:val="24"/>
          <w:szCs w:val="24"/>
        </w:rPr>
        <w:footnoteReference w:id="13"/>
      </w:r>
      <w:r w:rsidR="00E81AD8">
        <w:rPr>
          <w:rFonts w:ascii="Arial" w:hAnsi="Arial" w:cs="Arial"/>
          <w:sz w:val="24"/>
          <w:szCs w:val="24"/>
        </w:rPr>
        <w:t>, rather than simply analyse it as Durkheim saw ethnographers and historians do.</w:t>
      </w:r>
      <w:r w:rsidR="00E81AD8">
        <w:rPr>
          <w:rStyle w:val="FootnoteReference"/>
          <w:rFonts w:ascii="Arial" w:hAnsi="Arial" w:cs="Arial"/>
          <w:sz w:val="24"/>
          <w:szCs w:val="24"/>
        </w:rPr>
        <w:footnoteReference w:id="14"/>
      </w:r>
      <w:r w:rsidR="00DD30CC" w:rsidRPr="00650D2F">
        <w:rPr>
          <w:rFonts w:ascii="Arial" w:hAnsi="Arial" w:cs="Arial"/>
          <w:sz w:val="24"/>
          <w:szCs w:val="24"/>
        </w:rPr>
        <w:t xml:space="preserve"> </w:t>
      </w:r>
    </w:p>
    <w:p w14:paraId="390EF8F8" w14:textId="258DE824" w:rsidR="003A5D7A" w:rsidRDefault="00F72CF3" w:rsidP="00A134E3">
      <w:pPr>
        <w:spacing w:line="360" w:lineRule="auto"/>
        <w:rPr>
          <w:rFonts w:ascii="Arial" w:hAnsi="Arial" w:cs="Arial"/>
          <w:sz w:val="24"/>
          <w:szCs w:val="24"/>
        </w:rPr>
      </w:pPr>
      <w:r>
        <w:rPr>
          <w:rFonts w:ascii="Arial" w:hAnsi="Arial" w:cs="Arial"/>
          <w:sz w:val="24"/>
          <w:szCs w:val="24"/>
        </w:rPr>
        <w:t>Both authors</w:t>
      </w:r>
      <w:r w:rsidR="00537843">
        <w:rPr>
          <w:rFonts w:ascii="Arial" w:hAnsi="Arial" w:cs="Arial"/>
          <w:sz w:val="24"/>
          <w:szCs w:val="24"/>
        </w:rPr>
        <w:t xml:space="preserve"> acknowledged previous work on religion </w:t>
      </w:r>
      <w:r w:rsidR="00137C77">
        <w:rPr>
          <w:rFonts w:ascii="Arial" w:hAnsi="Arial" w:cs="Arial"/>
          <w:sz w:val="24"/>
          <w:szCs w:val="24"/>
        </w:rPr>
        <w:t xml:space="preserve">and sacred </w:t>
      </w:r>
      <w:r w:rsidR="00ED05CD">
        <w:rPr>
          <w:rFonts w:ascii="Arial" w:hAnsi="Arial" w:cs="Arial"/>
          <w:sz w:val="24"/>
          <w:szCs w:val="24"/>
        </w:rPr>
        <w:t>space but</w:t>
      </w:r>
      <w:r w:rsidR="00137C77">
        <w:rPr>
          <w:rFonts w:ascii="Arial" w:hAnsi="Arial" w:cs="Arial"/>
          <w:sz w:val="24"/>
          <w:szCs w:val="24"/>
        </w:rPr>
        <w:t xml:space="preserve"> </w:t>
      </w:r>
      <w:r w:rsidR="009000C5">
        <w:rPr>
          <w:rFonts w:ascii="Arial" w:hAnsi="Arial" w:cs="Arial"/>
          <w:sz w:val="24"/>
          <w:szCs w:val="24"/>
        </w:rPr>
        <w:t>sought to introduce new ideas and approaches to the subject</w:t>
      </w:r>
      <w:r w:rsidR="009E6669">
        <w:rPr>
          <w:rFonts w:ascii="Arial" w:hAnsi="Arial" w:cs="Arial"/>
          <w:sz w:val="24"/>
          <w:szCs w:val="24"/>
        </w:rPr>
        <w:t xml:space="preserve">. </w:t>
      </w:r>
    </w:p>
    <w:p w14:paraId="6F946966" w14:textId="039866F2" w:rsidR="001E1CC0" w:rsidRPr="001E1CC0" w:rsidRDefault="001E1CC0" w:rsidP="00A134E3">
      <w:pPr>
        <w:spacing w:line="360" w:lineRule="auto"/>
        <w:rPr>
          <w:rFonts w:ascii="Arial" w:hAnsi="Arial" w:cs="Arial"/>
          <w:sz w:val="24"/>
          <w:szCs w:val="24"/>
        </w:rPr>
      </w:pPr>
      <w:r>
        <w:rPr>
          <w:rFonts w:ascii="Arial" w:hAnsi="Arial" w:cs="Arial"/>
          <w:b/>
          <w:bCs/>
          <w:sz w:val="24"/>
          <w:szCs w:val="24"/>
        </w:rPr>
        <w:t>Summary of Arguments</w:t>
      </w:r>
    </w:p>
    <w:p w14:paraId="732961E0" w14:textId="0B92A2D6" w:rsidR="009E30AB" w:rsidRDefault="00712A99" w:rsidP="00A134E3">
      <w:pPr>
        <w:spacing w:line="360" w:lineRule="auto"/>
        <w:rPr>
          <w:rFonts w:ascii="Arial" w:hAnsi="Arial" w:cs="Arial"/>
          <w:sz w:val="24"/>
          <w:szCs w:val="24"/>
        </w:rPr>
      </w:pPr>
      <w:r w:rsidRPr="00650D2F">
        <w:rPr>
          <w:rFonts w:ascii="Arial" w:hAnsi="Arial" w:cs="Arial"/>
          <w:sz w:val="24"/>
          <w:szCs w:val="24"/>
        </w:rPr>
        <w:t xml:space="preserve">Eliade’s general argument </w:t>
      </w:r>
      <w:r w:rsidR="00501214" w:rsidRPr="00650D2F">
        <w:rPr>
          <w:rFonts w:ascii="Arial" w:hAnsi="Arial" w:cs="Arial"/>
          <w:sz w:val="24"/>
          <w:szCs w:val="24"/>
        </w:rPr>
        <w:t xml:space="preserve">was that </w:t>
      </w:r>
      <w:r w:rsidR="007E0965">
        <w:rPr>
          <w:rFonts w:ascii="Arial" w:hAnsi="Arial" w:cs="Arial"/>
          <w:sz w:val="24"/>
          <w:szCs w:val="24"/>
        </w:rPr>
        <w:t xml:space="preserve">space became </w:t>
      </w:r>
      <w:r w:rsidR="00501214" w:rsidRPr="00650D2F">
        <w:rPr>
          <w:rFonts w:ascii="Arial" w:hAnsi="Arial" w:cs="Arial"/>
          <w:sz w:val="24"/>
          <w:szCs w:val="24"/>
        </w:rPr>
        <w:t>sacred by consecrating it.</w:t>
      </w:r>
      <w:r w:rsidR="00587883">
        <w:rPr>
          <w:rFonts w:ascii="Arial" w:hAnsi="Arial" w:cs="Arial"/>
          <w:sz w:val="24"/>
          <w:szCs w:val="24"/>
        </w:rPr>
        <w:t xml:space="preserve"> </w:t>
      </w:r>
      <w:r w:rsidR="004B2551">
        <w:rPr>
          <w:rFonts w:ascii="Arial" w:hAnsi="Arial" w:cs="Arial"/>
          <w:sz w:val="24"/>
          <w:szCs w:val="24"/>
        </w:rPr>
        <w:t>This consecration was not man-made, but a repetition of the gods creating the world</w:t>
      </w:r>
      <w:r w:rsidR="004B2551">
        <w:rPr>
          <w:rStyle w:val="FootnoteReference"/>
          <w:rFonts w:ascii="Arial" w:hAnsi="Arial" w:cs="Arial"/>
          <w:sz w:val="24"/>
          <w:szCs w:val="24"/>
        </w:rPr>
        <w:footnoteReference w:id="15"/>
      </w:r>
      <w:r w:rsidR="004B2551">
        <w:rPr>
          <w:rFonts w:ascii="Arial" w:hAnsi="Arial" w:cs="Arial"/>
          <w:sz w:val="24"/>
          <w:szCs w:val="24"/>
        </w:rPr>
        <w:t>.</w:t>
      </w:r>
      <w:r w:rsidR="004B2551">
        <w:rPr>
          <w:rFonts w:ascii="Arial" w:hAnsi="Arial" w:cs="Arial"/>
          <w:sz w:val="24"/>
          <w:szCs w:val="24"/>
        </w:rPr>
        <w:t xml:space="preserve"> </w:t>
      </w:r>
      <w:r w:rsidR="007A3EBD">
        <w:rPr>
          <w:rFonts w:ascii="Arial" w:hAnsi="Arial" w:cs="Arial"/>
          <w:sz w:val="24"/>
          <w:szCs w:val="24"/>
        </w:rPr>
        <w:t>Space</w:t>
      </w:r>
      <w:r w:rsidR="00587883">
        <w:rPr>
          <w:rFonts w:ascii="Arial" w:hAnsi="Arial" w:cs="Arial"/>
          <w:sz w:val="24"/>
          <w:szCs w:val="24"/>
        </w:rPr>
        <w:t xml:space="preserve"> </w:t>
      </w:r>
      <w:r w:rsidR="00363725">
        <w:rPr>
          <w:rFonts w:ascii="Arial" w:hAnsi="Arial" w:cs="Arial"/>
          <w:sz w:val="24"/>
          <w:szCs w:val="24"/>
        </w:rPr>
        <w:t>was sacred if it had a</w:t>
      </w:r>
      <w:r w:rsidR="005E6D9C" w:rsidRPr="00650D2F">
        <w:rPr>
          <w:rFonts w:ascii="Arial" w:hAnsi="Arial" w:cs="Arial"/>
          <w:sz w:val="24"/>
          <w:szCs w:val="24"/>
        </w:rPr>
        <w:t xml:space="preserve"> ‘fixed point, the central axis for all future orientation’</w:t>
      </w:r>
      <w:r w:rsidR="005E6D9C" w:rsidRPr="00650D2F">
        <w:rPr>
          <w:rStyle w:val="FootnoteReference"/>
          <w:rFonts w:ascii="Arial" w:hAnsi="Arial" w:cs="Arial"/>
          <w:sz w:val="24"/>
          <w:szCs w:val="24"/>
        </w:rPr>
        <w:footnoteReference w:id="16"/>
      </w:r>
      <w:r w:rsidR="00363725">
        <w:rPr>
          <w:rFonts w:ascii="Arial" w:hAnsi="Arial" w:cs="Arial"/>
          <w:sz w:val="24"/>
          <w:szCs w:val="24"/>
        </w:rPr>
        <w:t>.</w:t>
      </w:r>
      <w:r w:rsidR="00A728DF" w:rsidRPr="00650D2F">
        <w:rPr>
          <w:rFonts w:ascii="Arial" w:hAnsi="Arial" w:cs="Arial"/>
          <w:sz w:val="24"/>
          <w:szCs w:val="24"/>
        </w:rPr>
        <w:t xml:space="preserve"> </w:t>
      </w:r>
      <w:r w:rsidR="00363725">
        <w:rPr>
          <w:rFonts w:ascii="Arial" w:hAnsi="Arial" w:cs="Arial"/>
          <w:sz w:val="24"/>
          <w:szCs w:val="24"/>
        </w:rPr>
        <w:t xml:space="preserve">Using </w:t>
      </w:r>
      <w:r w:rsidR="00B8022F">
        <w:rPr>
          <w:rFonts w:ascii="Arial" w:hAnsi="Arial" w:cs="Arial"/>
          <w:sz w:val="24"/>
          <w:szCs w:val="24"/>
        </w:rPr>
        <w:t>this</w:t>
      </w:r>
      <w:r w:rsidR="00363725">
        <w:rPr>
          <w:rFonts w:ascii="Arial" w:hAnsi="Arial" w:cs="Arial"/>
          <w:sz w:val="24"/>
          <w:szCs w:val="24"/>
        </w:rPr>
        <w:t xml:space="preserve"> fixed</w:t>
      </w:r>
      <w:r w:rsidR="00B8022F">
        <w:rPr>
          <w:rFonts w:ascii="Arial" w:hAnsi="Arial" w:cs="Arial"/>
          <w:sz w:val="24"/>
          <w:szCs w:val="24"/>
        </w:rPr>
        <w:t xml:space="preserve"> point</w:t>
      </w:r>
      <w:r w:rsidR="00363725">
        <w:rPr>
          <w:rFonts w:ascii="Arial" w:hAnsi="Arial" w:cs="Arial"/>
          <w:sz w:val="24"/>
          <w:szCs w:val="24"/>
        </w:rPr>
        <w:t xml:space="preserve">, </w:t>
      </w:r>
      <w:r w:rsidR="00B8022F">
        <w:rPr>
          <w:rFonts w:ascii="Arial" w:hAnsi="Arial" w:cs="Arial"/>
          <w:sz w:val="24"/>
          <w:szCs w:val="24"/>
        </w:rPr>
        <w:t xml:space="preserve">man </w:t>
      </w:r>
      <w:r w:rsidR="004B2551">
        <w:rPr>
          <w:rFonts w:ascii="Arial" w:hAnsi="Arial" w:cs="Arial"/>
          <w:sz w:val="24"/>
          <w:szCs w:val="24"/>
        </w:rPr>
        <w:t>oriented</w:t>
      </w:r>
      <w:r w:rsidR="00B8022F">
        <w:rPr>
          <w:rFonts w:ascii="Arial" w:hAnsi="Arial" w:cs="Arial"/>
          <w:sz w:val="24"/>
          <w:szCs w:val="24"/>
        </w:rPr>
        <w:t xml:space="preserve"> himself in the world</w:t>
      </w:r>
      <w:r w:rsidR="001A3432">
        <w:rPr>
          <w:rFonts w:ascii="Arial" w:hAnsi="Arial" w:cs="Arial"/>
          <w:sz w:val="24"/>
          <w:szCs w:val="24"/>
        </w:rPr>
        <w:t xml:space="preserve"> to reveal ‘an absolute reality’</w:t>
      </w:r>
      <w:r w:rsidR="001A3432">
        <w:rPr>
          <w:rStyle w:val="FootnoteReference"/>
          <w:rFonts w:ascii="Arial" w:hAnsi="Arial" w:cs="Arial"/>
          <w:sz w:val="24"/>
          <w:szCs w:val="24"/>
        </w:rPr>
        <w:footnoteReference w:id="17"/>
      </w:r>
      <w:r w:rsidR="00CE483F">
        <w:rPr>
          <w:rFonts w:ascii="Arial" w:hAnsi="Arial" w:cs="Arial"/>
          <w:sz w:val="24"/>
          <w:szCs w:val="24"/>
        </w:rPr>
        <w:t xml:space="preserve">. Without an absolute reality, Eliade argued, man </w:t>
      </w:r>
      <w:r w:rsidR="007B0377">
        <w:rPr>
          <w:rFonts w:ascii="Arial" w:hAnsi="Arial" w:cs="Arial"/>
          <w:sz w:val="24"/>
          <w:szCs w:val="24"/>
        </w:rPr>
        <w:t xml:space="preserve">could not find meaning in the world, which </w:t>
      </w:r>
      <w:r w:rsidR="004B2551">
        <w:rPr>
          <w:rFonts w:ascii="Arial" w:hAnsi="Arial" w:cs="Arial"/>
          <w:sz w:val="24"/>
          <w:szCs w:val="24"/>
        </w:rPr>
        <w:t>prevented</w:t>
      </w:r>
      <w:r w:rsidR="007B0377">
        <w:rPr>
          <w:rFonts w:ascii="Arial" w:hAnsi="Arial" w:cs="Arial"/>
          <w:sz w:val="24"/>
          <w:szCs w:val="24"/>
        </w:rPr>
        <w:t xml:space="preserve"> him from </w:t>
      </w:r>
      <w:r w:rsidR="004B2551">
        <w:rPr>
          <w:rFonts w:ascii="Arial" w:hAnsi="Arial" w:cs="Arial"/>
          <w:sz w:val="24"/>
          <w:szCs w:val="24"/>
        </w:rPr>
        <w:t>beginning anything or moving forward</w:t>
      </w:r>
      <w:r w:rsidR="009E30AB">
        <w:rPr>
          <w:rStyle w:val="FootnoteReference"/>
          <w:rFonts w:ascii="Arial" w:hAnsi="Arial" w:cs="Arial"/>
          <w:sz w:val="24"/>
          <w:szCs w:val="24"/>
        </w:rPr>
        <w:footnoteReference w:id="18"/>
      </w:r>
      <w:r w:rsidR="004B2551">
        <w:rPr>
          <w:rFonts w:ascii="Arial" w:hAnsi="Arial" w:cs="Arial"/>
          <w:sz w:val="24"/>
          <w:szCs w:val="24"/>
        </w:rPr>
        <w:t>.</w:t>
      </w:r>
      <w:r w:rsidR="009E30AB">
        <w:rPr>
          <w:rFonts w:ascii="Arial" w:hAnsi="Arial" w:cs="Arial"/>
          <w:sz w:val="24"/>
          <w:szCs w:val="24"/>
        </w:rPr>
        <w:t xml:space="preserve"> </w:t>
      </w:r>
    </w:p>
    <w:p w14:paraId="7663A7FB" w14:textId="310D856A" w:rsidR="006E2196" w:rsidRDefault="00D01EC2" w:rsidP="00A134E3">
      <w:pPr>
        <w:spacing w:line="360" w:lineRule="auto"/>
        <w:rPr>
          <w:rFonts w:ascii="Arial" w:hAnsi="Arial" w:cs="Arial"/>
          <w:sz w:val="24"/>
          <w:szCs w:val="24"/>
        </w:rPr>
      </w:pPr>
      <w:r>
        <w:rPr>
          <w:rFonts w:ascii="Arial" w:hAnsi="Arial" w:cs="Arial"/>
          <w:sz w:val="24"/>
          <w:szCs w:val="24"/>
        </w:rPr>
        <w:t>He</w:t>
      </w:r>
      <w:r w:rsidR="00AF1A7D">
        <w:rPr>
          <w:rFonts w:ascii="Arial" w:hAnsi="Arial" w:cs="Arial"/>
          <w:sz w:val="24"/>
          <w:szCs w:val="24"/>
        </w:rPr>
        <w:t xml:space="preserve"> contrasted </w:t>
      </w:r>
      <w:r w:rsidR="00DE4C1B">
        <w:rPr>
          <w:rFonts w:ascii="Arial" w:hAnsi="Arial" w:cs="Arial"/>
          <w:sz w:val="24"/>
          <w:szCs w:val="24"/>
        </w:rPr>
        <w:t>his</w:t>
      </w:r>
      <w:r w:rsidR="00AF1A7D">
        <w:rPr>
          <w:rFonts w:ascii="Arial" w:hAnsi="Arial" w:cs="Arial"/>
          <w:sz w:val="24"/>
          <w:szCs w:val="24"/>
        </w:rPr>
        <w:t xml:space="preserve"> definition of sacred space with profane space, which </w:t>
      </w:r>
      <w:r w:rsidR="00D56B2F">
        <w:rPr>
          <w:rFonts w:ascii="Arial" w:hAnsi="Arial" w:cs="Arial"/>
          <w:sz w:val="24"/>
          <w:szCs w:val="24"/>
        </w:rPr>
        <w:t>was</w:t>
      </w:r>
      <w:r w:rsidR="00AF1A7D">
        <w:rPr>
          <w:rFonts w:ascii="Arial" w:hAnsi="Arial" w:cs="Arial"/>
          <w:sz w:val="24"/>
          <w:szCs w:val="24"/>
        </w:rPr>
        <w:t xml:space="preserve"> ‘homogenous and neutral</w:t>
      </w:r>
      <w:r w:rsidR="00DE4C1B">
        <w:rPr>
          <w:rFonts w:ascii="Arial" w:hAnsi="Arial" w:cs="Arial"/>
          <w:sz w:val="24"/>
          <w:szCs w:val="24"/>
        </w:rPr>
        <w:t>’</w:t>
      </w:r>
      <w:r w:rsidR="00DE4C1B">
        <w:rPr>
          <w:rStyle w:val="FootnoteReference"/>
          <w:rFonts w:ascii="Arial" w:hAnsi="Arial" w:cs="Arial"/>
          <w:sz w:val="24"/>
          <w:szCs w:val="24"/>
        </w:rPr>
        <w:footnoteReference w:id="19"/>
      </w:r>
      <w:r w:rsidR="00D56B2F">
        <w:rPr>
          <w:rFonts w:ascii="Arial" w:hAnsi="Arial" w:cs="Arial"/>
          <w:sz w:val="24"/>
          <w:szCs w:val="24"/>
        </w:rPr>
        <w:t xml:space="preserve">. As a result, profane </w:t>
      </w:r>
      <w:r w:rsidR="002404B2">
        <w:rPr>
          <w:rFonts w:ascii="Arial" w:hAnsi="Arial" w:cs="Arial"/>
          <w:sz w:val="24"/>
          <w:szCs w:val="24"/>
        </w:rPr>
        <w:t>space could not have a centre</w:t>
      </w:r>
      <w:r w:rsidR="00A047D9">
        <w:rPr>
          <w:rFonts w:ascii="Arial" w:hAnsi="Arial" w:cs="Arial"/>
          <w:sz w:val="24"/>
          <w:szCs w:val="24"/>
        </w:rPr>
        <w:t xml:space="preserve"> or boundaries </w:t>
      </w:r>
      <w:r w:rsidR="002404B2">
        <w:rPr>
          <w:rFonts w:ascii="Arial" w:hAnsi="Arial" w:cs="Arial"/>
          <w:sz w:val="24"/>
          <w:szCs w:val="24"/>
        </w:rPr>
        <w:t>indicat</w:t>
      </w:r>
      <w:r w:rsidR="00A047D9">
        <w:rPr>
          <w:rFonts w:ascii="Arial" w:hAnsi="Arial" w:cs="Arial"/>
          <w:sz w:val="24"/>
          <w:szCs w:val="24"/>
        </w:rPr>
        <w:t>ing</w:t>
      </w:r>
      <w:r w:rsidR="002404B2">
        <w:rPr>
          <w:rFonts w:ascii="Arial" w:hAnsi="Arial" w:cs="Arial"/>
          <w:sz w:val="24"/>
          <w:szCs w:val="24"/>
        </w:rPr>
        <w:t xml:space="preserve"> where it began and ended. </w:t>
      </w:r>
      <w:r w:rsidR="0082190E">
        <w:rPr>
          <w:rFonts w:ascii="Arial" w:hAnsi="Arial" w:cs="Arial"/>
          <w:sz w:val="24"/>
          <w:szCs w:val="24"/>
        </w:rPr>
        <w:t xml:space="preserve">Eliade used examples from various world religions to demonstrate </w:t>
      </w:r>
      <w:r w:rsidR="00CB24BC">
        <w:rPr>
          <w:rFonts w:ascii="Arial" w:hAnsi="Arial" w:cs="Arial"/>
          <w:sz w:val="24"/>
          <w:szCs w:val="24"/>
        </w:rPr>
        <w:t xml:space="preserve">the differences between sacred and profane space. </w:t>
      </w:r>
      <w:r w:rsidR="00BF3DA7">
        <w:rPr>
          <w:rFonts w:ascii="Arial" w:hAnsi="Arial" w:cs="Arial"/>
          <w:sz w:val="24"/>
          <w:szCs w:val="24"/>
        </w:rPr>
        <w:lastRenderedPageBreak/>
        <w:t xml:space="preserve">For </w:t>
      </w:r>
      <w:r w:rsidR="001134BA">
        <w:rPr>
          <w:rFonts w:ascii="Arial" w:hAnsi="Arial" w:cs="Arial"/>
          <w:sz w:val="24"/>
          <w:szCs w:val="24"/>
        </w:rPr>
        <w:t>ex</w:t>
      </w:r>
      <w:r w:rsidR="009F6318">
        <w:rPr>
          <w:rFonts w:ascii="Arial" w:hAnsi="Arial" w:cs="Arial"/>
          <w:sz w:val="24"/>
          <w:szCs w:val="24"/>
        </w:rPr>
        <w:t>ample,</w:t>
      </w:r>
      <w:r w:rsidR="00BF3DA7">
        <w:rPr>
          <w:rFonts w:ascii="Arial" w:hAnsi="Arial" w:cs="Arial"/>
          <w:sz w:val="24"/>
          <w:szCs w:val="24"/>
        </w:rPr>
        <w:t xml:space="preserve"> the threshold of a sacred space such </w:t>
      </w:r>
      <w:r w:rsidR="000F7744">
        <w:rPr>
          <w:rFonts w:ascii="Arial" w:hAnsi="Arial" w:cs="Arial"/>
          <w:sz w:val="24"/>
          <w:szCs w:val="24"/>
        </w:rPr>
        <w:t>the entry to a</w:t>
      </w:r>
      <w:r w:rsidR="00BF3DA7">
        <w:rPr>
          <w:rFonts w:ascii="Arial" w:hAnsi="Arial" w:cs="Arial"/>
          <w:sz w:val="24"/>
          <w:szCs w:val="24"/>
        </w:rPr>
        <w:t xml:space="preserve"> church or the household entrance in ‘paleo-oriental cultures (Babylon, Egypt, Israel</w:t>
      </w:r>
      <w:r w:rsidR="000F7744">
        <w:rPr>
          <w:rFonts w:ascii="Arial" w:hAnsi="Arial" w:cs="Arial"/>
          <w:sz w:val="24"/>
          <w:szCs w:val="24"/>
        </w:rPr>
        <w:t>)</w:t>
      </w:r>
      <w:r w:rsidR="00BF3DA7">
        <w:rPr>
          <w:rFonts w:ascii="Arial" w:hAnsi="Arial" w:cs="Arial"/>
          <w:sz w:val="24"/>
          <w:szCs w:val="24"/>
        </w:rPr>
        <w:t>’</w:t>
      </w:r>
      <w:r w:rsidR="00BF3DA7">
        <w:rPr>
          <w:rStyle w:val="FootnoteReference"/>
          <w:rFonts w:ascii="Arial" w:hAnsi="Arial" w:cs="Arial"/>
          <w:sz w:val="24"/>
          <w:szCs w:val="24"/>
        </w:rPr>
        <w:footnoteReference w:id="20"/>
      </w:r>
      <w:r w:rsidR="00072E58">
        <w:rPr>
          <w:rFonts w:ascii="Arial" w:hAnsi="Arial" w:cs="Arial"/>
          <w:sz w:val="24"/>
          <w:szCs w:val="24"/>
        </w:rPr>
        <w:t xml:space="preserve"> </w:t>
      </w:r>
      <w:r w:rsidR="009F6318">
        <w:rPr>
          <w:rFonts w:ascii="Arial" w:hAnsi="Arial" w:cs="Arial"/>
          <w:sz w:val="24"/>
          <w:szCs w:val="24"/>
        </w:rPr>
        <w:t xml:space="preserve">established the real </w:t>
      </w:r>
      <w:r w:rsidR="0066676D">
        <w:rPr>
          <w:rFonts w:ascii="Arial" w:hAnsi="Arial" w:cs="Arial"/>
          <w:sz w:val="24"/>
          <w:szCs w:val="24"/>
        </w:rPr>
        <w:t>by</w:t>
      </w:r>
      <w:r w:rsidR="009F6318">
        <w:rPr>
          <w:rFonts w:ascii="Arial" w:hAnsi="Arial" w:cs="Arial"/>
          <w:sz w:val="24"/>
          <w:szCs w:val="24"/>
        </w:rPr>
        <w:t xml:space="preserve"> physically</w:t>
      </w:r>
      <w:r w:rsidR="0066676D">
        <w:rPr>
          <w:rFonts w:ascii="Arial" w:hAnsi="Arial" w:cs="Arial"/>
          <w:sz w:val="24"/>
          <w:szCs w:val="24"/>
        </w:rPr>
        <w:t xml:space="preserve"> separating the sacred space from the profane space. </w:t>
      </w:r>
    </w:p>
    <w:p w14:paraId="201EA50A" w14:textId="5635EA03" w:rsidR="0020447E" w:rsidRDefault="00EA093E" w:rsidP="004340D4">
      <w:pPr>
        <w:spacing w:line="360" w:lineRule="auto"/>
        <w:rPr>
          <w:rFonts w:ascii="Arial" w:hAnsi="Arial" w:cs="Arial"/>
          <w:sz w:val="24"/>
          <w:szCs w:val="24"/>
        </w:rPr>
      </w:pPr>
      <w:r>
        <w:rPr>
          <w:rFonts w:ascii="Arial" w:hAnsi="Arial" w:cs="Arial"/>
          <w:sz w:val="24"/>
          <w:szCs w:val="24"/>
        </w:rPr>
        <w:t xml:space="preserve">Similarly, Durkheim </w:t>
      </w:r>
      <w:r w:rsidR="0069700B">
        <w:rPr>
          <w:rFonts w:ascii="Arial" w:hAnsi="Arial" w:cs="Arial"/>
          <w:sz w:val="24"/>
          <w:szCs w:val="24"/>
        </w:rPr>
        <w:t>argued that space would not be useful to any</w:t>
      </w:r>
      <w:r w:rsidR="00C514B7">
        <w:rPr>
          <w:rFonts w:ascii="Arial" w:hAnsi="Arial" w:cs="Arial"/>
          <w:sz w:val="24"/>
          <w:szCs w:val="24"/>
        </w:rPr>
        <w:t>one if it was ‘absolutely homogenous’</w:t>
      </w:r>
      <w:r w:rsidR="00507BB3">
        <w:rPr>
          <w:rStyle w:val="FootnoteReference"/>
          <w:rFonts w:ascii="Arial" w:hAnsi="Arial" w:cs="Arial"/>
          <w:sz w:val="24"/>
          <w:szCs w:val="24"/>
        </w:rPr>
        <w:footnoteReference w:id="21"/>
      </w:r>
      <w:r w:rsidR="00887E17">
        <w:rPr>
          <w:rFonts w:ascii="Arial" w:hAnsi="Arial" w:cs="Arial"/>
          <w:sz w:val="24"/>
          <w:szCs w:val="24"/>
        </w:rPr>
        <w:t xml:space="preserve"> because there would be nothing to fix an event or moment to.</w:t>
      </w:r>
      <w:r w:rsidR="00067236">
        <w:rPr>
          <w:rFonts w:ascii="Arial" w:hAnsi="Arial" w:cs="Arial"/>
          <w:sz w:val="24"/>
          <w:szCs w:val="24"/>
        </w:rPr>
        <w:t xml:space="preserve"> C</w:t>
      </w:r>
      <w:r w:rsidR="0020447E">
        <w:rPr>
          <w:rFonts w:ascii="Arial" w:hAnsi="Arial" w:cs="Arial"/>
          <w:sz w:val="24"/>
          <w:szCs w:val="24"/>
        </w:rPr>
        <w:t xml:space="preserve">onception of space </w:t>
      </w:r>
      <w:r w:rsidR="006E5274">
        <w:rPr>
          <w:rFonts w:ascii="Arial" w:hAnsi="Arial" w:cs="Arial"/>
          <w:sz w:val="24"/>
          <w:szCs w:val="24"/>
        </w:rPr>
        <w:t>was social</w:t>
      </w:r>
      <w:r w:rsidR="00A10F2F">
        <w:rPr>
          <w:rFonts w:ascii="Arial" w:hAnsi="Arial" w:cs="Arial"/>
          <w:sz w:val="24"/>
          <w:szCs w:val="24"/>
        </w:rPr>
        <w:t>, something that ‘was conceived of objectively by all men of the same civilisation’</w:t>
      </w:r>
      <w:r w:rsidR="00A10F2F">
        <w:rPr>
          <w:rStyle w:val="FootnoteReference"/>
          <w:rFonts w:ascii="Arial" w:hAnsi="Arial" w:cs="Arial"/>
          <w:sz w:val="24"/>
          <w:szCs w:val="24"/>
        </w:rPr>
        <w:footnoteReference w:id="22"/>
      </w:r>
      <w:r w:rsidR="00067236">
        <w:rPr>
          <w:rFonts w:ascii="Arial" w:hAnsi="Arial" w:cs="Arial"/>
          <w:sz w:val="24"/>
          <w:szCs w:val="24"/>
        </w:rPr>
        <w:t xml:space="preserve">, </w:t>
      </w:r>
      <w:r w:rsidR="003277D8">
        <w:rPr>
          <w:rFonts w:ascii="Arial" w:hAnsi="Arial" w:cs="Arial"/>
          <w:sz w:val="24"/>
          <w:szCs w:val="24"/>
        </w:rPr>
        <w:t>to serve</w:t>
      </w:r>
      <w:r w:rsidR="00067236">
        <w:rPr>
          <w:rFonts w:ascii="Arial" w:hAnsi="Arial" w:cs="Arial"/>
          <w:sz w:val="24"/>
          <w:szCs w:val="24"/>
        </w:rPr>
        <w:t xml:space="preserve"> a social purpose.</w:t>
      </w:r>
    </w:p>
    <w:p w14:paraId="7BF01E1B" w14:textId="17BE4D3C" w:rsidR="003800DF" w:rsidRDefault="006E5274" w:rsidP="004340D4">
      <w:pPr>
        <w:spacing w:line="360" w:lineRule="auto"/>
        <w:rPr>
          <w:rFonts w:ascii="Arial" w:hAnsi="Arial" w:cs="Arial"/>
          <w:sz w:val="24"/>
          <w:szCs w:val="24"/>
        </w:rPr>
      </w:pPr>
      <w:r>
        <w:rPr>
          <w:rFonts w:ascii="Arial" w:hAnsi="Arial" w:cs="Arial"/>
          <w:sz w:val="24"/>
          <w:szCs w:val="24"/>
        </w:rPr>
        <w:t>In</w:t>
      </w:r>
      <w:r w:rsidR="002D7573">
        <w:rPr>
          <w:rFonts w:ascii="Arial" w:hAnsi="Arial" w:cs="Arial"/>
          <w:sz w:val="24"/>
          <w:szCs w:val="24"/>
        </w:rPr>
        <w:t xml:space="preserve"> contrast to Eliade, </w:t>
      </w:r>
      <w:r w:rsidR="00275840">
        <w:rPr>
          <w:rFonts w:ascii="Arial" w:hAnsi="Arial" w:cs="Arial"/>
          <w:sz w:val="24"/>
          <w:szCs w:val="24"/>
        </w:rPr>
        <w:t xml:space="preserve">Durkheim only </w:t>
      </w:r>
      <w:r w:rsidR="00FD22DB">
        <w:rPr>
          <w:rFonts w:ascii="Arial" w:hAnsi="Arial" w:cs="Arial"/>
          <w:sz w:val="24"/>
          <w:szCs w:val="24"/>
        </w:rPr>
        <w:t>examine</w:t>
      </w:r>
      <w:r w:rsidR="004F730D">
        <w:rPr>
          <w:rFonts w:ascii="Arial" w:hAnsi="Arial" w:cs="Arial"/>
          <w:sz w:val="24"/>
          <w:szCs w:val="24"/>
        </w:rPr>
        <w:t>d, in his words,</w:t>
      </w:r>
      <w:r w:rsidR="00275840">
        <w:rPr>
          <w:rFonts w:ascii="Arial" w:hAnsi="Arial" w:cs="Arial"/>
          <w:sz w:val="24"/>
          <w:szCs w:val="24"/>
        </w:rPr>
        <w:t xml:space="preserve"> the most ‘primitive religion’</w:t>
      </w:r>
      <w:r w:rsidR="003277D8">
        <w:rPr>
          <w:rFonts w:ascii="Arial" w:hAnsi="Arial" w:cs="Arial"/>
          <w:sz w:val="24"/>
          <w:szCs w:val="24"/>
        </w:rPr>
        <w:t>:</w:t>
      </w:r>
      <w:r w:rsidR="004613A6">
        <w:rPr>
          <w:rFonts w:ascii="Arial" w:hAnsi="Arial" w:cs="Arial"/>
          <w:sz w:val="24"/>
          <w:szCs w:val="24"/>
        </w:rPr>
        <w:t xml:space="preserve"> religion in a society that </w:t>
      </w:r>
      <w:r w:rsidR="00FD22DB">
        <w:rPr>
          <w:rFonts w:ascii="Arial" w:hAnsi="Arial" w:cs="Arial"/>
          <w:sz w:val="24"/>
          <w:szCs w:val="24"/>
        </w:rPr>
        <w:t>wa</w:t>
      </w:r>
      <w:r w:rsidR="004613A6">
        <w:rPr>
          <w:rFonts w:ascii="Arial" w:hAnsi="Arial" w:cs="Arial"/>
          <w:sz w:val="24"/>
          <w:szCs w:val="24"/>
        </w:rPr>
        <w:t xml:space="preserve">s simpler than any </w:t>
      </w:r>
      <w:r w:rsidR="003277D8">
        <w:rPr>
          <w:rFonts w:ascii="Arial" w:hAnsi="Arial" w:cs="Arial"/>
          <w:sz w:val="24"/>
          <w:szCs w:val="24"/>
        </w:rPr>
        <w:t>other and</w:t>
      </w:r>
      <w:r w:rsidR="004613A6">
        <w:rPr>
          <w:rFonts w:ascii="Arial" w:hAnsi="Arial" w:cs="Arial"/>
          <w:sz w:val="24"/>
          <w:szCs w:val="24"/>
        </w:rPr>
        <w:t xml:space="preserve"> </w:t>
      </w:r>
      <w:r w:rsidR="00FD22DB">
        <w:rPr>
          <w:rFonts w:ascii="Arial" w:hAnsi="Arial" w:cs="Arial"/>
          <w:sz w:val="24"/>
          <w:szCs w:val="24"/>
        </w:rPr>
        <w:t>did</w:t>
      </w:r>
      <w:r w:rsidR="004613A6">
        <w:rPr>
          <w:rFonts w:ascii="Arial" w:hAnsi="Arial" w:cs="Arial"/>
          <w:sz w:val="24"/>
          <w:szCs w:val="24"/>
        </w:rPr>
        <w:t xml:space="preserve"> not have religious elements from ‘a predecessor religion’</w:t>
      </w:r>
      <w:r w:rsidR="004613A6">
        <w:rPr>
          <w:rStyle w:val="FootnoteReference"/>
          <w:rFonts w:ascii="Arial" w:hAnsi="Arial" w:cs="Arial"/>
          <w:sz w:val="24"/>
          <w:szCs w:val="24"/>
        </w:rPr>
        <w:footnoteReference w:id="23"/>
      </w:r>
      <w:r w:rsidR="00AE5096">
        <w:rPr>
          <w:rFonts w:ascii="Arial" w:hAnsi="Arial" w:cs="Arial"/>
          <w:sz w:val="24"/>
          <w:szCs w:val="24"/>
        </w:rPr>
        <w:t>, that of a tribe of Aboriginal Australians</w:t>
      </w:r>
      <w:r w:rsidR="00120A98">
        <w:rPr>
          <w:rFonts w:ascii="Arial" w:hAnsi="Arial" w:cs="Arial"/>
          <w:sz w:val="24"/>
          <w:szCs w:val="24"/>
        </w:rPr>
        <w:t>.</w:t>
      </w:r>
      <w:r w:rsidR="004613A6">
        <w:rPr>
          <w:rFonts w:ascii="Arial" w:hAnsi="Arial" w:cs="Arial"/>
          <w:sz w:val="24"/>
          <w:szCs w:val="24"/>
        </w:rPr>
        <w:t xml:space="preserve"> </w:t>
      </w:r>
      <w:r w:rsidR="00882AFE">
        <w:rPr>
          <w:rFonts w:ascii="Arial" w:hAnsi="Arial" w:cs="Arial"/>
          <w:sz w:val="24"/>
          <w:szCs w:val="24"/>
        </w:rPr>
        <w:t>By</w:t>
      </w:r>
      <w:r w:rsidR="004613A6">
        <w:rPr>
          <w:rFonts w:ascii="Arial" w:hAnsi="Arial" w:cs="Arial"/>
          <w:sz w:val="24"/>
          <w:szCs w:val="24"/>
        </w:rPr>
        <w:t xml:space="preserve"> </w:t>
      </w:r>
      <w:r w:rsidR="00882AFE">
        <w:rPr>
          <w:rFonts w:ascii="Arial" w:hAnsi="Arial" w:cs="Arial"/>
          <w:sz w:val="24"/>
          <w:szCs w:val="24"/>
        </w:rPr>
        <w:t xml:space="preserve">understanding the </w:t>
      </w:r>
      <w:r w:rsidR="002B5FE3">
        <w:rPr>
          <w:rFonts w:ascii="Arial" w:hAnsi="Arial" w:cs="Arial"/>
          <w:sz w:val="24"/>
          <w:szCs w:val="24"/>
        </w:rPr>
        <w:t>human needs served by</w:t>
      </w:r>
      <w:r w:rsidR="004613A6">
        <w:rPr>
          <w:rFonts w:ascii="Arial" w:hAnsi="Arial" w:cs="Arial"/>
          <w:sz w:val="24"/>
          <w:szCs w:val="24"/>
        </w:rPr>
        <w:t xml:space="preserve"> a religion that could not have developed out of another</w:t>
      </w:r>
      <w:r w:rsidR="00AE5096">
        <w:rPr>
          <w:rFonts w:ascii="Arial" w:hAnsi="Arial" w:cs="Arial"/>
          <w:sz w:val="24"/>
          <w:szCs w:val="24"/>
        </w:rPr>
        <w:t xml:space="preserve"> would reveal </w:t>
      </w:r>
      <w:r w:rsidR="004613A6">
        <w:rPr>
          <w:rFonts w:ascii="Arial" w:hAnsi="Arial" w:cs="Arial"/>
          <w:sz w:val="24"/>
          <w:szCs w:val="24"/>
        </w:rPr>
        <w:t>fundam</w:t>
      </w:r>
      <w:r w:rsidR="0051448F">
        <w:rPr>
          <w:rFonts w:ascii="Arial" w:hAnsi="Arial" w:cs="Arial"/>
          <w:sz w:val="24"/>
          <w:szCs w:val="24"/>
        </w:rPr>
        <w:t>ental truths about man</w:t>
      </w:r>
      <w:r w:rsidR="002B5FE3">
        <w:rPr>
          <w:rStyle w:val="FootnoteReference"/>
          <w:rFonts w:ascii="Arial" w:hAnsi="Arial" w:cs="Arial"/>
          <w:sz w:val="24"/>
          <w:szCs w:val="24"/>
        </w:rPr>
        <w:footnoteReference w:id="24"/>
      </w:r>
      <w:r w:rsidR="0051448F">
        <w:rPr>
          <w:rFonts w:ascii="Arial" w:hAnsi="Arial" w:cs="Arial"/>
          <w:sz w:val="24"/>
          <w:szCs w:val="24"/>
        </w:rPr>
        <w:t>. Eli</w:t>
      </w:r>
      <w:r w:rsidR="000027B6">
        <w:rPr>
          <w:rFonts w:ascii="Arial" w:hAnsi="Arial" w:cs="Arial"/>
          <w:sz w:val="24"/>
          <w:szCs w:val="24"/>
        </w:rPr>
        <w:t xml:space="preserve">ade instead used religions across a variety of time periods and geographical locations to illustrate </w:t>
      </w:r>
      <w:r w:rsidR="006F2F1A">
        <w:rPr>
          <w:rFonts w:ascii="Arial" w:hAnsi="Arial" w:cs="Arial"/>
          <w:sz w:val="24"/>
          <w:szCs w:val="24"/>
        </w:rPr>
        <w:t xml:space="preserve">the various ways in which sacred space was of </w:t>
      </w:r>
      <w:r w:rsidR="00597A00">
        <w:rPr>
          <w:rFonts w:ascii="Arial" w:hAnsi="Arial" w:cs="Arial"/>
          <w:sz w:val="24"/>
          <w:szCs w:val="24"/>
        </w:rPr>
        <w:t>‘</w:t>
      </w:r>
      <w:r w:rsidR="006F2F1A">
        <w:rPr>
          <w:rFonts w:ascii="Arial" w:hAnsi="Arial" w:cs="Arial"/>
          <w:sz w:val="24"/>
          <w:szCs w:val="24"/>
        </w:rPr>
        <w:t xml:space="preserve">existential value </w:t>
      </w:r>
      <w:r w:rsidR="00597A00">
        <w:rPr>
          <w:rFonts w:ascii="Arial" w:hAnsi="Arial" w:cs="Arial"/>
          <w:sz w:val="24"/>
          <w:szCs w:val="24"/>
        </w:rPr>
        <w:t>for</w:t>
      </w:r>
      <w:r w:rsidR="006F2F1A">
        <w:rPr>
          <w:rFonts w:ascii="Arial" w:hAnsi="Arial" w:cs="Arial"/>
          <w:sz w:val="24"/>
          <w:szCs w:val="24"/>
        </w:rPr>
        <w:t xml:space="preserve"> religious man.</w:t>
      </w:r>
      <w:r w:rsidR="00597A00">
        <w:rPr>
          <w:rFonts w:ascii="Arial" w:hAnsi="Arial" w:cs="Arial"/>
          <w:sz w:val="24"/>
          <w:szCs w:val="24"/>
        </w:rPr>
        <w:t>’</w:t>
      </w:r>
      <w:r w:rsidR="00597A00">
        <w:rPr>
          <w:rStyle w:val="FootnoteReference"/>
          <w:rFonts w:ascii="Arial" w:hAnsi="Arial" w:cs="Arial"/>
          <w:sz w:val="24"/>
          <w:szCs w:val="24"/>
        </w:rPr>
        <w:footnoteReference w:id="25"/>
      </w:r>
      <w:r w:rsidR="00C41924">
        <w:rPr>
          <w:rFonts w:ascii="Arial" w:hAnsi="Arial" w:cs="Arial"/>
          <w:sz w:val="24"/>
          <w:szCs w:val="24"/>
        </w:rPr>
        <w:t xml:space="preserve"> </w:t>
      </w:r>
    </w:p>
    <w:p w14:paraId="7CB01CB5" w14:textId="2AC586FB" w:rsidR="0004380C" w:rsidRDefault="002F3D4D" w:rsidP="00A134E3">
      <w:pPr>
        <w:spacing w:line="360" w:lineRule="auto"/>
        <w:rPr>
          <w:rFonts w:ascii="Arial" w:hAnsi="Arial" w:cs="Arial"/>
          <w:b/>
          <w:bCs/>
          <w:sz w:val="24"/>
          <w:szCs w:val="24"/>
        </w:rPr>
      </w:pPr>
      <w:r>
        <w:rPr>
          <w:rFonts w:ascii="Arial" w:hAnsi="Arial" w:cs="Arial"/>
          <w:b/>
          <w:bCs/>
          <w:sz w:val="24"/>
          <w:szCs w:val="24"/>
        </w:rPr>
        <w:t>Qualitative Differences of Sacred Space</w:t>
      </w:r>
    </w:p>
    <w:p w14:paraId="45119F34" w14:textId="329610E5" w:rsidR="006E099D" w:rsidRDefault="00A934D7" w:rsidP="00A134E3">
      <w:pPr>
        <w:spacing w:line="360" w:lineRule="auto"/>
        <w:rPr>
          <w:rFonts w:ascii="Arial" w:hAnsi="Arial" w:cs="Arial"/>
          <w:sz w:val="24"/>
          <w:szCs w:val="24"/>
        </w:rPr>
      </w:pPr>
      <w:r>
        <w:rPr>
          <w:rFonts w:ascii="Arial" w:hAnsi="Arial" w:cs="Arial"/>
          <w:sz w:val="24"/>
          <w:szCs w:val="24"/>
        </w:rPr>
        <w:t>Eliade</w:t>
      </w:r>
      <w:r w:rsidR="0054165D">
        <w:rPr>
          <w:rFonts w:ascii="Arial" w:hAnsi="Arial" w:cs="Arial"/>
          <w:sz w:val="24"/>
          <w:szCs w:val="24"/>
        </w:rPr>
        <w:t xml:space="preserve"> stated </w:t>
      </w:r>
      <w:r w:rsidR="009E5B0F">
        <w:rPr>
          <w:rFonts w:ascii="Arial" w:hAnsi="Arial" w:cs="Arial"/>
          <w:sz w:val="24"/>
          <w:szCs w:val="24"/>
        </w:rPr>
        <w:t>‘some parts of space are qualitatively different from others.’</w:t>
      </w:r>
      <w:r w:rsidR="009E5B0F">
        <w:rPr>
          <w:rStyle w:val="FootnoteReference"/>
          <w:rFonts w:ascii="Arial" w:hAnsi="Arial" w:cs="Arial"/>
          <w:sz w:val="24"/>
          <w:szCs w:val="24"/>
        </w:rPr>
        <w:footnoteReference w:id="26"/>
      </w:r>
      <w:r w:rsidR="00C72247">
        <w:rPr>
          <w:rFonts w:ascii="Arial" w:hAnsi="Arial" w:cs="Arial"/>
          <w:sz w:val="24"/>
          <w:szCs w:val="24"/>
        </w:rPr>
        <w:t xml:space="preserve"> </w:t>
      </w:r>
      <w:r w:rsidR="000E55A0">
        <w:rPr>
          <w:rFonts w:ascii="Arial" w:hAnsi="Arial" w:cs="Arial"/>
          <w:sz w:val="24"/>
          <w:szCs w:val="24"/>
        </w:rPr>
        <w:t xml:space="preserve">The </w:t>
      </w:r>
      <w:r w:rsidR="00F82A20">
        <w:rPr>
          <w:rFonts w:ascii="Arial" w:hAnsi="Arial" w:cs="Arial"/>
          <w:sz w:val="24"/>
          <w:szCs w:val="24"/>
        </w:rPr>
        <w:t>adverb</w:t>
      </w:r>
      <w:r w:rsidR="000E55A0">
        <w:rPr>
          <w:rFonts w:ascii="Arial" w:hAnsi="Arial" w:cs="Arial"/>
          <w:sz w:val="24"/>
          <w:szCs w:val="24"/>
        </w:rPr>
        <w:t xml:space="preserve"> ‘qualitatively’</w:t>
      </w:r>
      <w:r w:rsidR="00035600">
        <w:rPr>
          <w:rFonts w:ascii="Arial" w:hAnsi="Arial" w:cs="Arial"/>
          <w:sz w:val="24"/>
          <w:szCs w:val="24"/>
        </w:rPr>
        <w:t>, meaning</w:t>
      </w:r>
      <w:r w:rsidR="00D5514A">
        <w:rPr>
          <w:rFonts w:ascii="Arial" w:hAnsi="Arial" w:cs="Arial"/>
          <w:sz w:val="24"/>
          <w:szCs w:val="24"/>
        </w:rPr>
        <w:t xml:space="preserve"> the quality of something,</w:t>
      </w:r>
      <w:r w:rsidR="000E55A0">
        <w:rPr>
          <w:rFonts w:ascii="Arial" w:hAnsi="Arial" w:cs="Arial"/>
          <w:sz w:val="24"/>
          <w:szCs w:val="24"/>
        </w:rPr>
        <w:t xml:space="preserve"> suggested Eliade would focus on the </w:t>
      </w:r>
      <w:r w:rsidR="00B678A4">
        <w:rPr>
          <w:rFonts w:ascii="Arial" w:hAnsi="Arial" w:cs="Arial"/>
          <w:sz w:val="24"/>
          <w:szCs w:val="24"/>
        </w:rPr>
        <w:t>differences in experiences of sacred and profane space</w:t>
      </w:r>
      <w:r w:rsidR="00086A7D">
        <w:rPr>
          <w:rFonts w:ascii="Arial" w:hAnsi="Arial" w:cs="Arial"/>
          <w:sz w:val="24"/>
          <w:szCs w:val="24"/>
        </w:rPr>
        <w:t xml:space="preserve">. </w:t>
      </w:r>
      <w:r w:rsidR="00FD5952">
        <w:rPr>
          <w:rFonts w:ascii="Arial" w:hAnsi="Arial" w:cs="Arial"/>
          <w:sz w:val="24"/>
          <w:szCs w:val="24"/>
        </w:rPr>
        <w:t xml:space="preserve">Indeed, Eliade </w:t>
      </w:r>
      <w:r w:rsidR="00B678A4">
        <w:rPr>
          <w:rFonts w:ascii="Arial" w:hAnsi="Arial" w:cs="Arial"/>
          <w:sz w:val="24"/>
          <w:szCs w:val="24"/>
        </w:rPr>
        <w:t>stated</w:t>
      </w:r>
      <w:r w:rsidR="00FD5952">
        <w:rPr>
          <w:rFonts w:ascii="Arial" w:hAnsi="Arial" w:cs="Arial"/>
          <w:sz w:val="24"/>
          <w:szCs w:val="24"/>
        </w:rPr>
        <w:t xml:space="preserve"> that </w:t>
      </w:r>
      <w:r w:rsidR="00690D4E">
        <w:rPr>
          <w:rFonts w:ascii="Arial" w:hAnsi="Arial" w:cs="Arial"/>
          <w:sz w:val="24"/>
          <w:szCs w:val="24"/>
        </w:rPr>
        <w:t xml:space="preserve">the reader ‘must not confuse the </w:t>
      </w:r>
      <w:r w:rsidR="00690D4E">
        <w:rPr>
          <w:rFonts w:ascii="Arial" w:hAnsi="Arial" w:cs="Arial"/>
          <w:i/>
          <w:iCs/>
          <w:sz w:val="24"/>
          <w:szCs w:val="24"/>
        </w:rPr>
        <w:t>concept</w:t>
      </w:r>
      <w:r w:rsidR="00690D4E">
        <w:rPr>
          <w:rFonts w:ascii="Arial" w:hAnsi="Arial" w:cs="Arial"/>
          <w:sz w:val="24"/>
          <w:szCs w:val="24"/>
        </w:rPr>
        <w:t xml:space="preserve"> of homogenous … space… with the </w:t>
      </w:r>
      <w:r w:rsidR="00690D4E">
        <w:rPr>
          <w:rFonts w:ascii="Arial" w:hAnsi="Arial" w:cs="Arial"/>
          <w:i/>
          <w:iCs/>
          <w:sz w:val="24"/>
          <w:szCs w:val="24"/>
        </w:rPr>
        <w:t xml:space="preserve">experience </w:t>
      </w:r>
      <w:r w:rsidR="00690D4E">
        <w:rPr>
          <w:rFonts w:ascii="Arial" w:hAnsi="Arial" w:cs="Arial"/>
          <w:sz w:val="24"/>
          <w:szCs w:val="24"/>
        </w:rPr>
        <w:t xml:space="preserve">of profane space, which is in direct contrast to the experience of sacred </w:t>
      </w:r>
      <w:r w:rsidR="000506DE">
        <w:rPr>
          <w:rFonts w:ascii="Arial" w:hAnsi="Arial" w:cs="Arial"/>
          <w:sz w:val="24"/>
          <w:szCs w:val="24"/>
        </w:rPr>
        <w:t>space,</w:t>
      </w:r>
      <w:r w:rsidR="00690D4E">
        <w:rPr>
          <w:rFonts w:ascii="Arial" w:hAnsi="Arial" w:cs="Arial"/>
          <w:sz w:val="24"/>
          <w:szCs w:val="24"/>
        </w:rPr>
        <w:t xml:space="preserve"> and which alone concerns our investigation.’</w:t>
      </w:r>
      <w:r w:rsidR="00690D4E">
        <w:rPr>
          <w:rStyle w:val="FootnoteReference"/>
          <w:rFonts w:ascii="Arial" w:hAnsi="Arial" w:cs="Arial"/>
          <w:sz w:val="24"/>
          <w:szCs w:val="24"/>
        </w:rPr>
        <w:footnoteReference w:id="27"/>
      </w:r>
      <w:r w:rsidR="00540FF7">
        <w:rPr>
          <w:rFonts w:ascii="Arial" w:hAnsi="Arial" w:cs="Arial"/>
          <w:sz w:val="24"/>
          <w:szCs w:val="24"/>
        </w:rPr>
        <w:t xml:space="preserve"> Eliade’s view of sacred space was </w:t>
      </w:r>
      <w:r w:rsidR="0058311F">
        <w:rPr>
          <w:rFonts w:ascii="Arial" w:hAnsi="Arial" w:cs="Arial"/>
          <w:sz w:val="24"/>
          <w:szCs w:val="24"/>
        </w:rPr>
        <w:t>expressed as a comparison of experiences between sacred and profane space.</w:t>
      </w:r>
    </w:p>
    <w:p w14:paraId="16520530" w14:textId="0548B31E" w:rsidR="0048060B" w:rsidRDefault="00511B2B" w:rsidP="00FB0BA8">
      <w:pPr>
        <w:spacing w:line="360" w:lineRule="auto"/>
        <w:rPr>
          <w:rFonts w:ascii="Arial" w:hAnsi="Arial" w:cs="Arial"/>
          <w:sz w:val="24"/>
          <w:szCs w:val="24"/>
        </w:rPr>
      </w:pPr>
      <w:r>
        <w:rPr>
          <w:rFonts w:ascii="Arial" w:hAnsi="Arial" w:cs="Arial"/>
          <w:sz w:val="24"/>
          <w:szCs w:val="24"/>
        </w:rPr>
        <w:lastRenderedPageBreak/>
        <w:t>Sacred space necessitated a</w:t>
      </w:r>
      <w:r w:rsidR="00FB0BA8">
        <w:rPr>
          <w:rFonts w:ascii="Arial" w:hAnsi="Arial" w:cs="Arial"/>
          <w:sz w:val="24"/>
          <w:szCs w:val="24"/>
        </w:rPr>
        <w:t xml:space="preserve"> hierophany, or a manifestation of the holy or sacred, which ‘ontologically founds the world.’</w:t>
      </w:r>
      <w:r w:rsidR="00FB0BA8">
        <w:rPr>
          <w:rStyle w:val="FootnoteReference"/>
          <w:rFonts w:ascii="Arial" w:hAnsi="Arial" w:cs="Arial"/>
          <w:sz w:val="24"/>
          <w:szCs w:val="24"/>
        </w:rPr>
        <w:footnoteReference w:id="28"/>
      </w:r>
      <w:r w:rsidR="00FB0BA8">
        <w:rPr>
          <w:rFonts w:ascii="Arial" w:hAnsi="Arial" w:cs="Arial"/>
          <w:sz w:val="24"/>
          <w:szCs w:val="24"/>
        </w:rPr>
        <w:t xml:space="preserve"> Sacred space was the only real</w:t>
      </w:r>
      <w:r w:rsidR="00FB0BA8">
        <w:rPr>
          <w:rStyle w:val="FootnoteReference"/>
          <w:rFonts w:ascii="Arial" w:hAnsi="Arial" w:cs="Arial"/>
          <w:sz w:val="24"/>
          <w:szCs w:val="24"/>
        </w:rPr>
        <w:footnoteReference w:id="29"/>
      </w:r>
      <w:r w:rsidR="00FB0BA8">
        <w:rPr>
          <w:rFonts w:ascii="Arial" w:hAnsi="Arial" w:cs="Arial"/>
          <w:sz w:val="24"/>
          <w:szCs w:val="24"/>
        </w:rPr>
        <w:t xml:space="preserve"> space, because it gave the world a centre, meaning and direction</w:t>
      </w:r>
      <w:r w:rsidR="005440FD">
        <w:rPr>
          <w:rFonts w:ascii="Arial" w:hAnsi="Arial" w:cs="Arial"/>
          <w:sz w:val="24"/>
          <w:szCs w:val="24"/>
        </w:rPr>
        <w:t xml:space="preserve">. </w:t>
      </w:r>
      <w:r w:rsidR="00166369">
        <w:rPr>
          <w:rFonts w:ascii="Arial" w:hAnsi="Arial" w:cs="Arial"/>
          <w:sz w:val="24"/>
          <w:szCs w:val="24"/>
        </w:rPr>
        <w:t>Randall Studstill argued that Eliade’s concept of hierop</w:t>
      </w:r>
      <w:r w:rsidR="00DD1A7B">
        <w:rPr>
          <w:rFonts w:ascii="Arial" w:hAnsi="Arial" w:cs="Arial"/>
          <w:sz w:val="24"/>
          <w:szCs w:val="24"/>
        </w:rPr>
        <w:t xml:space="preserve">hany was </w:t>
      </w:r>
      <w:r w:rsidR="00222413">
        <w:rPr>
          <w:rFonts w:ascii="Arial" w:hAnsi="Arial" w:cs="Arial"/>
          <w:sz w:val="24"/>
          <w:szCs w:val="24"/>
        </w:rPr>
        <w:t>phenomenological in nature</w:t>
      </w:r>
      <w:r w:rsidR="00107CFB">
        <w:rPr>
          <w:rFonts w:ascii="Arial" w:hAnsi="Arial" w:cs="Arial"/>
          <w:sz w:val="24"/>
          <w:szCs w:val="24"/>
        </w:rPr>
        <w:t>, and that he ‘naturally focuses on these ‘modalities’ (of the sacred)</w:t>
      </w:r>
      <w:r w:rsidR="00EC65CA">
        <w:rPr>
          <w:rFonts w:ascii="Arial" w:hAnsi="Arial" w:cs="Arial"/>
          <w:sz w:val="24"/>
          <w:szCs w:val="24"/>
        </w:rPr>
        <w:t>, downplaying historical considerations in favour of phenomenological analysis.’</w:t>
      </w:r>
      <w:r w:rsidR="00EC65CA">
        <w:rPr>
          <w:rStyle w:val="FootnoteReference"/>
          <w:rFonts w:ascii="Arial" w:hAnsi="Arial" w:cs="Arial"/>
          <w:sz w:val="24"/>
          <w:szCs w:val="24"/>
        </w:rPr>
        <w:footnoteReference w:id="30"/>
      </w:r>
      <w:r w:rsidR="006612F6">
        <w:rPr>
          <w:rFonts w:ascii="Arial" w:hAnsi="Arial" w:cs="Arial"/>
          <w:sz w:val="24"/>
          <w:szCs w:val="24"/>
        </w:rPr>
        <w:t xml:space="preserve"> Indeed, by focusing on modalities, or the way in which the sacred is expressed, Eliade </w:t>
      </w:r>
      <w:r w:rsidR="00B57D82">
        <w:rPr>
          <w:rFonts w:ascii="Arial" w:hAnsi="Arial" w:cs="Arial"/>
          <w:sz w:val="24"/>
          <w:szCs w:val="24"/>
        </w:rPr>
        <w:t xml:space="preserve">employed </w:t>
      </w:r>
      <w:r w:rsidR="006612F6">
        <w:rPr>
          <w:rFonts w:ascii="Arial" w:hAnsi="Arial" w:cs="Arial"/>
          <w:sz w:val="24"/>
          <w:szCs w:val="24"/>
        </w:rPr>
        <w:t>phenomenological thinking.</w:t>
      </w:r>
      <w:r w:rsidR="00911AD9">
        <w:rPr>
          <w:rFonts w:ascii="Arial" w:hAnsi="Arial" w:cs="Arial"/>
          <w:sz w:val="24"/>
          <w:szCs w:val="24"/>
        </w:rPr>
        <w:t xml:space="preserve"> He examined the experience of creating sacred space on its own terms, not through analysis of the historical value of </w:t>
      </w:r>
      <w:r w:rsidR="00F75BBC">
        <w:rPr>
          <w:rFonts w:ascii="Arial" w:hAnsi="Arial" w:cs="Arial"/>
          <w:sz w:val="24"/>
          <w:szCs w:val="24"/>
        </w:rPr>
        <w:t xml:space="preserve">sacred space, but </w:t>
      </w:r>
      <w:r w:rsidR="00E618B8">
        <w:rPr>
          <w:rFonts w:ascii="Arial" w:hAnsi="Arial" w:cs="Arial"/>
          <w:sz w:val="24"/>
          <w:szCs w:val="24"/>
        </w:rPr>
        <w:t>through its meaning for the believer</w:t>
      </w:r>
      <w:r w:rsidR="00B57D82">
        <w:rPr>
          <w:rStyle w:val="FootnoteReference"/>
          <w:rFonts w:ascii="Arial" w:hAnsi="Arial" w:cs="Arial"/>
          <w:sz w:val="24"/>
          <w:szCs w:val="24"/>
        </w:rPr>
        <w:footnoteReference w:id="31"/>
      </w:r>
      <w:r w:rsidR="00E618B8">
        <w:rPr>
          <w:rFonts w:ascii="Arial" w:hAnsi="Arial" w:cs="Arial"/>
          <w:sz w:val="24"/>
          <w:szCs w:val="24"/>
        </w:rPr>
        <w:t xml:space="preserve">. </w:t>
      </w:r>
    </w:p>
    <w:p w14:paraId="0A1A222F" w14:textId="766CFDB4" w:rsidR="0071331B" w:rsidRDefault="00CF6A50" w:rsidP="00A134E3">
      <w:pPr>
        <w:spacing w:line="360" w:lineRule="auto"/>
        <w:rPr>
          <w:rFonts w:ascii="Arial" w:hAnsi="Arial" w:cs="Arial"/>
          <w:sz w:val="24"/>
          <w:szCs w:val="24"/>
        </w:rPr>
      </w:pPr>
      <w:r>
        <w:rPr>
          <w:rFonts w:ascii="Arial" w:hAnsi="Arial" w:cs="Arial"/>
          <w:sz w:val="24"/>
          <w:szCs w:val="24"/>
        </w:rPr>
        <w:t xml:space="preserve">Similarly, </w:t>
      </w:r>
      <w:r w:rsidR="00FE5879">
        <w:rPr>
          <w:rFonts w:ascii="Arial" w:hAnsi="Arial" w:cs="Arial"/>
          <w:sz w:val="24"/>
          <w:szCs w:val="24"/>
        </w:rPr>
        <w:t>for Durkheim, t</w:t>
      </w:r>
      <w:r w:rsidR="00F17AE9">
        <w:rPr>
          <w:rFonts w:ascii="Arial" w:hAnsi="Arial" w:cs="Arial"/>
          <w:sz w:val="24"/>
          <w:szCs w:val="24"/>
        </w:rPr>
        <w:t xml:space="preserve">he </w:t>
      </w:r>
      <w:r w:rsidR="00896825">
        <w:rPr>
          <w:rFonts w:ascii="Arial" w:hAnsi="Arial" w:cs="Arial"/>
          <w:sz w:val="24"/>
          <w:szCs w:val="24"/>
        </w:rPr>
        <w:t>‘categories of understanding: notion</w:t>
      </w:r>
      <w:r w:rsidR="00FE5879">
        <w:rPr>
          <w:rFonts w:ascii="Arial" w:hAnsi="Arial" w:cs="Arial"/>
          <w:sz w:val="24"/>
          <w:szCs w:val="24"/>
        </w:rPr>
        <w:t>s</w:t>
      </w:r>
      <w:r w:rsidR="00896825">
        <w:rPr>
          <w:rFonts w:ascii="Arial" w:hAnsi="Arial" w:cs="Arial"/>
          <w:sz w:val="24"/>
          <w:szCs w:val="24"/>
        </w:rPr>
        <w:t xml:space="preserve"> of time, space, number, cause, substance and personality’ were ‘fundamental notions’</w:t>
      </w:r>
      <w:r w:rsidR="0075542C">
        <w:rPr>
          <w:rFonts w:ascii="Arial" w:hAnsi="Arial" w:cs="Arial"/>
          <w:sz w:val="24"/>
          <w:szCs w:val="24"/>
        </w:rPr>
        <w:t xml:space="preserve"> found in all religious beliefs.</w:t>
      </w:r>
      <w:r w:rsidR="00896825">
        <w:rPr>
          <w:rStyle w:val="FootnoteReference"/>
          <w:rFonts w:ascii="Arial" w:hAnsi="Arial" w:cs="Arial"/>
          <w:sz w:val="24"/>
          <w:szCs w:val="24"/>
        </w:rPr>
        <w:footnoteReference w:id="32"/>
      </w:r>
      <w:r w:rsidR="00501762">
        <w:rPr>
          <w:rFonts w:ascii="Arial" w:hAnsi="Arial" w:cs="Arial"/>
          <w:sz w:val="24"/>
          <w:szCs w:val="24"/>
        </w:rPr>
        <w:t xml:space="preserve"> </w:t>
      </w:r>
      <w:r w:rsidR="0071331B">
        <w:rPr>
          <w:rFonts w:ascii="Arial" w:hAnsi="Arial" w:cs="Arial"/>
          <w:sz w:val="24"/>
          <w:szCs w:val="24"/>
        </w:rPr>
        <w:t xml:space="preserve">These categories </w:t>
      </w:r>
      <w:r w:rsidR="000D0ABE">
        <w:rPr>
          <w:rFonts w:ascii="Arial" w:hAnsi="Arial" w:cs="Arial"/>
          <w:sz w:val="24"/>
          <w:szCs w:val="24"/>
        </w:rPr>
        <w:t>were useful only</w:t>
      </w:r>
      <w:r w:rsidR="0071331B">
        <w:rPr>
          <w:rFonts w:ascii="Arial" w:hAnsi="Arial" w:cs="Arial"/>
          <w:sz w:val="24"/>
          <w:szCs w:val="24"/>
        </w:rPr>
        <w:t xml:space="preserve"> if they were collectivised. </w:t>
      </w:r>
      <w:r w:rsidR="003167DE">
        <w:rPr>
          <w:rFonts w:ascii="Arial" w:hAnsi="Arial" w:cs="Arial"/>
          <w:sz w:val="24"/>
          <w:szCs w:val="24"/>
        </w:rPr>
        <w:t>The category of time was impersonal, ‘conceived of objectively by all men of the same civilisations</w:t>
      </w:r>
      <w:r w:rsidR="001C70DB">
        <w:rPr>
          <w:rFonts w:ascii="Arial" w:hAnsi="Arial" w:cs="Arial"/>
          <w:sz w:val="24"/>
          <w:szCs w:val="24"/>
        </w:rPr>
        <w:t>.’</w:t>
      </w:r>
      <w:r w:rsidR="001C70DB">
        <w:rPr>
          <w:rStyle w:val="FootnoteReference"/>
          <w:rFonts w:ascii="Arial" w:hAnsi="Arial" w:cs="Arial"/>
          <w:sz w:val="24"/>
          <w:szCs w:val="24"/>
        </w:rPr>
        <w:footnoteReference w:id="33"/>
      </w:r>
      <w:r w:rsidR="001C70DB">
        <w:rPr>
          <w:rFonts w:ascii="Arial" w:hAnsi="Arial" w:cs="Arial"/>
          <w:sz w:val="24"/>
          <w:szCs w:val="24"/>
        </w:rPr>
        <w:t xml:space="preserve"> </w:t>
      </w:r>
      <w:r w:rsidR="007F7318">
        <w:rPr>
          <w:rFonts w:ascii="Arial" w:hAnsi="Arial" w:cs="Arial"/>
          <w:sz w:val="24"/>
          <w:szCs w:val="24"/>
        </w:rPr>
        <w:t>The</w:t>
      </w:r>
      <w:r w:rsidR="00432B0B">
        <w:rPr>
          <w:rFonts w:ascii="Arial" w:hAnsi="Arial" w:cs="Arial"/>
          <w:sz w:val="24"/>
          <w:szCs w:val="24"/>
        </w:rPr>
        <w:t xml:space="preserve"> understandings of the categories ‘are of social origin’</w:t>
      </w:r>
      <w:r w:rsidR="00432B0B">
        <w:rPr>
          <w:rStyle w:val="FootnoteReference"/>
          <w:rFonts w:ascii="Arial" w:hAnsi="Arial" w:cs="Arial"/>
          <w:sz w:val="24"/>
          <w:szCs w:val="24"/>
        </w:rPr>
        <w:footnoteReference w:id="34"/>
      </w:r>
      <w:r w:rsidR="007F7318">
        <w:rPr>
          <w:rFonts w:ascii="Arial" w:hAnsi="Arial" w:cs="Arial"/>
          <w:sz w:val="24"/>
          <w:szCs w:val="24"/>
        </w:rPr>
        <w:t xml:space="preserve"> because men of a civilisation would have the same understanding of these categories. </w:t>
      </w:r>
      <w:r w:rsidR="00B01353">
        <w:rPr>
          <w:rFonts w:ascii="Arial" w:hAnsi="Arial" w:cs="Arial"/>
          <w:sz w:val="24"/>
          <w:szCs w:val="24"/>
        </w:rPr>
        <w:t>This explanation of the categories as social</w:t>
      </w:r>
      <w:r w:rsidR="00A358F7">
        <w:rPr>
          <w:rFonts w:ascii="Arial" w:hAnsi="Arial" w:cs="Arial"/>
          <w:sz w:val="24"/>
          <w:szCs w:val="24"/>
        </w:rPr>
        <w:t xml:space="preserve"> prefaced Durkheim’s view of sacred space as ‘an aspect of the real that exists only in the mind but cannot possibly exist as the real in only one mind.’</w:t>
      </w:r>
      <w:r w:rsidR="00A358F7">
        <w:rPr>
          <w:rStyle w:val="FootnoteReference"/>
          <w:rFonts w:ascii="Arial" w:hAnsi="Arial" w:cs="Arial"/>
          <w:sz w:val="24"/>
          <w:szCs w:val="24"/>
        </w:rPr>
        <w:footnoteReference w:id="35"/>
      </w:r>
      <w:r w:rsidR="00A358F7">
        <w:rPr>
          <w:rFonts w:ascii="Arial" w:hAnsi="Arial" w:cs="Arial"/>
          <w:sz w:val="24"/>
          <w:szCs w:val="24"/>
        </w:rPr>
        <w:t xml:space="preserve"> Collective, social understanding of differentiated space made the differences real. </w:t>
      </w:r>
    </w:p>
    <w:p w14:paraId="4C73BA90" w14:textId="196D77AE" w:rsidR="0020082B" w:rsidRDefault="000E4DFF" w:rsidP="00A134E3">
      <w:pPr>
        <w:spacing w:line="360" w:lineRule="auto"/>
        <w:rPr>
          <w:rFonts w:ascii="Arial" w:hAnsi="Arial" w:cs="Arial"/>
          <w:sz w:val="24"/>
          <w:szCs w:val="24"/>
        </w:rPr>
      </w:pPr>
      <w:r>
        <w:rPr>
          <w:rFonts w:ascii="Arial" w:hAnsi="Arial" w:cs="Arial"/>
          <w:sz w:val="24"/>
          <w:szCs w:val="24"/>
        </w:rPr>
        <w:t>Like Eliade, Durkheim argued that space had to be differentiated in some way in order to have meaning</w:t>
      </w:r>
      <w:r w:rsidR="005D4B79">
        <w:rPr>
          <w:rFonts w:ascii="Arial" w:hAnsi="Arial" w:cs="Arial"/>
          <w:sz w:val="24"/>
          <w:szCs w:val="24"/>
        </w:rPr>
        <w:t>, that ‘coordination [of a society] would be impossible if the parts of space were qualitatively equivalent’</w:t>
      </w:r>
      <w:r w:rsidR="005D4B79">
        <w:rPr>
          <w:rStyle w:val="FootnoteReference"/>
          <w:rFonts w:ascii="Arial" w:hAnsi="Arial" w:cs="Arial"/>
          <w:sz w:val="24"/>
          <w:szCs w:val="24"/>
        </w:rPr>
        <w:footnoteReference w:id="36"/>
      </w:r>
      <w:r w:rsidR="005D4B79">
        <w:rPr>
          <w:rFonts w:ascii="Arial" w:hAnsi="Arial" w:cs="Arial"/>
          <w:sz w:val="24"/>
          <w:szCs w:val="24"/>
        </w:rPr>
        <w:t xml:space="preserve">, the exact word Eliade used. </w:t>
      </w:r>
      <w:r w:rsidR="00A358F7">
        <w:rPr>
          <w:rFonts w:ascii="Arial" w:hAnsi="Arial" w:cs="Arial"/>
          <w:sz w:val="24"/>
          <w:szCs w:val="24"/>
        </w:rPr>
        <w:t>These qualitative difference in ‘Forms’ were, in contrast to Eliade,</w:t>
      </w:r>
      <w:r w:rsidR="001D63E5">
        <w:rPr>
          <w:rFonts w:ascii="Arial" w:hAnsi="Arial" w:cs="Arial"/>
          <w:sz w:val="24"/>
          <w:szCs w:val="24"/>
        </w:rPr>
        <w:t xml:space="preserve"> of social origin. </w:t>
      </w:r>
      <w:r w:rsidR="00E50C26">
        <w:rPr>
          <w:rFonts w:ascii="Arial" w:hAnsi="Arial" w:cs="Arial"/>
          <w:sz w:val="24"/>
          <w:szCs w:val="24"/>
        </w:rPr>
        <w:t>In</w:t>
      </w:r>
      <w:r w:rsidR="001D63E5">
        <w:rPr>
          <w:rFonts w:ascii="Arial" w:hAnsi="Arial" w:cs="Arial"/>
          <w:sz w:val="24"/>
          <w:szCs w:val="24"/>
        </w:rPr>
        <w:t xml:space="preserve"> </w:t>
      </w:r>
      <w:r w:rsidR="00E16D1E">
        <w:rPr>
          <w:rFonts w:ascii="Arial" w:hAnsi="Arial" w:cs="Arial"/>
          <w:sz w:val="24"/>
          <w:szCs w:val="24"/>
        </w:rPr>
        <w:t>Native American and Australian societies Durkheim argued ‘space is conceived in the form of an immense circle, because the camp itself is circular</w:t>
      </w:r>
      <w:r w:rsidR="00E71A40">
        <w:rPr>
          <w:rFonts w:ascii="Arial" w:hAnsi="Arial" w:cs="Arial"/>
          <w:sz w:val="24"/>
          <w:szCs w:val="24"/>
        </w:rPr>
        <w:t xml:space="preserve">, and the spatial circle is </w:t>
      </w:r>
      <w:r w:rsidR="00E71A40">
        <w:rPr>
          <w:rFonts w:ascii="Arial" w:hAnsi="Arial" w:cs="Arial"/>
          <w:sz w:val="24"/>
          <w:szCs w:val="24"/>
        </w:rPr>
        <w:lastRenderedPageBreak/>
        <w:t>divided in exactly the same wa</w:t>
      </w:r>
      <w:r w:rsidR="0057223B">
        <w:rPr>
          <w:rFonts w:ascii="Arial" w:hAnsi="Arial" w:cs="Arial"/>
          <w:sz w:val="24"/>
          <w:szCs w:val="24"/>
        </w:rPr>
        <w:t>y as the tribal circle and its image.’</w:t>
      </w:r>
      <w:r w:rsidR="0057223B">
        <w:rPr>
          <w:rStyle w:val="FootnoteReference"/>
          <w:rFonts w:ascii="Arial" w:hAnsi="Arial" w:cs="Arial"/>
          <w:sz w:val="24"/>
          <w:szCs w:val="24"/>
        </w:rPr>
        <w:footnoteReference w:id="37"/>
      </w:r>
      <w:r w:rsidR="0057223B">
        <w:rPr>
          <w:rFonts w:ascii="Arial" w:hAnsi="Arial" w:cs="Arial"/>
          <w:sz w:val="24"/>
          <w:szCs w:val="24"/>
        </w:rPr>
        <w:t xml:space="preserve"> </w:t>
      </w:r>
      <w:r w:rsidR="005409EB">
        <w:rPr>
          <w:rFonts w:ascii="Arial" w:hAnsi="Arial" w:cs="Arial"/>
          <w:sz w:val="24"/>
          <w:szCs w:val="24"/>
        </w:rPr>
        <w:t xml:space="preserve">In the conclusion to ‘Forms’, Durkheim </w:t>
      </w:r>
      <w:r w:rsidR="00484E3B">
        <w:rPr>
          <w:rFonts w:ascii="Arial" w:hAnsi="Arial" w:cs="Arial"/>
          <w:sz w:val="24"/>
          <w:szCs w:val="24"/>
        </w:rPr>
        <w:t xml:space="preserve">reiterated this, concluding </w:t>
      </w:r>
      <w:r w:rsidR="00E251AD">
        <w:rPr>
          <w:rFonts w:ascii="Arial" w:hAnsi="Arial" w:cs="Arial"/>
          <w:sz w:val="24"/>
          <w:szCs w:val="24"/>
        </w:rPr>
        <w:t xml:space="preserve">‘Society is possible only if the individuals and things that make it up are divided among different groups … </w:t>
      </w:r>
      <w:r w:rsidR="00A665E0">
        <w:rPr>
          <w:rFonts w:ascii="Arial" w:hAnsi="Arial" w:cs="Arial"/>
          <w:sz w:val="24"/>
          <w:szCs w:val="24"/>
        </w:rPr>
        <w:t>t</w:t>
      </w:r>
      <w:r w:rsidR="008949AA">
        <w:rPr>
          <w:rFonts w:ascii="Arial" w:hAnsi="Arial" w:cs="Arial"/>
          <w:sz w:val="24"/>
          <w:szCs w:val="24"/>
        </w:rPr>
        <w:t>he space must be divided, differentiated, and oriented, and these divisions and orientations must be known to all.’</w:t>
      </w:r>
      <w:r w:rsidR="00A665E0">
        <w:rPr>
          <w:rStyle w:val="FootnoteReference"/>
          <w:rFonts w:ascii="Arial" w:hAnsi="Arial" w:cs="Arial"/>
          <w:sz w:val="24"/>
          <w:szCs w:val="24"/>
        </w:rPr>
        <w:footnoteReference w:id="38"/>
      </w:r>
      <w:r w:rsidR="008949AA">
        <w:rPr>
          <w:rFonts w:ascii="Arial" w:hAnsi="Arial" w:cs="Arial"/>
          <w:sz w:val="24"/>
          <w:szCs w:val="24"/>
        </w:rPr>
        <w:t xml:space="preserve"> </w:t>
      </w:r>
      <w:r w:rsidR="00C87C36">
        <w:rPr>
          <w:rFonts w:ascii="Arial" w:hAnsi="Arial" w:cs="Arial"/>
          <w:sz w:val="24"/>
          <w:szCs w:val="24"/>
        </w:rPr>
        <w:t>The qualitative difference of space were</w:t>
      </w:r>
      <w:r w:rsidR="00926C84">
        <w:rPr>
          <w:rFonts w:ascii="Arial" w:hAnsi="Arial" w:cs="Arial"/>
          <w:sz w:val="24"/>
          <w:szCs w:val="24"/>
        </w:rPr>
        <w:t xml:space="preserve"> the</w:t>
      </w:r>
      <w:r w:rsidR="00C87C36">
        <w:rPr>
          <w:rFonts w:ascii="Arial" w:hAnsi="Arial" w:cs="Arial"/>
          <w:sz w:val="24"/>
          <w:szCs w:val="24"/>
        </w:rPr>
        <w:t xml:space="preserve"> social rules that governed the group. </w:t>
      </w:r>
    </w:p>
    <w:p w14:paraId="0FD9703B" w14:textId="791E83B9" w:rsidR="008F0A50" w:rsidRDefault="005D1DAE" w:rsidP="00A134E3">
      <w:pPr>
        <w:spacing w:line="360" w:lineRule="auto"/>
        <w:rPr>
          <w:rFonts w:ascii="Arial" w:hAnsi="Arial" w:cs="Arial"/>
          <w:sz w:val="24"/>
          <w:szCs w:val="24"/>
        </w:rPr>
      </w:pPr>
      <w:r>
        <w:rPr>
          <w:rFonts w:ascii="Arial" w:hAnsi="Arial" w:cs="Arial"/>
          <w:sz w:val="24"/>
          <w:szCs w:val="24"/>
        </w:rPr>
        <w:t xml:space="preserve">Durkheim established his theory of religion and sacred space as being of social origin </w:t>
      </w:r>
      <w:r w:rsidR="0020082B">
        <w:rPr>
          <w:rFonts w:ascii="Arial" w:hAnsi="Arial" w:cs="Arial"/>
          <w:sz w:val="24"/>
          <w:szCs w:val="24"/>
        </w:rPr>
        <w:t xml:space="preserve">within a pre-existing </w:t>
      </w:r>
      <w:r w:rsidR="001163F8">
        <w:rPr>
          <w:rFonts w:ascii="Arial" w:hAnsi="Arial" w:cs="Arial"/>
          <w:sz w:val="24"/>
          <w:szCs w:val="24"/>
        </w:rPr>
        <w:t>idea of Aristotle’s; the categories of understanding.</w:t>
      </w:r>
      <w:r w:rsidR="001163F8">
        <w:rPr>
          <w:rStyle w:val="FootnoteReference"/>
          <w:rFonts w:ascii="Arial" w:hAnsi="Arial" w:cs="Arial"/>
          <w:sz w:val="24"/>
          <w:szCs w:val="24"/>
        </w:rPr>
        <w:footnoteReference w:id="39"/>
      </w:r>
      <w:r w:rsidR="00FB6AC0">
        <w:rPr>
          <w:rFonts w:ascii="Arial" w:hAnsi="Arial" w:cs="Arial"/>
          <w:sz w:val="24"/>
          <w:szCs w:val="24"/>
        </w:rPr>
        <w:t xml:space="preserve"> </w:t>
      </w:r>
      <w:r w:rsidR="00926C84">
        <w:rPr>
          <w:rFonts w:ascii="Arial" w:hAnsi="Arial" w:cs="Arial"/>
          <w:sz w:val="24"/>
          <w:szCs w:val="24"/>
        </w:rPr>
        <w:t xml:space="preserve">In comparison, </w:t>
      </w:r>
      <w:r w:rsidR="00FB6AC0">
        <w:rPr>
          <w:rFonts w:ascii="Arial" w:hAnsi="Arial" w:cs="Arial"/>
          <w:sz w:val="24"/>
          <w:szCs w:val="24"/>
        </w:rPr>
        <w:t xml:space="preserve">Eliade did not appear to situate his theory of sacred space becoming through heirophany in any previous scholarship, </w:t>
      </w:r>
      <w:r w:rsidR="008D1357">
        <w:rPr>
          <w:rFonts w:ascii="Arial" w:hAnsi="Arial" w:cs="Arial"/>
          <w:sz w:val="24"/>
          <w:szCs w:val="24"/>
        </w:rPr>
        <w:t>Douglas Allen noted that Eliade’s lack of ‘rigorous scholarly procedures of verification; and interjects unjustified … assumptions … into his scholarship’</w:t>
      </w:r>
      <w:r w:rsidR="008D1357">
        <w:rPr>
          <w:rStyle w:val="FootnoteReference"/>
          <w:rFonts w:ascii="Arial" w:hAnsi="Arial" w:cs="Arial"/>
          <w:sz w:val="24"/>
          <w:szCs w:val="24"/>
        </w:rPr>
        <w:footnoteReference w:id="40"/>
      </w:r>
      <w:r w:rsidR="008D1357">
        <w:rPr>
          <w:rFonts w:ascii="Arial" w:hAnsi="Arial" w:cs="Arial"/>
          <w:sz w:val="24"/>
          <w:szCs w:val="24"/>
        </w:rPr>
        <w:t xml:space="preserve"> had led to the dismissal and criticism of his work amongst social scientists of the time. </w:t>
      </w:r>
      <w:r w:rsidR="008D1357">
        <w:rPr>
          <w:rFonts w:ascii="Arial" w:hAnsi="Arial" w:cs="Arial"/>
          <w:sz w:val="24"/>
          <w:szCs w:val="24"/>
        </w:rPr>
        <w:t>Perhaps using a passage from</w:t>
      </w:r>
      <w:r w:rsidR="00C87507">
        <w:rPr>
          <w:rFonts w:ascii="Arial" w:hAnsi="Arial" w:cs="Arial"/>
          <w:sz w:val="24"/>
          <w:szCs w:val="24"/>
        </w:rPr>
        <w:t xml:space="preserve"> Exodus</w:t>
      </w:r>
      <w:r w:rsidR="00C87507">
        <w:rPr>
          <w:rStyle w:val="FootnoteReference"/>
          <w:rFonts w:ascii="Arial" w:hAnsi="Arial" w:cs="Arial"/>
          <w:sz w:val="24"/>
          <w:szCs w:val="24"/>
        </w:rPr>
        <w:footnoteReference w:id="41"/>
      </w:r>
      <w:r w:rsidR="00C87507">
        <w:rPr>
          <w:rFonts w:ascii="Arial" w:hAnsi="Arial" w:cs="Arial"/>
          <w:sz w:val="24"/>
          <w:szCs w:val="24"/>
        </w:rPr>
        <w:t xml:space="preserve"> to demonstrate his view</w:t>
      </w:r>
      <w:r w:rsidR="008D1357">
        <w:rPr>
          <w:rFonts w:ascii="Arial" w:hAnsi="Arial" w:cs="Arial"/>
          <w:sz w:val="24"/>
          <w:szCs w:val="24"/>
        </w:rPr>
        <w:t xml:space="preserve">, was this criticism in action, as it is unclear where Eliade’s </w:t>
      </w:r>
      <w:r w:rsidR="00BA1873">
        <w:rPr>
          <w:rFonts w:ascii="Arial" w:hAnsi="Arial" w:cs="Arial"/>
          <w:sz w:val="24"/>
          <w:szCs w:val="24"/>
        </w:rPr>
        <w:t>view would exist in existing scholarship of the time.</w:t>
      </w:r>
    </w:p>
    <w:p w14:paraId="02E77152" w14:textId="4A325CA1" w:rsidR="00D8060D" w:rsidRDefault="0038188C" w:rsidP="00A134E3">
      <w:pPr>
        <w:spacing w:line="360" w:lineRule="auto"/>
        <w:rPr>
          <w:rFonts w:ascii="Arial" w:hAnsi="Arial" w:cs="Arial"/>
          <w:b/>
          <w:bCs/>
          <w:sz w:val="24"/>
          <w:szCs w:val="24"/>
        </w:rPr>
      </w:pPr>
      <w:r>
        <w:rPr>
          <w:rFonts w:ascii="Arial" w:hAnsi="Arial" w:cs="Arial"/>
          <w:b/>
          <w:bCs/>
          <w:sz w:val="24"/>
          <w:szCs w:val="24"/>
        </w:rPr>
        <w:t>Creating and Maintaining Sacred Space</w:t>
      </w:r>
    </w:p>
    <w:p w14:paraId="05FE0E81" w14:textId="4BD00751" w:rsidR="0050702A" w:rsidRDefault="0050702A" w:rsidP="00A134E3">
      <w:pPr>
        <w:spacing w:line="360" w:lineRule="auto"/>
        <w:rPr>
          <w:rFonts w:ascii="Arial" w:hAnsi="Arial" w:cs="Arial"/>
          <w:sz w:val="24"/>
          <w:szCs w:val="24"/>
        </w:rPr>
      </w:pPr>
      <w:r>
        <w:rPr>
          <w:rFonts w:ascii="Arial" w:hAnsi="Arial" w:cs="Arial"/>
          <w:sz w:val="24"/>
          <w:szCs w:val="24"/>
        </w:rPr>
        <w:t>Sacred space, according to Eliade,</w:t>
      </w:r>
      <w:r w:rsidR="008E38DE">
        <w:rPr>
          <w:rFonts w:ascii="Arial" w:hAnsi="Arial" w:cs="Arial"/>
          <w:sz w:val="24"/>
          <w:szCs w:val="24"/>
        </w:rPr>
        <w:t xml:space="preserve"> could be distinct from profane space in a number of ways</w:t>
      </w:r>
      <w:r w:rsidR="00E702C2">
        <w:rPr>
          <w:rFonts w:ascii="Arial" w:hAnsi="Arial" w:cs="Arial"/>
          <w:sz w:val="24"/>
          <w:szCs w:val="24"/>
        </w:rPr>
        <w:t>. In a church,</w:t>
      </w:r>
      <w:r w:rsidR="008E38DE">
        <w:rPr>
          <w:rFonts w:ascii="Arial" w:hAnsi="Arial" w:cs="Arial"/>
          <w:sz w:val="24"/>
          <w:szCs w:val="24"/>
        </w:rPr>
        <w:t xml:space="preserve"> </w:t>
      </w:r>
      <w:r w:rsidR="00110239">
        <w:rPr>
          <w:rFonts w:ascii="Arial" w:hAnsi="Arial" w:cs="Arial"/>
          <w:sz w:val="24"/>
          <w:szCs w:val="24"/>
        </w:rPr>
        <w:t>the door ‘separates the two spaces [and] also indicates the distance between two modes of being.’</w:t>
      </w:r>
      <w:r w:rsidR="00110239">
        <w:rPr>
          <w:rStyle w:val="FootnoteReference"/>
          <w:rFonts w:ascii="Arial" w:hAnsi="Arial" w:cs="Arial"/>
          <w:sz w:val="24"/>
          <w:szCs w:val="24"/>
        </w:rPr>
        <w:footnoteReference w:id="42"/>
      </w:r>
      <w:r w:rsidR="007E16F0">
        <w:rPr>
          <w:rFonts w:ascii="Arial" w:hAnsi="Arial" w:cs="Arial"/>
          <w:sz w:val="24"/>
          <w:szCs w:val="24"/>
        </w:rPr>
        <w:t xml:space="preserve"> Similarly, the entrance t</w:t>
      </w:r>
      <w:r w:rsidR="00663552">
        <w:rPr>
          <w:rFonts w:ascii="Arial" w:hAnsi="Arial" w:cs="Arial"/>
          <w:sz w:val="24"/>
          <w:szCs w:val="24"/>
        </w:rPr>
        <w:t>o a house was a place of passage from profane (outside</w:t>
      </w:r>
      <w:r w:rsidR="00EC2FC8">
        <w:rPr>
          <w:rFonts w:ascii="Arial" w:hAnsi="Arial" w:cs="Arial"/>
          <w:sz w:val="24"/>
          <w:szCs w:val="24"/>
        </w:rPr>
        <w:t xml:space="preserve">) </w:t>
      </w:r>
      <w:r w:rsidR="00663552">
        <w:rPr>
          <w:rFonts w:ascii="Arial" w:hAnsi="Arial" w:cs="Arial"/>
          <w:sz w:val="24"/>
          <w:szCs w:val="24"/>
        </w:rPr>
        <w:t xml:space="preserve">to sacred (inside), where </w:t>
      </w:r>
      <w:r w:rsidR="00265889">
        <w:rPr>
          <w:rFonts w:ascii="Arial" w:hAnsi="Arial" w:cs="Arial"/>
          <w:sz w:val="24"/>
          <w:szCs w:val="24"/>
        </w:rPr>
        <w:t>rites were offered</w:t>
      </w:r>
      <w:r w:rsidR="00B9002F">
        <w:rPr>
          <w:rStyle w:val="FootnoteReference"/>
          <w:rFonts w:ascii="Arial" w:hAnsi="Arial" w:cs="Arial"/>
          <w:sz w:val="24"/>
          <w:szCs w:val="24"/>
        </w:rPr>
        <w:footnoteReference w:id="43"/>
      </w:r>
      <w:r w:rsidR="00265889">
        <w:rPr>
          <w:rFonts w:ascii="Arial" w:hAnsi="Arial" w:cs="Arial"/>
          <w:sz w:val="24"/>
          <w:szCs w:val="24"/>
        </w:rPr>
        <w:t xml:space="preserve">. </w:t>
      </w:r>
      <w:r w:rsidR="00B9002F">
        <w:rPr>
          <w:rFonts w:ascii="Arial" w:hAnsi="Arial" w:cs="Arial"/>
          <w:sz w:val="24"/>
          <w:szCs w:val="24"/>
        </w:rPr>
        <w:t xml:space="preserve">These passages were of ‘great religious importance, for they are symbols and at the same time vehicles of </w:t>
      </w:r>
      <w:r w:rsidR="00B9002F">
        <w:rPr>
          <w:rFonts w:ascii="Arial" w:hAnsi="Arial" w:cs="Arial"/>
          <w:i/>
          <w:iCs/>
          <w:sz w:val="24"/>
          <w:szCs w:val="24"/>
        </w:rPr>
        <w:t xml:space="preserve">passage </w:t>
      </w:r>
      <w:r w:rsidR="00B9002F">
        <w:rPr>
          <w:rFonts w:ascii="Arial" w:hAnsi="Arial" w:cs="Arial"/>
          <w:sz w:val="24"/>
          <w:szCs w:val="24"/>
        </w:rPr>
        <w:t>from the one space to the other.’</w:t>
      </w:r>
      <w:r w:rsidR="00B9002F">
        <w:rPr>
          <w:rStyle w:val="FootnoteReference"/>
          <w:rFonts w:ascii="Arial" w:hAnsi="Arial" w:cs="Arial"/>
          <w:sz w:val="24"/>
          <w:szCs w:val="24"/>
        </w:rPr>
        <w:footnoteReference w:id="44"/>
      </w:r>
      <w:r w:rsidR="00896538">
        <w:rPr>
          <w:rFonts w:ascii="Arial" w:hAnsi="Arial" w:cs="Arial"/>
          <w:sz w:val="24"/>
          <w:szCs w:val="24"/>
        </w:rPr>
        <w:t xml:space="preserve"> </w:t>
      </w:r>
      <w:r w:rsidR="00AE4A22">
        <w:rPr>
          <w:rFonts w:ascii="Arial" w:hAnsi="Arial" w:cs="Arial"/>
          <w:sz w:val="24"/>
          <w:szCs w:val="24"/>
        </w:rPr>
        <w:t>The importance of passage linked to heirophany</w:t>
      </w:r>
      <w:r w:rsidR="008D7C0C">
        <w:rPr>
          <w:rFonts w:ascii="Arial" w:hAnsi="Arial" w:cs="Arial"/>
          <w:sz w:val="24"/>
          <w:szCs w:val="24"/>
        </w:rPr>
        <w:t xml:space="preserve">; the ‘irruption of the sacred’ that qualitatively differentiated sacred space from profane space </w:t>
      </w:r>
      <w:r w:rsidR="0044164B">
        <w:rPr>
          <w:rFonts w:ascii="Arial" w:hAnsi="Arial" w:cs="Arial"/>
          <w:sz w:val="24"/>
          <w:szCs w:val="24"/>
        </w:rPr>
        <w:t>was initiated by an opening, or passage,</w:t>
      </w:r>
      <w:r w:rsidR="007048C8">
        <w:rPr>
          <w:rFonts w:ascii="Arial" w:hAnsi="Arial" w:cs="Arial"/>
          <w:sz w:val="24"/>
          <w:szCs w:val="24"/>
        </w:rPr>
        <w:t xml:space="preserve"> through which ‘communication with the gods is made possible … by which the gods can descend … and man can symbolically ascend.’</w:t>
      </w:r>
      <w:r w:rsidR="007048C8">
        <w:rPr>
          <w:rStyle w:val="FootnoteReference"/>
          <w:rFonts w:ascii="Arial" w:hAnsi="Arial" w:cs="Arial"/>
          <w:sz w:val="24"/>
          <w:szCs w:val="24"/>
        </w:rPr>
        <w:footnoteReference w:id="45"/>
      </w:r>
      <w:r w:rsidR="00B2214F">
        <w:rPr>
          <w:rFonts w:ascii="Arial" w:hAnsi="Arial" w:cs="Arial"/>
          <w:sz w:val="24"/>
          <w:szCs w:val="24"/>
        </w:rPr>
        <w:t xml:space="preserve"> The </w:t>
      </w:r>
      <w:r w:rsidR="00B2214F">
        <w:rPr>
          <w:rFonts w:ascii="Arial" w:hAnsi="Arial" w:cs="Arial"/>
          <w:sz w:val="24"/>
          <w:szCs w:val="24"/>
        </w:rPr>
        <w:lastRenderedPageBreak/>
        <w:t xml:space="preserve">reference to upward and downward movement recalled Eliade’s initial argument that the heirophany would reveal a fixed point, </w:t>
      </w:r>
      <w:r w:rsidR="00040219">
        <w:rPr>
          <w:rFonts w:ascii="Arial" w:hAnsi="Arial" w:cs="Arial"/>
          <w:sz w:val="24"/>
          <w:szCs w:val="24"/>
        </w:rPr>
        <w:t>orienting the world</w:t>
      </w:r>
      <w:r w:rsidR="00B2214F">
        <w:rPr>
          <w:rFonts w:ascii="Arial" w:hAnsi="Arial" w:cs="Arial"/>
          <w:sz w:val="24"/>
          <w:szCs w:val="24"/>
        </w:rPr>
        <w:t xml:space="preserve">. </w:t>
      </w:r>
      <w:r w:rsidR="003A3B87">
        <w:rPr>
          <w:rFonts w:ascii="Arial" w:hAnsi="Arial" w:cs="Arial"/>
          <w:sz w:val="24"/>
          <w:szCs w:val="24"/>
        </w:rPr>
        <w:t xml:space="preserve">Sacred space was created, but Eliade argued this was not ‘a human work’ but </w:t>
      </w:r>
      <w:r w:rsidR="009C327E">
        <w:rPr>
          <w:rFonts w:ascii="Arial" w:hAnsi="Arial" w:cs="Arial"/>
          <w:sz w:val="24"/>
          <w:szCs w:val="24"/>
        </w:rPr>
        <w:t>a reproduction of ‘the work of the gods.’</w:t>
      </w:r>
      <w:r w:rsidR="009C327E">
        <w:rPr>
          <w:rStyle w:val="FootnoteReference"/>
          <w:rFonts w:ascii="Arial" w:hAnsi="Arial" w:cs="Arial"/>
          <w:sz w:val="24"/>
          <w:szCs w:val="24"/>
        </w:rPr>
        <w:footnoteReference w:id="46"/>
      </w:r>
    </w:p>
    <w:p w14:paraId="3AC597F7" w14:textId="68AE93C2" w:rsidR="00BF0262" w:rsidRDefault="00AB5A57" w:rsidP="00A134E3">
      <w:pPr>
        <w:spacing w:line="360" w:lineRule="auto"/>
        <w:rPr>
          <w:rFonts w:ascii="Arial" w:hAnsi="Arial" w:cs="Arial"/>
          <w:sz w:val="24"/>
          <w:szCs w:val="24"/>
        </w:rPr>
      </w:pPr>
      <w:r>
        <w:rPr>
          <w:rFonts w:ascii="Arial" w:hAnsi="Arial" w:cs="Arial"/>
          <w:sz w:val="24"/>
          <w:szCs w:val="24"/>
        </w:rPr>
        <w:t xml:space="preserve">Eliade did not make any judgements on whether </w:t>
      </w:r>
      <w:r w:rsidR="00C97E3F">
        <w:rPr>
          <w:rFonts w:ascii="Arial" w:hAnsi="Arial" w:cs="Arial"/>
          <w:sz w:val="24"/>
          <w:szCs w:val="24"/>
        </w:rPr>
        <w:t>this communication really existed</w:t>
      </w:r>
      <w:r>
        <w:rPr>
          <w:rFonts w:ascii="Arial" w:hAnsi="Arial" w:cs="Arial"/>
          <w:sz w:val="24"/>
          <w:szCs w:val="24"/>
        </w:rPr>
        <w:t xml:space="preserve">, nor did he attempt </w:t>
      </w:r>
      <w:r w:rsidR="00AA0AB0">
        <w:rPr>
          <w:rFonts w:ascii="Arial" w:hAnsi="Arial" w:cs="Arial"/>
          <w:sz w:val="24"/>
          <w:szCs w:val="24"/>
        </w:rPr>
        <w:t>to define sacred space as a cultural or soci</w:t>
      </w:r>
      <w:r w:rsidR="00C97E3F">
        <w:rPr>
          <w:rFonts w:ascii="Arial" w:hAnsi="Arial" w:cs="Arial"/>
          <w:sz w:val="24"/>
          <w:szCs w:val="24"/>
        </w:rPr>
        <w:t>al</w:t>
      </w:r>
      <w:r w:rsidR="00AA0AB0">
        <w:rPr>
          <w:rFonts w:ascii="Arial" w:hAnsi="Arial" w:cs="Arial"/>
          <w:sz w:val="24"/>
          <w:szCs w:val="24"/>
        </w:rPr>
        <w:t xml:space="preserve"> phenomena. Rennie argued that Eliade focused on ‘a concentration upon observable human claims that some sacred or divine presence is apprehensible in the objects of veneration of the variety of religious traditions.’</w:t>
      </w:r>
      <w:r w:rsidR="00AA0AB0">
        <w:rPr>
          <w:rStyle w:val="FootnoteReference"/>
          <w:rFonts w:ascii="Arial" w:hAnsi="Arial" w:cs="Arial"/>
          <w:sz w:val="24"/>
          <w:szCs w:val="24"/>
        </w:rPr>
        <w:footnoteReference w:id="47"/>
      </w:r>
      <w:r w:rsidR="00AA0AB0">
        <w:rPr>
          <w:rFonts w:ascii="Arial" w:hAnsi="Arial" w:cs="Arial"/>
          <w:sz w:val="24"/>
          <w:szCs w:val="24"/>
        </w:rPr>
        <w:t xml:space="preserve"> Studstill further argued that Eliade’s approach to religion was ‘that religious phenomena are </w:t>
      </w:r>
      <w:r w:rsidR="00AA0AB0">
        <w:rPr>
          <w:rFonts w:ascii="Arial" w:hAnsi="Arial" w:cs="Arial"/>
          <w:i/>
          <w:iCs/>
          <w:sz w:val="24"/>
          <w:szCs w:val="24"/>
        </w:rPr>
        <w:t>sui generis’</w:t>
      </w:r>
      <w:r w:rsidR="00AA0AB0">
        <w:rPr>
          <w:rStyle w:val="FootnoteReference"/>
          <w:rFonts w:ascii="Arial" w:hAnsi="Arial" w:cs="Arial"/>
          <w:i/>
          <w:iCs/>
          <w:sz w:val="24"/>
          <w:szCs w:val="24"/>
        </w:rPr>
        <w:footnoteReference w:id="48"/>
      </w:r>
      <w:r w:rsidR="00AA0AB0">
        <w:rPr>
          <w:rFonts w:ascii="Arial" w:hAnsi="Arial" w:cs="Arial"/>
          <w:i/>
          <w:iCs/>
          <w:sz w:val="24"/>
          <w:szCs w:val="24"/>
        </w:rPr>
        <w:t xml:space="preserve"> </w:t>
      </w:r>
      <w:r w:rsidR="00AA0AB0">
        <w:rPr>
          <w:rFonts w:ascii="Arial" w:hAnsi="Arial" w:cs="Arial"/>
          <w:sz w:val="24"/>
          <w:szCs w:val="24"/>
        </w:rPr>
        <w:t xml:space="preserve"> or, of its own kind. </w:t>
      </w:r>
      <w:r w:rsidR="008C3F3D">
        <w:rPr>
          <w:rFonts w:ascii="Arial" w:hAnsi="Arial" w:cs="Arial"/>
          <w:sz w:val="24"/>
          <w:szCs w:val="24"/>
        </w:rPr>
        <w:t xml:space="preserve">Again, the lack of judgement suggested a phenomenological approach, rather than a historical approach from Eliade. </w:t>
      </w:r>
      <w:r w:rsidR="000A3FB1">
        <w:rPr>
          <w:rFonts w:ascii="Arial" w:hAnsi="Arial" w:cs="Arial"/>
          <w:sz w:val="24"/>
          <w:szCs w:val="24"/>
        </w:rPr>
        <w:t xml:space="preserve">In contrast, Durkheim explicitly defined religion as a social thing. </w:t>
      </w:r>
    </w:p>
    <w:p w14:paraId="341C7ED9" w14:textId="486D8AED" w:rsidR="00D921F9" w:rsidRDefault="004340D4" w:rsidP="00A134E3">
      <w:pPr>
        <w:spacing w:line="360" w:lineRule="auto"/>
        <w:rPr>
          <w:rFonts w:ascii="Arial" w:hAnsi="Arial" w:cs="Arial"/>
          <w:sz w:val="24"/>
          <w:szCs w:val="24"/>
        </w:rPr>
      </w:pPr>
      <w:r w:rsidRPr="004340D4">
        <w:rPr>
          <w:rFonts w:ascii="Arial" w:hAnsi="Arial" w:cs="Arial"/>
          <w:sz w:val="24"/>
          <w:szCs w:val="24"/>
        </w:rPr>
        <w:t>W.S.F. Pickering, sociologist and founder of the British Centre for Durkheimian studies, wrote that Durkheim wanted ‘to analyse religion scientifically’</w:t>
      </w:r>
      <w:r>
        <w:rPr>
          <w:rStyle w:val="FootnoteReference"/>
          <w:rFonts w:ascii="Arial" w:hAnsi="Arial" w:cs="Arial"/>
          <w:sz w:val="24"/>
          <w:szCs w:val="24"/>
        </w:rPr>
        <w:footnoteReference w:id="49"/>
      </w:r>
      <w:r w:rsidRPr="004340D4">
        <w:rPr>
          <w:rFonts w:ascii="Arial" w:hAnsi="Arial" w:cs="Arial"/>
          <w:sz w:val="24"/>
          <w:szCs w:val="24"/>
        </w:rPr>
        <w:t>, as opposed to comparing religions or creating a hierarchy of religion</w:t>
      </w:r>
      <w:r w:rsidR="000919B7">
        <w:rPr>
          <w:rFonts w:ascii="Arial" w:hAnsi="Arial" w:cs="Arial"/>
          <w:sz w:val="24"/>
          <w:szCs w:val="24"/>
        </w:rPr>
        <w:t xml:space="preserve">. </w:t>
      </w:r>
      <w:r w:rsidR="00FE2D60">
        <w:rPr>
          <w:rFonts w:ascii="Arial" w:hAnsi="Arial" w:cs="Arial"/>
          <w:sz w:val="24"/>
          <w:szCs w:val="24"/>
        </w:rPr>
        <w:t>Durkheim</w:t>
      </w:r>
      <w:r w:rsidR="004E161D">
        <w:rPr>
          <w:rFonts w:ascii="Arial" w:hAnsi="Arial" w:cs="Arial"/>
          <w:sz w:val="24"/>
          <w:szCs w:val="24"/>
        </w:rPr>
        <w:t xml:space="preserve"> viewed</w:t>
      </w:r>
      <w:r w:rsidR="00FE2D60">
        <w:rPr>
          <w:rFonts w:ascii="Arial" w:hAnsi="Arial" w:cs="Arial"/>
          <w:sz w:val="24"/>
          <w:szCs w:val="24"/>
        </w:rPr>
        <w:t xml:space="preserve"> previous scholarship </w:t>
      </w:r>
      <w:r w:rsidR="004E161D">
        <w:rPr>
          <w:rFonts w:ascii="Arial" w:hAnsi="Arial" w:cs="Arial"/>
          <w:sz w:val="24"/>
          <w:szCs w:val="24"/>
        </w:rPr>
        <w:t>as</w:t>
      </w:r>
      <w:r w:rsidR="00FE2D60">
        <w:rPr>
          <w:rFonts w:ascii="Arial" w:hAnsi="Arial" w:cs="Arial"/>
          <w:sz w:val="24"/>
          <w:szCs w:val="24"/>
        </w:rPr>
        <w:t xml:space="preserve"> attempting to hierarchize religion and mythology by imposing modern thought onto </w:t>
      </w:r>
      <w:r w:rsidR="000919B7">
        <w:rPr>
          <w:rFonts w:ascii="Arial" w:hAnsi="Arial" w:cs="Arial"/>
          <w:sz w:val="24"/>
          <w:szCs w:val="24"/>
        </w:rPr>
        <w:t>“</w:t>
      </w:r>
      <w:r w:rsidR="00E37368">
        <w:rPr>
          <w:rFonts w:ascii="Arial" w:hAnsi="Arial" w:cs="Arial"/>
          <w:sz w:val="24"/>
          <w:szCs w:val="24"/>
        </w:rPr>
        <w:t>primitive religion</w:t>
      </w:r>
      <w:r w:rsidR="000919B7">
        <w:rPr>
          <w:rFonts w:ascii="Arial" w:hAnsi="Arial" w:cs="Arial"/>
          <w:sz w:val="24"/>
          <w:szCs w:val="24"/>
        </w:rPr>
        <w:t>s”</w:t>
      </w:r>
      <w:r w:rsidR="00E37368">
        <w:rPr>
          <w:rStyle w:val="FootnoteReference"/>
          <w:rFonts w:ascii="Arial" w:hAnsi="Arial" w:cs="Arial"/>
          <w:sz w:val="24"/>
          <w:szCs w:val="24"/>
        </w:rPr>
        <w:footnoteReference w:id="50"/>
      </w:r>
      <w:r w:rsidR="00387362">
        <w:rPr>
          <w:rFonts w:ascii="Arial" w:hAnsi="Arial" w:cs="Arial"/>
          <w:sz w:val="24"/>
          <w:szCs w:val="24"/>
        </w:rPr>
        <w:t xml:space="preserve">, </w:t>
      </w:r>
      <w:r w:rsidR="004E161D">
        <w:rPr>
          <w:rFonts w:ascii="Arial" w:hAnsi="Arial" w:cs="Arial"/>
          <w:sz w:val="24"/>
          <w:szCs w:val="24"/>
        </w:rPr>
        <w:t xml:space="preserve">the limitations of which </w:t>
      </w:r>
      <w:r w:rsidR="00B0311B">
        <w:rPr>
          <w:rFonts w:ascii="Arial" w:hAnsi="Arial" w:cs="Arial"/>
          <w:sz w:val="24"/>
          <w:szCs w:val="24"/>
        </w:rPr>
        <w:t>led to viewing religion as a whole, rather than comprising of parts</w:t>
      </w:r>
      <w:r w:rsidR="00B0311B">
        <w:rPr>
          <w:rStyle w:val="FootnoteReference"/>
          <w:rFonts w:ascii="Arial" w:hAnsi="Arial" w:cs="Arial"/>
          <w:sz w:val="24"/>
          <w:szCs w:val="24"/>
        </w:rPr>
        <w:footnoteReference w:id="51"/>
      </w:r>
      <w:r w:rsidR="00B0311B">
        <w:rPr>
          <w:rFonts w:ascii="Arial" w:hAnsi="Arial" w:cs="Arial"/>
          <w:sz w:val="24"/>
          <w:szCs w:val="24"/>
        </w:rPr>
        <w:t>. By breaking down religion into ‘beliefs and rites’, the former ‘states of opinion and … representations’ and the latter ‘</w:t>
      </w:r>
      <w:r w:rsidR="009D367B">
        <w:rPr>
          <w:rFonts w:ascii="Arial" w:hAnsi="Arial" w:cs="Arial"/>
          <w:sz w:val="24"/>
          <w:szCs w:val="24"/>
        </w:rPr>
        <w:t>particular modes of action’</w:t>
      </w:r>
      <w:r w:rsidR="009D367B">
        <w:rPr>
          <w:rStyle w:val="FootnoteReference"/>
          <w:rFonts w:ascii="Arial" w:hAnsi="Arial" w:cs="Arial"/>
          <w:sz w:val="24"/>
          <w:szCs w:val="24"/>
        </w:rPr>
        <w:footnoteReference w:id="52"/>
      </w:r>
      <w:r w:rsidR="004862F2">
        <w:rPr>
          <w:rFonts w:ascii="Arial" w:hAnsi="Arial" w:cs="Arial"/>
          <w:sz w:val="24"/>
          <w:szCs w:val="24"/>
        </w:rPr>
        <w:t xml:space="preserve">, Durkheim could now </w:t>
      </w:r>
      <w:r w:rsidR="002E721B">
        <w:rPr>
          <w:rFonts w:ascii="Arial" w:hAnsi="Arial" w:cs="Arial"/>
          <w:sz w:val="24"/>
          <w:szCs w:val="24"/>
        </w:rPr>
        <w:t>introduce</w:t>
      </w:r>
      <w:r w:rsidR="004862F2">
        <w:rPr>
          <w:rFonts w:ascii="Arial" w:hAnsi="Arial" w:cs="Arial"/>
          <w:sz w:val="24"/>
          <w:szCs w:val="24"/>
        </w:rPr>
        <w:t xml:space="preserve"> the sacred/profane dichotomy. </w:t>
      </w:r>
    </w:p>
    <w:p w14:paraId="43E9683E" w14:textId="6C4D6A7F" w:rsidR="00351E21" w:rsidRDefault="002B5655" w:rsidP="00A134E3">
      <w:pPr>
        <w:spacing w:line="360" w:lineRule="auto"/>
        <w:rPr>
          <w:rFonts w:ascii="Arial" w:hAnsi="Arial" w:cs="Arial"/>
          <w:sz w:val="24"/>
          <w:szCs w:val="24"/>
        </w:rPr>
      </w:pPr>
      <w:r>
        <w:rPr>
          <w:rFonts w:ascii="Arial" w:hAnsi="Arial" w:cs="Arial"/>
          <w:sz w:val="24"/>
          <w:szCs w:val="24"/>
        </w:rPr>
        <w:t>Hierarchically distinguishing an object did not make it sacred</w:t>
      </w:r>
      <w:r w:rsidR="002E721B">
        <w:rPr>
          <w:rFonts w:ascii="Arial" w:hAnsi="Arial" w:cs="Arial"/>
          <w:sz w:val="24"/>
          <w:szCs w:val="24"/>
        </w:rPr>
        <w:t>,</w:t>
      </w:r>
      <w:r w:rsidR="004E3A0E">
        <w:rPr>
          <w:rStyle w:val="FootnoteReference"/>
          <w:rFonts w:ascii="Arial" w:hAnsi="Arial" w:cs="Arial"/>
          <w:sz w:val="24"/>
          <w:szCs w:val="24"/>
        </w:rPr>
        <w:footnoteReference w:id="53"/>
      </w:r>
      <w:r w:rsidR="007F178C">
        <w:rPr>
          <w:rFonts w:ascii="Arial" w:hAnsi="Arial" w:cs="Arial"/>
          <w:sz w:val="24"/>
          <w:szCs w:val="24"/>
        </w:rPr>
        <w:t xml:space="preserve"> </w:t>
      </w:r>
      <w:r w:rsidR="002E721B">
        <w:rPr>
          <w:rFonts w:ascii="Arial" w:hAnsi="Arial" w:cs="Arial"/>
          <w:sz w:val="24"/>
          <w:szCs w:val="24"/>
        </w:rPr>
        <w:t>n</w:t>
      </w:r>
      <w:r w:rsidR="007F178C">
        <w:rPr>
          <w:rFonts w:ascii="Arial" w:hAnsi="Arial" w:cs="Arial"/>
          <w:sz w:val="24"/>
          <w:szCs w:val="24"/>
        </w:rPr>
        <w:t>or was sacr</w:t>
      </w:r>
      <w:r>
        <w:rPr>
          <w:rFonts w:ascii="Arial" w:hAnsi="Arial" w:cs="Arial"/>
          <w:sz w:val="24"/>
          <w:szCs w:val="24"/>
        </w:rPr>
        <w:t xml:space="preserve">edness </w:t>
      </w:r>
      <w:r w:rsidR="007F178C">
        <w:rPr>
          <w:rFonts w:ascii="Arial" w:hAnsi="Arial" w:cs="Arial"/>
          <w:sz w:val="24"/>
          <w:szCs w:val="24"/>
        </w:rPr>
        <w:t xml:space="preserve">limited to gods or spirits, </w:t>
      </w:r>
      <w:r w:rsidR="00D77987">
        <w:rPr>
          <w:rFonts w:ascii="Arial" w:hAnsi="Arial" w:cs="Arial"/>
          <w:sz w:val="24"/>
          <w:szCs w:val="24"/>
        </w:rPr>
        <w:t>since not all rites were centred around Gods</w:t>
      </w:r>
      <w:r w:rsidR="00D77987">
        <w:rPr>
          <w:rStyle w:val="FootnoteReference"/>
          <w:rFonts w:ascii="Arial" w:hAnsi="Arial" w:cs="Arial"/>
          <w:sz w:val="24"/>
          <w:szCs w:val="24"/>
        </w:rPr>
        <w:footnoteReference w:id="54"/>
      </w:r>
      <w:r w:rsidR="002E721B">
        <w:rPr>
          <w:rFonts w:ascii="Arial" w:hAnsi="Arial" w:cs="Arial"/>
          <w:sz w:val="24"/>
          <w:szCs w:val="24"/>
        </w:rPr>
        <w:t>. Instead, sacred and profane were two absolutes</w:t>
      </w:r>
      <w:r w:rsidR="002E721B">
        <w:rPr>
          <w:rStyle w:val="FootnoteReference"/>
          <w:rFonts w:ascii="Arial" w:hAnsi="Arial" w:cs="Arial"/>
          <w:sz w:val="24"/>
          <w:szCs w:val="24"/>
        </w:rPr>
        <w:footnoteReference w:id="55"/>
      </w:r>
      <w:r w:rsidR="004C0AEE">
        <w:rPr>
          <w:rFonts w:ascii="Arial" w:hAnsi="Arial" w:cs="Arial"/>
          <w:sz w:val="24"/>
          <w:szCs w:val="24"/>
        </w:rPr>
        <w:t>. To pass from profane to sacred, one ha</w:t>
      </w:r>
      <w:r w:rsidR="0068424E">
        <w:rPr>
          <w:rFonts w:ascii="Arial" w:hAnsi="Arial" w:cs="Arial"/>
          <w:sz w:val="24"/>
          <w:szCs w:val="24"/>
        </w:rPr>
        <w:t>d</w:t>
      </w:r>
      <w:r w:rsidR="004C0AEE">
        <w:rPr>
          <w:rFonts w:ascii="Arial" w:hAnsi="Arial" w:cs="Arial"/>
          <w:sz w:val="24"/>
          <w:szCs w:val="24"/>
        </w:rPr>
        <w:t xml:space="preserve"> to abandon the profane</w:t>
      </w:r>
      <w:r w:rsidR="00667DA2">
        <w:rPr>
          <w:rFonts w:ascii="Arial" w:hAnsi="Arial" w:cs="Arial"/>
          <w:sz w:val="24"/>
          <w:szCs w:val="24"/>
        </w:rPr>
        <w:t xml:space="preserve">. He used the example of initiation, </w:t>
      </w:r>
      <w:r w:rsidR="000646AE">
        <w:rPr>
          <w:rFonts w:ascii="Arial" w:hAnsi="Arial" w:cs="Arial"/>
          <w:sz w:val="24"/>
          <w:szCs w:val="24"/>
        </w:rPr>
        <w:t xml:space="preserve">whereupon entering </w:t>
      </w:r>
      <w:r w:rsidR="000646AE">
        <w:rPr>
          <w:rFonts w:ascii="Arial" w:hAnsi="Arial" w:cs="Arial"/>
          <w:sz w:val="24"/>
          <w:szCs w:val="24"/>
        </w:rPr>
        <w:lastRenderedPageBreak/>
        <w:t xml:space="preserve">religious life the person ‘comes out of the purely profane world… This change of status is conceived not as a mere development of preexisting seeds but as a transformation </w:t>
      </w:r>
      <w:proofErr w:type="spellStart"/>
      <w:r w:rsidR="000646AE">
        <w:rPr>
          <w:rFonts w:ascii="Arial" w:hAnsi="Arial" w:cs="Arial"/>
          <w:i/>
          <w:iCs/>
          <w:sz w:val="24"/>
          <w:szCs w:val="24"/>
        </w:rPr>
        <w:t>totius</w:t>
      </w:r>
      <w:proofErr w:type="spellEnd"/>
      <w:r w:rsidR="000646AE">
        <w:rPr>
          <w:rFonts w:ascii="Arial" w:hAnsi="Arial" w:cs="Arial"/>
          <w:i/>
          <w:iCs/>
          <w:sz w:val="24"/>
          <w:szCs w:val="24"/>
        </w:rPr>
        <w:t xml:space="preserve"> </w:t>
      </w:r>
      <w:proofErr w:type="spellStart"/>
      <w:r w:rsidR="000646AE">
        <w:rPr>
          <w:rFonts w:ascii="Arial" w:hAnsi="Arial" w:cs="Arial"/>
          <w:i/>
          <w:iCs/>
          <w:sz w:val="24"/>
          <w:szCs w:val="24"/>
        </w:rPr>
        <w:t>substantiae</w:t>
      </w:r>
      <w:proofErr w:type="spellEnd"/>
      <w:r w:rsidR="000646AE">
        <w:rPr>
          <w:rFonts w:ascii="Arial" w:hAnsi="Arial" w:cs="Arial"/>
          <w:i/>
          <w:iCs/>
          <w:sz w:val="24"/>
          <w:szCs w:val="24"/>
        </w:rPr>
        <w:t xml:space="preserve"> </w:t>
      </w:r>
      <w:r w:rsidR="000646AE" w:rsidRPr="00D82A24">
        <w:rPr>
          <w:rFonts w:ascii="Arial" w:hAnsi="Arial" w:cs="Arial"/>
          <w:sz w:val="24"/>
          <w:szCs w:val="24"/>
        </w:rPr>
        <w:t>(of the whole essence).</w:t>
      </w:r>
      <w:r w:rsidR="000646AE">
        <w:rPr>
          <w:rFonts w:ascii="Arial" w:hAnsi="Arial" w:cs="Arial"/>
          <w:i/>
          <w:iCs/>
          <w:sz w:val="24"/>
          <w:szCs w:val="24"/>
        </w:rPr>
        <w:t>’</w:t>
      </w:r>
      <w:r w:rsidR="000646AE">
        <w:rPr>
          <w:rStyle w:val="FootnoteReference"/>
          <w:rFonts w:ascii="Arial" w:hAnsi="Arial" w:cs="Arial"/>
          <w:i/>
          <w:iCs/>
          <w:sz w:val="24"/>
          <w:szCs w:val="24"/>
        </w:rPr>
        <w:footnoteReference w:id="56"/>
      </w:r>
      <w:r w:rsidR="004370E3">
        <w:rPr>
          <w:rFonts w:ascii="Arial" w:hAnsi="Arial" w:cs="Arial"/>
          <w:i/>
          <w:iCs/>
          <w:sz w:val="24"/>
          <w:szCs w:val="24"/>
        </w:rPr>
        <w:t xml:space="preserve"> </w:t>
      </w:r>
      <w:r w:rsidR="000646AE">
        <w:rPr>
          <w:rFonts w:ascii="Arial" w:hAnsi="Arial" w:cs="Arial"/>
          <w:sz w:val="24"/>
          <w:szCs w:val="24"/>
        </w:rPr>
        <w:t>T</w:t>
      </w:r>
      <w:r w:rsidR="00706011">
        <w:rPr>
          <w:rFonts w:ascii="Arial" w:hAnsi="Arial" w:cs="Arial"/>
          <w:sz w:val="24"/>
          <w:szCs w:val="24"/>
        </w:rPr>
        <w:t xml:space="preserve">he essential difference was </w:t>
      </w:r>
      <w:r w:rsidR="00D82A24">
        <w:rPr>
          <w:rFonts w:ascii="Arial" w:hAnsi="Arial" w:cs="Arial"/>
          <w:sz w:val="24"/>
          <w:szCs w:val="24"/>
        </w:rPr>
        <w:t>an absolute transformation</w:t>
      </w:r>
      <w:r w:rsidR="00706011">
        <w:rPr>
          <w:rFonts w:ascii="Arial" w:hAnsi="Arial" w:cs="Arial"/>
          <w:sz w:val="24"/>
          <w:szCs w:val="24"/>
        </w:rPr>
        <w:t>, not a hierarchical development.</w:t>
      </w:r>
      <w:r w:rsidR="004370E3">
        <w:rPr>
          <w:rFonts w:ascii="Arial" w:hAnsi="Arial" w:cs="Arial"/>
          <w:sz w:val="24"/>
          <w:szCs w:val="24"/>
        </w:rPr>
        <w:t xml:space="preserve"> </w:t>
      </w:r>
      <w:r w:rsidR="006A0EDE">
        <w:rPr>
          <w:rFonts w:ascii="Arial" w:hAnsi="Arial" w:cs="Arial"/>
          <w:sz w:val="24"/>
          <w:szCs w:val="24"/>
        </w:rPr>
        <w:t>Fields wrote that things ‘are m</w:t>
      </w:r>
      <w:r w:rsidR="00D24867">
        <w:rPr>
          <w:rFonts w:ascii="Arial" w:hAnsi="Arial" w:cs="Arial"/>
          <w:sz w:val="24"/>
          <w:szCs w:val="24"/>
        </w:rPr>
        <w:t>ade sacred by groups of people who set them apart and keep them bounded by specific action</w:t>
      </w:r>
      <w:r w:rsidR="005811BD">
        <w:rPr>
          <w:rFonts w:ascii="Arial" w:hAnsi="Arial" w:cs="Arial"/>
          <w:sz w:val="24"/>
          <w:szCs w:val="24"/>
        </w:rPr>
        <w:t>s’</w:t>
      </w:r>
      <w:r w:rsidR="005811BD">
        <w:rPr>
          <w:rStyle w:val="FootnoteReference"/>
          <w:rFonts w:ascii="Arial" w:hAnsi="Arial" w:cs="Arial"/>
          <w:sz w:val="24"/>
          <w:szCs w:val="24"/>
        </w:rPr>
        <w:footnoteReference w:id="57"/>
      </w:r>
      <w:r w:rsidR="00D678B9">
        <w:rPr>
          <w:rFonts w:ascii="Arial" w:hAnsi="Arial" w:cs="Arial"/>
          <w:sz w:val="24"/>
          <w:szCs w:val="24"/>
        </w:rPr>
        <w:t xml:space="preserve">. </w:t>
      </w:r>
      <w:r w:rsidR="00B71945">
        <w:rPr>
          <w:rFonts w:ascii="Arial" w:hAnsi="Arial" w:cs="Arial"/>
          <w:sz w:val="24"/>
          <w:szCs w:val="24"/>
        </w:rPr>
        <w:t>Again, these specific actions were social, as they were understood by the whole group</w:t>
      </w:r>
      <w:r w:rsidR="00030BF8">
        <w:rPr>
          <w:rFonts w:ascii="Arial" w:hAnsi="Arial" w:cs="Arial"/>
          <w:sz w:val="24"/>
          <w:szCs w:val="24"/>
        </w:rPr>
        <w:t xml:space="preserve"> to be a consecration.</w:t>
      </w:r>
      <w:r w:rsidR="00B71945">
        <w:rPr>
          <w:rStyle w:val="FootnoteReference"/>
          <w:rFonts w:ascii="Arial" w:hAnsi="Arial" w:cs="Arial"/>
          <w:sz w:val="24"/>
          <w:szCs w:val="24"/>
        </w:rPr>
        <w:footnoteReference w:id="58"/>
      </w:r>
      <w:r w:rsidR="00D944FC">
        <w:rPr>
          <w:rFonts w:ascii="Arial" w:hAnsi="Arial" w:cs="Arial"/>
          <w:sz w:val="24"/>
          <w:szCs w:val="24"/>
        </w:rPr>
        <w:t xml:space="preserve"> </w:t>
      </w:r>
      <w:r w:rsidR="00FF3D9B">
        <w:rPr>
          <w:rFonts w:ascii="Arial" w:hAnsi="Arial" w:cs="Arial"/>
          <w:sz w:val="24"/>
          <w:szCs w:val="24"/>
        </w:rPr>
        <w:t xml:space="preserve">Returning again to Durkheim’s arguments against hierarchising religion, the act of making something sacred </w:t>
      </w:r>
      <w:r w:rsidR="00D930CE">
        <w:rPr>
          <w:rFonts w:ascii="Arial" w:hAnsi="Arial" w:cs="Arial"/>
          <w:sz w:val="24"/>
          <w:szCs w:val="24"/>
        </w:rPr>
        <w:t>ma</w:t>
      </w:r>
      <w:r w:rsidR="004319B5">
        <w:rPr>
          <w:rFonts w:ascii="Arial" w:hAnsi="Arial" w:cs="Arial"/>
          <w:sz w:val="24"/>
          <w:szCs w:val="24"/>
        </w:rPr>
        <w:t>de</w:t>
      </w:r>
      <w:r w:rsidR="00D930CE">
        <w:rPr>
          <w:rFonts w:ascii="Arial" w:hAnsi="Arial" w:cs="Arial"/>
          <w:sz w:val="24"/>
          <w:szCs w:val="24"/>
        </w:rPr>
        <w:t xml:space="preserve"> ‘whatever power they acquire… real power.’ Fields added ‘there is no question of debunking native beliefs about that power as imaginary’</w:t>
      </w:r>
      <w:r w:rsidR="00D930CE">
        <w:rPr>
          <w:rStyle w:val="FootnoteReference"/>
          <w:rFonts w:ascii="Arial" w:hAnsi="Arial" w:cs="Arial"/>
          <w:sz w:val="24"/>
          <w:szCs w:val="24"/>
        </w:rPr>
        <w:footnoteReference w:id="59"/>
      </w:r>
      <w:r w:rsidR="00D944FC">
        <w:rPr>
          <w:rFonts w:ascii="Arial" w:hAnsi="Arial" w:cs="Arial"/>
          <w:sz w:val="24"/>
          <w:szCs w:val="24"/>
        </w:rPr>
        <w:t xml:space="preserve">, as this would imply a hierarchy of religions, </w:t>
      </w:r>
      <w:r w:rsidR="00A8523F">
        <w:rPr>
          <w:rFonts w:ascii="Arial" w:hAnsi="Arial" w:cs="Arial"/>
          <w:sz w:val="24"/>
          <w:szCs w:val="24"/>
        </w:rPr>
        <w:t>which Durkheim avoided.</w:t>
      </w:r>
    </w:p>
    <w:p w14:paraId="66B436FB" w14:textId="4F161589" w:rsidR="009F71EE" w:rsidRPr="002C003B" w:rsidRDefault="009F71EE" w:rsidP="00A134E3">
      <w:pPr>
        <w:spacing w:line="360" w:lineRule="auto"/>
        <w:rPr>
          <w:rFonts w:ascii="Arial" w:hAnsi="Arial" w:cs="Arial"/>
          <w:sz w:val="24"/>
          <w:szCs w:val="24"/>
        </w:rPr>
      </w:pPr>
      <w:r>
        <w:rPr>
          <w:rFonts w:ascii="Arial" w:hAnsi="Arial" w:cs="Arial"/>
          <w:sz w:val="24"/>
          <w:szCs w:val="24"/>
        </w:rPr>
        <w:t xml:space="preserve">Eliade’s view of sacred space was that it had to be qualitatively different, but in contrast to Durkheim, this difference </w:t>
      </w:r>
      <w:r w:rsidR="00A8523F">
        <w:rPr>
          <w:rFonts w:ascii="Arial" w:hAnsi="Arial" w:cs="Arial"/>
          <w:sz w:val="24"/>
          <w:szCs w:val="24"/>
        </w:rPr>
        <w:t>only needed to be performed</w:t>
      </w:r>
      <w:r w:rsidR="00293E9D">
        <w:rPr>
          <w:rFonts w:ascii="Arial" w:hAnsi="Arial" w:cs="Arial"/>
          <w:sz w:val="24"/>
          <w:szCs w:val="24"/>
        </w:rPr>
        <w:t xml:space="preserve"> once by </w:t>
      </w:r>
      <w:r w:rsidR="00B206E9">
        <w:rPr>
          <w:rFonts w:ascii="Arial" w:hAnsi="Arial" w:cs="Arial"/>
          <w:sz w:val="24"/>
          <w:szCs w:val="24"/>
        </w:rPr>
        <w:t>cosmogonising the world</w:t>
      </w:r>
      <w:r w:rsidR="00B206E9">
        <w:rPr>
          <w:rStyle w:val="FootnoteReference"/>
          <w:rFonts w:ascii="Arial" w:hAnsi="Arial" w:cs="Arial"/>
          <w:sz w:val="24"/>
          <w:szCs w:val="24"/>
        </w:rPr>
        <w:footnoteReference w:id="60"/>
      </w:r>
      <w:r w:rsidR="00B206E9">
        <w:rPr>
          <w:rFonts w:ascii="Arial" w:hAnsi="Arial" w:cs="Arial"/>
          <w:sz w:val="24"/>
          <w:szCs w:val="24"/>
        </w:rPr>
        <w:t xml:space="preserve"> by repeating the work of the gods.</w:t>
      </w:r>
      <w:r w:rsidR="00B206E9">
        <w:rPr>
          <w:rStyle w:val="FootnoteReference"/>
          <w:rFonts w:ascii="Arial" w:hAnsi="Arial" w:cs="Arial"/>
          <w:sz w:val="24"/>
          <w:szCs w:val="24"/>
        </w:rPr>
        <w:footnoteReference w:id="61"/>
      </w:r>
      <w:r w:rsidR="008F16DE">
        <w:rPr>
          <w:rFonts w:ascii="Arial" w:hAnsi="Arial" w:cs="Arial"/>
          <w:sz w:val="24"/>
          <w:szCs w:val="24"/>
        </w:rPr>
        <w:t xml:space="preserve"> He used the example of the </w:t>
      </w:r>
      <w:proofErr w:type="spellStart"/>
      <w:r w:rsidR="008F16DE">
        <w:rPr>
          <w:rFonts w:ascii="Arial" w:hAnsi="Arial" w:cs="Arial"/>
          <w:sz w:val="24"/>
          <w:szCs w:val="24"/>
        </w:rPr>
        <w:t>Achlipa</w:t>
      </w:r>
      <w:proofErr w:type="spellEnd"/>
      <w:r w:rsidR="008F16DE">
        <w:rPr>
          <w:rFonts w:ascii="Arial" w:hAnsi="Arial" w:cs="Arial"/>
          <w:sz w:val="24"/>
          <w:szCs w:val="24"/>
        </w:rPr>
        <w:t xml:space="preserve">, an aboriginal Australian nomadic group, </w:t>
      </w:r>
      <w:r w:rsidR="008755B5">
        <w:rPr>
          <w:rFonts w:ascii="Arial" w:hAnsi="Arial" w:cs="Arial"/>
          <w:sz w:val="24"/>
          <w:szCs w:val="24"/>
        </w:rPr>
        <w:t>who carried with them a sacred pole</w:t>
      </w:r>
      <w:r w:rsidR="00C902DE">
        <w:rPr>
          <w:rFonts w:ascii="Arial" w:hAnsi="Arial" w:cs="Arial"/>
          <w:sz w:val="24"/>
          <w:szCs w:val="24"/>
        </w:rPr>
        <w:t xml:space="preserve">. </w:t>
      </w:r>
      <w:r w:rsidR="00B94892">
        <w:rPr>
          <w:rFonts w:ascii="Arial" w:hAnsi="Arial" w:cs="Arial"/>
          <w:sz w:val="24"/>
          <w:szCs w:val="24"/>
        </w:rPr>
        <w:t xml:space="preserve">This pole was </w:t>
      </w:r>
      <w:r w:rsidR="001714DA">
        <w:rPr>
          <w:rFonts w:ascii="Arial" w:hAnsi="Arial" w:cs="Arial"/>
          <w:sz w:val="24"/>
          <w:szCs w:val="24"/>
        </w:rPr>
        <w:t>consecrated</w:t>
      </w:r>
      <w:r w:rsidR="00B94892">
        <w:rPr>
          <w:rFonts w:ascii="Arial" w:hAnsi="Arial" w:cs="Arial"/>
          <w:sz w:val="24"/>
          <w:szCs w:val="24"/>
        </w:rPr>
        <w:t xml:space="preserve"> by a divine being, who ‘fashioned the sacred pole… anointed it with blood, climbed it and disappeared into the sky’</w:t>
      </w:r>
      <w:r w:rsidR="001714DA">
        <w:rPr>
          <w:rFonts w:ascii="Arial" w:hAnsi="Arial" w:cs="Arial"/>
          <w:sz w:val="24"/>
          <w:szCs w:val="24"/>
        </w:rPr>
        <w:t xml:space="preserve">. </w:t>
      </w:r>
      <w:r w:rsidR="00C902DE">
        <w:rPr>
          <w:rFonts w:ascii="Arial" w:hAnsi="Arial" w:cs="Arial"/>
          <w:sz w:val="24"/>
          <w:szCs w:val="24"/>
        </w:rPr>
        <w:t xml:space="preserve">The sacred pole guided the </w:t>
      </w:r>
      <w:proofErr w:type="spellStart"/>
      <w:r w:rsidR="00C902DE">
        <w:rPr>
          <w:rFonts w:ascii="Arial" w:hAnsi="Arial" w:cs="Arial"/>
          <w:sz w:val="24"/>
          <w:szCs w:val="24"/>
        </w:rPr>
        <w:t>Achlipa</w:t>
      </w:r>
      <w:proofErr w:type="spellEnd"/>
      <w:r w:rsidR="00C902DE">
        <w:rPr>
          <w:rFonts w:ascii="Arial" w:hAnsi="Arial" w:cs="Arial"/>
          <w:sz w:val="24"/>
          <w:szCs w:val="24"/>
        </w:rPr>
        <w:t xml:space="preserve">, </w:t>
      </w:r>
      <w:r w:rsidR="00C01A81">
        <w:rPr>
          <w:rFonts w:ascii="Arial" w:hAnsi="Arial" w:cs="Arial"/>
          <w:sz w:val="24"/>
          <w:szCs w:val="24"/>
        </w:rPr>
        <w:t xml:space="preserve">allowing them to be nomadic whilst continuing to be in </w:t>
      </w:r>
      <w:r w:rsidR="00251316">
        <w:rPr>
          <w:rFonts w:ascii="Arial" w:hAnsi="Arial" w:cs="Arial"/>
          <w:sz w:val="24"/>
          <w:szCs w:val="24"/>
        </w:rPr>
        <w:t>‘“their</w:t>
      </w:r>
      <w:r w:rsidR="00C01A81">
        <w:rPr>
          <w:rFonts w:ascii="Arial" w:hAnsi="Arial" w:cs="Arial"/>
          <w:sz w:val="24"/>
          <w:szCs w:val="24"/>
        </w:rPr>
        <w:t xml:space="preserve"> world”’</w:t>
      </w:r>
      <w:r w:rsidR="00C01A81">
        <w:rPr>
          <w:rStyle w:val="FootnoteReference"/>
          <w:rFonts w:ascii="Arial" w:hAnsi="Arial" w:cs="Arial"/>
          <w:sz w:val="24"/>
          <w:szCs w:val="24"/>
        </w:rPr>
        <w:footnoteReference w:id="62"/>
      </w:r>
      <w:r w:rsidR="0028555C">
        <w:rPr>
          <w:rFonts w:ascii="Arial" w:hAnsi="Arial" w:cs="Arial"/>
          <w:sz w:val="24"/>
          <w:szCs w:val="24"/>
        </w:rPr>
        <w:t>, that is made sacred by the presence of the pole</w:t>
      </w:r>
      <w:r w:rsidR="00C01A81">
        <w:rPr>
          <w:rFonts w:ascii="Arial" w:hAnsi="Arial" w:cs="Arial"/>
          <w:sz w:val="24"/>
          <w:szCs w:val="24"/>
        </w:rPr>
        <w:t xml:space="preserve">. Once the pole broke, the connection to the sacred also broke, </w:t>
      </w:r>
      <w:r w:rsidR="00251316">
        <w:rPr>
          <w:rFonts w:ascii="Arial" w:hAnsi="Arial" w:cs="Arial"/>
          <w:sz w:val="24"/>
          <w:szCs w:val="24"/>
        </w:rPr>
        <w:t>a</w:t>
      </w:r>
      <w:r w:rsidR="00E82158">
        <w:rPr>
          <w:rFonts w:ascii="Arial" w:hAnsi="Arial" w:cs="Arial"/>
          <w:sz w:val="24"/>
          <w:szCs w:val="24"/>
        </w:rPr>
        <w:t>nd as</w:t>
      </w:r>
      <w:r w:rsidR="00251316">
        <w:rPr>
          <w:rFonts w:ascii="Arial" w:hAnsi="Arial" w:cs="Arial"/>
          <w:sz w:val="24"/>
          <w:szCs w:val="24"/>
        </w:rPr>
        <w:t xml:space="preserve"> ‘human existence is only possible by virtue of this permanent connection with the sky’</w:t>
      </w:r>
      <w:r w:rsidR="00251316">
        <w:rPr>
          <w:rStyle w:val="FootnoteReference"/>
          <w:rFonts w:ascii="Arial" w:hAnsi="Arial" w:cs="Arial"/>
          <w:sz w:val="24"/>
          <w:szCs w:val="24"/>
        </w:rPr>
        <w:footnoteReference w:id="63"/>
      </w:r>
      <w:r w:rsidR="00E82158">
        <w:rPr>
          <w:rFonts w:ascii="Arial" w:hAnsi="Arial" w:cs="Arial"/>
          <w:sz w:val="24"/>
          <w:szCs w:val="24"/>
        </w:rPr>
        <w:t xml:space="preserve">, this meant the death of the </w:t>
      </w:r>
      <w:proofErr w:type="spellStart"/>
      <w:r w:rsidR="00E82158">
        <w:rPr>
          <w:rFonts w:ascii="Arial" w:hAnsi="Arial" w:cs="Arial"/>
          <w:sz w:val="24"/>
          <w:szCs w:val="24"/>
        </w:rPr>
        <w:t>Achlipa</w:t>
      </w:r>
      <w:proofErr w:type="spellEnd"/>
      <w:r w:rsidR="00E82158">
        <w:rPr>
          <w:rFonts w:ascii="Arial" w:hAnsi="Arial" w:cs="Arial"/>
          <w:sz w:val="24"/>
          <w:szCs w:val="24"/>
        </w:rPr>
        <w:t xml:space="preserve">. </w:t>
      </w:r>
      <w:r w:rsidR="0028555C">
        <w:rPr>
          <w:rFonts w:ascii="Arial" w:hAnsi="Arial" w:cs="Arial"/>
          <w:sz w:val="24"/>
          <w:szCs w:val="24"/>
        </w:rPr>
        <w:t>In Eliade’s view</w:t>
      </w:r>
      <w:r w:rsidR="00694ADE">
        <w:rPr>
          <w:rFonts w:ascii="Arial" w:hAnsi="Arial" w:cs="Arial"/>
          <w:sz w:val="24"/>
          <w:szCs w:val="24"/>
        </w:rPr>
        <w:t xml:space="preserve">, anything could be sacred if it denoted, for that group or religion, a connection with the sky as a form of communication with the gods. </w:t>
      </w:r>
      <w:r w:rsidR="0024578A">
        <w:rPr>
          <w:rFonts w:ascii="Arial" w:hAnsi="Arial" w:cs="Arial"/>
          <w:sz w:val="24"/>
          <w:szCs w:val="24"/>
        </w:rPr>
        <w:t xml:space="preserve">Mountains, </w:t>
      </w:r>
      <w:r w:rsidR="003144F8">
        <w:rPr>
          <w:rFonts w:ascii="Arial" w:hAnsi="Arial" w:cs="Arial"/>
          <w:sz w:val="24"/>
          <w:szCs w:val="24"/>
        </w:rPr>
        <w:t xml:space="preserve">elevated land, or spatial relation to the pole star in the case of the </w:t>
      </w:r>
      <w:proofErr w:type="spellStart"/>
      <w:r w:rsidR="003144F8">
        <w:rPr>
          <w:rFonts w:ascii="Arial" w:hAnsi="Arial" w:cs="Arial"/>
          <w:sz w:val="24"/>
          <w:szCs w:val="24"/>
        </w:rPr>
        <w:t>ka’aba</w:t>
      </w:r>
      <w:proofErr w:type="spellEnd"/>
      <w:r w:rsidR="003144F8">
        <w:rPr>
          <w:rStyle w:val="FootnoteReference"/>
          <w:rFonts w:ascii="Arial" w:hAnsi="Arial" w:cs="Arial"/>
          <w:sz w:val="24"/>
          <w:szCs w:val="24"/>
        </w:rPr>
        <w:footnoteReference w:id="64"/>
      </w:r>
      <w:r w:rsidR="0099705B">
        <w:rPr>
          <w:rFonts w:ascii="Arial" w:hAnsi="Arial" w:cs="Arial"/>
          <w:sz w:val="24"/>
          <w:szCs w:val="24"/>
        </w:rPr>
        <w:t xml:space="preserve"> were sacred ‘</w:t>
      </w:r>
      <w:r w:rsidR="0099705B">
        <w:rPr>
          <w:rFonts w:ascii="Arial" w:hAnsi="Arial" w:cs="Arial"/>
          <w:i/>
          <w:iCs/>
          <w:sz w:val="24"/>
          <w:szCs w:val="24"/>
        </w:rPr>
        <w:t xml:space="preserve">because it is the place nearest to heaven </w:t>
      </w:r>
      <w:r w:rsidR="0099705B">
        <w:rPr>
          <w:rFonts w:ascii="Arial" w:hAnsi="Arial" w:cs="Arial"/>
          <w:sz w:val="24"/>
          <w:szCs w:val="24"/>
        </w:rPr>
        <w:t>… it is possible to reach heaven</w:t>
      </w:r>
      <w:r w:rsidR="00294898">
        <w:rPr>
          <w:rFonts w:ascii="Arial" w:hAnsi="Arial" w:cs="Arial"/>
          <w:sz w:val="24"/>
          <w:szCs w:val="24"/>
        </w:rPr>
        <w:t xml:space="preserve">’, and thus became a ‘projection of the favoured </w:t>
      </w:r>
      <w:r w:rsidR="00F86E29">
        <w:rPr>
          <w:rFonts w:ascii="Arial" w:hAnsi="Arial" w:cs="Arial"/>
          <w:sz w:val="24"/>
          <w:szCs w:val="24"/>
        </w:rPr>
        <w:t>territory</w:t>
      </w:r>
      <w:r w:rsidR="00294898">
        <w:rPr>
          <w:rFonts w:ascii="Arial" w:hAnsi="Arial" w:cs="Arial"/>
          <w:sz w:val="24"/>
          <w:szCs w:val="24"/>
        </w:rPr>
        <w:t>’</w:t>
      </w:r>
      <w:r w:rsidR="00294898">
        <w:rPr>
          <w:rStyle w:val="FootnoteReference"/>
          <w:rFonts w:ascii="Arial" w:hAnsi="Arial" w:cs="Arial"/>
          <w:sz w:val="24"/>
          <w:szCs w:val="24"/>
        </w:rPr>
        <w:footnoteReference w:id="65"/>
      </w:r>
      <w:r w:rsidR="00294898">
        <w:rPr>
          <w:rFonts w:ascii="Arial" w:hAnsi="Arial" w:cs="Arial"/>
          <w:sz w:val="24"/>
          <w:szCs w:val="24"/>
        </w:rPr>
        <w:t>.</w:t>
      </w:r>
      <w:r w:rsidR="001122E0">
        <w:rPr>
          <w:rFonts w:ascii="Arial" w:hAnsi="Arial" w:cs="Arial"/>
          <w:sz w:val="24"/>
          <w:szCs w:val="24"/>
        </w:rPr>
        <w:t xml:space="preserve"> </w:t>
      </w:r>
      <w:r w:rsidR="00F659D5">
        <w:rPr>
          <w:rFonts w:ascii="Arial" w:hAnsi="Arial" w:cs="Arial"/>
          <w:sz w:val="24"/>
          <w:szCs w:val="24"/>
        </w:rPr>
        <w:t xml:space="preserve">In </w:t>
      </w:r>
      <w:r w:rsidR="00105CAD">
        <w:rPr>
          <w:rFonts w:ascii="Arial" w:hAnsi="Arial" w:cs="Arial"/>
          <w:sz w:val="24"/>
          <w:szCs w:val="24"/>
        </w:rPr>
        <w:lastRenderedPageBreak/>
        <w:t xml:space="preserve">Durkheim’s </w:t>
      </w:r>
      <w:r w:rsidR="00F659D5">
        <w:rPr>
          <w:rFonts w:ascii="Arial" w:hAnsi="Arial" w:cs="Arial"/>
          <w:sz w:val="24"/>
          <w:szCs w:val="24"/>
        </w:rPr>
        <w:t>view, anything could be</w:t>
      </w:r>
      <w:r w:rsidR="00BF7019">
        <w:rPr>
          <w:rFonts w:ascii="Arial" w:hAnsi="Arial" w:cs="Arial"/>
          <w:sz w:val="24"/>
          <w:szCs w:val="24"/>
        </w:rPr>
        <w:t>come sacred</w:t>
      </w:r>
      <w:r w:rsidR="00155CE9">
        <w:rPr>
          <w:rFonts w:ascii="Arial" w:hAnsi="Arial" w:cs="Arial"/>
          <w:sz w:val="24"/>
          <w:szCs w:val="24"/>
        </w:rPr>
        <w:t xml:space="preserve"> if it was </w:t>
      </w:r>
      <w:r w:rsidR="0044607B">
        <w:rPr>
          <w:rFonts w:ascii="Arial" w:hAnsi="Arial" w:cs="Arial"/>
          <w:sz w:val="24"/>
          <w:szCs w:val="24"/>
        </w:rPr>
        <w:t>‘“set apart and forbidden”’</w:t>
      </w:r>
      <w:r w:rsidR="0044607B">
        <w:rPr>
          <w:rStyle w:val="FootnoteReference"/>
          <w:rFonts w:ascii="Arial" w:hAnsi="Arial" w:cs="Arial"/>
          <w:sz w:val="24"/>
          <w:szCs w:val="24"/>
        </w:rPr>
        <w:footnoteReference w:id="66"/>
      </w:r>
      <w:r w:rsidR="00047FB4">
        <w:rPr>
          <w:rFonts w:ascii="Arial" w:hAnsi="Arial" w:cs="Arial"/>
          <w:sz w:val="24"/>
          <w:szCs w:val="24"/>
        </w:rPr>
        <w:t>. The understanding of ‘forbidden’ was social, for it must be understood by all in the group</w:t>
      </w:r>
      <w:r w:rsidR="00020B34">
        <w:rPr>
          <w:rFonts w:ascii="Arial" w:hAnsi="Arial" w:cs="Arial"/>
          <w:sz w:val="24"/>
          <w:szCs w:val="24"/>
        </w:rPr>
        <w:t>.</w:t>
      </w:r>
      <w:r w:rsidR="002B5655">
        <w:rPr>
          <w:rFonts w:ascii="Arial" w:hAnsi="Arial" w:cs="Arial"/>
          <w:sz w:val="24"/>
          <w:szCs w:val="24"/>
        </w:rPr>
        <w:t xml:space="preserve"> </w:t>
      </w:r>
    </w:p>
    <w:p w14:paraId="5EC1DAF6" w14:textId="4FA25326" w:rsidR="00E41452" w:rsidRPr="00E41452" w:rsidRDefault="00E41452" w:rsidP="00A134E3">
      <w:pPr>
        <w:spacing w:line="360" w:lineRule="auto"/>
        <w:rPr>
          <w:rFonts w:ascii="Arial" w:hAnsi="Arial" w:cs="Arial"/>
          <w:b/>
          <w:bCs/>
          <w:sz w:val="24"/>
          <w:szCs w:val="24"/>
        </w:rPr>
      </w:pPr>
      <w:r>
        <w:rPr>
          <w:rFonts w:ascii="Arial" w:hAnsi="Arial" w:cs="Arial"/>
          <w:b/>
          <w:bCs/>
          <w:sz w:val="24"/>
          <w:szCs w:val="24"/>
        </w:rPr>
        <w:t>Conclusion</w:t>
      </w:r>
    </w:p>
    <w:p w14:paraId="34690813" w14:textId="0F365C4E" w:rsidR="00E47235" w:rsidRDefault="00DC2061" w:rsidP="00A134E3">
      <w:pPr>
        <w:spacing w:line="360" w:lineRule="auto"/>
        <w:rPr>
          <w:rFonts w:ascii="Arial" w:hAnsi="Arial" w:cs="Arial"/>
          <w:sz w:val="24"/>
          <w:szCs w:val="24"/>
        </w:rPr>
      </w:pPr>
      <w:r>
        <w:rPr>
          <w:rFonts w:ascii="Arial" w:hAnsi="Arial" w:cs="Arial"/>
          <w:sz w:val="24"/>
          <w:szCs w:val="24"/>
        </w:rPr>
        <w:t xml:space="preserve">Both authors </w:t>
      </w:r>
      <w:r w:rsidR="006966A5">
        <w:rPr>
          <w:rFonts w:ascii="Arial" w:hAnsi="Arial" w:cs="Arial"/>
          <w:sz w:val="24"/>
          <w:szCs w:val="24"/>
        </w:rPr>
        <w:t>argued</w:t>
      </w:r>
      <w:r>
        <w:rPr>
          <w:rFonts w:ascii="Arial" w:hAnsi="Arial" w:cs="Arial"/>
          <w:sz w:val="24"/>
          <w:szCs w:val="24"/>
        </w:rPr>
        <w:t xml:space="preserve"> that man </w:t>
      </w:r>
      <w:r w:rsidR="006966A5">
        <w:rPr>
          <w:rFonts w:ascii="Arial" w:hAnsi="Arial" w:cs="Arial"/>
          <w:sz w:val="24"/>
          <w:szCs w:val="24"/>
        </w:rPr>
        <w:t>sought</w:t>
      </w:r>
      <w:r>
        <w:rPr>
          <w:rFonts w:ascii="Arial" w:hAnsi="Arial" w:cs="Arial"/>
          <w:sz w:val="24"/>
          <w:szCs w:val="24"/>
        </w:rPr>
        <w:t xml:space="preserve"> to make his existence real, and </w:t>
      </w:r>
      <w:r w:rsidR="007B17CA">
        <w:rPr>
          <w:rFonts w:ascii="Arial" w:hAnsi="Arial" w:cs="Arial"/>
          <w:sz w:val="24"/>
          <w:szCs w:val="24"/>
        </w:rPr>
        <w:t>that</w:t>
      </w:r>
      <w:r>
        <w:rPr>
          <w:rFonts w:ascii="Arial" w:hAnsi="Arial" w:cs="Arial"/>
          <w:sz w:val="24"/>
          <w:szCs w:val="24"/>
        </w:rPr>
        <w:t xml:space="preserve"> sacredness had existential value </w:t>
      </w:r>
      <w:r w:rsidR="003F6B4D">
        <w:rPr>
          <w:rFonts w:ascii="Arial" w:hAnsi="Arial" w:cs="Arial"/>
          <w:sz w:val="24"/>
          <w:szCs w:val="24"/>
        </w:rPr>
        <w:t xml:space="preserve">in opposition to the profane. </w:t>
      </w:r>
      <w:r w:rsidR="00A70A5A">
        <w:rPr>
          <w:rFonts w:ascii="Arial" w:hAnsi="Arial" w:cs="Arial"/>
          <w:sz w:val="24"/>
          <w:szCs w:val="24"/>
        </w:rPr>
        <w:t xml:space="preserve">Eliade put emphasis on the ‘irruption of the sacred’ which ‘project(s) a fixed point into the formless fluidity of profane space </w:t>
      </w:r>
      <w:r w:rsidR="00745A2F">
        <w:rPr>
          <w:rFonts w:ascii="Arial" w:hAnsi="Arial" w:cs="Arial"/>
          <w:sz w:val="24"/>
          <w:szCs w:val="24"/>
        </w:rPr>
        <w:t>… and makes possible ontological passage from one mode of being to another’</w:t>
      </w:r>
      <w:r w:rsidR="00745A2F">
        <w:rPr>
          <w:rStyle w:val="FootnoteReference"/>
          <w:rFonts w:ascii="Arial" w:hAnsi="Arial" w:cs="Arial"/>
          <w:sz w:val="24"/>
          <w:szCs w:val="24"/>
        </w:rPr>
        <w:footnoteReference w:id="67"/>
      </w:r>
      <w:r w:rsidR="002A0705">
        <w:rPr>
          <w:rFonts w:ascii="Arial" w:hAnsi="Arial" w:cs="Arial"/>
          <w:sz w:val="24"/>
          <w:szCs w:val="24"/>
        </w:rPr>
        <w:t xml:space="preserve"> </w:t>
      </w:r>
      <w:r w:rsidR="00745A2F">
        <w:rPr>
          <w:rFonts w:ascii="Arial" w:hAnsi="Arial" w:cs="Arial"/>
          <w:sz w:val="24"/>
          <w:szCs w:val="24"/>
        </w:rPr>
        <w:t>from profane to sacred.</w:t>
      </w:r>
      <w:r w:rsidR="00F44758">
        <w:rPr>
          <w:rFonts w:ascii="Arial" w:hAnsi="Arial" w:cs="Arial"/>
          <w:sz w:val="24"/>
          <w:szCs w:val="24"/>
        </w:rPr>
        <w:t xml:space="preserve"> In comparison, </w:t>
      </w:r>
      <w:r w:rsidR="00202102">
        <w:rPr>
          <w:rFonts w:ascii="Arial" w:hAnsi="Arial" w:cs="Arial"/>
          <w:sz w:val="24"/>
          <w:szCs w:val="24"/>
        </w:rPr>
        <w:t xml:space="preserve">Durkheim put emphasis on the repetition of acts and rites to make something sacred, thus the ability to make anything sacred. </w:t>
      </w:r>
      <w:r w:rsidR="00F30FF4">
        <w:rPr>
          <w:rFonts w:ascii="Arial" w:hAnsi="Arial" w:cs="Arial"/>
          <w:sz w:val="24"/>
          <w:szCs w:val="24"/>
        </w:rPr>
        <w:t>Both authors created a dichotomy of sacred-profane; the sacred could not exist where the profane was present, and vice versa.</w:t>
      </w:r>
      <w:r w:rsidR="00C47A07">
        <w:rPr>
          <w:rFonts w:ascii="Arial" w:hAnsi="Arial" w:cs="Arial"/>
          <w:sz w:val="24"/>
          <w:szCs w:val="24"/>
        </w:rPr>
        <w:t xml:space="preserve"> </w:t>
      </w:r>
    </w:p>
    <w:p w14:paraId="375266BE" w14:textId="4A9CCF2B" w:rsidR="005273F7" w:rsidRDefault="005273F7" w:rsidP="00A134E3">
      <w:pPr>
        <w:spacing w:line="360" w:lineRule="auto"/>
        <w:rPr>
          <w:rFonts w:ascii="Arial" w:hAnsi="Arial" w:cs="Arial"/>
          <w:sz w:val="24"/>
          <w:szCs w:val="24"/>
        </w:rPr>
      </w:pPr>
      <w:r>
        <w:rPr>
          <w:rFonts w:ascii="Arial" w:hAnsi="Arial" w:cs="Arial"/>
          <w:sz w:val="24"/>
          <w:szCs w:val="24"/>
        </w:rPr>
        <w:t>The major contrast</w:t>
      </w:r>
      <w:r w:rsidR="00B659AB">
        <w:rPr>
          <w:rFonts w:ascii="Arial" w:hAnsi="Arial" w:cs="Arial"/>
          <w:sz w:val="24"/>
          <w:szCs w:val="24"/>
        </w:rPr>
        <w:t xml:space="preserve"> was</w:t>
      </w:r>
      <w:r>
        <w:rPr>
          <w:rFonts w:ascii="Arial" w:hAnsi="Arial" w:cs="Arial"/>
          <w:sz w:val="24"/>
          <w:szCs w:val="24"/>
        </w:rPr>
        <w:t xml:space="preserve"> that Durkheim’s view </w:t>
      </w:r>
      <w:r w:rsidR="00B659AB">
        <w:rPr>
          <w:rFonts w:ascii="Arial" w:hAnsi="Arial" w:cs="Arial"/>
          <w:sz w:val="24"/>
          <w:szCs w:val="24"/>
        </w:rPr>
        <w:t>was</w:t>
      </w:r>
      <w:r>
        <w:rPr>
          <w:rFonts w:ascii="Arial" w:hAnsi="Arial" w:cs="Arial"/>
          <w:sz w:val="24"/>
          <w:szCs w:val="24"/>
        </w:rPr>
        <w:t xml:space="preserve"> sociological. </w:t>
      </w:r>
      <w:r w:rsidR="00AF0378">
        <w:rPr>
          <w:rFonts w:ascii="Arial" w:hAnsi="Arial" w:cs="Arial"/>
          <w:sz w:val="24"/>
          <w:szCs w:val="24"/>
        </w:rPr>
        <w:t xml:space="preserve">Durkheim concluded </w:t>
      </w:r>
      <w:r w:rsidR="00F152EF">
        <w:rPr>
          <w:rFonts w:ascii="Arial" w:hAnsi="Arial" w:cs="Arial"/>
          <w:sz w:val="24"/>
          <w:szCs w:val="24"/>
        </w:rPr>
        <w:t>‘above the individual there is society, and that society is a system of active forces – not a nominal being, and not a creation of the mind.’</w:t>
      </w:r>
      <w:r w:rsidR="00F152EF">
        <w:rPr>
          <w:rStyle w:val="FootnoteReference"/>
          <w:rFonts w:ascii="Arial" w:hAnsi="Arial" w:cs="Arial"/>
          <w:sz w:val="24"/>
          <w:szCs w:val="24"/>
        </w:rPr>
        <w:footnoteReference w:id="68"/>
      </w:r>
      <w:r>
        <w:rPr>
          <w:rFonts w:ascii="Arial" w:hAnsi="Arial" w:cs="Arial"/>
          <w:sz w:val="24"/>
          <w:szCs w:val="24"/>
        </w:rPr>
        <w:t xml:space="preserve"> </w:t>
      </w:r>
      <w:r w:rsidR="00800C48">
        <w:rPr>
          <w:rFonts w:ascii="Arial" w:hAnsi="Arial" w:cs="Arial"/>
          <w:sz w:val="24"/>
          <w:szCs w:val="24"/>
        </w:rPr>
        <w:t xml:space="preserve">Things only remained sacred so long as an active participation of the group through rites made it sacred. In comparison, sacredness for Eliade could be a cosmology, </w:t>
      </w:r>
      <w:r w:rsidR="00842543">
        <w:rPr>
          <w:rFonts w:ascii="Arial" w:hAnsi="Arial" w:cs="Arial"/>
          <w:sz w:val="24"/>
          <w:szCs w:val="24"/>
        </w:rPr>
        <w:t xml:space="preserve">through which a group like the </w:t>
      </w:r>
      <w:proofErr w:type="spellStart"/>
      <w:r w:rsidR="00842543">
        <w:rPr>
          <w:rFonts w:ascii="Arial" w:hAnsi="Arial" w:cs="Arial"/>
          <w:sz w:val="24"/>
          <w:szCs w:val="24"/>
        </w:rPr>
        <w:t>Achlipa</w:t>
      </w:r>
      <w:proofErr w:type="spellEnd"/>
      <w:r w:rsidR="00842543">
        <w:rPr>
          <w:rFonts w:ascii="Arial" w:hAnsi="Arial" w:cs="Arial"/>
          <w:sz w:val="24"/>
          <w:szCs w:val="24"/>
        </w:rPr>
        <w:t xml:space="preserve"> found direction, and the sacredness would disappear as soon as the sacred object was broken. </w:t>
      </w:r>
    </w:p>
    <w:p w14:paraId="3C19FE7C" w14:textId="2852523F" w:rsidR="00842543" w:rsidRPr="007628C2" w:rsidRDefault="00842543" w:rsidP="00A134E3">
      <w:pPr>
        <w:spacing w:line="360" w:lineRule="auto"/>
        <w:rPr>
          <w:rFonts w:ascii="Arial" w:hAnsi="Arial" w:cs="Arial"/>
          <w:sz w:val="24"/>
          <w:szCs w:val="24"/>
        </w:rPr>
      </w:pPr>
      <w:r>
        <w:rPr>
          <w:rFonts w:ascii="Arial" w:hAnsi="Arial" w:cs="Arial"/>
          <w:sz w:val="24"/>
          <w:szCs w:val="24"/>
        </w:rPr>
        <w:t xml:space="preserve">Both authors presented arguments drawing from various religions, and Durkheim drawing on previous sociological approaches such as naturism, </w:t>
      </w:r>
      <w:r w:rsidR="00886524">
        <w:rPr>
          <w:rFonts w:ascii="Arial" w:hAnsi="Arial" w:cs="Arial"/>
          <w:sz w:val="24"/>
          <w:szCs w:val="24"/>
        </w:rPr>
        <w:t xml:space="preserve">to illustrate their views on sacred space. Eliade presented a more focused chapter on sacred space, whilst Durkheim </w:t>
      </w:r>
      <w:r w:rsidR="00A451FA">
        <w:rPr>
          <w:rFonts w:ascii="Arial" w:hAnsi="Arial" w:cs="Arial"/>
          <w:sz w:val="24"/>
          <w:szCs w:val="24"/>
        </w:rPr>
        <w:t>wove</w:t>
      </w:r>
      <w:r w:rsidR="00886524">
        <w:rPr>
          <w:rFonts w:ascii="Arial" w:hAnsi="Arial" w:cs="Arial"/>
          <w:sz w:val="24"/>
          <w:szCs w:val="24"/>
        </w:rPr>
        <w:t xml:space="preserve"> sacrality into </w:t>
      </w:r>
      <w:r w:rsidR="00A451FA">
        <w:rPr>
          <w:rFonts w:ascii="Arial" w:hAnsi="Arial" w:cs="Arial"/>
          <w:sz w:val="24"/>
          <w:szCs w:val="24"/>
        </w:rPr>
        <w:t xml:space="preserve">the wider purpose of his </w:t>
      </w:r>
      <w:r w:rsidR="0044607B">
        <w:rPr>
          <w:rFonts w:ascii="Arial" w:hAnsi="Arial" w:cs="Arial"/>
          <w:sz w:val="24"/>
          <w:szCs w:val="24"/>
        </w:rPr>
        <w:t>work</w:t>
      </w:r>
      <w:r w:rsidR="00260598">
        <w:rPr>
          <w:rFonts w:ascii="Arial" w:hAnsi="Arial" w:cs="Arial"/>
          <w:sz w:val="24"/>
          <w:szCs w:val="24"/>
        </w:rPr>
        <w:t>; to determine the fundamental truths of man.</w:t>
      </w:r>
      <w:r w:rsidR="00A451FA">
        <w:rPr>
          <w:rFonts w:ascii="Arial" w:hAnsi="Arial" w:cs="Arial"/>
          <w:sz w:val="24"/>
          <w:szCs w:val="24"/>
        </w:rPr>
        <w:t xml:space="preserve"> </w:t>
      </w:r>
    </w:p>
    <w:sectPr w:rsidR="00842543" w:rsidRPr="007628C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1B530" w14:textId="77777777" w:rsidR="005135C2" w:rsidRDefault="005135C2" w:rsidP="009439AB">
      <w:pPr>
        <w:spacing w:after="0" w:line="240" w:lineRule="auto"/>
      </w:pPr>
      <w:r>
        <w:separator/>
      </w:r>
    </w:p>
  </w:endnote>
  <w:endnote w:type="continuationSeparator" w:id="0">
    <w:p w14:paraId="090CB7CE" w14:textId="77777777" w:rsidR="005135C2" w:rsidRDefault="005135C2" w:rsidP="009439AB">
      <w:pPr>
        <w:spacing w:after="0" w:line="240" w:lineRule="auto"/>
      </w:pPr>
      <w:r>
        <w:continuationSeparator/>
      </w:r>
    </w:p>
  </w:endnote>
  <w:endnote w:type="continuationNotice" w:id="1">
    <w:p w14:paraId="7A22570C" w14:textId="77777777" w:rsidR="005135C2" w:rsidRDefault="005135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884416"/>
      <w:docPartObj>
        <w:docPartGallery w:val="Page Numbers (Bottom of Page)"/>
        <w:docPartUnique/>
      </w:docPartObj>
    </w:sdtPr>
    <w:sdtEndPr>
      <w:rPr>
        <w:noProof/>
      </w:rPr>
    </w:sdtEndPr>
    <w:sdtContent>
      <w:p w14:paraId="3F64412B" w14:textId="1544BC12" w:rsidR="009439AB" w:rsidRDefault="00943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627E53" w14:textId="77777777" w:rsidR="009439AB" w:rsidRDefault="00943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AD09F" w14:textId="77777777" w:rsidR="005135C2" w:rsidRDefault="005135C2" w:rsidP="009439AB">
      <w:pPr>
        <w:spacing w:after="0" w:line="240" w:lineRule="auto"/>
      </w:pPr>
      <w:r>
        <w:separator/>
      </w:r>
    </w:p>
  </w:footnote>
  <w:footnote w:type="continuationSeparator" w:id="0">
    <w:p w14:paraId="42FA0C7E" w14:textId="77777777" w:rsidR="005135C2" w:rsidRDefault="005135C2" w:rsidP="009439AB">
      <w:pPr>
        <w:spacing w:after="0" w:line="240" w:lineRule="auto"/>
      </w:pPr>
      <w:r>
        <w:continuationSeparator/>
      </w:r>
    </w:p>
  </w:footnote>
  <w:footnote w:type="continuationNotice" w:id="1">
    <w:p w14:paraId="4F7A60C5" w14:textId="77777777" w:rsidR="005135C2" w:rsidRDefault="005135C2">
      <w:pPr>
        <w:spacing w:after="0" w:line="240" w:lineRule="auto"/>
      </w:pPr>
    </w:p>
  </w:footnote>
  <w:footnote w:id="2">
    <w:p w14:paraId="77878397" w14:textId="3C8E396E" w:rsidR="00C44640" w:rsidRPr="00912CAE" w:rsidRDefault="00C44640">
      <w:pPr>
        <w:pStyle w:val="FootnoteText"/>
      </w:pPr>
      <w:r>
        <w:rPr>
          <w:rStyle w:val="FootnoteReference"/>
        </w:rPr>
        <w:footnoteRef/>
      </w:r>
      <w:r>
        <w:t xml:space="preserve"> </w:t>
      </w:r>
      <w:r w:rsidR="00912CAE">
        <w:t xml:space="preserve">Mircea, Eliade, </w:t>
      </w:r>
      <w:r w:rsidR="00912CAE">
        <w:rPr>
          <w:i/>
          <w:iCs/>
        </w:rPr>
        <w:t xml:space="preserve">The Sacred </w:t>
      </w:r>
      <w:proofErr w:type="gramStart"/>
      <w:r w:rsidR="00912CAE">
        <w:rPr>
          <w:i/>
          <w:iCs/>
        </w:rPr>
        <w:t>And</w:t>
      </w:r>
      <w:proofErr w:type="gramEnd"/>
      <w:r w:rsidR="00912CAE">
        <w:rPr>
          <w:i/>
          <w:iCs/>
        </w:rPr>
        <w:t xml:space="preserve"> The Profane, </w:t>
      </w:r>
      <w:r w:rsidR="00821F9D">
        <w:t>trans. by Willard R. Trask (Harcourt Brace Jovanovich: 1987), accessed via Moodle</w:t>
      </w:r>
      <w:r w:rsidR="00B177E1">
        <w:t xml:space="preserve">, [accessed on 10/10/23]. </w:t>
      </w:r>
    </w:p>
  </w:footnote>
  <w:footnote w:id="3">
    <w:p w14:paraId="42231B77" w14:textId="0CA66174" w:rsidR="004E1804" w:rsidRPr="00E06897" w:rsidRDefault="004E1804">
      <w:pPr>
        <w:pStyle w:val="FootnoteText"/>
      </w:pPr>
      <w:r>
        <w:rPr>
          <w:rStyle w:val="FootnoteReference"/>
        </w:rPr>
        <w:footnoteRef/>
      </w:r>
      <w:r>
        <w:t xml:space="preserve"> </w:t>
      </w:r>
      <w:r w:rsidR="008B679A">
        <w:t xml:space="preserve">Emile, </w:t>
      </w:r>
      <w:r>
        <w:t xml:space="preserve">Durkheim, </w:t>
      </w:r>
      <w:r w:rsidR="00E06897">
        <w:rPr>
          <w:i/>
          <w:iCs/>
        </w:rPr>
        <w:t xml:space="preserve">The Elementary Forms Of Religious Life, </w:t>
      </w:r>
      <w:r w:rsidR="00386855">
        <w:t>trans. by Karen E. Fields</w:t>
      </w:r>
      <w:r w:rsidR="000F7F6B">
        <w:t xml:space="preserve"> (The Free Press: 1995), via &lt;</w:t>
      </w:r>
      <w:r w:rsidR="000F7F6B" w:rsidRPr="000F7F6B">
        <w:t xml:space="preserve"> </w:t>
      </w:r>
      <w:hyperlink r:id="rId1" w:history="1">
        <w:r w:rsidR="000F7F6B" w:rsidRPr="0009005C">
          <w:rPr>
            <w:rStyle w:val="Hyperlink"/>
          </w:rPr>
          <w:t>https://monoskop.org/images/a/a2/Durkheim_Emile_The_Elementary_Forms_of_Religious_life_1995.pdf</w:t>
        </w:r>
      </w:hyperlink>
      <w:r w:rsidR="000F7F6B">
        <w:t xml:space="preserve">&gt; [accessed on </w:t>
      </w:r>
      <w:r w:rsidR="00141967">
        <w:t xml:space="preserve">14/10/23]. </w:t>
      </w:r>
    </w:p>
  </w:footnote>
  <w:footnote w:id="4">
    <w:p w14:paraId="5520862D" w14:textId="14D0DEAB" w:rsidR="00F0662A" w:rsidRDefault="00F0662A">
      <w:pPr>
        <w:pStyle w:val="FootnoteText"/>
      </w:pPr>
      <w:r>
        <w:rPr>
          <w:rStyle w:val="FootnoteReference"/>
        </w:rPr>
        <w:footnoteRef/>
      </w:r>
      <w:r w:rsidR="00C37954">
        <w:t xml:space="preserve"> University Of </w:t>
      </w:r>
      <w:proofErr w:type="spellStart"/>
      <w:r w:rsidR="00C37954">
        <w:t>Chigaco</w:t>
      </w:r>
      <w:proofErr w:type="spellEnd"/>
      <w:r w:rsidR="0084656A">
        <w:t xml:space="preserve"> Library</w:t>
      </w:r>
      <w:r w:rsidR="00C37954">
        <w:t>,</w:t>
      </w:r>
      <w:r>
        <w:t xml:space="preserve"> </w:t>
      </w:r>
      <w:r w:rsidR="00F271D9" w:rsidRPr="00C37954">
        <w:rPr>
          <w:i/>
          <w:iCs/>
        </w:rPr>
        <w:t>‘Guide To The Mircea Eliade Papers 1926-1998’</w:t>
      </w:r>
      <w:r w:rsidR="00F271D9">
        <w:t xml:space="preserve"> </w:t>
      </w:r>
      <w:r w:rsidR="0084656A">
        <w:t xml:space="preserve">(2008), </w:t>
      </w:r>
      <w:hyperlink r:id="rId2" w:anchor="idp14524744" w:history="1">
        <w:r w:rsidR="0084656A" w:rsidRPr="0009005C">
          <w:rPr>
            <w:rStyle w:val="Hyperlink"/>
          </w:rPr>
          <w:t>https://www.lib.uchicago.edu/e/scrc/findingaids/view.php?eadid=ICU.SPCL.ELIADEM#idp14524744</w:t>
        </w:r>
      </w:hyperlink>
      <w:r w:rsidR="00F271D9">
        <w:t xml:space="preserve"> [accessed on 30/10/23]</w:t>
      </w:r>
    </w:p>
  </w:footnote>
  <w:footnote w:id="5">
    <w:p w14:paraId="39CA1204" w14:textId="4BD4816D" w:rsidR="006F7B70" w:rsidRDefault="006F7B70">
      <w:pPr>
        <w:pStyle w:val="FootnoteText"/>
      </w:pPr>
      <w:r>
        <w:rPr>
          <w:rStyle w:val="FootnoteReference"/>
        </w:rPr>
        <w:footnoteRef/>
      </w:r>
      <w:r>
        <w:t xml:space="preserve"> Ibid. </w:t>
      </w:r>
    </w:p>
  </w:footnote>
  <w:footnote w:id="6">
    <w:p w14:paraId="4509F989" w14:textId="7D7C976E" w:rsidR="00863D3E" w:rsidRPr="00863D3E" w:rsidRDefault="00863D3E">
      <w:pPr>
        <w:pStyle w:val="FootnoteText"/>
      </w:pPr>
      <w:r>
        <w:rPr>
          <w:rStyle w:val="FootnoteReference"/>
        </w:rPr>
        <w:footnoteRef/>
      </w:r>
      <w:r>
        <w:t xml:space="preserve"> Durkheim, </w:t>
      </w:r>
      <w:r>
        <w:rPr>
          <w:i/>
          <w:iCs/>
        </w:rPr>
        <w:t xml:space="preserve">Forms, </w:t>
      </w:r>
      <w:r>
        <w:t xml:space="preserve">p. </w:t>
      </w:r>
      <w:r w:rsidR="00F87C05">
        <w:t xml:space="preserve">1. </w:t>
      </w:r>
    </w:p>
  </w:footnote>
  <w:footnote w:id="7">
    <w:p w14:paraId="264FE4C8" w14:textId="4AC84996" w:rsidR="00181FF9" w:rsidRDefault="00181FF9">
      <w:pPr>
        <w:pStyle w:val="FootnoteText"/>
      </w:pPr>
      <w:r>
        <w:rPr>
          <w:rStyle w:val="FootnoteReference"/>
        </w:rPr>
        <w:footnoteRef/>
      </w:r>
      <w:r>
        <w:t xml:space="preserve"> Ibid. </w:t>
      </w:r>
    </w:p>
  </w:footnote>
  <w:footnote w:id="8">
    <w:p w14:paraId="044155A6" w14:textId="1A4C4B2E" w:rsidR="0028684D" w:rsidRPr="001F525A" w:rsidRDefault="0028684D">
      <w:pPr>
        <w:pStyle w:val="FootnoteText"/>
        <w:rPr>
          <w:i/>
          <w:iCs/>
        </w:rPr>
      </w:pPr>
      <w:r>
        <w:rPr>
          <w:rStyle w:val="FootnoteReference"/>
        </w:rPr>
        <w:footnoteRef/>
      </w:r>
      <w:r>
        <w:t xml:space="preserve"> </w:t>
      </w:r>
      <w:r w:rsidR="001F525A">
        <w:t xml:space="preserve">Eliade, </w:t>
      </w:r>
      <w:r w:rsidR="001F525A">
        <w:rPr>
          <w:i/>
          <w:iCs/>
        </w:rPr>
        <w:t xml:space="preserve">The Sacred </w:t>
      </w:r>
      <w:proofErr w:type="gramStart"/>
      <w:r w:rsidR="001F525A">
        <w:rPr>
          <w:i/>
          <w:iCs/>
        </w:rPr>
        <w:t>And</w:t>
      </w:r>
      <w:proofErr w:type="gramEnd"/>
      <w:r w:rsidR="001F525A">
        <w:rPr>
          <w:i/>
          <w:iCs/>
        </w:rPr>
        <w:t xml:space="preserve"> The Profane, </w:t>
      </w:r>
      <w:r w:rsidR="001F525A" w:rsidRPr="001F525A">
        <w:t>p. 8.</w:t>
      </w:r>
    </w:p>
  </w:footnote>
  <w:footnote w:id="9">
    <w:p w14:paraId="7C21CF80" w14:textId="271FFF52" w:rsidR="00ED4513" w:rsidRPr="0095734B" w:rsidRDefault="00ED4513" w:rsidP="00ED4513">
      <w:pPr>
        <w:pStyle w:val="FootnoteText"/>
      </w:pPr>
      <w:r>
        <w:rPr>
          <w:rStyle w:val="FootnoteReference"/>
        </w:rPr>
        <w:footnoteRef/>
      </w:r>
      <w:r>
        <w:t xml:space="preserve"> </w:t>
      </w:r>
      <w:r w:rsidR="001F525A">
        <w:t>Ibid.</w:t>
      </w:r>
      <w:r>
        <w:t xml:space="preserve"> </w:t>
      </w:r>
    </w:p>
  </w:footnote>
  <w:footnote w:id="10">
    <w:p w14:paraId="382251BE" w14:textId="77777777" w:rsidR="00ED4513" w:rsidRDefault="00ED4513" w:rsidP="00ED4513">
      <w:pPr>
        <w:pStyle w:val="FootnoteText"/>
      </w:pPr>
      <w:r>
        <w:rPr>
          <w:rStyle w:val="FootnoteReference"/>
        </w:rPr>
        <w:footnoteRef/>
      </w:r>
      <w:r>
        <w:t xml:space="preserve"> Ibid. p. 10. </w:t>
      </w:r>
    </w:p>
  </w:footnote>
  <w:footnote w:id="11">
    <w:p w14:paraId="2A130AB6" w14:textId="3C621D68" w:rsidR="009C4F97" w:rsidRDefault="009C4F97">
      <w:pPr>
        <w:pStyle w:val="FootnoteText"/>
      </w:pPr>
      <w:r>
        <w:rPr>
          <w:rStyle w:val="FootnoteReference"/>
        </w:rPr>
        <w:footnoteRef/>
      </w:r>
      <w:r>
        <w:t xml:space="preserve"> Ibid. </w:t>
      </w:r>
    </w:p>
  </w:footnote>
  <w:footnote w:id="12">
    <w:p w14:paraId="105D62E0" w14:textId="79E8B8D4" w:rsidR="00623192" w:rsidRDefault="00623192">
      <w:pPr>
        <w:pStyle w:val="FootnoteText"/>
      </w:pPr>
      <w:r>
        <w:rPr>
          <w:rStyle w:val="FootnoteReference"/>
        </w:rPr>
        <w:footnoteRef/>
      </w:r>
      <w:r>
        <w:t xml:space="preserve"> Ibid. </w:t>
      </w:r>
    </w:p>
  </w:footnote>
  <w:footnote w:id="13">
    <w:p w14:paraId="13DD4DBC" w14:textId="650F04E9" w:rsidR="00B902DD" w:rsidRDefault="00B902DD">
      <w:pPr>
        <w:pStyle w:val="FootnoteText"/>
      </w:pPr>
      <w:r>
        <w:rPr>
          <w:rStyle w:val="FootnoteReference"/>
        </w:rPr>
        <w:footnoteRef/>
      </w:r>
      <w:r>
        <w:t xml:space="preserve"> Ibid.</w:t>
      </w:r>
    </w:p>
  </w:footnote>
  <w:footnote w:id="14">
    <w:p w14:paraId="57E2F0C9" w14:textId="6BE24305" w:rsidR="00E81AD8" w:rsidRDefault="00E81AD8">
      <w:pPr>
        <w:pStyle w:val="FootnoteText"/>
      </w:pPr>
      <w:r>
        <w:rPr>
          <w:rStyle w:val="FootnoteReference"/>
        </w:rPr>
        <w:footnoteRef/>
      </w:r>
      <w:r>
        <w:t xml:space="preserve"> Durkheim, p. 1.</w:t>
      </w:r>
    </w:p>
  </w:footnote>
  <w:footnote w:id="15">
    <w:p w14:paraId="41702A17" w14:textId="77777777" w:rsidR="004B2551" w:rsidRDefault="004B2551" w:rsidP="004B2551">
      <w:pPr>
        <w:pStyle w:val="FootnoteText"/>
      </w:pPr>
      <w:r>
        <w:rPr>
          <w:rStyle w:val="FootnoteReference"/>
        </w:rPr>
        <w:footnoteRef/>
      </w:r>
      <w:r>
        <w:t xml:space="preserve"> Ibid. p. 29.</w:t>
      </w:r>
    </w:p>
  </w:footnote>
  <w:footnote w:id="16">
    <w:p w14:paraId="144F8117" w14:textId="4C13E95C" w:rsidR="005E6D9C" w:rsidRPr="005E6D9C" w:rsidRDefault="005E6D9C">
      <w:pPr>
        <w:pStyle w:val="FootnoteText"/>
      </w:pPr>
      <w:r>
        <w:rPr>
          <w:rStyle w:val="FootnoteReference"/>
        </w:rPr>
        <w:footnoteRef/>
      </w:r>
      <w:r>
        <w:t xml:space="preserve"> Eliade, </w:t>
      </w:r>
      <w:r>
        <w:rPr>
          <w:i/>
          <w:iCs/>
        </w:rPr>
        <w:t xml:space="preserve">The Sacred </w:t>
      </w:r>
      <w:proofErr w:type="gramStart"/>
      <w:r>
        <w:rPr>
          <w:i/>
          <w:iCs/>
        </w:rPr>
        <w:t>And</w:t>
      </w:r>
      <w:proofErr w:type="gramEnd"/>
      <w:r>
        <w:rPr>
          <w:i/>
          <w:iCs/>
        </w:rPr>
        <w:t xml:space="preserve"> The Profane, </w:t>
      </w:r>
      <w:r>
        <w:t xml:space="preserve">p. 22. </w:t>
      </w:r>
    </w:p>
  </w:footnote>
  <w:footnote w:id="17">
    <w:p w14:paraId="2EEE21D6" w14:textId="219ABEE7" w:rsidR="001A3432" w:rsidRDefault="001A3432">
      <w:pPr>
        <w:pStyle w:val="FootnoteText"/>
      </w:pPr>
      <w:r>
        <w:rPr>
          <w:rStyle w:val="FootnoteReference"/>
        </w:rPr>
        <w:footnoteRef/>
      </w:r>
      <w:r>
        <w:t xml:space="preserve"> Ibid. p. 21.</w:t>
      </w:r>
    </w:p>
  </w:footnote>
  <w:footnote w:id="18">
    <w:p w14:paraId="1EA9A816" w14:textId="3DAA7849" w:rsidR="009E30AB" w:rsidRDefault="009E30AB">
      <w:pPr>
        <w:pStyle w:val="FootnoteText"/>
      </w:pPr>
      <w:r>
        <w:rPr>
          <w:rStyle w:val="FootnoteReference"/>
        </w:rPr>
        <w:footnoteRef/>
      </w:r>
      <w:r>
        <w:t xml:space="preserve"> </w:t>
      </w:r>
      <w:r w:rsidR="00822EAF">
        <w:t>Eliade,</w:t>
      </w:r>
      <w:r>
        <w:t xml:space="preserve"> p. 22.</w:t>
      </w:r>
    </w:p>
  </w:footnote>
  <w:footnote w:id="19">
    <w:p w14:paraId="055B8E7A" w14:textId="4EF9848B" w:rsidR="00DE4C1B" w:rsidRDefault="00DE4C1B">
      <w:pPr>
        <w:pStyle w:val="FootnoteText"/>
      </w:pPr>
      <w:r>
        <w:rPr>
          <w:rStyle w:val="FootnoteReference"/>
        </w:rPr>
        <w:footnoteRef/>
      </w:r>
      <w:r>
        <w:t xml:space="preserve"> Ibid. </w:t>
      </w:r>
    </w:p>
  </w:footnote>
  <w:footnote w:id="20">
    <w:p w14:paraId="6FB50E7B" w14:textId="65C797A7" w:rsidR="00BF3DA7" w:rsidRDefault="00BF3DA7">
      <w:pPr>
        <w:pStyle w:val="FootnoteText"/>
      </w:pPr>
      <w:r>
        <w:rPr>
          <w:rStyle w:val="FootnoteReference"/>
        </w:rPr>
        <w:footnoteRef/>
      </w:r>
      <w:r>
        <w:t xml:space="preserve"> </w:t>
      </w:r>
      <w:r w:rsidR="000F7744">
        <w:t xml:space="preserve">Eliade, p. 25. </w:t>
      </w:r>
    </w:p>
  </w:footnote>
  <w:footnote w:id="21">
    <w:p w14:paraId="1734C679" w14:textId="6067250D" w:rsidR="00507BB3" w:rsidRDefault="00507BB3">
      <w:pPr>
        <w:pStyle w:val="FootnoteText"/>
      </w:pPr>
      <w:r>
        <w:rPr>
          <w:rStyle w:val="FootnoteReference"/>
        </w:rPr>
        <w:footnoteRef/>
      </w:r>
      <w:r>
        <w:t xml:space="preserve"> Durkheim, p. 10. </w:t>
      </w:r>
    </w:p>
  </w:footnote>
  <w:footnote w:id="22">
    <w:p w14:paraId="1F0475DA" w14:textId="4E1B7BD3" w:rsidR="00A10F2F" w:rsidRDefault="00A10F2F">
      <w:pPr>
        <w:pStyle w:val="FootnoteText"/>
      </w:pPr>
      <w:r>
        <w:rPr>
          <w:rStyle w:val="FootnoteReference"/>
        </w:rPr>
        <w:footnoteRef/>
      </w:r>
      <w:r>
        <w:t xml:space="preserve"> Durkheim, p. 10.</w:t>
      </w:r>
    </w:p>
  </w:footnote>
  <w:footnote w:id="23">
    <w:p w14:paraId="687CBCD8" w14:textId="35F190E4" w:rsidR="004613A6" w:rsidRDefault="004613A6">
      <w:pPr>
        <w:pStyle w:val="FootnoteText"/>
      </w:pPr>
      <w:r>
        <w:rPr>
          <w:rStyle w:val="FootnoteReference"/>
        </w:rPr>
        <w:footnoteRef/>
      </w:r>
      <w:r>
        <w:t xml:space="preserve"> Ibid. </w:t>
      </w:r>
    </w:p>
  </w:footnote>
  <w:footnote w:id="24">
    <w:p w14:paraId="7B5A38D8" w14:textId="12367E92" w:rsidR="002B5FE3" w:rsidRDefault="002B5FE3">
      <w:pPr>
        <w:pStyle w:val="FootnoteText"/>
      </w:pPr>
      <w:r>
        <w:rPr>
          <w:rStyle w:val="FootnoteReference"/>
        </w:rPr>
        <w:footnoteRef/>
      </w:r>
      <w:r>
        <w:t xml:space="preserve"> Ibid. p. 2.</w:t>
      </w:r>
    </w:p>
  </w:footnote>
  <w:footnote w:id="25">
    <w:p w14:paraId="3FFA0A30" w14:textId="405BA464" w:rsidR="00597A00" w:rsidRDefault="00597A00">
      <w:pPr>
        <w:pStyle w:val="FootnoteText"/>
      </w:pPr>
      <w:r>
        <w:rPr>
          <w:rStyle w:val="FootnoteReference"/>
        </w:rPr>
        <w:footnoteRef/>
      </w:r>
      <w:r>
        <w:t xml:space="preserve"> Eliade, p. 22. </w:t>
      </w:r>
    </w:p>
  </w:footnote>
  <w:footnote w:id="26">
    <w:p w14:paraId="3138550D" w14:textId="488EE588" w:rsidR="009E5B0F" w:rsidRDefault="009E5B0F">
      <w:pPr>
        <w:pStyle w:val="FootnoteText"/>
      </w:pPr>
      <w:r>
        <w:rPr>
          <w:rStyle w:val="FootnoteReference"/>
        </w:rPr>
        <w:footnoteRef/>
      </w:r>
      <w:r>
        <w:t xml:space="preserve"> Eliade, p. 20.</w:t>
      </w:r>
    </w:p>
  </w:footnote>
  <w:footnote w:id="27">
    <w:p w14:paraId="3981FA7C" w14:textId="7872BB75" w:rsidR="00690D4E" w:rsidRDefault="00690D4E">
      <w:pPr>
        <w:pStyle w:val="FootnoteText"/>
      </w:pPr>
      <w:r>
        <w:rPr>
          <w:rStyle w:val="FootnoteReference"/>
        </w:rPr>
        <w:footnoteRef/>
      </w:r>
      <w:r>
        <w:t xml:space="preserve"> Eliade, p. 22.</w:t>
      </w:r>
    </w:p>
  </w:footnote>
  <w:footnote w:id="28">
    <w:p w14:paraId="106D5838" w14:textId="77777777" w:rsidR="00FB0BA8" w:rsidRDefault="00FB0BA8" w:rsidP="00FB0BA8">
      <w:pPr>
        <w:pStyle w:val="FootnoteText"/>
      </w:pPr>
      <w:r>
        <w:rPr>
          <w:rStyle w:val="FootnoteReference"/>
        </w:rPr>
        <w:footnoteRef/>
      </w:r>
      <w:r>
        <w:t xml:space="preserve"> Ibid. p. 21</w:t>
      </w:r>
    </w:p>
  </w:footnote>
  <w:footnote w:id="29">
    <w:p w14:paraId="4DDE22B3" w14:textId="77777777" w:rsidR="00FB0BA8" w:rsidRDefault="00FB0BA8" w:rsidP="00FB0BA8">
      <w:pPr>
        <w:pStyle w:val="FootnoteText"/>
      </w:pPr>
      <w:r>
        <w:rPr>
          <w:rStyle w:val="FootnoteReference"/>
        </w:rPr>
        <w:footnoteRef/>
      </w:r>
      <w:r>
        <w:t xml:space="preserve"> Eliade, p. 20.</w:t>
      </w:r>
    </w:p>
  </w:footnote>
  <w:footnote w:id="30">
    <w:p w14:paraId="35AFBBB9" w14:textId="1A099E5D" w:rsidR="00EC65CA" w:rsidRPr="00BD032B" w:rsidRDefault="00EC65CA">
      <w:pPr>
        <w:pStyle w:val="FootnoteText"/>
      </w:pPr>
      <w:r>
        <w:rPr>
          <w:rStyle w:val="FootnoteReference"/>
        </w:rPr>
        <w:footnoteRef/>
      </w:r>
      <w:r>
        <w:t xml:space="preserve"> Randall Studstill, </w:t>
      </w:r>
      <w:r w:rsidR="00BD032B">
        <w:t>‘</w:t>
      </w:r>
      <w:r w:rsidR="00BD032B">
        <w:rPr>
          <w:i/>
          <w:iCs/>
        </w:rPr>
        <w:t xml:space="preserve">Eliade, Phenomenology </w:t>
      </w:r>
      <w:proofErr w:type="gramStart"/>
      <w:r w:rsidR="00BD032B">
        <w:rPr>
          <w:i/>
          <w:iCs/>
        </w:rPr>
        <w:t>And</w:t>
      </w:r>
      <w:proofErr w:type="gramEnd"/>
      <w:r w:rsidR="00BD032B">
        <w:rPr>
          <w:i/>
          <w:iCs/>
        </w:rPr>
        <w:t xml:space="preserve"> The Sacred’, </w:t>
      </w:r>
      <w:r w:rsidR="00CA30A5" w:rsidRPr="00CA30A5">
        <w:t>Religious Studies, 36.2 (2000), 177–94</w:t>
      </w:r>
      <w:r w:rsidR="00CA30A5">
        <w:t xml:space="preserve">, p. 179. </w:t>
      </w:r>
    </w:p>
  </w:footnote>
  <w:footnote w:id="31">
    <w:p w14:paraId="4A5D1BD1" w14:textId="6438C753" w:rsidR="00B57D82" w:rsidRDefault="00B57D82">
      <w:pPr>
        <w:pStyle w:val="FootnoteText"/>
      </w:pPr>
      <w:r>
        <w:rPr>
          <w:rStyle w:val="FootnoteReference"/>
        </w:rPr>
        <w:footnoteRef/>
      </w:r>
      <w:r>
        <w:t xml:space="preserve"> Ibid.</w:t>
      </w:r>
    </w:p>
  </w:footnote>
  <w:footnote w:id="32">
    <w:p w14:paraId="39382D79" w14:textId="1B19A1EC" w:rsidR="00896825" w:rsidRDefault="00896825">
      <w:pPr>
        <w:pStyle w:val="FootnoteText"/>
      </w:pPr>
      <w:r>
        <w:rPr>
          <w:rStyle w:val="FootnoteReference"/>
        </w:rPr>
        <w:footnoteRef/>
      </w:r>
      <w:r>
        <w:t xml:space="preserve"> Durkheim, p</w:t>
      </w:r>
      <w:r w:rsidR="00DA7BAA">
        <w:t>p</w:t>
      </w:r>
      <w:r>
        <w:t>. 8 -</w:t>
      </w:r>
      <w:r w:rsidR="00DA7BAA">
        <w:t xml:space="preserve"> </w:t>
      </w:r>
      <w:r>
        <w:t>9.</w:t>
      </w:r>
    </w:p>
  </w:footnote>
  <w:footnote w:id="33">
    <w:p w14:paraId="27957841" w14:textId="6A973307" w:rsidR="001C70DB" w:rsidRDefault="001C70DB">
      <w:pPr>
        <w:pStyle w:val="FootnoteText"/>
      </w:pPr>
      <w:r>
        <w:rPr>
          <w:rStyle w:val="FootnoteReference"/>
        </w:rPr>
        <w:footnoteRef/>
      </w:r>
      <w:r>
        <w:t xml:space="preserve"> Durkheim, p. 10. </w:t>
      </w:r>
    </w:p>
  </w:footnote>
  <w:footnote w:id="34">
    <w:p w14:paraId="2A4273FF" w14:textId="24AA00C1" w:rsidR="00432B0B" w:rsidRDefault="00432B0B">
      <w:pPr>
        <w:pStyle w:val="FootnoteText"/>
      </w:pPr>
      <w:r>
        <w:rPr>
          <w:rStyle w:val="FootnoteReference"/>
        </w:rPr>
        <w:footnoteRef/>
      </w:r>
      <w:r>
        <w:t xml:space="preserve"> Ibid.</w:t>
      </w:r>
    </w:p>
  </w:footnote>
  <w:footnote w:id="35">
    <w:p w14:paraId="12310A42" w14:textId="2E576F37" w:rsidR="00A358F7" w:rsidRDefault="00A358F7">
      <w:pPr>
        <w:pStyle w:val="FootnoteText"/>
      </w:pPr>
      <w:r>
        <w:rPr>
          <w:rStyle w:val="FootnoteReference"/>
        </w:rPr>
        <w:footnoteRef/>
      </w:r>
      <w:r>
        <w:t xml:space="preserve"> Fields, translators introduction, p. xliii</w:t>
      </w:r>
    </w:p>
  </w:footnote>
  <w:footnote w:id="36">
    <w:p w14:paraId="554A129F" w14:textId="21242DC1" w:rsidR="005D4B79" w:rsidRDefault="005D4B79">
      <w:pPr>
        <w:pStyle w:val="FootnoteText"/>
      </w:pPr>
      <w:r>
        <w:rPr>
          <w:rStyle w:val="FootnoteReference"/>
        </w:rPr>
        <w:footnoteRef/>
      </w:r>
      <w:r>
        <w:t xml:space="preserve"> Durkheim, p. 11.</w:t>
      </w:r>
    </w:p>
  </w:footnote>
  <w:footnote w:id="37">
    <w:p w14:paraId="7F75FB54" w14:textId="0176393A" w:rsidR="0057223B" w:rsidRDefault="0057223B">
      <w:pPr>
        <w:pStyle w:val="FootnoteText"/>
      </w:pPr>
      <w:r>
        <w:rPr>
          <w:rStyle w:val="FootnoteReference"/>
        </w:rPr>
        <w:footnoteRef/>
      </w:r>
      <w:r>
        <w:t xml:space="preserve"> Ibid. </w:t>
      </w:r>
    </w:p>
  </w:footnote>
  <w:footnote w:id="38">
    <w:p w14:paraId="64A0ECC9" w14:textId="07EDB229" w:rsidR="00A665E0" w:rsidRDefault="00A665E0">
      <w:pPr>
        <w:pStyle w:val="FootnoteText"/>
      </w:pPr>
      <w:r>
        <w:rPr>
          <w:rStyle w:val="FootnoteReference"/>
        </w:rPr>
        <w:footnoteRef/>
      </w:r>
      <w:r>
        <w:t xml:space="preserve"> Ibid, p. 444.</w:t>
      </w:r>
    </w:p>
  </w:footnote>
  <w:footnote w:id="39">
    <w:p w14:paraId="6A3CEDBC" w14:textId="2FDA6B4C" w:rsidR="001163F8" w:rsidRDefault="001163F8">
      <w:pPr>
        <w:pStyle w:val="FootnoteText"/>
      </w:pPr>
      <w:r>
        <w:rPr>
          <w:rStyle w:val="FootnoteReference"/>
        </w:rPr>
        <w:footnoteRef/>
      </w:r>
      <w:r>
        <w:t xml:space="preserve"> Ibid. p. 8</w:t>
      </w:r>
    </w:p>
  </w:footnote>
  <w:footnote w:id="40">
    <w:p w14:paraId="6F41343C" w14:textId="77777777" w:rsidR="008D1357" w:rsidRDefault="008D1357" w:rsidP="008D1357">
      <w:pPr>
        <w:pStyle w:val="FootnoteText"/>
      </w:pPr>
      <w:r>
        <w:rPr>
          <w:rStyle w:val="FootnoteReference"/>
        </w:rPr>
        <w:footnoteRef/>
      </w:r>
      <w:r>
        <w:t xml:space="preserve"> Allen, p. 16. </w:t>
      </w:r>
    </w:p>
  </w:footnote>
  <w:footnote w:id="41">
    <w:p w14:paraId="711320BE" w14:textId="6AF6CF79" w:rsidR="00C87507" w:rsidRDefault="00C87507">
      <w:pPr>
        <w:pStyle w:val="FootnoteText"/>
      </w:pPr>
      <w:r>
        <w:rPr>
          <w:rStyle w:val="FootnoteReference"/>
        </w:rPr>
        <w:footnoteRef/>
      </w:r>
      <w:r>
        <w:t xml:space="preserve"> Eliade, p.  20. </w:t>
      </w:r>
    </w:p>
  </w:footnote>
  <w:footnote w:id="42">
    <w:p w14:paraId="7A44F937" w14:textId="488AE636" w:rsidR="00110239" w:rsidRDefault="00110239">
      <w:pPr>
        <w:pStyle w:val="FootnoteText"/>
      </w:pPr>
      <w:r>
        <w:rPr>
          <w:rStyle w:val="FootnoteReference"/>
        </w:rPr>
        <w:footnoteRef/>
      </w:r>
      <w:r>
        <w:t xml:space="preserve"> Eliade, p. 25</w:t>
      </w:r>
    </w:p>
  </w:footnote>
  <w:footnote w:id="43">
    <w:p w14:paraId="65C13045" w14:textId="19BFB313" w:rsidR="00B9002F" w:rsidRDefault="00B9002F">
      <w:pPr>
        <w:pStyle w:val="FootnoteText"/>
      </w:pPr>
      <w:r>
        <w:rPr>
          <w:rStyle w:val="FootnoteReference"/>
        </w:rPr>
        <w:footnoteRef/>
      </w:r>
      <w:r>
        <w:t xml:space="preserve"> Ibid. </w:t>
      </w:r>
    </w:p>
  </w:footnote>
  <w:footnote w:id="44">
    <w:p w14:paraId="0DF99676" w14:textId="22029FDC" w:rsidR="00B9002F" w:rsidRDefault="00B9002F">
      <w:pPr>
        <w:pStyle w:val="FootnoteText"/>
      </w:pPr>
      <w:r>
        <w:rPr>
          <w:rStyle w:val="FootnoteReference"/>
        </w:rPr>
        <w:footnoteRef/>
      </w:r>
      <w:r>
        <w:t xml:space="preserve"> Ibid, pp. 25 – 26. </w:t>
      </w:r>
    </w:p>
  </w:footnote>
  <w:footnote w:id="45">
    <w:p w14:paraId="1E149E81" w14:textId="2EC2C4A1" w:rsidR="007048C8" w:rsidRDefault="007048C8">
      <w:pPr>
        <w:pStyle w:val="FootnoteText"/>
      </w:pPr>
      <w:r>
        <w:rPr>
          <w:rStyle w:val="FootnoteReference"/>
        </w:rPr>
        <w:footnoteRef/>
      </w:r>
      <w:r>
        <w:t xml:space="preserve"> Ibid. p. 26</w:t>
      </w:r>
    </w:p>
  </w:footnote>
  <w:footnote w:id="46">
    <w:p w14:paraId="69662FB4" w14:textId="63B2DB85" w:rsidR="009C327E" w:rsidRDefault="009C327E">
      <w:pPr>
        <w:pStyle w:val="FootnoteText"/>
      </w:pPr>
      <w:r>
        <w:rPr>
          <w:rStyle w:val="FootnoteReference"/>
        </w:rPr>
        <w:footnoteRef/>
      </w:r>
      <w:r>
        <w:t xml:space="preserve"> Eliade, p. 29. </w:t>
      </w:r>
    </w:p>
  </w:footnote>
  <w:footnote w:id="47">
    <w:p w14:paraId="61C7EB83" w14:textId="77777777" w:rsidR="00AA0AB0" w:rsidRDefault="00AA0AB0" w:rsidP="00AA0AB0">
      <w:pPr>
        <w:pStyle w:val="FootnoteText"/>
      </w:pPr>
      <w:r>
        <w:rPr>
          <w:rStyle w:val="FootnoteReference"/>
        </w:rPr>
        <w:footnoteRef/>
      </w:r>
      <w:r>
        <w:t xml:space="preserve"> Rennie, p. 75.</w:t>
      </w:r>
    </w:p>
  </w:footnote>
  <w:footnote w:id="48">
    <w:p w14:paraId="4DA2DFC0" w14:textId="77777777" w:rsidR="00AA0AB0" w:rsidRDefault="00AA0AB0" w:rsidP="00AA0AB0">
      <w:pPr>
        <w:pStyle w:val="FootnoteText"/>
      </w:pPr>
      <w:r>
        <w:rPr>
          <w:rStyle w:val="FootnoteReference"/>
        </w:rPr>
        <w:footnoteRef/>
      </w:r>
      <w:r>
        <w:t xml:space="preserve"> Studstill, p. 180. </w:t>
      </w:r>
    </w:p>
  </w:footnote>
  <w:footnote w:id="49">
    <w:p w14:paraId="1E8081A7" w14:textId="7FD97ED0" w:rsidR="004340D4" w:rsidRDefault="004340D4">
      <w:pPr>
        <w:pStyle w:val="FootnoteText"/>
      </w:pPr>
      <w:r>
        <w:rPr>
          <w:rStyle w:val="FootnoteReference"/>
        </w:rPr>
        <w:footnoteRef/>
      </w:r>
      <w:r>
        <w:t xml:space="preserve"> </w:t>
      </w:r>
      <w:r w:rsidRPr="004340D4">
        <w:t xml:space="preserve">W. S. F. Pickering, Durkheim’s Sociology </w:t>
      </w:r>
      <w:proofErr w:type="gramStart"/>
      <w:r w:rsidRPr="004340D4">
        <w:t>Of</w:t>
      </w:r>
      <w:proofErr w:type="gramEnd"/>
      <w:r w:rsidRPr="004340D4">
        <w:t xml:space="preserve"> Religion: Themes And Theories (Cambridge, [England: James Clarke &amp; Co, 2009), p. 116.</w:t>
      </w:r>
    </w:p>
  </w:footnote>
  <w:footnote w:id="50">
    <w:p w14:paraId="0EC50029" w14:textId="44C15160" w:rsidR="00E37368" w:rsidRDefault="00E37368">
      <w:pPr>
        <w:pStyle w:val="FootnoteText"/>
      </w:pPr>
      <w:r>
        <w:rPr>
          <w:rStyle w:val="FootnoteReference"/>
        </w:rPr>
        <w:footnoteRef/>
      </w:r>
      <w:r>
        <w:t xml:space="preserve"> Durkheim, p. 23. </w:t>
      </w:r>
    </w:p>
  </w:footnote>
  <w:footnote w:id="51">
    <w:p w14:paraId="528D4943" w14:textId="77F57AC6" w:rsidR="00B0311B" w:rsidRDefault="00B0311B">
      <w:pPr>
        <w:pStyle w:val="FootnoteText"/>
      </w:pPr>
      <w:r>
        <w:rPr>
          <w:rStyle w:val="FootnoteReference"/>
        </w:rPr>
        <w:footnoteRef/>
      </w:r>
      <w:r>
        <w:t xml:space="preserve"> Durkheim, p. 33. </w:t>
      </w:r>
    </w:p>
  </w:footnote>
  <w:footnote w:id="52">
    <w:p w14:paraId="713ED87C" w14:textId="72D35D2A" w:rsidR="009D367B" w:rsidRDefault="009D367B">
      <w:pPr>
        <w:pStyle w:val="FootnoteText"/>
      </w:pPr>
      <w:r>
        <w:rPr>
          <w:rStyle w:val="FootnoteReference"/>
        </w:rPr>
        <w:footnoteRef/>
      </w:r>
      <w:r>
        <w:t xml:space="preserve"> Durkheim, p. 34. </w:t>
      </w:r>
    </w:p>
  </w:footnote>
  <w:footnote w:id="53">
    <w:p w14:paraId="6F761C90" w14:textId="44E3B19B" w:rsidR="004E3A0E" w:rsidRDefault="004E3A0E">
      <w:pPr>
        <w:pStyle w:val="FootnoteText"/>
      </w:pPr>
      <w:r>
        <w:rPr>
          <w:rStyle w:val="FootnoteReference"/>
        </w:rPr>
        <w:footnoteRef/>
      </w:r>
      <w:r>
        <w:t xml:space="preserve"> Durkheim, p. 35. </w:t>
      </w:r>
    </w:p>
  </w:footnote>
  <w:footnote w:id="54">
    <w:p w14:paraId="59479E0D" w14:textId="5E591D5C" w:rsidR="00D77987" w:rsidRDefault="00D77987">
      <w:pPr>
        <w:pStyle w:val="FootnoteText"/>
      </w:pPr>
      <w:r>
        <w:rPr>
          <w:rStyle w:val="FootnoteReference"/>
        </w:rPr>
        <w:footnoteRef/>
      </w:r>
      <w:r>
        <w:t xml:space="preserve"> Durkheim, p. </w:t>
      </w:r>
      <w:r w:rsidR="00CC0999">
        <w:t xml:space="preserve">33. </w:t>
      </w:r>
    </w:p>
  </w:footnote>
  <w:footnote w:id="55">
    <w:p w14:paraId="2E3E3263" w14:textId="2E579D6F" w:rsidR="002E721B" w:rsidRDefault="002E721B">
      <w:pPr>
        <w:pStyle w:val="FootnoteText"/>
      </w:pPr>
      <w:r>
        <w:rPr>
          <w:rStyle w:val="FootnoteReference"/>
        </w:rPr>
        <w:footnoteRef/>
      </w:r>
      <w:r>
        <w:t xml:space="preserve"> Durkheim, p. </w:t>
      </w:r>
      <w:r w:rsidR="004C0AEE">
        <w:t xml:space="preserve">36. </w:t>
      </w:r>
    </w:p>
  </w:footnote>
  <w:footnote w:id="56">
    <w:p w14:paraId="00F649A7" w14:textId="65F1F4F3" w:rsidR="000646AE" w:rsidRDefault="000646AE">
      <w:pPr>
        <w:pStyle w:val="FootnoteText"/>
      </w:pPr>
      <w:r>
        <w:rPr>
          <w:rStyle w:val="FootnoteReference"/>
        </w:rPr>
        <w:footnoteRef/>
      </w:r>
      <w:r>
        <w:t xml:space="preserve"> Durkheim, p. 37</w:t>
      </w:r>
    </w:p>
  </w:footnote>
  <w:footnote w:id="57">
    <w:p w14:paraId="0546FBB0" w14:textId="60B5BC8A" w:rsidR="005811BD" w:rsidRDefault="005811BD">
      <w:pPr>
        <w:pStyle w:val="FootnoteText"/>
      </w:pPr>
      <w:r>
        <w:rPr>
          <w:rStyle w:val="FootnoteReference"/>
        </w:rPr>
        <w:footnoteRef/>
      </w:r>
      <w:r>
        <w:t xml:space="preserve"> Fields, translators introduction, p. xlvi. </w:t>
      </w:r>
    </w:p>
  </w:footnote>
  <w:footnote w:id="58">
    <w:p w14:paraId="54A373B2" w14:textId="18731F1D" w:rsidR="00B71945" w:rsidRDefault="00B71945">
      <w:pPr>
        <w:pStyle w:val="FootnoteText"/>
      </w:pPr>
      <w:r>
        <w:rPr>
          <w:rStyle w:val="FootnoteReference"/>
        </w:rPr>
        <w:footnoteRef/>
      </w:r>
      <w:r>
        <w:t xml:space="preserve"> Durkheim, p. 444.</w:t>
      </w:r>
    </w:p>
  </w:footnote>
  <w:footnote w:id="59">
    <w:p w14:paraId="264D749F" w14:textId="4F29D346" w:rsidR="00D930CE" w:rsidRDefault="00D930CE">
      <w:pPr>
        <w:pStyle w:val="FootnoteText"/>
      </w:pPr>
      <w:r>
        <w:rPr>
          <w:rStyle w:val="FootnoteReference"/>
        </w:rPr>
        <w:footnoteRef/>
      </w:r>
      <w:r>
        <w:t xml:space="preserve"> Ibid. </w:t>
      </w:r>
    </w:p>
  </w:footnote>
  <w:footnote w:id="60">
    <w:p w14:paraId="56C336D5" w14:textId="73186DAE" w:rsidR="00B206E9" w:rsidRDefault="00B206E9">
      <w:pPr>
        <w:pStyle w:val="FootnoteText"/>
      </w:pPr>
      <w:r>
        <w:rPr>
          <w:rStyle w:val="FootnoteReference"/>
        </w:rPr>
        <w:footnoteRef/>
      </w:r>
      <w:r>
        <w:t xml:space="preserve"> Eliade, p. 32. </w:t>
      </w:r>
    </w:p>
  </w:footnote>
  <w:footnote w:id="61">
    <w:p w14:paraId="12EAE98A" w14:textId="77A9B3AD" w:rsidR="00B206E9" w:rsidRDefault="00B206E9">
      <w:pPr>
        <w:pStyle w:val="FootnoteText"/>
      </w:pPr>
      <w:r>
        <w:rPr>
          <w:rStyle w:val="FootnoteReference"/>
        </w:rPr>
        <w:footnoteRef/>
      </w:r>
      <w:r>
        <w:t xml:space="preserve"> Ibid. </w:t>
      </w:r>
    </w:p>
  </w:footnote>
  <w:footnote w:id="62">
    <w:p w14:paraId="478FF2B6" w14:textId="2447A311" w:rsidR="00C01A81" w:rsidRDefault="00C01A81">
      <w:pPr>
        <w:pStyle w:val="FootnoteText"/>
      </w:pPr>
      <w:r>
        <w:rPr>
          <w:rStyle w:val="FootnoteReference"/>
        </w:rPr>
        <w:footnoteRef/>
      </w:r>
      <w:r>
        <w:t xml:space="preserve"> Ibid. </w:t>
      </w:r>
    </w:p>
  </w:footnote>
  <w:footnote w:id="63">
    <w:p w14:paraId="7661A24A" w14:textId="10941A73" w:rsidR="00251316" w:rsidRDefault="00251316">
      <w:pPr>
        <w:pStyle w:val="FootnoteText"/>
      </w:pPr>
      <w:r>
        <w:rPr>
          <w:rStyle w:val="FootnoteReference"/>
        </w:rPr>
        <w:footnoteRef/>
      </w:r>
      <w:r>
        <w:t xml:space="preserve"> Ibid. p. 34. </w:t>
      </w:r>
    </w:p>
  </w:footnote>
  <w:footnote w:id="64">
    <w:p w14:paraId="2F772487" w14:textId="2B5F36A9" w:rsidR="003144F8" w:rsidRDefault="003144F8">
      <w:pPr>
        <w:pStyle w:val="FootnoteText"/>
      </w:pPr>
      <w:r>
        <w:rPr>
          <w:rStyle w:val="FootnoteReference"/>
        </w:rPr>
        <w:footnoteRef/>
      </w:r>
      <w:r>
        <w:t xml:space="preserve"> Ibid, p. 38.</w:t>
      </w:r>
    </w:p>
  </w:footnote>
  <w:footnote w:id="65">
    <w:p w14:paraId="5033A5F3" w14:textId="3E281D84" w:rsidR="00294898" w:rsidRDefault="00294898">
      <w:pPr>
        <w:pStyle w:val="FootnoteText"/>
      </w:pPr>
      <w:r>
        <w:rPr>
          <w:rStyle w:val="FootnoteReference"/>
        </w:rPr>
        <w:footnoteRef/>
      </w:r>
      <w:r>
        <w:t xml:space="preserve"> Ibid, p. 39. </w:t>
      </w:r>
    </w:p>
  </w:footnote>
  <w:footnote w:id="66">
    <w:p w14:paraId="685B483A" w14:textId="34B0E697" w:rsidR="0044607B" w:rsidRDefault="0044607B">
      <w:pPr>
        <w:pStyle w:val="FootnoteText"/>
      </w:pPr>
      <w:r>
        <w:rPr>
          <w:rStyle w:val="FootnoteReference"/>
        </w:rPr>
        <w:footnoteRef/>
      </w:r>
      <w:r>
        <w:t xml:space="preserve"> Fields, translators introduction, p. xlvi.</w:t>
      </w:r>
    </w:p>
  </w:footnote>
  <w:footnote w:id="67">
    <w:p w14:paraId="18F19322" w14:textId="5BEA7FA3" w:rsidR="00745A2F" w:rsidRDefault="00745A2F">
      <w:pPr>
        <w:pStyle w:val="FootnoteText"/>
      </w:pPr>
      <w:r>
        <w:rPr>
          <w:rStyle w:val="FootnoteReference"/>
        </w:rPr>
        <w:footnoteRef/>
      </w:r>
      <w:r>
        <w:t xml:space="preserve"> Ibid. p. 63</w:t>
      </w:r>
    </w:p>
  </w:footnote>
  <w:footnote w:id="68">
    <w:p w14:paraId="33903878" w14:textId="2814EE47" w:rsidR="00F152EF" w:rsidRDefault="00F152EF">
      <w:pPr>
        <w:pStyle w:val="FootnoteText"/>
      </w:pPr>
      <w:r>
        <w:rPr>
          <w:rStyle w:val="FootnoteReference"/>
        </w:rPr>
        <w:footnoteRef/>
      </w:r>
      <w:r>
        <w:t xml:space="preserve"> Durkheim, p. 448.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A3259" w14:textId="22A5A028" w:rsidR="009439AB" w:rsidRDefault="009439AB">
    <w:pPr>
      <w:pStyle w:val="Header"/>
    </w:pPr>
    <w:r>
      <w:t>Ayeshah Lalloo</w:t>
    </w:r>
    <w:r>
      <w:ptab w:relativeTo="margin" w:alignment="center" w:leader="none"/>
    </w:r>
    <w:r>
      <w:t>HPCA7014</w:t>
    </w:r>
    <w:r>
      <w:ptab w:relativeTo="margin" w:alignment="right" w:leader="none"/>
    </w:r>
    <w:r>
      <w:t>Essay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FA"/>
    <w:rsid w:val="000027B6"/>
    <w:rsid w:val="000101A2"/>
    <w:rsid w:val="00020B34"/>
    <w:rsid w:val="00024A21"/>
    <w:rsid w:val="00030BF8"/>
    <w:rsid w:val="000328C5"/>
    <w:rsid w:val="00035600"/>
    <w:rsid w:val="00037407"/>
    <w:rsid w:val="00040219"/>
    <w:rsid w:val="0004069F"/>
    <w:rsid w:val="00042A92"/>
    <w:rsid w:val="0004380C"/>
    <w:rsid w:val="00046D28"/>
    <w:rsid w:val="00047FB4"/>
    <w:rsid w:val="000506DE"/>
    <w:rsid w:val="00051839"/>
    <w:rsid w:val="00051FA0"/>
    <w:rsid w:val="0006329C"/>
    <w:rsid w:val="000646AE"/>
    <w:rsid w:val="00067236"/>
    <w:rsid w:val="00072E58"/>
    <w:rsid w:val="00081454"/>
    <w:rsid w:val="00086A7D"/>
    <w:rsid w:val="00087614"/>
    <w:rsid w:val="000919B7"/>
    <w:rsid w:val="00095F85"/>
    <w:rsid w:val="0009704E"/>
    <w:rsid w:val="000A3FB1"/>
    <w:rsid w:val="000A75E5"/>
    <w:rsid w:val="000D0ABE"/>
    <w:rsid w:val="000D6E96"/>
    <w:rsid w:val="000D78BA"/>
    <w:rsid w:val="000E11F1"/>
    <w:rsid w:val="000E4DFF"/>
    <w:rsid w:val="000E55A0"/>
    <w:rsid w:val="000F46BE"/>
    <w:rsid w:val="000F7744"/>
    <w:rsid w:val="000F7F6B"/>
    <w:rsid w:val="00100455"/>
    <w:rsid w:val="00103630"/>
    <w:rsid w:val="00105CAD"/>
    <w:rsid w:val="00106BD8"/>
    <w:rsid w:val="00107BBD"/>
    <w:rsid w:val="00107CFB"/>
    <w:rsid w:val="00110239"/>
    <w:rsid w:val="00110918"/>
    <w:rsid w:val="001122E0"/>
    <w:rsid w:val="001134BA"/>
    <w:rsid w:val="001163F8"/>
    <w:rsid w:val="00117DF5"/>
    <w:rsid w:val="0012014D"/>
    <w:rsid w:val="00120A98"/>
    <w:rsid w:val="0013077E"/>
    <w:rsid w:val="0013265A"/>
    <w:rsid w:val="00136BBA"/>
    <w:rsid w:val="00137C77"/>
    <w:rsid w:val="00141967"/>
    <w:rsid w:val="00146062"/>
    <w:rsid w:val="00155CE9"/>
    <w:rsid w:val="0016510D"/>
    <w:rsid w:val="00165708"/>
    <w:rsid w:val="00166369"/>
    <w:rsid w:val="001714DA"/>
    <w:rsid w:val="00177419"/>
    <w:rsid w:val="00181FF9"/>
    <w:rsid w:val="00184E4D"/>
    <w:rsid w:val="0018564E"/>
    <w:rsid w:val="0018709D"/>
    <w:rsid w:val="001923D3"/>
    <w:rsid w:val="001A2650"/>
    <w:rsid w:val="001A3432"/>
    <w:rsid w:val="001A34C3"/>
    <w:rsid w:val="001A53EB"/>
    <w:rsid w:val="001B25B3"/>
    <w:rsid w:val="001B2EDC"/>
    <w:rsid w:val="001C3985"/>
    <w:rsid w:val="001C4ADC"/>
    <w:rsid w:val="001C70DB"/>
    <w:rsid w:val="001D1C60"/>
    <w:rsid w:val="001D63E5"/>
    <w:rsid w:val="001E1CC0"/>
    <w:rsid w:val="001F525A"/>
    <w:rsid w:val="0020082B"/>
    <w:rsid w:val="00202102"/>
    <w:rsid w:val="00202394"/>
    <w:rsid w:val="0020447E"/>
    <w:rsid w:val="00222413"/>
    <w:rsid w:val="00230EA4"/>
    <w:rsid w:val="00231680"/>
    <w:rsid w:val="00233AD2"/>
    <w:rsid w:val="0024032B"/>
    <w:rsid w:val="002404B2"/>
    <w:rsid w:val="00242F20"/>
    <w:rsid w:val="002442E3"/>
    <w:rsid w:val="00244ECB"/>
    <w:rsid w:val="0024578A"/>
    <w:rsid w:val="00251316"/>
    <w:rsid w:val="00253187"/>
    <w:rsid w:val="00260598"/>
    <w:rsid w:val="00261786"/>
    <w:rsid w:val="00265889"/>
    <w:rsid w:val="00275840"/>
    <w:rsid w:val="0028263E"/>
    <w:rsid w:val="0028555C"/>
    <w:rsid w:val="0028684D"/>
    <w:rsid w:val="002922BD"/>
    <w:rsid w:val="00293E9D"/>
    <w:rsid w:val="00294898"/>
    <w:rsid w:val="002A0705"/>
    <w:rsid w:val="002A1502"/>
    <w:rsid w:val="002A2A55"/>
    <w:rsid w:val="002B0EC8"/>
    <w:rsid w:val="002B5655"/>
    <w:rsid w:val="002B5FE3"/>
    <w:rsid w:val="002C003B"/>
    <w:rsid w:val="002D2E14"/>
    <w:rsid w:val="002D7573"/>
    <w:rsid w:val="002E6C79"/>
    <w:rsid w:val="002E721B"/>
    <w:rsid w:val="002E72CC"/>
    <w:rsid w:val="002F3D4D"/>
    <w:rsid w:val="00300FEF"/>
    <w:rsid w:val="003101E8"/>
    <w:rsid w:val="003144F8"/>
    <w:rsid w:val="003167DE"/>
    <w:rsid w:val="00323D3E"/>
    <w:rsid w:val="003277D8"/>
    <w:rsid w:val="003429E0"/>
    <w:rsid w:val="0034746A"/>
    <w:rsid w:val="00351E21"/>
    <w:rsid w:val="0036184C"/>
    <w:rsid w:val="00362934"/>
    <w:rsid w:val="00363725"/>
    <w:rsid w:val="00367914"/>
    <w:rsid w:val="00370500"/>
    <w:rsid w:val="003800DF"/>
    <w:rsid w:val="00380324"/>
    <w:rsid w:val="0038188C"/>
    <w:rsid w:val="00386855"/>
    <w:rsid w:val="00387362"/>
    <w:rsid w:val="003A3B87"/>
    <w:rsid w:val="003A5D7A"/>
    <w:rsid w:val="003B3963"/>
    <w:rsid w:val="003D0EFE"/>
    <w:rsid w:val="003D7F02"/>
    <w:rsid w:val="003E2150"/>
    <w:rsid w:val="003E584F"/>
    <w:rsid w:val="003E701C"/>
    <w:rsid w:val="003F6B4D"/>
    <w:rsid w:val="003F738B"/>
    <w:rsid w:val="00401CEB"/>
    <w:rsid w:val="004027F5"/>
    <w:rsid w:val="00411C7F"/>
    <w:rsid w:val="00413CF9"/>
    <w:rsid w:val="00420336"/>
    <w:rsid w:val="00422F95"/>
    <w:rsid w:val="00427423"/>
    <w:rsid w:val="004319B5"/>
    <w:rsid w:val="0043247A"/>
    <w:rsid w:val="00432B0B"/>
    <w:rsid w:val="004340D4"/>
    <w:rsid w:val="004370E3"/>
    <w:rsid w:val="0044164B"/>
    <w:rsid w:val="00445E0E"/>
    <w:rsid w:val="0044607B"/>
    <w:rsid w:val="0044751C"/>
    <w:rsid w:val="00453B98"/>
    <w:rsid w:val="00453CBF"/>
    <w:rsid w:val="00456458"/>
    <w:rsid w:val="004613A6"/>
    <w:rsid w:val="004727D3"/>
    <w:rsid w:val="0047767C"/>
    <w:rsid w:val="0048060B"/>
    <w:rsid w:val="00484E3B"/>
    <w:rsid w:val="004862D4"/>
    <w:rsid w:val="004862F2"/>
    <w:rsid w:val="00494706"/>
    <w:rsid w:val="00494777"/>
    <w:rsid w:val="004A0439"/>
    <w:rsid w:val="004A1953"/>
    <w:rsid w:val="004B0FA3"/>
    <w:rsid w:val="004B2551"/>
    <w:rsid w:val="004B69C4"/>
    <w:rsid w:val="004C0AEE"/>
    <w:rsid w:val="004C3A02"/>
    <w:rsid w:val="004C448A"/>
    <w:rsid w:val="004E161D"/>
    <w:rsid w:val="004E1804"/>
    <w:rsid w:val="004E3A0E"/>
    <w:rsid w:val="004F730D"/>
    <w:rsid w:val="00501214"/>
    <w:rsid w:val="00501762"/>
    <w:rsid w:val="0050702A"/>
    <w:rsid w:val="00507BB3"/>
    <w:rsid w:val="005115DD"/>
    <w:rsid w:val="00511B2B"/>
    <w:rsid w:val="005135C2"/>
    <w:rsid w:val="0051448F"/>
    <w:rsid w:val="0052104B"/>
    <w:rsid w:val="00524242"/>
    <w:rsid w:val="005273F7"/>
    <w:rsid w:val="00537843"/>
    <w:rsid w:val="005409EB"/>
    <w:rsid w:val="00540FF7"/>
    <w:rsid w:val="0054165D"/>
    <w:rsid w:val="005440FD"/>
    <w:rsid w:val="00564FB3"/>
    <w:rsid w:val="00566F48"/>
    <w:rsid w:val="0057223B"/>
    <w:rsid w:val="005811BD"/>
    <w:rsid w:val="0058311F"/>
    <w:rsid w:val="00587883"/>
    <w:rsid w:val="00597A00"/>
    <w:rsid w:val="005A6B12"/>
    <w:rsid w:val="005A70A1"/>
    <w:rsid w:val="005C5653"/>
    <w:rsid w:val="005D1DAE"/>
    <w:rsid w:val="005D4B79"/>
    <w:rsid w:val="005E6D9C"/>
    <w:rsid w:val="005E77FC"/>
    <w:rsid w:val="00607362"/>
    <w:rsid w:val="00607EB0"/>
    <w:rsid w:val="00610B43"/>
    <w:rsid w:val="0062189E"/>
    <w:rsid w:val="00621EC4"/>
    <w:rsid w:val="00623192"/>
    <w:rsid w:val="00635961"/>
    <w:rsid w:val="00650D2F"/>
    <w:rsid w:val="00653288"/>
    <w:rsid w:val="00654B63"/>
    <w:rsid w:val="006612F6"/>
    <w:rsid w:val="00661907"/>
    <w:rsid w:val="00663552"/>
    <w:rsid w:val="0066676D"/>
    <w:rsid w:val="00666BFB"/>
    <w:rsid w:val="00667DA2"/>
    <w:rsid w:val="0068424E"/>
    <w:rsid w:val="00690D4E"/>
    <w:rsid w:val="00691005"/>
    <w:rsid w:val="00694ADE"/>
    <w:rsid w:val="00695BCE"/>
    <w:rsid w:val="006966A5"/>
    <w:rsid w:val="0069700B"/>
    <w:rsid w:val="006A0109"/>
    <w:rsid w:val="006A0EDE"/>
    <w:rsid w:val="006B3AF8"/>
    <w:rsid w:val="006C6AF4"/>
    <w:rsid w:val="006D1689"/>
    <w:rsid w:val="006E099D"/>
    <w:rsid w:val="006E2196"/>
    <w:rsid w:val="006E5274"/>
    <w:rsid w:val="006E7523"/>
    <w:rsid w:val="006E79F7"/>
    <w:rsid w:val="006F2F1A"/>
    <w:rsid w:val="006F4F27"/>
    <w:rsid w:val="006F592D"/>
    <w:rsid w:val="006F7B70"/>
    <w:rsid w:val="007042A5"/>
    <w:rsid w:val="007048C8"/>
    <w:rsid w:val="00706011"/>
    <w:rsid w:val="0071257E"/>
    <w:rsid w:val="00712A99"/>
    <w:rsid w:val="0071331B"/>
    <w:rsid w:val="00717686"/>
    <w:rsid w:val="007206F5"/>
    <w:rsid w:val="0073041C"/>
    <w:rsid w:val="0074013F"/>
    <w:rsid w:val="007416E5"/>
    <w:rsid w:val="00745A2F"/>
    <w:rsid w:val="0075542C"/>
    <w:rsid w:val="007628C2"/>
    <w:rsid w:val="00765C82"/>
    <w:rsid w:val="00785580"/>
    <w:rsid w:val="007856C1"/>
    <w:rsid w:val="00785B32"/>
    <w:rsid w:val="00790954"/>
    <w:rsid w:val="0079733F"/>
    <w:rsid w:val="007A3EBD"/>
    <w:rsid w:val="007B0377"/>
    <w:rsid w:val="007B0BE8"/>
    <w:rsid w:val="007B17CA"/>
    <w:rsid w:val="007B4A1A"/>
    <w:rsid w:val="007C0854"/>
    <w:rsid w:val="007C0E13"/>
    <w:rsid w:val="007C307E"/>
    <w:rsid w:val="007C716E"/>
    <w:rsid w:val="007D363C"/>
    <w:rsid w:val="007E0965"/>
    <w:rsid w:val="007E16F0"/>
    <w:rsid w:val="007E2933"/>
    <w:rsid w:val="007F0E92"/>
    <w:rsid w:val="007F178C"/>
    <w:rsid w:val="007F7318"/>
    <w:rsid w:val="00800C48"/>
    <w:rsid w:val="00804A6E"/>
    <w:rsid w:val="008114C8"/>
    <w:rsid w:val="0082108C"/>
    <w:rsid w:val="0082190E"/>
    <w:rsid w:val="00821F9D"/>
    <w:rsid w:val="00822EAF"/>
    <w:rsid w:val="00823CF7"/>
    <w:rsid w:val="00833DC4"/>
    <w:rsid w:val="008373FE"/>
    <w:rsid w:val="00842543"/>
    <w:rsid w:val="0084656A"/>
    <w:rsid w:val="00861283"/>
    <w:rsid w:val="00863D3E"/>
    <w:rsid w:val="0087122D"/>
    <w:rsid w:val="008755B5"/>
    <w:rsid w:val="0088082D"/>
    <w:rsid w:val="00882AFE"/>
    <w:rsid w:val="00886524"/>
    <w:rsid w:val="00887E17"/>
    <w:rsid w:val="00887E5D"/>
    <w:rsid w:val="00893C20"/>
    <w:rsid w:val="008949AA"/>
    <w:rsid w:val="00896538"/>
    <w:rsid w:val="00896825"/>
    <w:rsid w:val="008B1605"/>
    <w:rsid w:val="008B22AF"/>
    <w:rsid w:val="008B679A"/>
    <w:rsid w:val="008B70A8"/>
    <w:rsid w:val="008C3F3D"/>
    <w:rsid w:val="008C413F"/>
    <w:rsid w:val="008D1357"/>
    <w:rsid w:val="008D6125"/>
    <w:rsid w:val="008D7BD2"/>
    <w:rsid w:val="008D7C0C"/>
    <w:rsid w:val="008E38DE"/>
    <w:rsid w:val="008F0A50"/>
    <w:rsid w:val="008F16DE"/>
    <w:rsid w:val="009000C5"/>
    <w:rsid w:val="00911AD9"/>
    <w:rsid w:val="00912CAE"/>
    <w:rsid w:val="00914D8A"/>
    <w:rsid w:val="00917C0D"/>
    <w:rsid w:val="009204E3"/>
    <w:rsid w:val="00923EC6"/>
    <w:rsid w:val="00926C84"/>
    <w:rsid w:val="00931A3B"/>
    <w:rsid w:val="00935E0A"/>
    <w:rsid w:val="00941523"/>
    <w:rsid w:val="009439AB"/>
    <w:rsid w:val="0095734B"/>
    <w:rsid w:val="0096501F"/>
    <w:rsid w:val="00967986"/>
    <w:rsid w:val="00967D35"/>
    <w:rsid w:val="009722A2"/>
    <w:rsid w:val="00982EBC"/>
    <w:rsid w:val="0098416F"/>
    <w:rsid w:val="00984664"/>
    <w:rsid w:val="009847C8"/>
    <w:rsid w:val="00996D1C"/>
    <w:rsid w:val="0099705B"/>
    <w:rsid w:val="009A2B10"/>
    <w:rsid w:val="009A62AF"/>
    <w:rsid w:val="009C327E"/>
    <w:rsid w:val="009C4F97"/>
    <w:rsid w:val="009D27AC"/>
    <w:rsid w:val="009D367B"/>
    <w:rsid w:val="009D444D"/>
    <w:rsid w:val="009E30AB"/>
    <w:rsid w:val="009E5B0F"/>
    <w:rsid w:val="009E6669"/>
    <w:rsid w:val="009F2EB9"/>
    <w:rsid w:val="009F3D8D"/>
    <w:rsid w:val="009F4C17"/>
    <w:rsid w:val="009F5159"/>
    <w:rsid w:val="009F6318"/>
    <w:rsid w:val="009F71EE"/>
    <w:rsid w:val="009F7C3D"/>
    <w:rsid w:val="00A00391"/>
    <w:rsid w:val="00A047D9"/>
    <w:rsid w:val="00A10F2F"/>
    <w:rsid w:val="00A134E3"/>
    <w:rsid w:val="00A212F6"/>
    <w:rsid w:val="00A27B2D"/>
    <w:rsid w:val="00A32B87"/>
    <w:rsid w:val="00A358F7"/>
    <w:rsid w:val="00A36645"/>
    <w:rsid w:val="00A451FA"/>
    <w:rsid w:val="00A45260"/>
    <w:rsid w:val="00A46037"/>
    <w:rsid w:val="00A57C9A"/>
    <w:rsid w:val="00A61E14"/>
    <w:rsid w:val="00A665E0"/>
    <w:rsid w:val="00A703F8"/>
    <w:rsid w:val="00A70A5A"/>
    <w:rsid w:val="00A728DF"/>
    <w:rsid w:val="00A8523F"/>
    <w:rsid w:val="00A87C5E"/>
    <w:rsid w:val="00A934D7"/>
    <w:rsid w:val="00AA0AB0"/>
    <w:rsid w:val="00AA3727"/>
    <w:rsid w:val="00AA4722"/>
    <w:rsid w:val="00AA4BB5"/>
    <w:rsid w:val="00AB0555"/>
    <w:rsid w:val="00AB5A57"/>
    <w:rsid w:val="00AE4A22"/>
    <w:rsid w:val="00AE5096"/>
    <w:rsid w:val="00AF0091"/>
    <w:rsid w:val="00AF0378"/>
    <w:rsid w:val="00AF1A7D"/>
    <w:rsid w:val="00AF2358"/>
    <w:rsid w:val="00AF2839"/>
    <w:rsid w:val="00AF2EDF"/>
    <w:rsid w:val="00AF32FA"/>
    <w:rsid w:val="00AF337F"/>
    <w:rsid w:val="00B01353"/>
    <w:rsid w:val="00B0311B"/>
    <w:rsid w:val="00B0662A"/>
    <w:rsid w:val="00B1227B"/>
    <w:rsid w:val="00B133C7"/>
    <w:rsid w:val="00B168FB"/>
    <w:rsid w:val="00B177E1"/>
    <w:rsid w:val="00B206E9"/>
    <w:rsid w:val="00B2214F"/>
    <w:rsid w:val="00B3094C"/>
    <w:rsid w:val="00B47E6A"/>
    <w:rsid w:val="00B546A6"/>
    <w:rsid w:val="00B57D82"/>
    <w:rsid w:val="00B6232E"/>
    <w:rsid w:val="00B659AB"/>
    <w:rsid w:val="00B6621A"/>
    <w:rsid w:val="00B678A4"/>
    <w:rsid w:val="00B67B23"/>
    <w:rsid w:val="00B71945"/>
    <w:rsid w:val="00B8022F"/>
    <w:rsid w:val="00B826E8"/>
    <w:rsid w:val="00B841BC"/>
    <w:rsid w:val="00B9002F"/>
    <w:rsid w:val="00B902DD"/>
    <w:rsid w:val="00B92DF5"/>
    <w:rsid w:val="00B9423C"/>
    <w:rsid w:val="00B94892"/>
    <w:rsid w:val="00BA1873"/>
    <w:rsid w:val="00BA4426"/>
    <w:rsid w:val="00BA7C6D"/>
    <w:rsid w:val="00BB5A7E"/>
    <w:rsid w:val="00BC6E16"/>
    <w:rsid w:val="00BD032B"/>
    <w:rsid w:val="00BD0780"/>
    <w:rsid w:val="00BD0E34"/>
    <w:rsid w:val="00BE4F32"/>
    <w:rsid w:val="00BE742B"/>
    <w:rsid w:val="00BF0262"/>
    <w:rsid w:val="00BF3DA7"/>
    <w:rsid w:val="00BF59F3"/>
    <w:rsid w:val="00BF7019"/>
    <w:rsid w:val="00C00AD3"/>
    <w:rsid w:val="00C01A81"/>
    <w:rsid w:val="00C02238"/>
    <w:rsid w:val="00C03B1E"/>
    <w:rsid w:val="00C04604"/>
    <w:rsid w:val="00C13CBD"/>
    <w:rsid w:val="00C228AE"/>
    <w:rsid w:val="00C3049A"/>
    <w:rsid w:val="00C33D6E"/>
    <w:rsid w:val="00C37954"/>
    <w:rsid w:val="00C41924"/>
    <w:rsid w:val="00C44640"/>
    <w:rsid w:val="00C46CFD"/>
    <w:rsid w:val="00C47A07"/>
    <w:rsid w:val="00C5128D"/>
    <w:rsid w:val="00C514B7"/>
    <w:rsid w:val="00C55E3C"/>
    <w:rsid w:val="00C56415"/>
    <w:rsid w:val="00C6059F"/>
    <w:rsid w:val="00C6241D"/>
    <w:rsid w:val="00C64348"/>
    <w:rsid w:val="00C70C03"/>
    <w:rsid w:val="00C71BD0"/>
    <w:rsid w:val="00C720A3"/>
    <w:rsid w:val="00C72247"/>
    <w:rsid w:val="00C74940"/>
    <w:rsid w:val="00C8221E"/>
    <w:rsid w:val="00C87507"/>
    <w:rsid w:val="00C87C36"/>
    <w:rsid w:val="00C902DE"/>
    <w:rsid w:val="00C922C6"/>
    <w:rsid w:val="00C9270A"/>
    <w:rsid w:val="00C93731"/>
    <w:rsid w:val="00C95B09"/>
    <w:rsid w:val="00C97E3F"/>
    <w:rsid w:val="00CA30A5"/>
    <w:rsid w:val="00CA5CE8"/>
    <w:rsid w:val="00CA764F"/>
    <w:rsid w:val="00CB24BC"/>
    <w:rsid w:val="00CB3A8D"/>
    <w:rsid w:val="00CB7501"/>
    <w:rsid w:val="00CC0999"/>
    <w:rsid w:val="00CC4A80"/>
    <w:rsid w:val="00CD4BD3"/>
    <w:rsid w:val="00CD5C22"/>
    <w:rsid w:val="00CD7400"/>
    <w:rsid w:val="00CE483F"/>
    <w:rsid w:val="00CE7BFE"/>
    <w:rsid w:val="00CF5DFE"/>
    <w:rsid w:val="00CF6A50"/>
    <w:rsid w:val="00D01EC2"/>
    <w:rsid w:val="00D073D7"/>
    <w:rsid w:val="00D2183E"/>
    <w:rsid w:val="00D24867"/>
    <w:rsid w:val="00D2796A"/>
    <w:rsid w:val="00D310D1"/>
    <w:rsid w:val="00D36188"/>
    <w:rsid w:val="00D368B9"/>
    <w:rsid w:val="00D41587"/>
    <w:rsid w:val="00D43652"/>
    <w:rsid w:val="00D44246"/>
    <w:rsid w:val="00D539EA"/>
    <w:rsid w:val="00D549AB"/>
    <w:rsid w:val="00D5514A"/>
    <w:rsid w:val="00D56B2F"/>
    <w:rsid w:val="00D6079A"/>
    <w:rsid w:val="00D60E5B"/>
    <w:rsid w:val="00D611A3"/>
    <w:rsid w:val="00D61FB4"/>
    <w:rsid w:val="00D678B9"/>
    <w:rsid w:val="00D77987"/>
    <w:rsid w:val="00D8060D"/>
    <w:rsid w:val="00D81DF6"/>
    <w:rsid w:val="00D82A24"/>
    <w:rsid w:val="00D921F9"/>
    <w:rsid w:val="00D92654"/>
    <w:rsid w:val="00D930CE"/>
    <w:rsid w:val="00D930ED"/>
    <w:rsid w:val="00D944FC"/>
    <w:rsid w:val="00DA7BAA"/>
    <w:rsid w:val="00DB215A"/>
    <w:rsid w:val="00DB25AA"/>
    <w:rsid w:val="00DB4915"/>
    <w:rsid w:val="00DC1DBB"/>
    <w:rsid w:val="00DC2061"/>
    <w:rsid w:val="00DC4523"/>
    <w:rsid w:val="00DC4E43"/>
    <w:rsid w:val="00DC6928"/>
    <w:rsid w:val="00DD1A7B"/>
    <w:rsid w:val="00DD30CC"/>
    <w:rsid w:val="00DD6AEA"/>
    <w:rsid w:val="00DE442F"/>
    <w:rsid w:val="00DE48F0"/>
    <w:rsid w:val="00DE4C1B"/>
    <w:rsid w:val="00DE70F3"/>
    <w:rsid w:val="00DE7373"/>
    <w:rsid w:val="00DF1E75"/>
    <w:rsid w:val="00E06897"/>
    <w:rsid w:val="00E12694"/>
    <w:rsid w:val="00E143D5"/>
    <w:rsid w:val="00E16D1E"/>
    <w:rsid w:val="00E207D2"/>
    <w:rsid w:val="00E251AD"/>
    <w:rsid w:val="00E26077"/>
    <w:rsid w:val="00E2791D"/>
    <w:rsid w:val="00E3121A"/>
    <w:rsid w:val="00E32B31"/>
    <w:rsid w:val="00E37368"/>
    <w:rsid w:val="00E41452"/>
    <w:rsid w:val="00E45DC4"/>
    <w:rsid w:val="00E46E2D"/>
    <w:rsid w:val="00E47235"/>
    <w:rsid w:val="00E50C26"/>
    <w:rsid w:val="00E54447"/>
    <w:rsid w:val="00E605CD"/>
    <w:rsid w:val="00E618B8"/>
    <w:rsid w:val="00E6428D"/>
    <w:rsid w:val="00E66488"/>
    <w:rsid w:val="00E702C2"/>
    <w:rsid w:val="00E71A40"/>
    <w:rsid w:val="00E7548D"/>
    <w:rsid w:val="00E81AD8"/>
    <w:rsid w:val="00E82158"/>
    <w:rsid w:val="00EA093E"/>
    <w:rsid w:val="00EA6256"/>
    <w:rsid w:val="00EB3392"/>
    <w:rsid w:val="00EB36C6"/>
    <w:rsid w:val="00EB48B9"/>
    <w:rsid w:val="00EB74C2"/>
    <w:rsid w:val="00EC0A8E"/>
    <w:rsid w:val="00EC1EBC"/>
    <w:rsid w:val="00EC2DFC"/>
    <w:rsid w:val="00EC2FC8"/>
    <w:rsid w:val="00EC65CA"/>
    <w:rsid w:val="00ED05CD"/>
    <w:rsid w:val="00ED4513"/>
    <w:rsid w:val="00ED456C"/>
    <w:rsid w:val="00ED7FCB"/>
    <w:rsid w:val="00EE3545"/>
    <w:rsid w:val="00EF0748"/>
    <w:rsid w:val="00EF3202"/>
    <w:rsid w:val="00EF6FCB"/>
    <w:rsid w:val="00EF7212"/>
    <w:rsid w:val="00F02F07"/>
    <w:rsid w:val="00F05D82"/>
    <w:rsid w:val="00F0662A"/>
    <w:rsid w:val="00F123D5"/>
    <w:rsid w:val="00F152EF"/>
    <w:rsid w:val="00F17AC8"/>
    <w:rsid w:val="00F17AE9"/>
    <w:rsid w:val="00F271D9"/>
    <w:rsid w:val="00F30FF4"/>
    <w:rsid w:val="00F32A12"/>
    <w:rsid w:val="00F35965"/>
    <w:rsid w:val="00F4093F"/>
    <w:rsid w:val="00F40944"/>
    <w:rsid w:val="00F420AD"/>
    <w:rsid w:val="00F42EF5"/>
    <w:rsid w:val="00F44758"/>
    <w:rsid w:val="00F45225"/>
    <w:rsid w:val="00F45836"/>
    <w:rsid w:val="00F55D16"/>
    <w:rsid w:val="00F64C05"/>
    <w:rsid w:val="00F659D5"/>
    <w:rsid w:val="00F72CF3"/>
    <w:rsid w:val="00F75BBC"/>
    <w:rsid w:val="00F82A20"/>
    <w:rsid w:val="00F86E29"/>
    <w:rsid w:val="00F87C05"/>
    <w:rsid w:val="00F93B2C"/>
    <w:rsid w:val="00F94093"/>
    <w:rsid w:val="00FB0BA8"/>
    <w:rsid w:val="00FB6AC0"/>
    <w:rsid w:val="00FC6F1A"/>
    <w:rsid w:val="00FD148D"/>
    <w:rsid w:val="00FD22DB"/>
    <w:rsid w:val="00FD5952"/>
    <w:rsid w:val="00FE0E6F"/>
    <w:rsid w:val="00FE1089"/>
    <w:rsid w:val="00FE2D60"/>
    <w:rsid w:val="00FE35D6"/>
    <w:rsid w:val="00FE5879"/>
    <w:rsid w:val="00FF3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37CDB"/>
  <w15:chartTrackingRefBased/>
  <w15:docId w15:val="{F7AAD374-8784-4F45-A6E6-4F36D79E8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9AB"/>
  </w:style>
  <w:style w:type="paragraph" w:styleId="Footer">
    <w:name w:val="footer"/>
    <w:basedOn w:val="Normal"/>
    <w:link w:val="FooterChar"/>
    <w:uiPriority w:val="99"/>
    <w:unhideWhenUsed/>
    <w:rsid w:val="00943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9AB"/>
  </w:style>
  <w:style w:type="paragraph" w:styleId="FootnoteText">
    <w:name w:val="footnote text"/>
    <w:basedOn w:val="Normal"/>
    <w:link w:val="FootnoteTextChar"/>
    <w:uiPriority w:val="99"/>
    <w:semiHidden/>
    <w:unhideWhenUsed/>
    <w:rsid w:val="004E18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804"/>
    <w:rPr>
      <w:sz w:val="20"/>
      <w:szCs w:val="20"/>
    </w:rPr>
  </w:style>
  <w:style w:type="character" w:styleId="FootnoteReference">
    <w:name w:val="footnote reference"/>
    <w:basedOn w:val="DefaultParagraphFont"/>
    <w:uiPriority w:val="99"/>
    <w:semiHidden/>
    <w:unhideWhenUsed/>
    <w:rsid w:val="004E1804"/>
    <w:rPr>
      <w:vertAlign w:val="superscript"/>
    </w:rPr>
  </w:style>
  <w:style w:type="character" w:styleId="Hyperlink">
    <w:name w:val="Hyperlink"/>
    <w:basedOn w:val="DefaultParagraphFont"/>
    <w:uiPriority w:val="99"/>
    <w:unhideWhenUsed/>
    <w:rsid w:val="000F7F6B"/>
    <w:rPr>
      <w:color w:val="0563C1" w:themeColor="hyperlink"/>
      <w:u w:val="single"/>
    </w:rPr>
  </w:style>
  <w:style w:type="character" w:styleId="UnresolvedMention">
    <w:name w:val="Unresolved Mention"/>
    <w:basedOn w:val="DefaultParagraphFont"/>
    <w:uiPriority w:val="99"/>
    <w:semiHidden/>
    <w:unhideWhenUsed/>
    <w:rsid w:val="000F7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68100">
      <w:bodyDiv w:val="1"/>
      <w:marLeft w:val="0"/>
      <w:marRight w:val="0"/>
      <w:marTop w:val="0"/>
      <w:marBottom w:val="0"/>
      <w:divBdr>
        <w:top w:val="none" w:sz="0" w:space="0" w:color="auto"/>
        <w:left w:val="none" w:sz="0" w:space="0" w:color="auto"/>
        <w:bottom w:val="none" w:sz="0" w:space="0" w:color="auto"/>
        <w:right w:val="none" w:sz="0" w:space="0" w:color="auto"/>
      </w:divBdr>
      <w:divsChild>
        <w:div w:id="1603108857">
          <w:marLeft w:val="0"/>
          <w:marRight w:val="0"/>
          <w:marTop w:val="0"/>
          <w:marBottom w:val="0"/>
          <w:divBdr>
            <w:top w:val="none" w:sz="0" w:space="0" w:color="auto"/>
            <w:left w:val="none" w:sz="0" w:space="0" w:color="auto"/>
            <w:bottom w:val="none" w:sz="0" w:space="0" w:color="auto"/>
            <w:right w:val="none" w:sz="0" w:space="0" w:color="auto"/>
          </w:divBdr>
          <w:divsChild>
            <w:div w:id="13248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39079">
      <w:bodyDiv w:val="1"/>
      <w:marLeft w:val="0"/>
      <w:marRight w:val="0"/>
      <w:marTop w:val="0"/>
      <w:marBottom w:val="0"/>
      <w:divBdr>
        <w:top w:val="none" w:sz="0" w:space="0" w:color="auto"/>
        <w:left w:val="none" w:sz="0" w:space="0" w:color="auto"/>
        <w:bottom w:val="none" w:sz="0" w:space="0" w:color="auto"/>
        <w:right w:val="none" w:sz="0" w:space="0" w:color="auto"/>
      </w:divBdr>
      <w:divsChild>
        <w:div w:id="2098822833">
          <w:marLeft w:val="0"/>
          <w:marRight w:val="0"/>
          <w:marTop w:val="0"/>
          <w:marBottom w:val="0"/>
          <w:divBdr>
            <w:top w:val="none" w:sz="0" w:space="0" w:color="auto"/>
            <w:left w:val="none" w:sz="0" w:space="0" w:color="auto"/>
            <w:bottom w:val="none" w:sz="0" w:space="0" w:color="auto"/>
            <w:right w:val="none" w:sz="0" w:space="0" w:color="auto"/>
          </w:divBdr>
          <w:divsChild>
            <w:div w:id="302734312">
              <w:marLeft w:val="0"/>
              <w:marRight w:val="0"/>
              <w:marTop w:val="0"/>
              <w:marBottom w:val="0"/>
              <w:divBdr>
                <w:top w:val="none" w:sz="0" w:space="0" w:color="auto"/>
                <w:left w:val="none" w:sz="0" w:space="0" w:color="auto"/>
                <w:bottom w:val="none" w:sz="0" w:space="0" w:color="auto"/>
                <w:right w:val="none" w:sz="0" w:space="0" w:color="auto"/>
              </w:divBdr>
              <w:divsChild>
                <w:div w:id="1171680341">
                  <w:marLeft w:val="480"/>
                  <w:marRight w:val="0"/>
                  <w:marTop w:val="0"/>
                  <w:marBottom w:val="0"/>
                  <w:divBdr>
                    <w:top w:val="none" w:sz="0" w:space="0" w:color="auto"/>
                    <w:left w:val="none" w:sz="0" w:space="0" w:color="auto"/>
                    <w:bottom w:val="none" w:sz="0" w:space="0" w:color="auto"/>
                    <w:right w:val="none" w:sz="0" w:space="0" w:color="auto"/>
                  </w:divBdr>
                  <w:divsChild>
                    <w:div w:id="116616501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10391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lib.uchicago.edu/e/scrc/findingaids/view.php?eadid=ICU.SPCL.ELIADEM" TargetMode="External"/><Relationship Id="rId1" Type="http://schemas.openxmlformats.org/officeDocument/2006/relationships/hyperlink" Target="https://monoskop.org/images/a/a2/Durkheim_Emile_The_Elementary_Forms_of_Religious_life_19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68f53165b0da503d74017ae49bff920a">
  <xsd:schema xmlns:xsd="http://www.w3.org/2001/XMLSchema" xmlns:xs="http://www.w3.org/2001/XMLSchema" xmlns:p="http://schemas.microsoft.com/office/2006/metadata/properties" xmlns:ns3="2185e222-3c8d-40d1-8655-532d5209bd26" targetNamespace="http://schemas.microsoft.com/office/2006/metadata/properties" ma:root="true" ma:fieldsID="c3389e2136143771d1861770d713d825" ns3:_="">
    <xsd:import namespace="2185e222-3c8d-40d1-8655-532d5209bd2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A23CA9-BCB7-4B9A-8796-A967F924F6E6}">
  <ds:schemaRefs>
    <ds:schemaRef ds:uri="http://schemas.microsoft.com/sharepoint/v3/contenttype/forms"/>
  </ds:schemaRefs>
</ds:datastoreItem>
</file>

<file path=customXml/itemProps2.xml><?xml version="1.0" encoding="utf-8"?>
<ds:datastoreItem xmlns:ds="http://schemas.openxmlformats.org/officeDocument/2006/customXml" ds:itemID="{95B70789-74E5-46DF-97F1-36A99814610E}">
  <ds:schemaRefs>
    <ds:schemaRef ds:uri="http://schemas.microsoft.com/office/2006/metadata/properties"/>
    <ds:schemaRef ds:uri="http://schemas.microsoft.com/office/infopath/2007/PartnerControls"/>
    <ds:schemaRef ds:uri="2185e222-3c8d-40d1-8655-532d5209bd26"/>
  </ds:schemaRefs>
</ds:datastoreItem>
</file>

<file path=customXml/itemProps3.xml><?xml version="1.0" encoding="utf-8"?>
<ds:datastoreItem xmlns:ds="http://schemas.openxmlformats.org/officeDocument/2006/customXml" ds:itemID="{5B03BE9F-E295-4A61-9712-9E0290CBB7DB}">
  <ds:schemaRefs>
    <ds:schemaRef ds:uri="http://schemas.openxmlformats.org/officeDocument/2006/bibliography"/>
  </ds:schemaRefs>
</ds:datastoreItem>
</file>

<file path=customXml/itemProps4.xml><?xml version="1.0" encoding="utf-8"?>
<ds:datastoreItem xmlns:ds="http://schemas.openxmlformats.org/officeDocument/2006/customXml" ds:itemID="{F1C4BC6C-E69E-416E-856D-789F30FDC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2329</Words>
  <Characters>12324</Characters>
  <Application>Microsoft Office Word</Application>
  <DocSecurity>0</DocSecurity>
  <Lines>202</Lines>
  <Paragraphs>37</Paragraphs>
  <ScaleCrop>false</ScaleCrop>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 (2124407)</cp:lastModifiedBy>
  <cp:revision>2</cp:revision>
  <dcterms:created xsi:type="dcterms:W3CDTF">2023-11-19T20:30:00Z</dcterms:created>
  <dcterms:modified xsi:type="dcterms:W3CDTF">2023-11-19T20:30:00Z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