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0542" w:rsidRPr="00100542" w:rsidRDefault="00100542" w:rsidP="00786DD0">
      <w:pPr>
        <w:spacing w:line="360" w:lineRule="auto"/>
        <w:rPr>
          <w:rFonts w:ascii="Times New Roman" w:eastAsia="Times New Roman" w:hAnsi="Times New Roman" w:cs="Times New Roman"/>
          <w:sz w:val="32"/>
          <w:szCs w:val="32"/>
          <w:lang w:val="en-GB"/>
        </w:rPr>
      </w:pPr>
    </w:p>
    <w:p w:rsidR="00100542" w:rsidRPr="00100542" w:rsidRDefault="00100542">
      <w:pPr>
        <w:spacing w:line="360" w:lineRule="auto"/>
        <w:jc w:val="center"/>
        <w:rPr>
          <w:rFonts w:ascii="Times New Roman" w:eastAsia="Times New Roman" w:hAnsi="Times New Roman" w:cs="Times New Roman"/>
          <w:sz w:val="32"/>
          <w:szCs w:val="32"/>
          <w:lang w:val="en-GB"/>
        </w:rPr>
      </w:pPr>
    </w:p>
    <w:p w:rsidR="00F6682C" w:rsidRPr="00100542" w:rsidRDefault="00F6682C">
      <w:pPr>
        <w:spacing w:line="360" w:lineRule="auto"/>
        <w:jc w:val="center"/>
        <w:rPr>
          <w:rFonts w:ascii="Times New Roman" w:eastAsia="Times New Roman" w:hAnsi="Times New Roman" w:cs="Times New Roman"/>
          <w:sz w:val="32"/>
          <w:szCs w:val="32"/>
          <w:lang w:val="en-GB"/>
        </w:rPr>
      </w:pPr>
    </w:p>
    <w:p w:rsidR="006F12D8" w:rsidRDefault="00597DF1" w:rsidP="00597DF1">
      <w:pPr>
        <w:spacing w:line="360" w:lineRule="auto"/>
        <w:rPr>
          <w:rFonts w:ascii="Times New Roman" w:eastAsia="Times New Roman" w:hAnsi="Times New Roman" w:cs="Times New Roman"/>
          <w:sz w:val="32"/>
          <w:szCs w:val="32"/>
          <w:lang w:val="en-GB"/>
        </w:rPr>
      </w:pPr>
      <w:bookmarkStart w:id="0" w:name="_GoBack"/>
      <w:bookmarkEnd w:id="0"/>
      <w:r>
        <w:rPr>
          <w:rFonts w:ascii="Times New Roman" w:eastAsia="Times New Roman" w:hAnsi="Times New Roman" w:cs="Times New Roman"/>
          <w:b/>
          <w:sz w:val="32"/>
          <w:szCs w:val="32"/>
          <w:lang w:val="en-GB"/>
        </w:rPr>
        <w:t>Student Name:</w:t>
      </w:r>
      <w:r>
        <w:rPr>
          <w:rFonts w:ascii="Times New Roman" w:eastAsia="Times New Roman" w:hAnsi="Times New Roman" w:cs="Times New Roman"/>
          <w:sz w:val="32"/>
          <w:szCs w:val="32"/>
          <w:lang w:val="en-GB"/>
        </w:rPr>
        <w:t>Valentina Vasileva</w:t>
      </w:r>
    </w:p>
    <w:p w:rsidR="00597DF1" w:rsidRDefault="00597DF1" w:rsidP="00597DF1">
      <w:pPr>
        <w:spacing w:line="360" w:lineRule="auto"/>
        <w:rPr>
          <w:rFonts w:ascii="Times New Roman" w:eastAsia="Times New Roman" w:hAnsi="Times New Roman" w:cs="Times New Roman"/>
          <w:sz w:val="32"/>
          <w:szCs w:val="32"/>
          <w:lang w:val="en-GB"/>
        </w:rPr>
      </w:pPr>
      <w:r w:rsidRPr="00CC48B4">
        <w:rPr>
          <w:rFonts w:ascii="Times New Roman" w:eastAsia="Times New Roman" w:hAnsi="Times New Roman" w:cs="Times New Roman"/>
          <w:b/>
          <w:sz w:val="32"/>
          <w:szCs w:val="32"/>
          <w:lang w:val="en-GB"/>
        </w:rPr>
        <w:t>Student Number</w:t>
      </w:r>
      <w:r>
        <w:rPr>
          <w:rFonts w:ascii="Times New Roman" w:eastAsia="Times New Roman" w:hAnsi="Times New Roman" w:cs="Times New Roman"/>
          <w:sz w:val="32"/>
          <w:szCs w:val="32"/>
          <w:lang w:val="en-GB"/>
        </w:rPr>
        <w:t>: 1909485</w:t>
      </w:r>
    </w:p>
    <w:p w:rsidR="00597DF1" w:rsidRDefault="00597DF1" w:rsidP="00597DF1">
      <w:pPr>
        <w:spacing w:line="360" w:lineRule="auto"/>
        <w:rPr>
          <w:rFonts w:ascii="Times New Roman" w:eastAsia="Times New Roman" w:hAnsi="Times New Roman" w:cs="Times New Roman"/>
          <w:sz w:val="32"/>
          <w:szCs w:val="32"/>
          <w:lang w:val="en-GB"/>
        </w:rPr>
      </w:pPr>
      <w:r w:rsidRPr="00CC48B4">
        <w:rPr>
          <w:rFonts w:ascii="Times New Roman" w:eastAsia="Times New Roman" w:hAnsi="Times New Roman" w:cs="Times New Roman"/>
          <w:b/>
          <w:sz w:val="32"/>
          <w:szCs w:val="32"/>
          <w:lang w:val="en-GB"/>
        </w:rPr>
        <w:t>Module Title</w:t>
      </w:r>
      <w:r>
        <w:rPr>
          <w:rFonts w:ascii="Times New Roman" w:eastAsia="Times New Roman" w:hAnsi="Times New Roman" w:cs="Times New Roman"/>
          <w:sz w:val="32"/>
          <w:szCs w:val="32"/>
          <w:lang w:val="en-GB"/>
        </w:rPr>
        <w:t xml:space="preserve">: Managing People </w:t>
      </w:r>
      <w:r w:rsidR="00CC48B4">
        <w:rPr>
          <w:rFonts w:ascii="Times New Roman" w:eastAsia="Times New Roman" w:hAnsi="Times New Roman" w:cs="Times New Roman"/>
          <w:sz w:val="32"/>
          <w:szCs w:val="32"/>
          <w:lang w:val="en-GB"/>
        </w:rPr>
        <w:t>LCBB5004</w:t>
      </w:r>
    </w:p>
    <w:p w:rsidR="00CC48B4" w:rsidRPr="00CC48B4" w:rsidRDefault="00CC48B4" w:rsidP="00597DF1">
      <w:pPr>
        <w:spacing w:line="360" w:lineRule="auto"/>
        <w:rPr>
          <w:rFonts w:ascii="Times New Roman" w:eastAsia="Times New Roman" w:hAnsi="Times New Roman" w:cs="Times New Roman"/>
          <w:b/>
          <w:sz w:val="32"/>
          <w:szCs w:val="32"/>
          <w:lang w:val="en-GB"/>
        </w:rPr>
      </w:pPr>
      <w:r w:rsidRPr="00CC48B4">
        <w:rPr>
          <w:rFonts w:ascii="Times New Roman" w:eastAsia="Times New Roman" w:hAnsi="Times New Roman" w:cs="Times New Roman"/>
          <w:b/>
          <w:sz w:val="32"/>
          <w:szCs w:val="32"/>
          <w:lang w:val="en-GB"/>
        </w:rPr>
        <w:t>Assignment 2</w:t>
      </w:r>
    </w:p>
    <w:p w:rsidR="00CC48B4" w:rsidRDefault="00CC48B4" w:rsidP="00597DF1">
      <w:pPr>
        <w:spacing w:line="360" w:lineRule="auto"/>
        <w:rPr>
          <w:rFonts w:ascii="Times New Roman" w:eastAsia="Times New Roman" w:hAnsi="Times New Roman" w:cs="Times New Roman"/>
          <w:sz w:val="32"/>
          <w:szCs w:val="32"/>
          <w:lang w:val="en-GB"/>
        </w:rPr>
      </w:pPr>
      <w:r w:rsidRPr="00CC48B4">
        <w:rPr>
          <w:rFonts w:ascii="Times New Roman" w:eastAsia="Times New Roman" w:hAnsi="Times New Roman" w:cs="Times New Roman"/>
          <w:b/>
          <w:sz w:val="32"/>
          <w:szCs w:val="32"/>
          <w:lang w:val="en-GB"/>
        </w:rPr>
        <w:t>Lecturer Name</w:t>
      </w:r>
      <w:r>
        <w:rPr>
          <w:rFonts w:ascii="Times New Roman" w:eastAsia="Times New Roman" w:hAnsi="Times New Roman" w:cs="Times New Roman"/>
          <w:sz w:val="32"/>
          <w:szCs w:val="32"/>
          <w:lang w:val="en-GB"/>
        </w:rPr>
        <w:t>: Mushfiqur Rahman</w:t>
      </w:r>
    </w:p>
    <w:p w:rsidR="00CC48B4" w:rsidRPr="00597DF1" w:rsidRDefault="00CC48B4" w:rsidP="00597DF1">
      <w:pPr>
        <w:spacing w:line="360" w:lineRule="auto"/>
        <w:rPr>
          <w:rFonts w:ascii="Times New Roman" w:eastAsia="Times New Roman" w:hAnsi="Times New Roman" w:cs="Times New Roman"/>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2C78AB" w:rsidRDefault="002C78AB" w:rsidP="002C78AB">
      <w:pPr>
        <w:spacing w:line="360" w:lineRule="auto"/>
        <w:rPr>
          <w:rFonts w:ascii="Times New Roman" w:eastAsia="Times New Roman" w:hAnsi="Times New Roman" w:cs="Times New Roman"/>
          <w:b/>
          <w:sz w:val="24"/>
          <w:szCs w:val="28"/>
          <w:lang w:val="en-GB"/>
        </w:rPr>
      </w:pPr>
      <w:r>
        <w:rPr>
          <w:rFonts w:ascii="Times New Roman" w:eastAsia="Times New Roman" w:hAnsi="Times New Roman" w:cs="Times New Roman"/>
          <w:b/>
          <w:sz w:val="32"/>
          <w:szCs w:val="32"/>
          <w:lang w:val="en-GB"/>
        </w:rPr>
        <w:t xml:space="preserve">                                  </w:t>
      </w:r>
      <w:r w:rsidRPr="00FD36AA">
        <w:rPr>
          <w:rFonts w:ascii="Times New Roman" w:eastAsia="Times New Roman" w:hAnsi="Times New Roman" w:cs="Times New Roman"/>
          <w:b/>
          <w:sz w:val="24"/>
          <w:szCs w:val="28"/>
          <w:lang w:val="en-GB"/>
        </w:rPr>
        <w:t>Table of content</w:t>
      </w:r>
    </w:p>
    <w:p w:rsidR="002C78AB" w:rsidRDefault="00BD7ECD" w:rsidP="00BD7ECD">
      <w:pPr>
        <w:spacing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Introduction……………………………………………………………………………………3</w:t>
      </w:r>
    </w:p>
    <w:p w:rsidR="00BD7ECD" w:rsidRDefault="00BD7ECD" w:rsidP="00BD7ECD">
      <w:pPr>
        <w:spacing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Discussion……………………………………………………………………………………3</w:t>
      </w:r>
    </w:p>
    <w:p w:rsidR="00BD7ECD" w:rsidRDefault="00BD7ECD" w:rsidP="00BD7ECD">
      <w:pPr>
        <w:spacing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Overview of Employee Engagement…………………………………………………………3</w:t>
      </w:r>
    </w:p>
    <w:p w:rsidR="00BD7ECD" w:rsidRDefault="00BD7ECD" w:rsidP="00BD7ECD">
      <w:pPr>
        <w:spacing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Drivers of Employee Engagement……………………………………………………………4</w:t>
      </w:r>
    </w:p>
    <w:p w:rsidR="00BD7ECD" w:rsidRDefault="00BD7ECD" w:rsidP="00BD7ECD">
      <w:pPr>
        <w:spacing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Evaluation of Diagnostic Tools to Measure Engagement……………………………………5</w:t>
      </w:r>
    </w:p>
    <w:p w:rsidR="00BD7ECD" w:rsidRDefault="00BD7ECD" w:rsidP="00BD7ECD">
      <w:pPr>
        <w:spacing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Theoretical Intervention……………………………………………………………………...6</w:t>
      </w:r>
    </w:p>
    <w:p w:rsidR="00BD7ECD" w:rsidRDefault="00BD7ECD" w:rsidP="00BD7ECD">
      <w:pPr>
        <w:spacing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Kahn</w:t>
      </w:r>
      <w:r w:rsidR="007B21D5">
        <w:rPr>
          <w:rFonts w:ascii="Times New Roman" w:eastAsia="Times New Roman" w:hAnsi="Times New Roman" w:cs="Times New Roman"/>
          <w:sz w:val="24"/>
          <w:szCs w:val="28"/>
          <w:lang w:val="en-GB"/>
        </w:rPr>
        <w:t>’s Model of Employee Engagement……………………………………………………7</w:t>
      </w:r>
    </w:p>
    <w:p w:rsidR="007B21D5" w:rsidRDefault="007B21D5" w:rsidP="00BD7ECD">
      <w:pPr>
        <w:spacing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Maslow’s Hierarchy of Needs………………………………………………………………..7</w:t>
      </w:r>
    </w:p>
    <w:p w:rsidR="007B21D5" w:rsidRDefault="007B21D5" w:rsidP="00BD7ECD">
      <w:pPr>
        <w:spacing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Strategies of Enhance the Levels of Employee Engagement………………………………..8</w:t>
      </w:r>
    </w:p>
    <w:p w:rsidR="007B21D5" w:rsidRDefault="007B21D5" w:rsidP="00BD7ECD">
      <w:pPr>
        <w:spacing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Conclusion……………………………………………………………………………………9</w:t>
      </w:r>
    </w:p>
    <w:p w:rsidR="007B21D5" w:rsidRDefault="007B21D5" w:rsidP="00BD7ECD">
      <w:pPr>
        <w:spacing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Reference List……………………………………………………………………………….11</w:t>
      </w:r>
    </w:p>
    <w:p w:rsidR="007B21D5" w:rsidRPr="00BD7ECD" w:rsidRDefault="007B21D5" w:rsidP="00BD7ECD">
      <w:pPr>
        <w:spacing w:line="360" w:lineRule="auto"/>
        <w:jc w:val="both"/>
        <w:rPr>
          <w:rFonts w:ascii="Times New Roman" w:eastAsia="Times New Roman" w:hAnsi="Times New Roman" w:cs="Times New Roman"/>
          <w:sz w:val="24"/>
          <w:szCs w:val="28"/>
          <w:lang w:val="en-GB"/>
        </w:rPr>
      </w:pPr>
    </w:p>
    <w:p w:rsidR="006F12D8" w:rsidRDefault="006F12D8" w:rsidP="002C78AB">
      <w:pPr>
        <w:spacing w:line="360" w:lineRule="auto"/>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6F12D8" w:rsidRDefault="006F12D8">
      <w:pPr>
        <w:spacing w:line="360" w:lineRule="auto"/>
        <w:jc w:val="center"/>
        <w:rPr>
          <w:rFonts w:ascii="Times New Roman" w:eastAsia="Times New Roman" w:hAnsi="Times New Roman" w:cs="Times New Roman"/>
          <w:b/>
          <w:sz w:val="32"/>
          <w:szCs w:val="32"/>
          <w:lang w:val="en-GB"/>
        </w:rPr>
      </w:pPr>
    </w:p>
    <w:p w:rsidR="00F6682C" w:rsidRPr="00100542" w:rsidRDefault="000F0F35">
      <w:pPr>
        <w:spacing w:line="360" w:lineRule="auto"/>
        <w:jc w:val="center"/>
        <w:rPr>
          <w:rFonts w:ascii="Times New Roman" w:eastAsia="Times New Roman" w:hAnsi="Times New Roman" w:cs="Times New Roman"/>
          <w:b/>
          <w:sz w:val="32"/>
          <w:szCs w:val="32"/>
          <w:lang w:val="en-GB"/>
        </w:rPr>
      </w:pPr>
      <w:r w:rsidRPr="00100542">
        <w:rPr>
          <w:lang w:val="en-GB"/>
        </w:rPr>
        <w:br w:type="page"/>
      </w:r>
    </w:p>
    <w:p w:rsidR="00F6682C" w:rsidRPr="00100542" w:rsidRDefault="000F0F35">
      <w:pPr>
        <w:spacing w:line="360" w:lineRule="auto"/>
        <w:jc w:val="center"/>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lastRenderedPageBreak/>
        <w:t xml:space="preserve">Executive Summary </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sz w:val="24"/>
          <w:szCs w:val="24"/>
          <w:lang w:val="en-GB"/>
        </w:rPr>
        <w:t xml:space="preserve">This report sheds light on the detailed concept of employee engagement in order to implement different standards for understanding its impact on organisational outcomes. Different theories and models have been elaborated in this report to suggest organisation for obtaining better and equivalent strategies to gain more visibility in the competitive landscape. This report highlights influential factors that drive the notion of employee engagement across different workplace settings based on perspective of different authors. </w:t>
      </w:r>
      <w:r w:rsidRPr="00100542">
        <w:rPr>
          <w:lang w:val="en-GB"/>
        </w:rPr>
        <w:br w:type="page"/>
      </w:r>
    </w:p>
    <w:p w:rsidR="00F6682C" w:rsidRPr="00100542" w:rsidRDefault="000F0F35" w:rsidP="0052683E">
      <w:pPr>
        <w:pStyle w:val="Heading1"/>
        <w:rPr>
          <w:lang w:val="en-GB"/>
        </w:rPr>
      </w:pPr>
      <w:r w:rsidRPr="00100542">
        <w:rPr>
          <w:lang w:val="en-GB"/>
        </w:rPr>
        <w:lastRenderedPageBreak/>
        <w:t xml:space="preserve">Introduction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Employee engagement defines people’s commitment towards their work settings and organisations through which they can be motivated to accomplish a high level of performance. It can be classified into two segments</w:t>
      </w:r>
      <w:r w:rsidR="00D641D7">
        <w:rPr>
          <w:rFonts w:ascii="Times New Roman" w:eastAsia="Times New Roman" w:hAnsi="Times New Roman" w:cs="Times New Roman"/>
          <w:sz w:val="24"/>
          <w:szCs w:val="24"/>
          <w:lang w:val="en-GB"/>
        </w:rPr>
        <w:t>,</w:t>
      </w:r>
      <w:r w:rsidRPr="00100542">
        <w:rPr>
          <w:rFonts w:ascii="Times New Roman" w:eastAsia="Times New Roman" w:hAnsi="Times New Roman" w:cs="Times New Roman"/>
          <w:sz w:val="24"/>
          <w:szCs w:val="24"/>
          <w:lang w:val="en-GB"/>
        </w:rPr>
        <w:t xml:space="preserve"> such as job engagement and organisational engagement that aims </w:t>
      </w:r>
      <w:r w:rsidR="00CD6239" w:rsidRPr="00100542">
        <w:rPr>
          <w:rFonts w:ascii="Times New Roman" w:eastAsia="Times New Roman" w:hAnsi="Times New Roman" w:cs="Times New Roman"/>
          <w:sz w:val="24"/>
          <w:szCs w:val="24"/>
          <w:lang w:val="en-GB"/>
        </w:rPr>
        <w:t>to accelerate</w:t>
      </w:r>
      <w:r w:rsidRPr="00100542">
        <w:rPr>
          <w:rFonts w:ascii="Times New Roman" w:eastAsia="Times New Roman" w:hAnsi="Times New Roman" w:cs="Times New Roman"/>
          <w:sz w:val="24"/>
          <w:szCs w:val="24"/>
          <w:lang w:val="en-GB"/>
        </w:rPr>
        <w:t xml:space="preserve"> business performances by enhancing value and improvement scopes for employees. This report focuses on wider aspects of employee engagement in an organization that would be beneficial in not only facilitating working terms but also to pave a continuous growth for individuals. Moreover, different theories and tools have been discovered in this report by assessing their significance consecutively in order to aid professionals to increase employee engagement in their organisations. </w:t>
      </w:r>
    </w:p>
    <w:p w:rsidR="00F6682C" w:rsidRPr="00100542" w:rsidRDefault="000F0F35" w:rsidP="0052683E">
      <w:pPr>
        <w:pStyle w:val="Heading1"/>
        <w:rPr>
          <w:lang w:val="en-GB"/>
        </w:rPr>
      </w:pPr>
      <w:r w:rsidRPr="00100542">
        <w:rPr>
          <w:lang w:val="en-GB"/>
        </w:rPr>
        <w:t xml:space="preserve">Discussion </w:t>
      </w:r>
    </w:p>
    <w:p w:rsidR="00F6682C" w:rsidRPr="00100542" w:rsidRDefault="000F0F35" w:rsidP="0052683E">
      <w:pPr>
        <w:pStyle w:val="Heading1"/>
        <w:rPr>
          <w:lang w:val="en-GB"/>
        </w:rPr>
      </w:pPr>
      <w:r w:rsidRPr="00100542">
        <w:rPr>
          <w:lang w:val="en-GB"/>
        </w:rPr>
        <w:t xml:space="preserve">Overview of employee engagement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Employee engagement can be referred to as a fundamental and conceptualised term which defines the effort of people to their working conditions for leading organisations to achieve their ultimate and anticipated goals. As opined by Kang and Sung (2017), employee engagement is a key employee outcome that produces success in an organization by measuring their symmetrical internal communication behaviour that can </w:t>
      </w:r>
      <w:r w:rsidR="00CD6239">
        <w:rPr>
          <w:rFonts w:ascii="Times New Roman" w:eastAsia="Times New Roman" w:hAnsi="Times New Roman" w:cs="Times New Roman"/>
          <w:sz w:val="24"/>
          <w:szCs w:val="24"/>
          <w:lang w:val="en-GB"/>
        </w:rPr>
        <w:t>facilitate</w:t>
      </w:r>
      <w:r w:rsidRPr="00100542">
        <w:rPr>
          <w:rFonts w:ascii="Times New Roman" w:eastAsia="Times New Roman" w:hAnsi="Times New Roman" w:cs="Times New Roman"/>
          <w:sz w:val="24"/>
          <w:szCs w:val="24"/>
          <w:lang w:val="en-GB"/>
        </w:rPr>
        <w:t xml:space="preserve"> their relationship with such organisations. Hence, it can be determined that employee engagement is a workplace approach which demonstrates right and equivalent conditions for all members in an organisation through enhancing value and sense of their wellbeing. On the other hand, Albrecht </w:t>
      </w:r>
      <w:r w:rsidRPr="00100542">
        <w:rPr>
          <w:rFonts w:ascii="Times New Roman" w:eastAsia="Times New Roman" w:hAnsi="Times New Roman" w:cs="Times New Roman"/>
          <w:i/>
          <w:sz w:val="24"/>
          <w:szCs w:val="24"/>
          <w:lang w:val="en-GB"/>
        </w:rPr>
        <w:t>et al.</w:t>
      </w:r>
      <w:r w:rsidRPr="00100542">
        <w:rPr>
          <w:rFonts w:ascii="Times New Roman" w:eastAsia="Times New Roman" w:hAnsi="Times New Roman" w:cs="Times New Roman"/>
          <w:sz w:val="24"/>
          <w:szCs w:val="24"/>
          <w:lang w:val="en-GB"/>
        </w:rPr>
        <w:t xml:space="preserve"> (2018) stated that employee engagement is associated with skill development and job resources that intend to benefit human resource management practices in improving working designs.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It has been noticed that during the pandemic of Covid-19, it has become quite difficult for organizations to hold employee engagement adequately. Such circumstances have compelled organisations to implement work from home facilities within a flexible working time in order to make the workplace safe from Covid-19. Despite providing such amenities, it has become difficult for them to manage employees' activities along with improving job resources which may impact on their business productively annually. According to Christy (2019), employee engagement is extremely important for an organisation to maximise and retain profit margins in terms of higher productivity which can enable a greater customer service. Apart from that, </w:t>
      </w:r>
      <w:r w:rsidRPr="00100542">
        <w:rPr>
          <w:rFonts w:ascii="Times New Roman" w:eastAsia="Times New Roman" w:hAnsi="Times New Roman" w:cs="Times New Roman"/>
          <w:sz w:val="24"/>
          <w:szCs w:val="24"/>
          <w:lang w:val="en-GB"/>
        </w:rPr>
        <w:lastRenderedPageBreak/>
        <w:t xml:space="preserve">employee engagement can also be defined as a critical factor through which organisations can retain valuable talents to make them and businesses sustained for a prolonged period. </w:t>
      </w:r>
    </w:p>
    <w:p w:rsidR="00F6682C" w:rsidRPr="00100542" w:rsidRDefault="000F0F35" w:rsidP="0052683E">
      <w:pPr>
        <w:pStyle w:val="Heading1"/>
        <w:rPr>
          <w:lang w:val="en-GB"/>
        </w:rPr>
      </w:pPr>
      <w:r w:rsidRPr="00100542">
        <w:rPr>
          <w:lang w:val="en-GB"/>
        </w:rPr>
        <w:t>Drivers of employee engagement</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Organisational leadership style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Organizational or individual leadership style plays an immense role in enhancing a consistent employee engagement across working sectors. A consolidated leadership trait of employers can influence work engagement of employees along with conflict management (Akanji </w:t>
      </w:r>
      <w:r w:rsidRPr="00100542">
        <w:rPr>
          <w:rFonts w:ascii="Times New Roman" w:eastAsia="Times New Roman" w:hAnsi="Times New Roman" w:cs="Times New Roman"/>
          <w:i/>
          <w:sz w:val="24"/>
          <w:szCs w:val="24"/>
          <w:lang w:val="en-GB"/>
        </w:rPr>
        <w:t xml:space="preserve">et al. </w:t>
      </w:r>
      <w:r w:rsidRPr="00100542">
        <w:rPr>
          <w:rFonts w:ascii="Times New Roman" w:eastAsia="Times New Roman" w:hAnsi="Times New Roman" w:cs="Times New Roman"/>
          <w:sz w:val="24"/>
          <w:szCs w:val="24"/>
          <w:lang w:val="en-GB"/>
        </w:rPr>
        <w:t xml:space="preserve">2018).  Through the aid of an effective leadership style, managers or employers can ensure a storing, transparent and organisational culture that makes employees insightful in visualising their job roles and goals to accomplish. </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Support and coaching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Training and coaching sessions offered by organisations encourage employees to put their best efforts in form of their previous skills, knowledge and experiences in a particular task. Training supports and influences employees' engagement that increase awareness amongst them to foster their customer service giving attitudes that enable a well-established service quality (Johnson </w:t>
      </w:r>
      <w:r w:rsidRPr="00100542">
        <w:rPr>
          <w:rFonts w:ascii="Times New Roman" w:eastAsia="Times New Roman" w:hAnsi="Times New Roman" w:cs="Times New Roman"/>
          <w:i/>
          <w:sz w:val="24"/>
          <w:szCs w:val="24"/>
          <w:lang w:val="en-GB"/>
        </w:rPr>
        <w:t xml:space="preserve">et al. </w:t>
      </w:r>
      <w:r w:rsidRPr="00100542">
        <w:rPr>
          <w:rFonts w:ascii="Times New Roman" w:eastAsia="Times New Roman" w:hAnsi="Times New Roman" w:cs="Times New Roman"/>
          <w:sz w:val="24"/>
          <w:szCs w:val="24"/>
          <w:lang w:val="en-GB"/>
        </w:rPr>
        <w:t xml:space="preserve">2018). Therefore, it becomes flexible for employees to understand not only their job responsibilities but also organisational contribution towards them for managing their workplace better and dynamic. </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Opportunities to learn and develop</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Organisations often transform their workplaces into a diversified culture where employees not only participate to become rewarded or gain support but also to share knowledge and skills from others. A diversified working culture allows employees to exchange their viewpoints and cognitive thoughts with others for increasing their experiences which they can utilise to pave their career development sessions. For instance, British American Tobacco (BAT) is a well-recognised company based in UK that follows this diversification strategy through which employees can gain opportunities to embrace learning and development facilities (bat.com, 2020).</w:t>
      </w:r>
      <w:r w:rsidR="00B65541">
        <w:rPr>
          <w:rFonts w:ascii="Times New Roman" w:eastAsia="Times New Roman" w:hAnsi="Times New Roman" w:cs="Times New Roman"/>
          <w:sz w:val="24"/>
          <w:szCs w:val="24"/>
          <w:lang w:val="en-GB"/>
        </w:rPr>
        <w:t xml:space="preserve"> That</w:t>
      </w:r>
      <w:r w:rsidR="00112E65">
        <w:rPr>
          <w:rFonts w:ascii="Times New Roman" w:eastAsia="Times New Roman" w:hAnsi="Times New Roman" w:cs="Times New Roman"/>
          <w:sz w:val="24"/>
          <w:szCs w:val="24"/>
          <w:lang w:val="en-GB"/>
        </w:rPr>
        <w:t xml:space="preserve"> i</w:t>
      </w:r>
      <w:r w:rsidR="00B65541">
        <w:rPr>
          <w:rFonts w:ascii="Times New Roman" w:eastAsia="Times New Roman" w:hAnsi="Times New Roman" w:cs="Times New Roman"/>
          <w:sz w:val="24"/>
          <w:szCs w:val="24"/>
          <w:lang w:val="en-GB"/>
        </w:rPr>
        <w:t>s why they</w:t>
      </w:r>
      <w:r w:rsidRPr="00C54D4C">
        <w:rPr>
          <w:rFonts w:ascii="Times New Roman" w:eastAsia="Times New Roman" w:hAnsi="Times New Roman" w:cs="Times New Roman"/>
          <w:color w:val="C0504D" w:themeColor="accent2"/>
          <w:sz w:val="24"/>
          <w:szCs w:val="24"/>
          <w:lang w:val="en-GB"/>
        </w:rPr>
        <w:t xml:space="preserve"> </w:t>
      </w:r>
      <w:r w:rsidRPr="00100542">
        <w:rPr>
          <w:rFonts w:ascii="Times New Roman" w:eastAsia="Times New Roman" w:hAnsi="Times New Roman" w:cs="Times New Roman"/>
          <w:sz w:val="24"/>
          <w:szCs w:val="24"/>
          <w:lang w:val="en-GB"/>
        </w:rPr>
        <w:t xml:space="preserve">contribute more resources in their workplace settings to create a dynamic and purposeful place of working for employees. In fact, organisational practices in allowing employees to use their skills effectively that can fit their value and provisions freedom to exercise choice also drive employee engagement across workplace settings. </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Variations in tasks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lastRenderedPageBreak/>
        <w:t xml:space="preserve">Conducting and performing one type of task often exaggerate causes for demoralisation for employees that makes their participation fragile. Variation in tasks across commercial sectors not only influences employees to engage in extracting greater outcomes but also accelerate their cognitive abilities in a multidirectional way. Such circumstances facilitate employee’s engagement by pushing them to face different challenges rather than being only reactive. </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Responsibility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Employee engagement gets enhanced in an organisation when they become efficient to understand their responsibilities towards not only the organisation but also to their co-workers. Most of the organisations apply correlated </w:t>
      </w:r>
      <w:r w:rsidR="00C54D4C">
        <w:rPr>
          <w:rFonts w:ascii="Times New Roman" w:eastAsia="Times New Roman" w:hAnsi="Times New Roman" w:cs="Times New Roman"/>
          <w:sz w:val="24"/>
          <w:szCs w:val="24"/>
          <w:lang w:val="en-GB"/>
        </w:rPr>
        <w:t>working practices where employee</w:t>
      </w:r>
      <w:r w:rsidRPr="00100542">
        <w:rPr>
          <w:rFonts w:ascii="Times New Roman" w:eastAsia="Times New Roman" w:hAnsi="Times New Roman" w:cs="Times New Roman"/>
          <w:sz w:val="24"/>
          <w:szCs w:val="24"/>
          <w:lang w:val="en-GB"/>
        </w:rPr>
        <w:t xml:space="preserve">s are dependent on each other due to transferring tasks to each department. In that case, responsibilities and working activities of an individual influence others to do the same which constitute an equivalent and sustainable engagement among them. </w:t>
      </w:r>
    </w:p>
    <w:p w:rsidR="00F6682C" w:rsidRPr="00100542" w:rsidRDefault="000F0F35" w:rsidP="0052683E">
      <w:pPr>
        <w:pStyle w:val="Heading1"/>
        <w:rPr>
          <w:lang w:val="en-GB"/>
        </w:rPr>
      </w:pPr>
      <w:r w:rsidRPr="00100542">
        <w:rPr>
          <w:lang w:val="en-GB"/>
        </w:rPr>
        <w:t>Evaluation of diagnostic tools to measure engagement</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Surveys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Surveys are the most common and useful tool which can be used to get employees’ feedback that entails their feelings and attitudes towards work. Human resource managers use this tool not measure employees’ satisfaction and retention level anonymously through which honest responses can be aggregated. As explained by Lapoint and Liprie-Spence (2017), a firm can administer and conduct employee surveys periodically on a focused group as an effective strategy to determine key drivers of employee engagement. </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Slack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Slack is a business communication platform and a messaging application that are used in workplaces and among teams in order to interact with each other virtually. This technological software determines scales of organisational cultures through some robust features like easy-to-track recognition and culture rewards for enabling a positive working environment. For instance, different companies like Airbnb, Pinterest, Instacart and Lyft use Slack to connect their teams and unify systems for driving their business forward (slack.com, 2020). </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HR Software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It has been noted that modern HR platforms provide multiple tools to collect feedback while measuring their satisfaction level. Gusto, BambooHR, Zenefits and Namely are some best HR software which are used to manage employees adequately. Apart from that, human resource management system, human resource information system and human capital </w:t>
      </w:r>
      <w:r w:rsidRPr="00100542">
        <w:rPr>
          <w:rFonts w:ascii="Times New Roman" w:eastAsia="Times New Roman" w:hAnsi="Times New Roman" w:cs="Times New Roman"/>
          <w:sz w:val="24"/>
          <w:szCs w:val="24"/>
          <w:lang w:val="en-GB"/>
        </w:rPr>
        <w:lastRenderedPageBreak/>
        <w:t xml:space="preserve">management can facilitate organisation by allowing them to scrutinize employees’ perception towards them for consolidating their engagement. </w:t>
      </w:r>
    </w:p>
    <w:p w:rsidR="00F6682C" w:rsidRPr="00100542" w:rsidRDefault="000F0F35" w:rsidP="0052683E">
      <w:pPr>
        <w:pStyle w:val="Heading1"/>
        <w:rPr>
          <w:lang w:val="en-GB"/>
        </w:rPr>
      </w:pPr>
      <w:r w:rsidRPr="00100542">
        <w:rPr>
          <w:lang w:val="en-GB"/>
        </w:rPr>
        <w:t xml:space="preserve">Theoretical Intervention </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Employee Value Proposition</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Employee value proposition is </w:t>
      </w:r>
      <w:r w:rsidR="00CD6239" w:rsidRPr="00100542">
        <w:rPr>
          <w:rFonts w:ascii="Times New Roman" w:eastAsia="Times New Roman" w:hAnsi="Times New Roman" w:cs="Times New Roman"/>
          <w:sz w:val="24"/>
          <w:szCs w:val="24"/>
          <w:lang w:val="en-GB"/>
        </w:rPr>
        <w:t>a</w:t>
      </w:r>
      <w:r w:rsidRPr="00100542">
        <w:rPr>
          <w:rFonts w:ascii="Times New Roman" w:eastAsia="Times New Roman" w:hAnsi="Times New Roman" w:cs="Times New Roman"/>
          <w:sz w:val="24"/>
          <w:szCs w:val="24"/>
          <w:lang w:val="en-GB"/>
        </w:rPr>
        <w:t xml:space="preserve"> unique tool through which they may get benefits in return of their skills, knowledge and experiences that they bring into a company. A storing EVP aids an organisation to retain top performers along with attracting external talents. As determined by Bagienska (2018), employee value proposition is an equivalent and consolidated model that can be used as employer branding that engages employees to interest toward organisations and their employers. Through the aid of this model, organisations would make commitment towards their employees during Covid-19 in providing adequate amenities in return for their hard work. However, this tool is quite significant especially in the recruitment process by allowing candidates to assess rationale for applying for jobs and its impact on them. </w:t>
      </w:r>
    </w:p>
    <w:p w:rsidR="00F6682C" w:rsidRPr="00100542" w:rsidRDefault="000F0F35">
      <w:pPr>
        <w:spacing w:line="360" w:lineRule="auto"/>
        <w:jc w:val="center"/>
        <w:rPr>
          <w:rFonts w:ascii="Times New Roman" w:eastAsia="Times New Roman" w:hAnsi="Times New Roman" w:cs="Times New Roman"/>
          <w:sz w:val="24"/>
          <w:szCs w:val="24"/>
          <w:lang w:val="en-GB"/>
        </w:rPr>
      </w:pPr>
      <w:r w:rsidRPr="00100542">
        <w:rPr>
          <w:rFonts w:ascii="Times New Roman" w:eastAsia="Times New Roman" w:hAnsi="Times New Roman" w:cs="Times New Roman"/>
          <w:noProof/>
          <w:sz w:val="24"/>
          <w:szCs w:val="24"/>
          <w:lang w:val="en-GB" w:eastAsia="en-GB"/>
        </w:rPr>
        <w:drawing>
          <wp:inline distT="114300" distB="114300" distL="114300" distR="114300">
            <wp:extent cx="5731200" cy="37973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cstate="print"/>
                    <a:srcRect/>
                    <a:stretch>
                      <a:fillRect/>
                    </a:stretch>
                  </pic:blipFill>
                  <pic:spPr>
                    <a:xfrm>
                      <a:off x="0" y="0"/>
                      <a:ext cx="5731200" cy="3797300"/>
                    </a:xfrm>
                    <a:prstGeom prst="rect">
                      <a:avLst/>
                    </a:prstGeom>
                    <a:ln w="12700">
                      <a:solidFill>
                        <a:srgbClr val="000000"/>
                      </a:solidFill>
                      <a:prstDash val="solid"/>
                    </a:ln>
                  </pic:spPr>
                </pic:pic>
              </a:graphicData>
            </a:graphic>
          </wp:inline>
        </w:drawing>
      </w:r>
    </w:p>
    <w:p w:rsidR="00F6682C" w:rsidRPr="00100542" w:rsidRDefault="000F0F35">
      <w:pPr>
        <w:spacing w:line="360" w:lineRule="auto"/>
        <w:jc w:val="center"/>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Figure 1: Employee Value Proposition Model</w:t>
      </w:r>
    </w:p>
    <w:p w:rsidR="00F6682C" w:rsidRDefault="00207C70">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w:t>
      </w:r>
      <w:r w:rsidR="000F0F35" w:rsidRPr="00100542">
        <w:rPr>
          <w:rFonts w:ascii="Times New Roman" w:eastAsia="Times New Roman" w:hAnsi="Times New Roman" w:cs="Times New Roman"/>
          <w:sz w:val="24"/>
          <w:szCs w:val="24"/>
          <w:lang w:val="en-GB"/>
        </w:rPr>
        <w:t xml:space="preserve"> Bagienska, 2018)</w:t>
      </w:r>
    </w:p>
    <w:p w:rsidR="009059CD" w:rsidRPr="00100542" w:rsidRDefault="009059CD">
      <w:pPr>
        <w:spacing w:line="360" w:lineRule="auto"/>
        <w:jc w:val="center"/>
        <w:rPr>
          <w:rFonts w:ascii="Times New Roman" w:eastAsia="Times New Roman" w:hAnsi="Times New Roman" w:cs="Times New Roman"/>
          <w:sz w:val="24"/>
          <w:szCs w:val="24"/>
          <w:lang w:val="en-GB"/>
        </w:rPr>
      </w:pP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lastRenderedPageBreak/>
        <w:t xml:space="preserve">Kahn’s Model of Employee Engagement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Kahn engagement theory is associated with individuals' perception towards making real choices about how much they can reveal and express their real and personal identity in work. Professor William Kahn defined this model as “harnessing of organisation members” that entails employee’s expression about themselves physically, cognitively and emotionally during performing respective roles (Lemon and Palenchar, 2018). Through practicing this theory, an organisation can motivate employees to link their ability to extend physical and mental energy while working along with increasing their confidence level. However, this theory focuses on organisation's internal communication that manifest employee’s role and responsibilities depending on their changeable physiological state. </w:t>
      </w:r>
    </w:p>
    <w:p w:rsidR="00F6682C" w:rsidRPr="00100542" w:rsidRDefault="000F0F35">
      <w:pPr>
        <w:spacing w:line="360" w:lineRule="auto"/>
        <w:jc w:val="center"/>
        <w:rPr>
          <w:rFonts w:ascii="Times New Roman" w:eastAsia="Times New Roman" w:hAnsi="Times New Roman" w:cs="Times New Roman"/>
          <w:sz w:val="24"/>
          <w:szCs w:val="24"/>
          <w:lang w:val="en-GB"/>
        </w:rPr>
      </w:pPr>
      <w:r w:rsidRPr="00100542">
        <w:rPr>
          <w:rFonts w:ascii="Times New Roman" w:eastAsia="Times New Roman" w:hAnsi="Times New Roman" w:cs="Times New Roman"/>
          <w:noProof/>
          <w:sz w:val="24"/>
          <w:szCs w:val="24"/>
          <w:lang w:val="en-GB" w:eastAsia="en-GB"/>
        </w:rPr>
        <w:drawing>
          <wp:inline distT="114300" distB="114300" distL="114300" distR="114300">
            <wp:extent cx="5731200" cy="27686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2768600"/>
                    </a:xfrm>
                    <a:prstGeom prst="rect">
                      <a:avLst/>
                    </a:prstGeom>
                    <a:ln w="12700">
                      <a:solidFill>
                        <a:srgbClr val="000000"/>
                      </a:solidFill>
                      <a:prstDash val="solid"/>
                    </a:ln>
                  </pic:spPr>
                </pic:pic>
              </a:graphicData>
            </a:graphic>
          </wp:inline>
        </w:drawing>
      </w:r>
    </w:p>
    <w:p w:rsidR="00F6682C" w:rsidRPr="00100542" w:rsidRDefault="000F0F35">
      <w:pPr>
        <w:spacing w:line="360" w:lineRule="auto"/>
        <w:jc w:val="center"/>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Figure 2: Kahn’s Model of Employee Engagement </w:t>
      </w:r>
    </w:p>
    <w:p w:rsidR="00F6682C" w:rsidRPr="00100542" w:rsidRDefault="00727BC1">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w:t>
      </w:r>
      <w:r w:rsidR="000F0F35" w:rsidRPr="00100542">
        <w:rPr>
          <w:rFonts w:ascii="Times New Roman" w:eastAsia="Times New Roman" w:hAnsi="Times New Roman" w:cs="Times New Roman"/>
          <w:sz w:val="24"/>
          <w:szCs w:val="24"/>
          <w:lang w:val="en-GB"/>
        </w:rPr>
        <w:t xml:space="preserve"> Lemon and Palenchar, 2018)</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Maslow’s Hierarchy of Needs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Maslow’s hierarchy of needs is a</w:t>
      </w:r>
      <w:r w:rsidR="00D641D7">
        <w:rPr>
          <w:rFonts w:ascii="Times New Roman" w:eastAsia="Times New Roman" w:hAnsi="Times New Roman" w:cs="Times New Roman"/>
          <w:sz w:val="24"/>
          <w:szCs w:val="24"/>
          <w:lang w:val="en-GB"/>
        </w:rPr>
        <w:t xml:space="preserve"> </w:t>
      </w:r>
      <w:r w:rsidR="00CD6239" w:rsidRPr="00100542">
        <w:rPr>
          <w:rFonts w:ascii="Times New Roman" w:eastAsia="Times New Roman" w:hAnsi="Times New Roman" w:cs="Times New Roman"/>
          <w:sz w:val="24"/>
          <w:szCs w:val="24"/>
          <w:lang w:val="en-GB"/>
        </w:rPr>
        <w:t>multidirectional</w:t>
      </w:r>
      <w:r w:rsidRPr="00100542">
        <w:rPr>
          <w:rFonts w:ascii="Times New Roman" w:eastAsia="Times New Roman" w:hAnsi="Times New Roman" w:cs="Times New Roman"/>
          <w:sz w:val="24"/>
          <w:szCs w:val="24"/>
          <w:lang w:val="en-GB"/>
        </w:rPr>
        <w:t xml:space="preserve"> model that </w:t>
      </w:r>
      <w:r w:rsidR="00CD6239" w:rsidRPr="00100542">
        <w:rPr>
          <w:rFonts w:ascii="Times New Roman" w:eastAsia="Times New Roman" w:hAnsi="Times New Roman" w:cs="Times New Roman"/>
          <w:sz w:val="24"/>
          <w:szCs w:val="24"/>
          <w:lang w:val="en-GB"/>
        </w:rPr>
        <w:t>encompasses</w:t>
      </w:r>
      <w:r w:rsidRPr="00100542">
        <w:rPr>
          <w:rFonts w:ascii="Times New Roman" w:eastAsia="Times New Roman" w:hAnsi="Times New Roman" w:cs="Times New Roman"/>
          <w:sz w:val="24"/>
          <w:szCs w:val="24"/>
          <w:lang w:val="en-GB"/>
        </w:rPr>
        <w:t xml:space="preserve"> 5 stages to enable motivation and dedication of employees towards their responsibilities. Such five stages </w:t>
      </w:r>
      <w:r w:rsidR="00CD6239" w:rsidRPr="00100542">
        <w:rPr>
          <w:rFonts w:ascii="Times New Roman" w:eastAsia="Times New Roman" w:hAnsi="Times New Roman" w:cs="Times New Roman"/>
          <w:sz w:val="24"/>
          <w:szCs w:val="24"/>
          <w:lang w:val="en-GB"/>
        </w:rPr>
        <w:t>entail</w:t>
      </w:r>
      <w:r w:rsidRPr="00100542">
        <w:rPr>
          <w:rFonts w:ascii="Times New Roman" w:eastAsia="Times New Roman" w:hAnsi="Times New Roman" w:cs="Times New Roman"/>
          <w:sz w:val="24"/>
          <w:szCs w:val="24"/>
          <w:lang w:val="en-GB"/>
        </w:rPr>
        <w:t xml:space="preserve"> different requirements of employees that they aim to have from their organisation such as needs of psychological, safety, love and belonging, esteem and self-actualisation (Lonn and Dantzler, 2017). Through the aid of this model, organisations can provide required and relevant amenities in terms of job facilities to their employees and it would compel them to enhance their engagement towards duties.  </w:t>
      </w:r>
    </w:p>
    <w:p w:rsidR="00F6682C" w:rsidRPr="00100542" w:rsidRDefault="000F0F35">
      <w:pPr>
        <w:spacing w:line="360" w:lineRule="auto"/>
        <w:jc w:val="center"/>
        <w:rPr>
          <w:rFonts w:ascii="Times New Roman" w:eastAsia="Times New Roman" w:hAnsi="Times New Roman" w:cs="Times New Roman"/>
          <w:sz w:val="24"/>
          <w:szCs w:val="24"/>
          <w:lang w:val="en-GB"/>
        </w:rPr>
      </w:pPr>
      <w:r w:rsidRPr="00100542">
        <w:rPr>
          <w:rFonts w:ascii="Times New Roman" w:eastAsia="Times New Roman" w:hAnsi="Times New Roman" w:cs="Times New Roman"/>
          <w:noProof/>
          <w:sz w:val="24"/>
          <w:szCs w:val="24"/>
          <w:lang w:val="en-GB" w:eastAsia="en-GB"/>
        </w:rPr>
        <w:lastRenderedPageBreak/>
        <w:drawing>
          <wp:inline distT="114300" distB="114300" distL="114300" distR="114300">
            <wp:extent cx="4762500" cy="3571875"/>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62500" cy="3571875"/>
                    </a:xfrm>
                    <a:prstGeom prst="rect">
                      <a:avLst/>
                    </a:prstGeom>
                    <a:ln w="12700">
                      <a:solidFill>
                        <a:srgbClr val="000000"/>
                      </a:solidFill>
                      <a:prstDash val="solid"/>
                    </a:ln>
                  </pic:spPr>
                </pic:pic>
              </a:graphicData>
            </a:graphic>
          </wp:inline>
        </w:drawing>
      </w:r>
    </w:p>
    <w:p w:rsidR="00F6682C" w:rsidRPr="00100542" w:rsidRDefault="000F0F35">
      <w:pPr>
        <w:spacing w:line="360" w:lineRule="auto"/>
        <w:jc w:val="center"/>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Figure 3: Maslow’s Hierarchy of Needs </w:t>
      </w:r>
    </w:p>
    <w:p w:rsidR="00F6682C" w:rsidRPr="00100542" w:rsidRDefault="001314AD">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w:t>
      </w:r>
      <w:r w:rsidR="000F0F35" w:rsidRPr="00100542">
        <w:rPr>
          <w:rFonts w:ascii="Times New Roman" w:eastAsia="Times New Roman" w:hAnsi="Times New Roman" w:cs="Times New Roman"/>
          <w:sz w:val="24"/>
          <w:szCs w:val="24"/>
          <w:lang w:val="en-GB"/>
        </w:rPr>
        <w:t xml:space="preserve"> Lonn and Dantzler, 2017)</w:t>
      </w:r>
    </w:p>
    <w:p w:rsidR="00F6682C" w:rsidRPr="00100542" w:rsidRDefault="000F0F35" w:rsidP="0052683E">
      <w:pPr>
        <w:pStyle w:val="Heading1"/>
        <w:rPr>
          <w:lang w:val="en-GB"/>
        </w:rPr>
      </w:pPr>
      <w:r w:rsidRPr="00100542">
        <w:rPr>
          <w:lang w:val="en-GB"/>
        </w:rPr>
        <w:t>Strategies to enhance the levels of employee engagement</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Performance management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It would be beneficial for organisations to manage employee’s performances consecutively through implementing or classifying work breakdown structures during conducting any important project. Through the aid of this strategy organisations would be able to provide minimum work with more flexible working duration despite being affected by Covid-19 situations. Therefore, it is extremely important to define and communicate organisational goals with employees along with calling out for regular meetings and discussions. Employees must be compelled to attain each activity for seeking their own benefits and it would be possible by practicing such identified theoretical knowledge. In that case, Kissflow HR cloud can be used by organisations to streamline their business performance management process in improving retention and eliminating </w:t>
      </w:r>
      <w:r w:rsidR="00CD6239" w:rsidRPr="00100542">
        <w:rPr>
          <w:rFonts w:ascii="Times New Roman" w:eastAsia="Times New Roman" w:hAnsi="Times New Roman" w:cs="Times New Roman"/>
          <w:sz w:val="24"/>
          <w:szCs w:val="24"/>
          <w:lang w:val="en-GB"/>
        </w:rPr>
        <w:t>favouritisms</w:t>
      </w:r>
      <w:r w:rsidRPr="00100542">
        <w:rPr>
          <w:rFonts w:ascii="Times New Roman" w:eastAsia="Times New Roman" w:hAnsi="Times New Roman" w:cs="Times New Roman"/>
          <w:sz w:val="24"/>
          <w:szCs w:val="24"/>
          <w:lang w:val="en-GB"/>
        </w:rPr>
        <w:t xml:space="preserve"> and </w:t>
      </w:r>
      <w:r w:rsidR="00CD6239" w:rsidRPr="00100542">
        <w:rPr>
          <w:rFonts w:ascii="Times New Roman" w:eastAsia="Times New Roman" w:hAnsi="Times New Roman" w:cs="Times New Roman"/>
          <w:sz w:val="24"/>
          <w:szCs w:val="24"/>
          <w:lang w:val="en-GB"/>
        </w:rPr>
        <w:t>partialities</w:t>
      </w:r>
      <w:r w:rsidRPr="00100542">
        <w:rPr>
          <w:rFonts w:ascii="Times New Roman" w:eastAsia="Times New Roman" w:hAnsi="Times New Roman" w:cs="Times New Roman"/>
          <w:sz w:val="24"/>
          <w:szCs w:val="24"/>
          <w:lang w:val="en-GB"/>
        </w:rPr>
        <w:t xml:space="preserve"> in form of discrimination. </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Transformational leadership quality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Organisations must obtain transformational leadership approaches or styles to work with a team in order to recognise required changes in their managerial practices. Besieux </w:t>
      </w:r>
      <w:r w:rsidRPr="00100542">
        <w:rPr>
          <w:rFonts w:ascii="Times New Roman" w:eastAsia="Times New Roman" w:hAnsi="Times New Roman" w:cs="Times New Roman"/>
          <w:i/>
          <w:sz w:val="24"/>
          <w:szCs w:val="24"/>
          <w:lang w:val="en-GB"/>
        </w:rPr>
        <w:t>et al</w:t>
      </w:r>
      <w:r w:rsidRPr="00100542">
        <w:rPr>
          <w:rFonts w:ascii="Times New Roman" w:eastAsia="Times New Roman" w:hAnsi="Times New Roman" w:cs="Times New Roman"/>
          <w:sz w:val="24"/>
          <w:szCs w:val="24"/>
          <w:lang w:val="en-GB"/>
        </w:rPr>
        <w:t xml:space="preserve">. (2018) explained that transformational leadership strategy is linked to collective </w:t>
      </w:r>
      <w:r w:rsidRPr="00100542">
        <w:rPr>
          <w:rFonts w:ascii="Times New Roman" w:eastAsia="Times New Roman" w:hAnsi="Times New Roman" w:cs="Times New Roman"/>
          <w:sz w:val="24"/>
          <w:szCs w:val="24"/>
          <w:lang w:val="en-GB"/>
        </w:rPr>
        <w:lastRenderedPageBreak/>
        <w:t xml:space="preserve">organisational engagement that unfolds antecedents of employee engagement that allow them to achieve team and organisational goals. Therefore, transformational leadership strategies would make employers more insightful to determine right places for their employees while assessing essential tasks or projects. Moreover, this leadership style would compel and encourage employers </w:t>
      </w:r>
      <w:r w:rsidR="00CD6239" w:rsidRPr="00100542">
        <w:rPr>
          <w:rFonts w:ascii="Times New Roman" w:eastAsia="Times New Roman" w:hAnsi="Times New Roman" w:cs="Times New Roman"/>
          <w:sz w:val="24"/>
          <w:szCs w:val="24"/>
          <w:lang w:val="en-GB"/>
        </w:rPr>
        <w:t>specially</w:t>
      </w:r>
      <w:r w:rsidRPr="00100542">
        <w:rPr>
          <w:rFonts w:ascii="Times New Roman" w:eastAsia="Times New Roman" w:hAnsi="Times New Roman" w:cs="Times New Roman"/>
          <w:sz w:val="24"/>
          <w:szCs w:val="24"/>
          <w:lang w:val="en-GB"/>
        </w:rPr>
        <w:t xml:space="preserve"> to treat their employees equivalently based on their skills, knowledge and experiences. However, this leadership style would extract marginalised potentialities out of employees to make them more dedicated towards work which would increase organisational productivity per individual. </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 xml:space="preserve">Effective job designs </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HR managers in an organisation must create an unbiased or impartial recruitment process so that potential candidates can be hired to leverage business functions effectively. It would be useful for such organisations to create friendly and sustainable workplaces where employees' competencies would demonstrate their identity rather than their manipulative actions. Diversification is a major step which can be added into this strategy where employees would not just perform to get rewards but also to gain knowledge out of their current experiences. Hence, Ye </w:t>
      </w:r>
      <w:r w:rsidRPr="00100542">
        <w:rPr>
          <w:rFonts w:ascii="Times New Roman" w:eastAsia="Times New Roman" w:hAnsi="Times New Roman" w:cs="Times New Roman"/>
          <w:i/>
          <w:sz w:val="24"/>
          <w:szCs w:val="24"/>
          <w:lang w:val="en-GB"/>
        </w:rPr>
        <w:t xml:space="preserve">et al. </w:t>
      </w:r>
      <w:r w:rsidRPr="00100542">
        <w:rPr>
          <w:rFonts w:ascii="Times New Roman" w:eastAsia="Times New Roman" w:hAnsi="Times New Roman" w:cs="Times New Roman"/>
          <w:sz w:val="24"/>
          <w:szCs w:val="24"/>
          <w:lang w:val="en-GB"/>
        </w:rPr>
        <w:t xml:space="preserve">(2018) added that diversification is a way to reduce risk that causes unprecedented growth for a firm through reforming the structure of their business and working pattern. For instance, HR managers in Toyota UK have arranged an effective job rotation policy through which they make efforts in assigning to their desired departments and roles. </w:t>
      </w:r>
    </w:p>
    <w:p w:rsidR="00F6682C" w:rsidRPr="00100542" w:rsidRDefault="000F0F35">
      <w:pPr>
        <w:spacing w:line="360" w:lineRule="auto"/>
        <w:jc w:val="both"/>
        <w:rPr>
          <w:rFonts w:ascii="Times New Roman" w:eastAsia="Times New Roman" w:hAnsi="Times New Roman" w:cs="Times New Roman"/>
          <w:b/>
          <w:sz w:val="24"/>
          <w:szCs w:val="24"/>
          <w:lang w:val="en-GB"/>
        </w:rPr>
      </w:pPr>
      <w:r w:rsidRPr="00100542">
        <w:rPr>
          <w:rFonts w:ascii="Times New Roman" w:eastAsia="Times New Roman" w:hAnsi="Times New Roman" w:cs="Times New Roman"/>
          <w:b/>
          <w:sz w:val="24"/>
          <w:szCs w:val="24"/>
          <w:lang w:val="en-GB"/>
        </w:rPr>
        <w:t>Facilitating learning and development programs</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Improving and circulating learning and development programs across organisations would be the most convenient, reliable and viable strategy that can be obtained by a firm during Covid-19 situations. In case of work from home employees can be asked to sign up on company’s personalised profiles to get trained with an online consultation that must be provided by HR managers. Hence, it would be beneficial for those firms to bring positive changes in their working cultures where employees would be already trained to deal with it. </w:t>
      </w:r>
    </w:p>
    <w:p w:rsidR="00F6682C" w:rsidRPr="00100542" w:rsidRDefault="000F0F35" w:rsidP="0052683E">
      <w:pPr>
        <w:pStyle w:val="Heading1"/>
        <w:rPr>
          <w:lang w:val="en-GB"/>
        </w:rPr>
      </w:pPr>
      <w:r w:rsidRPr="00100542">
        <w:rPr>
          <w:lang w:val="en-GB"/>
        </w:rPr>
        <w:t>Conclusion</w:t>
      </w:r>
    </w:p>
    <w:p w:rsidR="00F6682C" w:rsidRPr="00100542" w:rsidRDefault="000F0F35">
      <w:pPr>
        <w:spacing w:line="360" w:lineRule="auto"/>
        <w:jc w:val="both"/>
        <w:rPr>
          <w:rFonts w:ascii="Times New Roman" w:eastAsia="Times New Roman" w:hAnsi="Times New Roman" w:cs="Times New Roman"/>
          <w:sz w:val="24"/>
          <w:szCs w:val="24"/>
          <w:lang w:val="en-GB"/>
        </w:rPr>
      </w:pPr>
      <w:r w:rsidRPr="00100542">
        <w:rPr>
          <w:rFonts w:ascii="Times New Roman" w:eastAsia="Times New Roman" w:hAnsi="Times New Roman" w:cs="Times New Roman"/>
          <w:sz w:val="24"/>
          <w:szCs w:val="24"/>
          <w:lang w:val="en-GB"/>
        </w:rPr>
        <w:t xml:space="preserve">This report concludes different factors associated with influencing employee engagement in organisation and its outcome on business productivities. It can be stated that employee engagement is a key technique to gain competitive advantages for a firm as it entails required standards to set on operational criteria. Moreover, employee engagement would strengthen </w:t>
      </w:r>
      <w:r w:rsidRPr="00100542">
        <w:rPr>
          <w:rFonts w:ascii="Times New Roman" w:eastAsia="Times New Roman" w:hAnsi="Times New Roman" w:cs="Times New Roman"/>
          <w:sz w:val="24"/>
          <w:szCs w:val="24"/>
          <w:lang w:val="en-GB"/>
        </w:rPr>
        <w:lastRenderedPageBreak/>
        <w:t xml:space="preserve">organisational activities through which a sustainable relationship and communication would be built among individuals. Employee engagement wou8ld compel me to “go the extra mile” in order to make things better and sharpen. However, it would increase employee’s health and safety by working with a friendly and cooperative team </w:t>
      </w:r>
      <w:r w:rsidR="00CD6239" w:rsidRPr="00100542">
        <w:rPr>
          <w:rFonts w:ascii="Times New Roman" w:eastAsia="Times New Roman" w:hAnsi="Times New Roman" w:cs="Times New Roman"/>
          <w:sz w:val="24"/>
          <w:szCs w:val="24"/>
          <w:lang w:val="en-GB"/>
        </w:rPr>
        <w:t>whereas</w:t>
      </w:r>
      <w:r w:rsidRPr="00100542">
        <w:rPr>
          <w:rFonts w:ascii="Times New Roman" w:eastAsia="Times New Roman" w:hAnsi="Times New Roman" w:cs="Times New Roman"/>
          <w:sz w:val="24"/>
          <w:szCs w:val="24"/>
          <w:lang w:val="en-GB"/>
        </w:rPr>
        <w:t xml:space="preserve"> it would </w:t>
      </w:r>
      <w:r w:rsidR="00CD6239" w:rsidRPr="00100542">
        <w:rPr>
          <w:rFonts w:ascii="Times New Roman" w:eastAsia="Times New Roman" w:hAnsi="Times New Roman" w:cs="Times New Roman"/>
          <w:sz w:val="24"/>
          <w:szCs w:val="24"/>
          <w:lang w:val="en-GB"/>
        </w:rPr>
        <w:t>encompass</w:t>
      </w:r>
      <w:r w:rsidRPr="00100542">
        <w:rPr>
          <w:rFonts w:ascii="Times New Roman" w:eastAsia="Times New Roman" w:hAnsi="Times New Roman" w:cs="Times New Roman"/>
          <w:sz w:val="24"/>
          <w:szCs w:val="24"/>
          <w:lang w:val="en-GB"/>
        </w:rPr>
        <w:t xml:space="preserve"> effective strategic to </w:t>
      </w:r>
      <w:r w:rsidR="00CD6239" w:rsidRPr="00100542">
        <w:rPr>
          <w:rFonts w:ascii="Times New Roman" w:eastAsia="Times New Roman" w:hAnsi="Times New Roman" w:cs="Times New Roman"/>
          <w:sz w:val="24"/>
          <w:szCs w:val="24"/>
          <w:lang w:val="en-GB"/>
        </w:rPr>
        <w:t>meet</w:t>
      </w:r>
      <w:r w:rsidRPr="00100542">
        <w:rPr>
          <w:rFonts w:ascii="Times New Roman" w:eastAsia="Times New Roman" w:hAnsi="Times New Roman" w:cs="Times New Roman"/>
          <w:sz w:val="24"/>
          <w:szCs w:val="24"/>
          <w:lang w:val="en-GB"/>
        </w:rPr>
        <w:t xml:space="preserve"> deadlines in </w:t>
      </w:r>
      <w:r w:rsidR="00CD6239" w:rsidRPr="00100542">
        <w:rPr>
          <w:rFonts w:ascii="Times New Roman" w:eastAsia="Times New Roman" w:hAnsi="Times New Roman" w:cs="Times New Roman"/>
          <w:sz w:val="24"/>
          <w:szCs w:val="24"/>
          <w:lang w:val="en-GB"/>
        </w:rPr>
        <w:t>completion</w:t>
      </w:r>
      <w:r w:rsidRPr="00100542">
        <w:rPr>
          <w:rFonts w:ascii="Times New Roman" w:eastAsia="Times New Roman" w:hAnsi="Times New Roman" w:cs="Times New Roman"/>
          <w:sz w:val="24"/>
          <w:szCs w:val="24"/>
          <w:lang w:val="en-GB"/>
        </w:rPr>
        <w:t xml:space="preserve"> tasks. </w:t>
      </w:r>
    </w:p>
    <w:p w:rsidR="0052683E" w:rsidRDefault="0052683E">
      <w:pPr>
        <w:rPr>
          <w:rFonts w:ascii="Times New Roman" w:hAnsi="Times New Roman" w:cs="Times New Roman"/>
          <w:b/>
          <w:sz w:val="24"/>
          <w:szCs w:val="24"/>
        </w:rPr>
      </w:pPr>
      <w:r>
        <w:rPr>
          <w:rFonts w:ascii="Times New Roman" w:hAnsi="Times New Roman" w:cs="Times New Roman"/>
          <w:b/>
          <w:sz w:val="24"/>
          <w:szCs w:val="24"/>
        </w:rPr>
        <w:br w:type="page"/>
      </w:r>
    </w:p>
    <w:p w:rsidR="00242515" w:rsidRDefault="00242515" w:rsidP="0052683E">
      <w:pPr>
        <w:pStyle w:val="Heading1"/>
      </w:pPr>
      <w:r w:rsidRPr="00DD4E3F">
        <w:lastRenderedPageBreak/>
        <w:t xml:space="preserve">Reference List </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Akanji, B., Mordi, T., Ajonbadi, H. and Mojeed-Sanni, B., (2018). Impact of leadership styles on employee engagement and conflict management practices in Nigerian universities. </w:t>
      </w:r>
      <w:r w:rsidRPr="00C77192">
        <w:rPr>
          <w:rFonts w:ascii="Times New Roman" w:hAnsi="Times New Roman" w:cs="Times New Roman"/>
          <w:i/>
          <w:iCs/>
          <w:sz w:val="24"/>
          <w:szCs w:val="24"/>
        </w:rPr>
        <w:t>Issues in Educational Research</w:t>
      </w:r>
      <w:r w:rsidRPr="00C77192">
        <w:rPr>
          <w:rFonts w:ascii="Times New Roman" w:hAnsi="Times New Roman" w:cs="Times New Roman"/>
          <w:sz w:val="24"/>
          <w:szCs w:val="24"/>
        </w:rPr>
        <w:t>, </w:t>
      </w:r>
      <w:r w:rsidRPr="00C77192">
        <w:rPr>
          <w:rFonts w:ascii="Times New Roman" w:hAnsi="Times New Roman" w:cs="Times New Roman"/>
          <w:i/>
          <w:iCs/>
          <w:sz w:val="24"/>
          <w:szCs w:val="24"/>
        </w:rPr>
        <w:t>28</w:t>
      </w:r>
      <w:r w:rsidRPr="00C77192">
        <w:rPr>
          <w:rFonts w:ascii="Times New Roman" w:hAnsi="Times New Roman" w:cs="Times New Roman"/>
          <w:sz w:val="24"/>
          <w:szCs w:val="24"/>
        </w:rPr>
        <w:t>(4), pp.830-848.</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Albrecht, S., Breidahl, E. and Marty, A., (2018). Organizational resources, organizational engagement climate, and employee engagement. </w:t>
      </w:r>
      <w:r w:rsidRPr="00C77192">
        <w:rPr>
          <w:rFonts w:ascii="Times New Roman" w:hAnsi="Times New Roman" w:cs="Times New Roman"/>
          <w:i/>
          <w:iCs/>
          <w:sz w:val="24"/>
          <w:szCs w:val="24"/>
        </w:rPr>
        <w:t>Career Development International</w:t>
      </w:r>
      <w:r w:rsidRPr="00C77192">
        <w:rPr>
          <w:rFonts w:ascii="Times New Roman" w:hAnsi="Times New Roman" w:cs="Times New Roman"/>
          <w:sz w:val="24"/>
          <w:szCs w:val="24"/>
        </w:rPr>
        <w:t>.</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Bagienska, A., (2018). EMPLOYEE VALUE PROPOSITION AS A TOOL OF EMPLOYER BRANDING. </w:t>
      </w:r>
      <w:r w:rsidRPr="00C77192">
        <w:rPr>
          <w:rFonts w:ascii="Times New Roman" w:hAnsi="Times New Roman" w:cs="Times New Roman"/>
          <w:i/>
          <w:iCs/>
          <w:sz w:val="24"/>
          <w:szCs w:val="24"/>
        </w:rPr>
        <w:t>Economic and Social Development: Book of Proceedings</w:t>
      </w:r>
      <w:r w:rsidRPr="00C77192">
        <w:rPr>
          <w:rFonts w:ascii="Times New Roman" w:hAnsi="Times New Roman" w:cs="Times New Roman"/>
          <w:sz w:val="24"/>
          <w:szCs w:val="24"/>
        </w:rPr>
        <w:t>, pp.370-379.</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 xml:space="preserve">bat.com, (2020). </w:t>
      </w:r>
      <w:r w:rsidRPr="00C77192">
        <w:rPr>
          <w:rFonts w:ascii="Times New Roman" w:eastAsiaTheme="minorHAnsi" w:hAnsi="Times New Roman" w:cs="Times New Roman"/>
          <w:bCs/>
          <w:i/>
        </w:rPr>
        <w:t>Our purpose and strategy</w:t>
      </w:r>
      <w:r w:rsidRPr="00C77192">
        <w:rPr>
          <w:rFonts w:ascii="Times New Roman" w:hAnsi="Times New Roman" w:cs="Times New Roman"/>
          <w:bCs/>
          <w:i/>
        </w:rPr>
        <w:t xml:space="preserve">. </w:t>
      </w:r>
      <w:r w:rsidRPr="00C77192">
        <w:rPr>
          <w:rFonts w:ascii="Times New Roman" w:hAnsi="Times New Roman" w:cs="Times New Roman"/>
          <w:bCs/>
        </w:rPr>
        <w:t xml:space="preserve">Available at: </w:t>
      </w:r>
      <w:hyperlink r:id="rId9" w:tgtFrame="_blank" w:history="1">
        <w:r w:rsidRPr="00C77192">
          <w:rPr>
            <w:rStyle w:val="Hyperlink"/>
            <w:rFonts w:ascii="Times New Roman" w:hAnsi="Times New Roman" w:cs="Times New Roman"/>
            <w:color w:val="auto"/>
            <w:sz w:val="24"/>
            <w:szCs w:val="24"/>
            <w:u w:val="none"/>
          </w:rPr>
          <w:t>https://www.bat.com/strategy</w:t>
        </w:r>
      </w:hyperlink>
      <w:r w:rsidRPr="00C77192">
        <w:rPr>
          <w:rFonts w:ascii="Times New Roman" w:hAnsi="Times New Roman" w:cs="Times New Roman"/>
          <w:sz w:val="24"/>
          <w:szCs w:val="24"/>
        </w:rPr>
        <w:t xml:space="preserve"> [Accessed on: 19/11/2020]</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Besieux, T., Baillien, E., Verbeke, A.L. and Euwema, M.C., (2018). What goes around comes around: The mediation of corporate social responsibility in the relationship between transformational leadership and employee engagement. </w:t>
      </w:r>
      <w:r w:rsidRPr="00C77192">
        <w:rPr>
          <w:rFonts w:ascii="Times New Roman" w:hAnsi="Times New Roman" w:cs="Times New Roman"/>
          <w:i/>
          <w:iCs/>
          <w:sz w:val="24"/>
          <w:szCs w:val="24"/>
        </w:rPr>
        <w:t>Economic and Industrial Democracy</w:t>
      </w:r>
      <w:r w:rsidRPr="00C77192">
        <w:rPr>
          <w:rFonts w:ascii="Times New Roman" w:hAnsi="Times New Roman" w:cs="Times New Roman"/>
          <w:sz w:val="24"/>
          <w:szCs w:val="24"/>
        </w:rPr>
        <w:t>, </w:t>
      </w:r>
      <w:r w:rsidRPr="00C77192">
        <w:rPr>
          <w:rFonts w:ascii="Times New Roman" w:hAnsi="Times New Roman" w:cs="Times New Roman"/>
          <w:i/>
          <w:iCs/>
          <w:sz w:val="24"/>
          <w:szCs w:val="24"/>
        </w:rPr>
        <w:t>39</w:t>
      </w:r>
      <w:r w:rsidRPr="00C77192">
        <w:rPr>
          <w:rFonts w:ascii="Times New Roman" w:hAnsi="Times New Roman" w:cs="Times New Roman"/>
          <w:sz w:val="24"/>
          <w:szCs w:val="24"/>
        </w:rPr>
        <w:t>(2), pp.249-271.</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Christy, D.V., (2019). Ergonomics and Employee Engagement. </w:t>
      </w:r>
      <w:r w:rsidRPr="00C77192">
        <w:rPr>
          <w:rFonts w:ascii="Times New Roman" w:hAnsi="Times New Roman" w:cs="Times New Roman"/>
          <w:i/>
          <w:iCs/>
          <w:sz w:val="24"/>
          <w:szCs w:val="24"/>
        </w:rPr>
        <w:t>International Journal of Mechanical Engineering and Technology</w:t>
      </w:r>
      <w:r w:rsidRPr="00C77192">
        <w:rPr>
          <w:rFonts w:ascii="Times New Roman" w:hAnsi="Times New Roman" w:cs="Times New Roman"/>
          <w:sz w:val="24"/>
          <w:szCs w:val="24"/>
        </w:rPr>
        <w:t>, </w:t>
      </w:r>
      <w:r w:rsidRPr="00C77192">
        <w:rPr>
          <w:rFonts w:ascii="Times New Roman" w:hAnsi="Times New Roman" w:cs="Times New Roman"/>
          <w:i/>
          <w:iCs/>
          <w:sz w:val="24"/>
          <w:szCs w:val="24"/>
        </w:rPr>
        <w:t>10</w:t>
      </w:r>
      <w:r w:rsidRPr="00C77192">
        <w:rPr>
          <w:rFonts w:ascii="Times New Roman" w:hAnsi="Times New Roman" w:cs="Times New Roman"/>
          <w:sz w:val="24"/>
          <w:szCs w:val="24"/>
        </w:rPr>
        <w:t>(2), pp.105-109.</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Johnson, K.R., Park, S. and Bartlett, K.R., (2018). Perceptions of customer service orientation, training, and employee engagement in Jamaica’s hospitality sector. </w:t>
      </w:r>
      <w:r w:rsidRPr="00C77192">
        <w:rPr>
          <w:rFonts w:ascii="Times New Roman" w:hAnsi="Times New Roman" w:cs="Times New Roman"/>
          <w:i/>
          <w:iCs/>
          <w:sz w:val="24"/>
          <w:szCs w:val="24"/>
        </w:rPr>
        <w:t>European Journal of Training and Development</w:t>
      </w:r>
      <w:r w:rsidRPr="00C77192">
        <w:rPr>
          <w:rFonts w:ascii="Times New Roman" w:hAnsi="Times New Roman" w:cs="Times New Roman"/>
          <w:sz w:val="24"/>
          <w:szCs w:val="24"/>
        </w:rPr>
        <w:t>.</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Kang, M. and Sung, M., (2017). How symmetrical employee communication leads to employee engagement and positive employee communication behaviors. </w:t>
      </w:r>
      <w:r w:rsidRPr="00C77192">
        <w:rPr>
          <w:rFonts w:ascii="Times New Roman" w:hAnsi="Times New Roman" w:cs="Times New Roman"/>
          <w:i/>
          <w:iCs/>
          <w:sz w:val="24"/>
          <w:szCs w:val="24"/>
        </w:rPr>
        <w:t>Journal of Communication Management</w:t>
      </w:r>
      <w:r w:rsidRPr="00C77192">
        <w:rPr>
          <w:rFonts w:ascii="Times New Roman" w:hAnsi="Times New Roman" w:cs="Times New Roman"/>
          <w:sz w:val="24"/>
          <w:szCs w:val="24"/>
        </w:rPr>
        <w:t>.</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Lapoint, P.A. and Liprie-Spence, A., (2017). Employee engagement: Generational differences in the workforce. </w:t>
      </w:r>
      <w:r w:rsidRPr="00C77192">
        <w:rPr>
          <w:rFonts w:ascii="Times New Roman" w:hAnsi="Times New Roman" w:cs="Times New Roman"/>
          <w:i/>
          <w:iCs/>
          <w:sz w:val="24"/>
          <w:szCs w:val="24"/>
        </w:rPr>
        <w:t>Journal of Organizational Psychology</w:t>
      </w:r>
      <w:r w:rsidRPr="00C77192">
        <w:rPr>
          <w:rFonts w:ascii="Times New Roman" w:hAnsi="Times New Roman" w:cs="Times New Roman"/>
          <w:sz w:val="24"/>
          <w:szCs w:val="24"/>
        </w:rPr>
        <w:t>, </w:t>
      </w:r>
      <w:r w:rsidRPr="00C77192">
        <w:rPr>
          <w:rFonts w:ascii="Times New Roman" w:hAnsi="Times New Roman" w:cs="Times New Roman"/>
          <w:i/>
          <w:iCs/>
          <w:sz w:val="24"/>
          <w:szCs w:val="24"/>
        </w:rPr>
        <w:t>17</w:t>
      </w:r>
      <w:r w:rsidRPr="00C77192">
        <w:rPr>
          <w:rFonts w:ascii="Times New Roman" w:hAnsi="Times New Roman" w:cs="Times New Roman"/>
          <w:sz w:val="24"/>
          <w:szCs w:val="24"/>
        </w:rPr>
        <w:t>(5).</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Lemon, L.L. and Palenchar, M.J., (2018). Public relations and zones of engagement: Employees’ lived experiences and the fundamental nature of employee engagement. </w:t>
      </w:r>
      <w:r w:rsidRPr="00C77192">
        <w:rPr>
          <w:rFonts w:ascii="Times New Roman" w:hAnsi="Times New Roman" w:cs="Times New Roman"/>
          <w:i/>
          <w:iCs/>
          <w:sz w:val="24"/>
          <w:szCs w:val="24"/>
        </w:rPr>
        <w:t>Public Relations Review</w:t>
      </w:r>
      <w:r w:rsidRPr="00C77192">
        <w:rPr>
          <w:rFonts w:ascii="Times New Roman" w:hAnsi="Times New Roman" w:cs="Times New Roman"/>
          <w:sz w:val="24"/>
          <w:szCs w:val="24"/>
        </w:rPr>
        <w:t>, </w:t>
      </w:r>
      <w:r w:rsidRPr="00C77192">
        <w:rPr>
          <w:rFonts w:ascii="Times New Roman" w:hAnsi="Times New Roman" w:cs="Times New Roman"/>
          <w:i/>
          <w:iCs/>
          <w:sz w:val="24"/>
          <w:szCs w:val="24"/>
        </w:rPr>
        <w:t>44</w:t>
      </w:r>
      <w:r w:rsidRPr="00C77192">
        <w:rPr>
          <w:rFonts w:ascii="Times New Roman" w:hAnsi="Times New Roman" w:cs="Times New Roman"/>
          <w:sz w:val="24"/>
          <w:szCs w:val="24"/>
        </w:rPr>
        <w:t>(1), pp.142-155.</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Lonn, M.R. and Dantzler, J.Z., (2017). A practical approach to counseling refugees: Applying Maslow’s hierarchy of needs. </w:t>
      </w:r>
      <w:r w:rsidRPr="00C77192">
        <w:rPr>
          <w:rFonts w:ascii="Times New Roman" w:hAnsi="Times New Roman" w:cs="Times New Roman"/>
          <w:i/>
          <w:iCs/>
          <w:sz w:val="24"/>
          <w:szCs w:val="24"/>
        </w:rPr>
        <w:t>Journal of Counselor Practice</w:t>
      </w:r>
      <w:r w:rsidRPr="00C77192">
        <w:rPr>
          <w:rFonts w:ascii="Times New Roman" w:hAnsi="Times New Roman" w:cs="Times New Roman"/>
          <w:sz w:val="24"/>
          <w:szCs w:val="24"/>
        </w:rPr>
        <w:t>, </w:t>
      </w:r>
      <w:r w:rsidRPr="00C77192">
        <w:rPr>
          <w:rFonts w:ascii="Times New Roman" w:hAnsi="Times New Roman" w:cs="Times New Roman"/>
          <w:i/>
          <w:iCs/>
          <w:sz w:val="24"/>
          <w:szCs w:val="24"/>
        </w:rPr>
        <w:t>8</w:t>
      </w:r>
      <w:r w:rsidRPr="00C77192">
        <w:rPr>
          <w:rFonts w:ascii="Times New Roman" w:hAnsi="Times New Roman" w:cs="Times New Roman"/>
          <w:sz w:val="24"/>
          <w:szCs w:val="24"/>
        </w:rPr>
        <w:t>(2), pp.61-82.</w:t>
      </w:r>
    </w:p>
    <w:p w:rsidR="00242515" w:rsidRPr="00C77192" w:rsidRDefault="00242515" w:rsidP="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 xml:space="preserve">slack.com, (2020). </w:t>
      </w:r>
      <w:r w:rsidRPr="00C77192">
        <w:rPr>
          <w:rFonts w:ascii="Times New Roman" w:eastAsiaTheme="minorHAnsi" w:hAnsi="Times New Roman" w:cs="Times New Roman"/>
          <w:bCs/>
          <w:i/>
          <w:sz w:val="24"/>
          <w:szCs w:val="24"/>
        </w:rPr>
        <w:t>Make work life simpler, more pleasant and more productive</w:t>
      </w:r>
      <w:r w:rsidRPr="00C77192">
        <w:rPr>
          <w:rFonts w:ascii="Times New Roman" w:eastAsiaTheme="minorHAnsi" w:hAnsi="Times New Roman" w:cs="Times New Roman"/>
          <w:b/>
          <w:bCs/>
          <w:sz w:val="24"/>
          <w:szCs w:val="24"/>
        </w:rPr>
        <w:t>.</w:t>
      </w:r>
      <w:r w:rsidRPr="00C77192">
        <w:rPr>
          <w:rFonts w:ascii="Times New Roman" w:hAnsi="Times New Roman" w:cs="Times New Roman"/>
          <w:bCs/>
        </w:rPr>
        <w:t>Available at:</w:t>
      </w:r>
      <w:hyperlink r:id="rId10" w:tgtFrame="_blank" w:history="1">
        <w:r w:rsidRPr="00C77192">
          <w:rPr>
            <w:rStyle w:val="Hyperlink"/>
            <w:rFonts w:ascii="Times New Roman" w:hAnsi="Times New Roman" w:cs="Times New Roman"/>
            <w:color w:val="auto"/>
            <w:sz w:val="24"/>
            <w:szCs w:val="24"/>
            <w:u w:val="none"/>
          </w:rPr>
          <w:t>https://slack.com/intl/en-in/about</w:t>
        </w:r>
      </w:hyperlink>
      <w:r w:rsidRPr="00C77192">
        <w:rPr>
          <w:rFonts w:ascii="Times New Roman" w:hAnsi="Times New Roman" w:cs="Times New Roman"/>
          <w:sz w:val="24"/>
          <w:szCs w:val="24"/>
        </w:rPr>
        <w:t xml:space="preserve"> [Accessed on: 19/11/2020]</w:t>
      </w:r>
    </w:p>
    <w:p w:rsidR="00F6682C" w:rsidRPr="0052683E" w:rsidRDefault="00242515">
      <w:pPr>
        <w:spacing w:line="360" w:lineRule="auto"/>
        <w:jc w:val="both"/>
        <w:rPr>
          <w:rFonts w:ascii="Times New Roman" w:hAnsi="Times New Roman" w:cs="Times New Roman"/>
          <w:sz w:val="24"/>
          <w:szCs w:val="24"/>
        </w:rPr>
      </w:pPr>
      <w:r w:rsidRPr="00C77192">
        <w:rPr>
          <w:rFonts w:ascii="Times New Roman" w:hAnsi="Times New Roman" w:cs="Times New Roman"/>
          <w:sz w:val="24"/>
          <w:szCs w:val="24"/>
        </w:rPr>
        <w:t>Ye, M., Lu, W., Flanagan, R. and Ye, K., (2018). Diversification in the international construction business. </w:t>
      </w:r>
      <w:r w:rsidRPr="00C77192">
        <w:rPr>
          <w:rFonts w:ascii="Times New Roman" w:hAnsi="Times New Roman" w:cs="Times New Roman"/>
          <w:i/>
          <w:iCs/>
          <w:sz w:val="24"/>
          <w:szCs w:val="24"/>
        </w:rPr>
        <w:t>Construction management and economics</w:t>
      </w:r>
      <w:r w:rsidRPr="00C77192">
        <w:rPr>
          <w:rFonts w:ascii="Times New Roman" w:hAnsi="Times New Roman" w:cs="Times New Roman"/>
          <w:sz w:val="24"/>
          <w:szCs w:val="24"/>
        </w:rPr>
        <w:t>, </w:t>
      </w:r>
      <w:r w:rsidRPr="00C77192">
        <w:rPr>
          <w:rFonts w:ascii="Times New Roman" w:hAnsi="Times New Roman" w:cs="Times New Roman"/>
          <w:i/>
          <w:iCs/>
          <w:sz w:val="24"/>
          <w:szCs w:val="24"/>
        </w:rPr>
        <w:t>36</w:t>
      </w:r>
      <w:r w:rsidR="0052683E">
        <w:rPr>
          <w:rFonts w:ascii="Times New Roman" w:hAnsi="Times New Roman" w:cs="Times New Roman"/>
          <w:sz w:val="24"/>
          <w:szCs w:val="24"/>
        </w:rPr>
        <w:t>(6), pp.348-36</w:t>
      </w:r>
    </w:p>
    <w:sectPr w:rsidR="00F6682C" w:rsidRPr="0052683E" w:rsidSect="006C2879">
      <w:headerReference w:type="even" r:id="rId11"/>
      <w:headerReference w:type="default" r:id="rId12"/>
      <w:footerReference w:type="even" r:id="rId13"/>
      <w:footerReference w:type="default" r:id="rId14"/>
      <w:headerReference w:type="first" r:id="rId15"/>
      <w:footerReference w:type="firs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840E3" w:rsidRDefault="003840E3" w:rsidP="006C2879">
      <w:pPr>
        <w:spacing w:line="240" w:lineRule="auto"/>
      </w:pPr>
      <w:r>
        <w:separator/>
      </w:r>
    </w:p>
  </w:endnote>
  <w:endnote w:type="continuationSeparator" w:id="1">
    <w:p w:rsidR="003840E3" w:rsidRDefault="003840E3" w:rsidP="006C287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77A2" w:rsidRDefault="00BE77A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8260006"/>
      <w:docPartObj>
        <w:docPartGallery w:val="Page Numbers (Bottom of Page)"/>
        <w:docPartUnique/>
      </w:docPartObj>
    </w:sdtPr>
    <w:sdtEndPr>
      <w:rPr>
        <w:rFonts w:ascii="Times New Roman" w:hAnsi="Times New Roman" w:cs="Times New Roman"/>
        <w:noProof/>
        <w:sz w:val="20"/>
        <w:szCs w:val="20"/>
      </w:rPr>
    </w:sdtEndPr>
    <w:sdtContent>
      <w:p w:rsidR="006C2879" w:rsidRPr="006C2879" w:rsidRDefault="0033759D">
        <w:pPr>
          <w:pStyle w:val="Footer"/>
          <w:jc w:val="right"/>
          <w:rPr>
            <w:rFonts w:ascii="Times New Roman" w:hAnsi="Times New Roman" w:cs="Times New Roman"/>
            <w:sz w:val="20"/>
            <w:szCs w:val="20"/>
          </w:rPr>
        </w:pPr>
        <w:r w:rsidRPr="006C2879">
          <w:rPr>
            <w:rFonts w:ascii="Times New Roman" w:hAnsi="Times New Roman" w:cs="Times New Roman"/>
            <w:sz w:val="20"/>
            <w:szCs w:val="20"/>
          </w:rPr>
          <w:fldChar w:fldCharType="begin"/>
        </w:r>
        <w:r w:rsidR="006C2879" w:rsidRPr="006C2879">
          <w:rPr>
            <w:rFonts w:ascii="Times New Roman" w:hAnsi="Times New Roman" w:cs="Times New Roman"/>
            <w:sz w:val="20"/>
            <w:szCs w:val="20"/>
          </w:rPr>
          <w:instrText xml:space="preserve"> PAGE   \* MERGEFORMAT </w:instrText>
        </w:r>
        <w:r w:rsidRPr="006C2879">
          <w:rPr>
            <w:rFonts w:ascii="Times New Roman" w:hAnsi="Times New Roman" w:cs="Times New Roman"/>
            <w:sz w:val="20"/>
            <w:szCs w:val="20"/>
          </w:rPr>
          <w:fldChar w:fldCharType="separate"/>
        </w:r>
        <w:r w:rsidR="00CC48B4">
          <w:rPr>
            <w:rFonts w:ascii="Times New Roman" w:hAnsi="Times New Roman" w:cs="Times New Roman"/>
            <w:noProof/>
            <w:sz w:val="20"/>
            <w:szCs w:val="20"/>
          </w:rPr>
          <w:t>0</w:t>
        </w:r>
        <w:r w:rsidRPr="006C2879">
          <w:rPr>
            <w:rFonts w:ascii="Times New Roman" w:hAnsi="Times New Roman" w:cs="Times New Roman"/>
            <w:noProof/>
            <w:sz w:val="20"/>
            <w:szCs w:val="20"/>
          </w:rPr>
          <w:fldChar w:fldCharType="end"/>
        </w:r>
      </w:p>
    </w:sdtContent>
  </w:sdt>
  <w:p w:rsidR="006C2879" w:rsidRDefault="006C2879">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77A2" w:rsidRDefault="00BE77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840E3" w:rsidRDefault="003840E3" w:rsidP="006C2879">
      <w:pPr>
        <w:spacing w:line="240" w:lineRule="auto"/>
      </w:pPr>
      <w:r>
        <w:separator/>
      </w:r>
    </w:p>
  </w:footnote>
  <w:footnote w:type="continuationSeparator" w:id="1">
    <w:p w:rsidR="003840E3" w:rsidRDefault="003840E3" w:rsidP="006C2879">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77A2" w:rsidRDefault="00BE77A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77A2" w:rsidRDefault="00BE77A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77A2" w:rsidRDefault="00BE77A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removePersonalInformation/>
  <w:removeDateAndTime/>
  <w:defaultTabStop w:val="720"/>
  <w:characterSpacingControl w:val="doNotCompress"/>
  <w:hdrShapeDefaults>
    <o:shapedefaults v:ext="edit" spidmax="8194"/>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TI3NLUwtDAzNLMwsDBX0lEKTi0uzszPAykwqgUAGfWh1SwAAAA="/>
  </w:docVars>
  <w:rsids>
    <w:rsidRoot w:val="00F6682C"/>
    <w:rsid w:val="000339D3"/>
    <w:rsid w:val="000E1810"/>
    <w:rsid w:val="000F0F35"/>
    <w:rsid w:val="00100542"/>
    <w:rsid w:val="00112E65"/>
    <w:rsid w:val="001314AD"/>
    <w:rsid w:val="00207C70"/>
    <w:rsid w:val="00242515"/>
    <w:rsid w:val="002C78AB"/>
    <w:rsid w:val="0033759D"/>
    <w:rsid w:val="003840E3"/>
    <w:rsid w:val="0052683E"/>
    <w:rsid w:val="00597DF1"/>
    <w:rsid w:val="006C2879"/>
    <w:rsid w:val="006F12D8"/>
    <w:rsid w:val="00727BC1"/>
    <w:rsid w:val="00786DD0"/>
    <w:rsid w:val="007B21D5"/>
    <w:rsid w:val="009059CD"/>
    <w:rsid w:val="00B32D32"/>
    <w:rsid w:val="00B65541"/>
    <w:rsid w:val="00BD7ECD"/>
    <w:rsid w:val="00BE77A2"/>
    <w:rsid w:val="00C54D4C"/>
    <w:rsid w:val="00CC48B4"/>
    <w:rsid w:val="00CD6239"/>
    <w:rsid w:val="00D641D7"/>
    <w:rsid w:val="00F6682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E1810"/>
  </w:style>
  <w:style w:type="paragraph" w:styleId="Heading1">
    <w:name w:val="heading 1"/>
    <w:basedOn w:val="Normal"/>
    <w:next w:val="Normal"/>
    <w:rsid w:val="0052683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0E1810"/>
    <w:pPr>
      <w:keepNext/>
      <w:keepLines/>
      <w:spacing w:before="360" w:after="120"/>
      <w:outlineLvl w:val="1"/>
    </w:pPr>
    <w:rPr>
      <w:sz w:val="32"/>
      <w:szCs w:val="32"/>
    </w:rPr>
  </w:style>
  <w:style w:type="paragraph" w:styleId="Heading3">
    <w:name w:val="heading 3"/>
    <w:basedOn w:val="Normal"/>
    <w:next w:val="Normal"/>
    <w:rsid w:val="000E1810"/>
    <w:pPr>
      <w:keepNext/>
      <w:keepLines/>
      <w:spacing w:before="320" w:after="80"/>
      <w:outlineLvl w:val="2"/>
    </w:pPr>
    <w:rPr>
      <w:color w:val="434343"/>
      <w:sz w:val="28"/>
      <w:szCs w:val="28"/>
    </w:rPr>
  </w:style>
  <w:style w:type="paragraph" w:styleId="Heading4">
    <w:name w:val="heading 4"/>
    <w:basedOn w:val="Normal"/>
    <w:next w:val="Normal"/>
    <w:rsid w:val="000E1810"/>
    <w:pPr>
      <w:keepNext/>
      <w:keepLines/>
      <w:spacing w:before="280" w:after="80"/>
      <w:outlineLvl w:val="3"/>
    </w:pPr>
    <w:rPr>
      <w:color w:val="666666"/>
      <w:sz w:val="24"/>
      <w:szCs w:val="24"/>
    </w:rPr>
  </w:style>
  <w:style w:type="paragraph" w:styleId="Heading5">
    <w:name w:val="heading 5"/>
    <w:basedOn w:val="Normal"/>
    <w:next w:val="Normal"/>
    <w:rsid w:val="000E1810"/>
    <w:pPr>
      <w:keepNext/>
      <w:keepLines/>
      <w:spacing w:before="240" w:after="80"/>
      <w:outlineLvl w:val="4"/>
    </w:pPr>
    <w:rPr>
      <w:color w:val="666666"/>
    </w:rPr>
  </w:style>
  <w:style w:type="paragraph" w:styleId="Heading6">
    <w:name w:val="heading 6"/>
    <w:basedOn w:val="Normal"/>
    <w:next w:val="Normal"/>
    <w:rsid w:val="000E181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E1810"/>
    <w:pPr>
      <w:keepNext/>
      <w:keepLines/>
      <w:spacing w:after="60"/>
    </w:pPr>
    <w:rPr>
      <w:sz w:val="52"/>
      <w:szCs w:val="52"/>
    </w:rPr>
  </w:style>
  <w:style w:type="paragraph" w:styleId="Subtitle">
    <w:name w:val="Subtitle"/>
    <w:basedOn w:val="Normal"/>
    <w:next w:val="Normal"/>
    <w:rsid w:val="000E181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E1810"/>
    <w:pPr>
      <w:spacing w:line="240" w:lineRule="auto"/>
    </w:pPr>
    <w:rPr>
      <w:sz w:val="20"/>
      <w:szCs w:val="20"/>
    </w:rPr>
  </w:style>
  <w:style w:type="character" w:customStyle="1" w:styleId="CommentTextChar">
    <w:name w:val="Comment Text Char"/>
    <w:basedOn w:val="DefaultParagraphFont"/>
    <w:link w:val="CommentText"/>
    <w:uiPriority w:val="99"/>
    <w:semiHidden/>
    <w:rsid w:val="000E1810"/>
    <w:rPr>
      <w:sz w:val="20"/>
      <w:szCs w:val="20"/>
    </w:rPr>
  </w:style>
  <w:style w:type="character" w:styleId="CommentReference">
    <w:name w:val="annotation reference"/>
    <w:basedOn w:val="DefaultParagraphFont"/>
    <w:uiPriority w:val="99"/>
    <w:semiHidden/>
    <w:unhideWhenUsed/>
    <w:rsid w:val="000E1810"/>
    <w:rPr>
      <w:sz w:val="16"/>
      <w:szCs w:val="16"/>
    </w:rPr>
  </w:style>
  <w:style w:type="character" w:styleId="Hyperlink">
    <w:name w:val="Hyperlink"/>
    <w:basedOn w:val="DefaultParagraphFont"/>
    <w:uiPriority w:val="99"/>
    <w:unhideWhenUsed/>
    <w:rsid w:val="00242515"/>
    <w:rPr>
      <w:color w:val="0000FF" w:themeColor="hyperlink"/>
      <w:u w:val="single"/>
    </w:rPr>
  </w:style>
  <w:style w:type="paragraph" w:styleId="Header">
    <w:name w:val="header"/>
    <w:basedOn w:val="Normal"/>
    <w:link w:val="HeaderChar"/>
    <w:uiPriority w:val="99"/>
    <w:unhideWhenUsed/>
    <w:rsid w:val="006C2879"/>
    <w:pPr>
      <w:tabs>
        <w:tab w:val="center" w:pos="4513"/>
        <w:tab w:val="right" w:pos="9026"/>
      </w:tabs>
      <w:spacing w:line="240" w:lineRule="auto"/>
    </w:pPr>
  </w:style>
  <w:style w:type="character" w:customStyle="1" w:styleId="HeaderChar">
    <w:name w:val="Header Char"/>
    <w:basedOn w:val="DefaultParagraphFont"/>
    <w:link w:val="Header"/>
    <w:uiPriority w:val="99"/>
    <w:rsid w:val="006C2879"/>
  </w:style>
  <w:style w:type="paragraph" w:styleId="Footer">
    <w:name w:val="footer"/>
    <w:basedOn w:val="Normal"/>
    <w:link w:val="FooterChar"/>
    <w:uiPriority w:val="99"/>
    <w:unhideWhenUsed/>
    <w:rsid w:val="006C2879"/>
    <w:pPr>
      <w:tabs>
        <w:tab w:val="center" w:pos="4513"/>
        <w:tab w:val="right" w:pos="9026"/>
      </w:tabs>
      <w:spacing w:line="240" w:lineRule="auto"/>
    </w:pPr>
  </w:style>
  <w:style w:type="character" w:customStyle="1" w:styleId="FooterChar">
    <w:name w:val="Footer Char"/>
    <w:basedOn w:val="DefaultParagraphFont"/>
    <w:link w:val="Footer"/>
    <w:uiPriority w:val="99"/>
    <w:rsid w:val="006C2879"/>
  </w:style>
  <w:style w:type="paragraph" w:styleId="BalloonText">
    <w:name w:val="Balloon Text"/>
    <w:basedOn w:val="Normal"/>
    <w:link w:val="BalloonTextChar"/>
    <w:uiPriority w:val="99"/>
    <w:semiHidden/>
    <w:unhideWhenUsed/>
    <w:rsid w:val="00C54D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4D4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s://www.google.com/url?q=https://slack.com/intl/en-in/about&amp;sa=D&amp;ust=1606379865641000&amp;usg=AOvVaw0HScj7QrsBBrXReeNbDMKu" TargetMode="External"/><Relationship Id="rId4" Type="http://schemas.openxmlformats.org/officeDocument/2006/relationships/footnotes" Target="footnotes.xml"/><Relationship Id="rId9" Type="http://schemas.openxmlformats.org/officeDocument/2006/relationships/hyperlink" Target="https://www.google.com/url?q=https://www.bat.com/strategy&amp;sa=D&amp;ust=1606379865650000&amp;usg=AOvVaw1dR5VJapIIjrm5FwF9-Qy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2728</Words>
  <Characters>15555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2020-11-26T09:09:00Z</dcterms:created>
  <dcterms:modified xsi:type="dcterms:W3CDTF">2020-12-18T19:15:00Z</dcterms:modified>
</cp:coreProperties>
</file>