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FE134" w14:textId="22BC38C3" w:rsidR="0005219A" w:rsidRDefault="0005219A">
      <w:pPr>
        <w:spacing w:line="360" w:lineRule="auto"/>
        <w:jc w:val="center"/>
        <w:rPr>
          <w:rFonts w:eastAsia="Times New Roman"/>
          <w:b/>
          <w:bCs/>
          <w:sz w:val="32"/>
          <w:szCs w:val="32"/>
        </w:rPr>
      </w:pPr>
    </w:p>
    <w:p w14:paraId="29DA42D2" w14:textId="77777777" w:rsidR="00E50ED2" w:rsidRPr="0069787A" w:rsidRDefault="00E50ED2">
      <w:pPr>
        <w:spacing w:line="360" w:lineRule="auto"/>
        <w:jc w:val="center"/>
        <w:rPr>
          <w:rFonts w:eastAsia="Times New Roman"/>
          <w:b/>
          <w:bCs/>
          <w:sz w:val="32"/>
          <w:szCs w:val="32"/>
        </w:rPr>
      </w:pPr>
    </w:p>
    <w:p w14:paraId="6C1B6D95" w14:textId="77777777" w:rsidR="0005219A" w:rsidRPr="0069787A" w:rsidRDefault="0005219A">
      <w:pPr>
        <w:spacing w:line="360" w:lineRule="auto"/>
        <w:jc w:val="center"/>
        <w:rPr>
          <w:rFonts w:eastAsia="Times New Roman"/>
          <w:b/>
          <w:bCs/>
          <w:sz w:val="32"/>
          <w:szCs w:val="32"/>
        </w:rPr>
      </w:pPr>
    </w:p>
    <w:p w14:paraId="2680290C" w14:textId="77777777" w:rsidR="0005219A" w:rsidRPr="0069787A" w:rsidRDefault="0005219A">
      <w:pPr>
        <w:spacing w:line="360" w:lineRule="auto"/>
        <w:jc w:val="center"/>
        <w:rPr>
          <w:rFonts w:eastAsia="Times New Roman"/>
          <w:b/>
          <w:bCs/>
          <w:sz w:val="32"/>
          <w:szCs w:val="32"/>
        </w:rPr>
      </w:pPr>
    </w:p>
    <w:p w14:paraId="0ADC019E" w14:textId="77777777" w:rsidR="0005219A" w:rsidRPr="0069787A" w:rsidRDefault="0005219A">
      <w:pPr>
        <w:spacing w:line="360" w:lineRule="auto"/>
        <w:jc w:val="center"/>
        <w:rPr>
          <w:rFonts w:eastAsia="Times New Roman"/>
          <w:b/>
          <w:bCs/>
          <w:sz w:val="32"/>
          <w:szCs w:val="32"/>
        </w:rPr>
      </w:pPr>
    </w:p>
    <w:p w14:paraId="00000001" w14:textId="493E93E9" w:rsidR="00FB10DD" w:rsidRPr="0069787A" w:rsidRDefault="00FC3DFA">
      <w:pPr>
        <w:spacing w:line="360" w:lineRule="auto"/>
        <w:jc w:val="center"/>
        <w:rPr>
          <w:rFonts w:eastAsia="Times New Roman"/>
          <w:b/>
          <w:bCs/>
          <w:sz w:val="32"/>
          <w:szCs w:val="32"/>
        </w:rPr>
      </w:pPr>
      <w:r w:rsidRPr="0069787A">
        <w:rPr>
          <w:rFonts w:eastAsia="Times New Roman"/>
          <w:b/>
          <w:bCs/>
          <w:sz w:val="32"/>
          <w:szCs w:val="32"/>
        </w:rPr>
        <w:t>AN INVESTIGATION OF PUBLIC HEALTH IN CONNECTION TO QUORUM SENSING(QS) AND ITS IMPACT ON INFECTION CONTROL AMR SURVEILLANCE AND IMPLICATIONS FOR THE NHS AND SOCIAL CARE PRACTICE SETTINGS</w:t>
      </w:r>
    </w:p>
    <w:p w14:paraId="00BD34EE" w14:textId="6A9B7A2F" w:rsidR="00C94A8A" w:rsidRPr="0069787A" w:rsidRDefault="00C94A8A">
      <w:pPr>
        <w:spacing w:line="360" w:lineRule="auto"/>
        <w:jc w:val="center"/>
        <w:rPr>
          <w:rFonts w:eastAsia="Times New Roman"/>
          <w:b/>
          <w:bCs/>
          <w:sz w:val="32"/>
          <w:szCs w:val="32"/>
        </w:rPr>
      </w:pPr>
    </w:p>
    <w:p w14:paraId="69AB3F61" w14:textId="69AB5210" w:rsidR="00C94A8A" w:rsidRPr="0069787A" w:rsidRDefault="00C94A8A" w:rsidP="00C94A8A">
      <w:pPr>
        <w:spacing w:line="360" w:lineRule="auto"/>
        <w:jc w:val="center"/>
        <w:rPr>
          <w:rFonts w:eastAsia="Times New Roman"/>
          <w:b/>
          <w:bCs/>
          <w:sz w:val="32"/>
          <w:szCs w:val="32"/>
        </w:rPr>
      </w:pPr>
    </w:p>
    <w:p w14:paraId="6C782A3E" w14:textId="756E0E87" w:rsidR="00C94A8A" w:rsidRPr="00402BDF" w:rsidRDefault="00C94A8A" w:rsidP="00402BDF">
      <w:pPr>
        <w:spacing w:line="360" w:lineRule="auto"/>
        <w:jc w:val="center"/>
        <w:rPr>
          <w:rFonts w:eastAsia="Times New Roman"/>
          <w:sz w:val="24"/>
          <w:szCs w:val="24"/>
          <w:lang w:val="en-IN"/>
        </w:rPr>
      </w:pPr>
    </w:p>
    <w:p w14:paraId="35714647" w14:textId="77777777" w:rsidR="00FB10DD" w:rsidRPr="0069787A" w:rsidRDefault="00FB10DD">
      <w:pPr>
        <w:rPr>
          <w:rFonts w:eastAsia="Times New Roman"/>
          <w:b/>
          <w:bCs/>
          <w:sz w:val="32"/>
          <w:szCs w:val="32"/>
        </w:rPr>
      </w:pPr>
      <w:r w:rsidRPr="0069787A">
        <w:rPr>
          <w:rFonts w:eastAsia="Times New Roman"/>
          <w:b/>
          <w:bCs/>
          <w:sz w:val="32"/>
          <w:szCs w:val="32"/>
        </w:rPr>
        <w:br w:type="page"/>
      </w:r>
    </w:p>
    <w:p w14:paraId="568FB4A1" w14:textId="77777777" w:rsidR="00FB10DD" w:rsidRPr="0069787A" w:rsidRDefault="00FB10DD" w:rsidP="00FB10DD">
      <w:pPr>
        <w:pStyle w:val="Heading1"/>
        <w:rPr>
          <w:lang w:val="en-IN"/>
        </w:rPr>
      </w:pPr>
      <w:bookmarkStart w:id="0" w:name="_Toc216991640"/>
      <w:r w:rsidRPr="0069787A">
        <w:lastRenderedPageBreak/>
        <w:t>ABSTRACT</w:t>
      </w:r>
      <w:bookmarkEnd w:id="0"/>
    </w:p>
    <w:p w14:paraId="62117867" w14:textId="77777777" w:rsidR="00FB10DD" w:rsidRPr="0069787A" w:rsidRDefault="00FB10DD" w:rsidP="00FB10DD">
      <w:pPr>
        <w:pStyle w:val="NormalWeb"/>
        <w:spacing w:before="0" w:beforeAutospacing="0" w:after="0" w:afterAutospacing="0" w:line="360" w:lineRule="auto"/>
        <w:jc w:val="both"/>
        <w:rPr>
          <w:rFonts w:ascii="Arial" w:hAnsi="Arial" w:cs="Arial"/>
        </w:rPr>
      </w:pPr>
      <w:r w:rsidRPr="0069787A">
        <w:rPr>
          <w:rFonts w:ascii="Arial" w:hAnsi="Arial" w:cs="Arial"/>
          <w:b/>
          <w:bCs/>
          <w:i/>
          <w:iCs/>
          <w:color w:val="000000"/>
        </w:rPr>
        <w:t>Background:</w:t>
      </w:r>
      <w:r w:rsidRPr="0069787A">
        <w:rPr>
          <w:rFonts w:ascii="Arial" w:hAnsi="Arial" w:cs="Arial"/>
          <w:color w:val="000000"/>
        </w:rPr>
        <w:t xml:space="preserve"> Quorum sensing (QS) and quorum quenching (QQ) are essential in microbial communication, which affects biofilm formation, virulence, and antimicrobial resistance (AMR). With the infections associated with the QS-mediated processes continuing to bother medical systems, the study of these processes has gained particular significance in regard to infection control and the management of the population. In the context of the NHS and social care, QS-induced infections are associated with the emergence of chronic clinical complications, increased costs of treatment, and AMR overload.</w:t>
      </w:r>
    </w:p>
    <w:p w14:paraId="5344E12E" w14:textId="77777777" w:rsidR="00FB10DD" w:rsidRPr="0069787A" w:rsidRDefault="00FB10DD" w:rsidP="00FB10DD">
      <w:pPr>
        <w:pStyle w:val="NormalWeb"/>
        <w:spacing w:before="0" w:beforeAutospacing="0" w:after="0" w:afterAutospacing="0" w:line="360" w:lineRule="auto"/>
        <w:jc w:val="both"/>
        <w:rPr>
          <w:rFonts w:ascii="Arial" w:hAnsi="Arial" w:cs="Arial"/>
        </w:rPr>
      </w:pPr>
      <w:r w:rsidRPr="0069787A">
        <w:rPr>
          <w:rFonts w:ascii="Arial" w:hAnsi="Arial" w:cs="Arial"/>
          <w:b/>
          <w:bCs/>
          <w:i/>
          <w:iCs/>
          <w:color w:val="000000"/>
        </w:rPr>
        <w:t>Purpose:</w:t>
      </w:r>
      <w:r w:rsidRPr="0069787A">
        <w:rPr>
          <w:rFonts w:ascii="Arial" w:hAnsi="Arial" w:cs="Arial"/>
          <w:color w:val="000000"/>
        </w:rPr>
        <w:t xml:space="preserve"> The purpose of this study is to investigate the public health importance of quorum sensing and quorum quenching in relation to infection control, antimicrobial resistance surveillance, and to examine how recent technological advancements contribute to improving infection management and public health outcomes.</w:t>
      </w:r>
    </w:p>
    <w:p w14:paraId="147F92C8" w14:textId="77777777" w:rsidR="00FB10DD" w:rsidRPr="0069787A" w:rsidRDefault="00FB10DD" w:rsidP="00FB10DD">
      <w:pPr>
        <w:pStyle w:val="NormalWeb"/>
        <w:spacing w:before="0" w:beforeAutospacing="0" w:after="0" w:afterAutospacing="0" w:line="360" w:lineRule="auto"/>
        <w:jc w:val="both"/>
        <w:rPr>
          <w:rFonts w:ascii="Arial" w:hAnsi="Arial" w:cs="Arial"/>
        </w:rPr>
      </w:pPr>
      <w:r w:rsidRPr="0069787A">
        <w:rPr>
          <w:rFonts w:ascii="Arial" w:hAnsi="Arial" w:cs="Arial"/>
          <w:b/>
          <w:bCs/>
          <w:i/>
          <w:iCs/>
          <w:color w:val="000000"/>
        </w:rPr>
        <w:t>Methods:</w:t>
      </w:r>
      <w:r w:rsidRPr="0069787A">
        <w:rPr>
          <w:rFonts w:ascii="Arial" w:hAnsi="Arial" w:cs="Arial"/>
          <w:color w:val="000000"/>
        </w:rPr>
        <w:t xml:space="preserve"> Systematic review of secondary literature was carried out with the help of a structured PRISMA framework. Articles published in the 2020-2025 were filtered according to previously specified inclusion and exclusion criteria. The studies on QS signalling, QQ strategies, technological advances and the subsequent implication on the provision of public health in the UK were critically reviewed. </w:t>
      </w:r>
    </w:p>
    <w:p w14:paraId="7D2EB9CD" w14:textId="77777777" w:rsidR="00FB10DD" w:rsidRPr="0069787A" w:rsidRDefault="00FB10DD" w:rsidP="00FB10DD">
      <w:pPr>
        <w:pStyle w:val="NormalWeb"/>
        <w:spacing w:before="0" w:beforeAutospacing="0" w:after="0" w:afterAutospacing="0" w:line="360" w:lineRule="auto"/>
        <w:jc w:val="both"/>
        <w:rPr>
          <w:rFonts w:ascii="Arial" w:hAnsi="Arial" w:cs="Arial"/>
        </w:rPr>
      </w:pPr>
      <w:r w:rsidRPr="0069787A">
        <w:rPr>
          <w:rFonts w:ascii="Arial" w:hAnsi="Arial" w:cs="Arial"/>
          <w:b/>
          <w:bCs/>
          <w:i/>
          <w:iCs/>
          <w:color w:val="000000"/>
        </w:rPr>
        <w:t>Findings:</w:t>
      </w:r>
      <w:r w:rsidRPr="0069787A">
        <w:rPr>
          <w:rFonts w:ascii="Arial" w:hAnsi="Arial" w:cs="Arial"/>
          <w:color w:val="000000"/>
        </w:rPr>
        <w:t xml:space="preserve"> The review evidence shows that QS plays a major role in persistent infections and AMR due to biofilm formation, and coordinated microbial behaviour. QQ-based approaches, such as signal inhibitors, enzymes, and natural products, showed a possibility of decreasing virulence and improving the efficacy of treatment. Genomic sequencing, biosensors, and AI-based diagnostics were among the promising technological advances that could be used to enhance AMR surveillance and early detection of QS activity in healthcare facilities.</w:t>
      </w:r>
    </w:p>
    <w:p w14:paraId="4410564C" w14:textId="4AFC9766" w:rsidR="00A1077E" w:rsidRPr="0069787A" w:rsidRDefault="00FB10DD" w:rsidP="00F44204">
      <w:pPr>
        <w:pStyle w:val="NormalWeb"/>
        <w:spacing w:before="0" w:beforeAutospacing="0" w:after="0" w:afterAutospacing="0" w:line="360" w:lineRule="auto"/>
        <w:jc w:val="both"/>
        <w:rPr>
          <w:rFonts w:ascii="Arial" w:hAnsi="Arial" w:cs="Arial"/>
          <w:b/>
          <w:bCs/>
          <w:sz w:val="32"/>
          <w:szCs w:val="32"/>
        </w:rPr>
      </w:pPr>
      <w:r w:rsidRPr="0069787A">
        <w:rPr>
          <w:rFonts w:ascii="Arial" w:hAnsi="Arial" w:cs="Arial"/>
          <w:b/>
          <w:bCs/>
          <w:i/>
          <w:iCs/>
          <w:color w:val="000000"/>
        </w:rPr>
        <w:t xml:space="preserve">Conclusion: </w:t>
      </w:r>
      <w:r w:rsidRPr="0069787A">
        <w:rPr>
          <w:rFonts w:ascii="Arial" w:hAnsi="Arial" w:cs="Arial"/>
          <w:color w:val="000000"/>
        </w:rPr>
        <w:t>QS and QQ are the most important but not used dimensions of infection control. The combination of QS-targeted interventions and innovative technologies in both surveillance and clinical practise of the NHS should aid significantly in better managing the situation with infections, mitigating the risks of AMR, and enhancing the overall resilience of the population of the country.</w:t>
      </w:r>
    </w:p>
    <w:p w14:paraId="00000002" w14:textId="77777777" w:rsidR="00A1077E" w:rsidRPr="0069787A" w:rsidRDefault="00FC3DFA">
      <w:pPr>
        <w:spacing w:line="360" w:lineRule="auto"/>
        <w:jc w:val="both"/>
        <w:rPr>
          <w:rFonts w:eastAsia="Times New Roman"/>
          <w:b/>
          <w:bCs/>
          <w:sz w:val="24"/>
          <w:szCs w:val="24"/>
        </w:rPr>
      </w:pPr>
      <w:r w:rsidRPr="0069787A">
        <w:br w:type="page"/>
      </w:r>
    </w:p>
    <w:sdt>
      <w:sdtPr>
        <w:rPr>
          <w:rFonts w:ascii="Arial" w:eastAsia="Arial" w:hAnsi="Arial" w:cs="Arial"/>
          <w:color w:val="auto"/>
          <w:sz w:val="24"/>
          <w:szCs w:val="24"/>
          <w:lang w:val="en-GB" w:eastAsia="en-IN"/>
        </w:rPr>
        <w:id w:val="-1850400324"/>
        <w:docPartObj>
          <w:docPartGallery w:val="Table of Contents"/>
          <w:docPartUnique/>
        </w:docPartObj>
      </w:sdtPr>
      <w:sdtEndPr>
        <w:rPr>
          <w:b/>
          <w:bCs/>
        </w:rPr>
      </w:sdtEndPr>
      <w:sdtContent>
        <w:p w14:paraId="01CCACC7" w14:textId="5A17EC15" w:rsidR="00D62C86" w:rsidRPr="0069787A" w:rsidRDefault="00D62C86" w:rsidP="000D217D">
          <w:pPr>
            <w:pStyle w:val="TOCHeading"/>
            <w:spacing w:before="0" w:line="360" w:lineRule="auto"/>
            <w:jc w:val="center"/>
            <w:rPr>
              <w:rFonts w:ascii="Arial" w:hAnsi="Arial" w:cs="Arial"/>
              <w:b/>
              <w:bCs/>
              <w:color w:val="auto"/>
              <w:sz w:val="28"/>
              <w:szCs w:val="28"/>
            </w:rPr>
          </w:pPr>
          <w:r w:rsidRPr="0069787A">
            <w:rPr>
              <w:rFonts w:ascii="Arial" w:hAnsi="Arial" w:cs="Arial"/>
              <w:b/>
              <w:bCs/>
              <w:color w:val="auto"/>
              <w:sz w:val="28"/>
              <w:szCs w:val="28"/>
            </w:rPr>
            <w:t>Table of Contents</w:t>
          </w:r>
        </w:p>
        <w:p w14:paraId="1C888D01" w14:textId="59A5A9E5" w:rsidR="0069787A" w:rsidRPr="0069787A" w:rsidRDefault="00D62C86" w:rsidP="0069787A">
          <w:pPr>
            <w:pStyle w:val="TOC1"/>
            <w:tabs>
              <w:tab w:val="right" w:leader="dot" w:pos="9350"/>
            </w:tabs>
            <w:spacing w:after="0" w:line="360" w:lineRule="auto"/>
            <w:jc w:val="both"/>
            <w:rPr>
              <w:rFonts w:eastAsiaTheme="minorEastAsia"/>
              <w:noProof/>
              <w:sz w:val="24"/>
              <w:szCs w:val="24"/>
              <w:lang w:val="en-IN"/>
            </w:rPr>
          </w:pPr>
          <w:r w:rsidRPr="0069787A">
            <w:rPr>
              <w:sz w:val="24"/>
              <w:szCs w:val="24"/>
            </w:rPr>
            <w:fldChar w:fldCharType="begin"/>
          </w:r>
          <w:r w:rsidRPr="0069787A">
            <w:rPr>
              <w:sz w:val="24"/>
              <w:szCs w:val="24"/>
            </w:rPr>
            <w:instrText xml:space="preserve"> TOC \o "1-3" \h \z \u </w:instrText>
          </w:r>
          <w:r w:rsidRPr="0069787A">
            <w:rPr>
              <w:sz w:val="24"/>
              <w:szCs w:val="24"/>
            </w:rPr>
            <w:fldChar w:fldCharType="separate"/>
          </w:r>
          <w:hyperlink w:anchor="_Toc216991640" w:history="1">
            <w:r w:rsidR="0069787A" w:rsidRPr="0069787A">
              <w:rPr>
                <w:rStyle w:val="Hyperlink"/>
                <w:noProof/>
                <w:sz w:val="24"/>
                <w:szCs w:val="24"/>
              </w:rPr>
              <w:t>ABSTRACT</w:t>
            </w:r>
            <w:r w:rsidR="0069787A" w:rsidRPr="0069787A">
              <w:rPr>
                <w:noProof/>
                <w:webHidden/>
                <w:sz w:val="24"/>
                <w:szCs w:val="24"/>
              </w:rPr>
              <w:tab/>
            </w:r>
            <w:r w:rsidR="0069787A" w:rsidRPr="0069787A">
              <w:rPr>
                <w:noProof/>
                <w:webHidden/>
                <w:sz w:val="24"/>
                <w:szCs w:val="24"/>
              </w:rPr>
              <w:fldChar w:fldCharType="begin"/>
            </w:r>
            <w:r w:rsidR="0069787A" w:rsidRPr="0069787A">
              <w:rPr>
                <w:noProof/>
                <w:webHidden/>
                <w:sz w:val="24"/>
                <w:szCs w:val="24"/>
              </w:rPr>
              <w:instrText xml:space="preserve"> PAGEREF _Toc216991640 \h </w:instrText>
            </w:r>
            <w:r w:rsidR="0069787A" w:rsidRPr="0069787A">
              <w:rPr>
                <w:noProof/>
                <w:webHidden/>
                <w:sz w:val="24"/>
                <w:szCs w:val="24"/>
              </w:rPr>
            </w:r>
            <w:r w:rsidR="0069787A" w:rsidRPr="0069787A">
              <w:rPr>
                <w:noProof/>
                <w:webHidden/>
                <w:sz w:val="24"/>
                <w:szCs w:val="24"/>
              </w:rPr>
              <w:fldChar w:fldCharType="separate"/>
            </w:r>
            <w:r w:rsidR="00266FA7">
              <w:rPr>
                <w:noProof/>
                <w:webHidden/>
                <w:sz w:val="24"/>
                <w:szCs w:val="24"/>
              </w:rPr>
              <w:t>2</w:t>
            </w:r>
            <w:r w:rsidR="0069787A" w:rsidRPr="0069787A">
              <w:rPr>
                <w:noProof/>
                <w:webHidden/>
                <w:sz w:val="24"/>
                <w:szCs w:val="24"/>
              </w:rPr>
              <w:fldChar w:fldCharType="end"/>
            </w:r>
          </w:hyperlink>
        </w:p>
        <w:p w14:paraId="3D962B6A" w14:textId="6E054C4F"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41" w:history="1">
            <w:r w:rsidRPr="0069787A">
              <w:rPr>
                <w:rStyle w:val="Hyperlink"/>
                <w:noProof/>
                <w:sz w:val="24"/>
                <w:szCs w:val="24"/>
              </w:rPr>
              <w:t>CHAPTER 1: INTRODUCTION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_Toc216991641 \h </w:instrText>
            </w:r>
            <w:r w:rsidRPr="0069787A">
              <w:rPr>
                <w:noProof/>
                <w:webHidden/>
                <w:sz w:val="24"/>
                <w:szCs w:val="24"/>
              </w:rPr>
            </w:r>
            <w:r w:rsidRPr="0069787A">
              <w:rPr>
                <w:noProof/>
                <w:webHidden/>
                <w:sz w:val="24"/>
                <w:szCs w:val="24"/>
              </w:rPr>
              <w:fldChar w:fldCharType="separate"/>
            </w:r>
            <w:r w:rsidR="00266FA7">
              <w:rPr>
                <w:noProof/>
                <w:webHidden/>
                <w:sz w:val="24"/>
                <w:szCs w:val="24"/>
              </w:rPr>
              <w:t>7</w:t>
            </w:r>
            <w:r w:rsidRPr="0069787A">
              <w:rPr>
                <w:noProof/>
                <w:webHidden/>
                <w:sz w:val="24"/>
                <w:szCs w:val="24"/>
              </w:rPr>
              <w:fldChar w:fldCharType="end"/>
            </w:r>
          </w:hyperlink>
        </w:p>
        <w:p w14:paraId="450C695C" w14:textId="74F6B7B7"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2" w:history="1">
            <w:r w:rsidRPr="0069787A">
              <w:rPr>
                <w:rStyle w:val="Hyperlink"/>
                <w:noProof/>
                <w:sz w:val="24"/>
                <w:szCs w:val="24"/>
              </w:rPr>
              <w:t>1.1 Introduction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_Toc216991642 \h </w:instrText>
            </w:r>
            <w:r w:rsidRPr="0069787A">
              <w:rPr>
                <w:noProof/>
                <w:webHidden/>
                <w:sz w:val="24"/>
                <w:szCs w:val="24"/>
              </w:rPr>
            </w:r>
            <w:r w:rsidRPr="0069787A">
              <w:rPr>
                <w:noProof/>
                <w:webHidden/>
                <w:sz w:val="24"/>
                <w:szCs w:val="24"/>
              </w:rPr>
              <w:fldChar w:fldCharType="separate"/>
            </w:r>
            <w:r w:rsidR="00266FA7">
              <w:rPr>
                <w:noProof/>
                <w:webHidden/>
                <w:sz w:val="24"/>
                <w:szCs w:val="24"/>
              </w:rPr>
              <w:t>7</w:t>
            </w:r>
            <w:r w:rsidRPr="0069787A">
              <w:rPr>
                <w:noProof/>
                <w:webHidden/>
                <w:sz w:val="24"/>
                <w:szCs w:val="24"/>
              </w:rPr>
              <w:fldChar w:fldCharType="end"/>
            </w:r>
          </w:hyperlink>
        </w:p>
        <w:p w14:paraId="0832BED3" w14:textId="6CBAFECE"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3" w:history="1">
            <w:r w:rsidRPr="0069787A">
              <w:rPr>
                <w:rStyle w:val="Hyperlink"/>
                <w:noProof/>
                <w:sz w:val="24"/>
                <w:szCs w:val="24"/>
              </w:rPr>
              <w:t>1.2 Background</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_Toc216991643 \h </w:instrText>
            </w:r>
            <w:r w:rsidRPr="0069787A">
              <w:rPr>
                <w:noProof/>
                <w:webHidden/>
                <w:sz w:val="24"/>
                <w:szCs w:val="24"/>
              </w:rPr>
            </w:r>
            <w:r w:rsidRPr="0069787A">
              <w:rPr>
                <w:noProof/>
                <w:webHidden/>
                <w:sz w:val="24"/>
                <w:szCs w:val="24"/>
              </w:rPr>
              <w:fldChar w:fldCharType="separate"/>
            </w:r>
            <w:r w:rsidR="00266FA7">
              <w:rPr>
                <w:noProof/>
                <w:webHidden/>
                <w:sz w:val="24"/>
                <w:szCs w:val="24"/>
              </w:rPr>
              <w:t>7</w:t>
            </w:r>
            <w:r w:rsidRPr="0069787A">
              <w:rPr>
                <w:noProof/>
                <w:webHidden/>
                <w:sz w:val="24"/>
                <w:szCs w:val="24"/>
              </w:rPr>
              <w:fldChar w:fldCharType="end"/>
            </w:r>
          </w:hyperlink>
        </w:p>
        <w:p w14:paraId="1DCF544F" w14:textId="7AB28FD7"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4" w:history="1">
            <w:r w:rsidRPr="0069787A">
              <w:rPr>
                <w:rStyle w:val="Hyperlink"/>
                <w:noProof/>
                <w:sz w:val="24"/>
                <w:szCs w:val="24"/>
              </w:rPr>
              <w:t>1.3 Rationale</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_Toc216991644 \h </w:instrText>
            </w:r>
            <w:r w:rsidRPr="0069787A">
              <w:rPr>
                <w:noProof/>
                <w:webHidden/>
                <w:sz w:val="24"/>
                <w:szCs w:val="24"/>
              </w:rPr>
            </w:r>
            <w:r w:rsidRPr="0069787A">
              <w:rPr>
                <w:noProof/>
                <w:webHidden/>
                <w:sz w:val="24"/>
                <w:szCs w:val="24"/>
              </w:rPr>
              <w:fldChar w:fldCharType="separate"/>
            </w:r>
            <w:r w:rsidR="00266FA7">
              <w:rPr>
                <w:noProof/>
                <w:webHidden/>
                <w:sz w:val="24"/>
                <w:szCs w:val="24"/>
              </w:rPr>
              <w:t>8</w:t>
            </w:r>
            <w:r w:rsidRPr="0069787A">
              <w:rPr>
                <w:noProof/>
                <w:webHidden/>
                <w:sz w:val="24"/>
                <w:szCs w:val="24"/>
              </w:rPr>
              <w:fldChar w:fldCharType="end"/>
            </w:r>
          </w:hyperlink>
        </w:p>
        <w:p w14:paraId="35E22242" w14:textId="3C1A08FB"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5" w:history="1">
            <w:r w:rsidRPr="0069787A">
              <w:rPr>
                <w:rStyle w:val="Hyperlink"/>
                <w:noProof/>
                <w:sz w:val="24"/>
                <w:szCs w:val="24"/>
              </w:rPr>
              <w:t>1.4 Problem statement</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_Toc216991645 \h </w:instrText>
            </w:r>
            <w:r w:rsidRPr="0069787A">
              <w:rPr>
                <w:noProof/>
                <w:webHidden/>
                <w:sz w:val="24"/>
                <w:szCs w:val="24"/>
              </w:rPr>
            </w:r>
            <w:r w:rsidRPr="0069787A">
              <w:rPr>
                <w:noProof/>
                <w:webHidden/>
                <w:sz w:val="24"/>
                <w:szCs w:val="24"/>
              </w:rPr>
              <w:fldChar w:fldCharType="separate"/>
            </w:r>
            <w:r w:rsidR="00266FA7">
              <w:rPr>
                <w:noProof/>
                <w:webHidden/>
                <w:sz w:val="24"/>
                <w:szCs w:val="24"/>
              </w:rPr>
              <w:t>9</w:t>
            </w:r>
            <w:r w:rsidRPr="0069787A">
              <w:rPr>
                <w:noProof/>
                <w:webHidden/>
                <w:sz w:val="24"/>
                <w:szCs w:val="24"/>
              </w:rPr>
              <w:fldChar w:fldCharType="end"/>
            </w:r>
          </w:hyperlink>
        </w:p>
        <w:p w14:paraId="3F49035C" w14:textId="7A767AA5"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6" w:history="1">
            <w:r w:rsidRPr="0069787A">
              <w:rPr>
                <w:rStyle w:val="Hyperlink"/>
                <w:noProof/>
                <w:sz w:val="24"/>
                <w:szCs w:val="24"/>
              </w:rPr>
              <w:t>1.5 Aim and objectives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_Toc216991646 \h </w:instrText>
            </w:r>
            <w:r w:rsidRPr="0069787A">
              <w:rPr>
                <w:noProof/>
                <w:webHidden/>
                <w:sz w:val="24"/>
                <w:szCs w:val="24"/>
              </w:rPr>
            </w:r>
            <w:r w:rsidRPr="0069787A">
              <w:rPr>
                <w:noProof/>
                <w:webHidden/>
                <w:sz w:val="24"/>
                <w:szCs w:val="24"/>
              </w:rPr>
              <w:fldChar w:fldCharType="separate"/>
            </w:r>
            <w:r w:rsidR="00266FA7">
              <w:rPr>
                <w:noProof/>
                <w:webHidden/>
                <w:sz w:val="24"/>
                <w:szCs w:val="24"/>
              </w:rPr>
              <w:t>10</w:t>
            </w:r>
            <w:r w:rsidRPr="0069787A">
              <w:rPr>
                <w:noProof/>
                <w:webHidden/>
                <w:sz w:val="24"/>
                <w:szCs w:val="24"/>
              </w:rPr>
              <w:fldChar w:fldCharType="end"/>
            </w:r>
          </w:hyperlink>
        </w:p>
        <w:p w14:paraId="6F12C1E7" w14:textId="61FCBE30"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7" w:history="1">
            <w:r w:rsidRPr="0069787A">
              <w:rPr>
                <w:rStyle w:val="Hyperlink"/>
                <w:noProof/>
                <w:sz w:val="24"/>
                <w:szCs w:val="24"/>
              </w:rPr>
              <w:t>1.6 Research questions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_Toc216991647 \h </w:instrText>
            </w:r>
            <w:r w:rsidRPr="0069787A">
              <w:rPr>
                <w:noProof/>
                <w:webHidden/>
                <w:sz w:val="24"/>
                <w:szCs w:val="24"/>
              </w:rPr>
            </w:r>
            <w:r w:rsidRPr="0069787A">
              <w:rPr>
                <w:noProof/>
                <w:webHidden/>
                <w:sz w:val="24"/>
                <w:szCs w:val="24"/>
              </w:rPr>
              <w:fldChar w:fldCharType="separate"/>
            </w:r>
            <w:r w:rsidR="00266FA7">
              <w:rPr>
                <w:noProof/>
                <w:webHidden/>
                <w:sz w:val="24"/>
                <w:szCs w:val="24"/>
              </w:rPr>
              <w:t>10</w:t>
            </w:r>
            <w:r w:rsidRPr="0069787A">
              <w:rPr>
                <w:noProof/>
                <w:webHidden/>
                <w:sz w:val="24"/>
                <w:szCs w:val="24"/>
              </w:rPr>
              <w:fldChar w:fldCharType="end"/>
            </w:r>
          </w:hyperlink>
        </w:p>
        <w:p w14:paraId="3DA5A0D2" w14:textId="4AD0E7EB"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8" w:history="1">
            <w:r w:rsidRPr="0069787A">
              <w:rPr>
                <w:rStyle w:val="Hyperlink"/>
                <w:noProof/>
                <w:sz w:val="24"/>
                <w:szCs w:val="24"/>
              </w:rPr>
              <w:t>1.7 Significance of the research</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_Toc216991648 \h </w:instrText>
            </w:r>
            <w:r w:rsidRPr="0069787A">
              <w:rPr>
                <w:noProof/>
                <w:webHidden/>
                <w:sz w:val="24"/>
                <w:szCs w:val="24"/>
              </w:rPr>
            </w:r>
            <w:r w:rsidRPr="0069787A">
              <w:rPr>
                <w:noProof/>
                <w:webHidden/>
                <w:sz w:val="24"/>
                <w:szCs w:val="24"/>
              </w:rPr>
              <w:fldChar w:fldCharType="separate"/>
            </w:r>
            <w:r w:rsidR="00266FA7">
              <w:rPr>
                <w:noProof/>
                <w:webHidden/>
                <w:sz w:val="24"/>
                <w:szCs w:val="24"/>
              </w:rPr>
              <w:t>10</w:t>
            </w:r>
            <w:r w:rsidRPr="0069787A">
              <w:rPr>
                <w:noProof/>
                <w:webHidden/>
                <w:sz w:val="24"/>
                <w:szCs w:val="24"/>
              </w:rPr>
              <w:fldChar w:fldCharType="end"/>
            </w:r>
          </w:hyperlink>
        </w:p>
        <w:p w14:paraId="16177354" w14:textId="4B0D10A4"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49" w:history="1">
            <w:r w:rsidRPr="0069787A">
              <w:rPr>
                <w:rStyle w:val="Hyperlink"/>
                <w:noProof/>
                <w:sz w:val="24"/>
                <w:szCs w:val="24"/>
              </w:rPr>
              <w:t>1.8 Organisation of the dissertation.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_Toc216991649 \h </w:instrText>
            </w:r>
            <w:r w:rsidRPr="0069787A">
              <w:rPr>
                <w:noProof/>
                <w:webHidden/>
                <w:sz w:val="24"/>
                <w:szCs w:val="24"/>
              </w:rPr>
            </w:r>
            <w:r w:rsidRPr="0069787A">
              <w:rPr>
                <w:noProof/>
                <w:webHidden/>
                <w:sz w:val="24"/>
                <w:szCs w:val="24"/>
              </w:rPr>
              <w:fldChar w:fldCharType="separate"/>
            </w:r>
            <w:r w:rsidR="00266FA7">
              <w:rPr>
                <w:noProof/>
                <w:webHidden/>
                <w:sz w:val="24"/>
                <w:szCs w:val="24"/>
              </w:rPr>
              <w:t>11</w:t>
            </w:r>
            <w:r w:rsidRPr="0069787A">
              <w:rPr>
                <w:noProof/>
                <w:webHidden/>
                <w:sz w:val="24"/>
                <w:szCs w:val="24"/>
              </w:rPr>
              <w:fldChar w:fldCharType="end"/>
            </w:r>
          </w:hyperlink>
        </w:p>
        <w:p w14:paraId="1CB02B98" w14:textId="55FA34A1"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50" w:history="1">
            <w:r w:rsidRPr="0069787A">
              <w:rPr>
                <w:rStyle w:val="Hyperlink"/>
                <w:noProof/>
                <w:sz w:val="24"/>
                <w:szCs w:val="24"/>
              </w:rPr>
              <w:t>CHAPTER 2: LITERATURE REVIEW</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_Toc216991650 \h </w:instrText>
            </w:r>
            <w:r w:rsidRPr="0069787A">
              <w:rPr>
                <w:noProof/>
                <w:webHidden/>
                <w:sz w:val="24"/>
                <w:szCs w:val="24"/>
              </w:rPr>
            </w:r>
            <w:r w:rsidRPr="0069787A">
              <w:rPr>
                <w:noProof/>
                <w:webHidden/>
                <w:sz w:val="24"/>
                <w:szCs w:val="24"/>
              </w:rPr>
              <w:fldChar w:fldCharType="separate"/>
            </w:r>
            <w:r w:rsidR="00266FA7">
              <w:rPr>
                <w:noProof/>
                <w:webHidden/>
                <w:sz w:val="24"/>
                <w:szCs w:val="24"/>
              </w:rPr>
              <w:t>12</w:t>
            </w:r>
            <w:r w:rsidRPr="0069787A">
              <w:rPr>
                <w:noProof/>
                <w:webHidden/>
                <w:sz w:val="24"/>
                <w:szCs w:val="24"/>
              </w:rPr>
              <w:fldChar w:fldCharType="end"/>
            </w:r>
          </w:hyperlink>
        </w:p>
        <w:p w14:paraId="2D852409" w14:textId="0CD7C29D"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1" w:history="1">
            <w:r w:rsidRPr="0069787A">
              <w:rPr>
                <w:rStyle w:val="Hyperlink"/>
                <w:noProof/>
                <w:sz w:val="24"/>
                <w:szCs w:val="24"/>
              </w:rPr>
              <w:t>2.1 Introduction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_Toc216991651 \h </w:instrText>
            </w:r>
            <w:r w:rsidRPr="0069787A">
              <w:rPr>
                <w:noProof/>
                <w:webHidden/>
                <w:sz w:val="24"/>
                <w:szCs w:val="24"/>
              </w:rPr>
            </w:r>
            <w:r w:rsidRPr="0069787A">
              <w:rPr>
                <w:noProof/>
                <w:webHidden/>
                <w:sz w:val="24"/>
                <w:szCs w:val="24"/>
              </w:rPr>
              <w:fldChar w:fldCharType="separate"/>
            </w:r>
            <w:r w:rsidR="00266FA7">
              <w:rPr>
                <w:noProof/>
                <w:webHidden/>
                <w:sz w:val="24"/>
                <w:szCs w:val="24"/>
              </w:rPr>
              <w:t>12</w:t>
            </w:r>
            <w:r w:rsidRPr="0069787A">
              <w:rPr>
                <w:noProof/>
                <w:webHidden/>
                <w:sz w:val="24"/>
                <w:szCs w:val="24"/>
              </w:rPr>
              <w:fldChar w:fldCharType="end"/>
            </w:r>
          </w:hyperlink>
        </w:p>
        <w:p w14:paraId="67C4417D" w14:textId="684C23EC"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2" w:history="1">
            <w:r w:rsidRPr="0069787A">
              <w:rPr>
                <w:rStyle w:val="Hyperlink"/>
                <w:noProof/>
                <w:sz w:val="24"/>
                <w:szCs w:val="24"/>
              </w:rPr>
              <w:t>2.2 Overview of the healthcare-associated infections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_Toc216991652 \h </w:instrText>
            </w:r>
            <w:r w:rsidRPr="0069787A">
              <w:rPr>
                <w:noProof/>
                <w:webHidden/>
                <w:sz w:val="24"/>
                <w:szCs w:val="24"/>
              </w:rPr>
            </w:r>
            <w:r w:rsidRPr="0069787A">
              <w:rPr>
                <w:noProof/>
                <w:webHidden/>
                <w:sz w:val="24"/>
                <w:szCs w:val="24"/>
              </w:rPr>
              <w:fldChar w:fldCharType="separate"/>
            </w:r>
            <w:r w:rsidR="00266FA7">
              <w:rPr>
                <w:noProof/>
                <w:webHidden/>
                <w:sz w:val="24"/>
                <w:szCs w:val="24"/>
              </w:rPr>
              <w:t>12</w:t>
            </w:r>
            <w:r w:rsidRPr="0069787A">
              <w:rPr>
                <w:noProof/>
                <w:webHidden/>
                <w:sz w:val="24"/>
                <w:szCs w:val="24"/>
              </w:rPr>
              <w:fldChar w:fldCharType="end"/>
            </w:r>
          </w:hyperlink>
        </w:p>
        <w:p w14:paraId="6F11388A" w14:textId="0C95A415"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3" w:history="1">
            <w:r w:rsidRPr="0069787A">
              <w:rPr>
                <w:rStyle w:val="Hyperlink"/>
                <w:noProof/>
                <w:sz w:val="24"/>
                <w:szCs w:val="24"/>
              </w:rPr>
              <w:t>2.3 Antimicrobial Resistance (AMR) and Problems in NHS and Social Care.</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_Toc216991653 \h </w:instrText>
            </w:r>
            <w:r w:rsidRPr="0069787A">
              <w:rPr>
                <w:noProof/>
                <w:webHidden/>
                <w:sz w:val="24"/>
                <w:szCs w:val="24"/>
              </w:rPr>
            </w:r>
            <w:r w:rsidRPr="0069787A">
              <w:rPr>
                <w:noProof/>
                <w:webHidden/>
                <w:sz w:val="24"/>
                <w:szCs w:val="24"/>
              </w:rPr>
              <w:fldChar w:fldCharType="separate"/>
            </w:r>
            <w:r w:rsidR="00266FA7">
              <w:rPr>
                <w:noProof/>
                <w:webHidden/>
                <w:sz w:val="24"/>
                <w:szCs w:val="24"/>
              </w:rPr>
              <w:t>12</w:t>
            </w:r>
            <w:r w:rsidRPr="0069787A">
              <w:rPr>
                <w:noProof/>
                <w:webHidden/>
                <w:sz w:val="24"/>
                <w:szCs w:val="24"/>
              </w:rPr>
              <w:fldChar w:fldCharType="end"/>
            </w:r>
          </w:hyperlink>
        </w:p>
        <w:p w14:paraId="02B30810" w14:textId="23177AF2"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4" w:history="1">
            <w:r w:rsidRPr="0069787A">
              <w:rPr>
                <w:rStyle w:val="Hyperlink"/>
                <w:noProof/>
                <w:sz w:val="24"/>
                <w:szCs w:val="24"/>
              </w:rPr>
              <w:t>2.4 The Communication between Bacteria and the Theory of Quorum Sensing (QS).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_Toc216991654 \h </w:instrText>
            </w:r>
            <w:r w:rsidRPr="0069787A">
              <w:rPr>
                <w:noProof/>
                <w:webHidden/>
                <w:sz w:val="24"/>
                <w:szCs w:val="24"/>
              </w:rPr>
            </w:r>
            <w:r w:rsidRPr="0069787A">
              <w:rPr>
                <w:noProof/>
                <w:webHidden/>
                <w:sz w:val="24"/>
                <w:szCs w:val="24"/>
              </w:rPr>
              <w:fldChar w:fldCharType="separate"/>
            </w:r>
            <w:r w:rsidR="00266FA7">
              <w:rPr>
                <w:noProof/>
                <w:webHidden/>
                <w:sz w:val="24"/>
                <w:szCs w:val="24"/>
              </w:rPr>
              <w:t>13</w:t>
            </w:r>
            <w:r w:rsidRPr="0069787A">
              <w:rPr>
                <w:noProof/>
                <w:webHidden/>
                <w:sz w:val="24"/>
                <w:szCs w:val="24"/>
              </w:rPr>
              <w:fldChar w:fldCharType="end"/>
            </w:r>
          </w:hyperlink>
        </w:p>
        <w:p w14:paraId="29490017" w14:textId="2EB7FBA7"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5" w:history="1">
            <w:r w:rsidRPr="0069787A">
              <w:rPr>
                <w:rStyle w:val="Hyperlink"/>
                <w:noProof/>
                <w:sz w:val="24"/>
                <w:szCs w:val="24"/>
              </w:rPr>
              <w:t>2.5 Types of Quorum Sensing Signalling Molecules and Regulatory Pathways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_Toc216991655 \h </w:instrText>
            </w:r>
            <w:r w:rsidRPr="0069787A">
              <w:rPr>
                <w:noProof/>
                <w:webHidden/>
                <w:sz w:val="24"/>
                <w:szCs w:val="24"/>
              </w:rPr>
            </w:r>
            <w:r w:rsidRPr="0069787A">
              <w:rPr>
                <w:noProof/>
                <w:webHidden/>
                <w:sz w:val="24"/>
                <w:szCs w:val="24"/>
              </w:rPr>
              <w:fldChar w:fldCharType="separate"/>
            </w:r>
            <w:r w:rsidR="00266FA7">
              <w:rPr>
                <w:noProof/>
                <w:webHidden/>
                <w:sz w:val="24"/>
                <w:szCs w:val="24"/>
              </w:rPr>
              <w:t>14</w:t>
            </w:r>
            <w:r w:rsidRPr="0069787A">
              <w:rPr>
                <w:noProof/>
                <w:webHidden/>
                <w:sz w:val="24"/>
                <w:szCs w:val="24"/>
              </w:rPr>
              <w:fldChar w:fldCharType="end"/>
            </w:r>
          </w:hyperlink>
        </w:p>
        <w:p w14:paraId="709547A0" w14:textId="71F92725"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6" w:history="1">
            <w:r w:rsidRPr="0069787A">
              <w:rPr>
                <w:rStyle w:val="Hyperlink"/>
                <w:noProof/>
                <w:sz w:val="24"/>
                <w:szCs w:val="24"/>
              </w:rPr>
              <w:t>2.6 Quorum Sensing and Virulence Regulation Instincts and Pathogenicity.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_Toc216991656 \h </w:instrText>
            </w:r>
            <w:r w:rsidRPr="0069787A">
              <w:rPr>
                <w:noProof/>
                <w:webHidden/>
                <w:sz w:val="24"/>
                <w:szCs w:val="24"/>
              </w:rPr>
            </w:r>
            <w:r w:rsidRPr="0069787A">
              <w:rPr>
                <w:noProof/>
                <w:webHidden/>
                <w:sz w:val="24"/>
                <w:szCs w:val="24"/>
              </w:rPr>
              <w:fldChar w:fldCharType="separate"/>
            </w:r>
            <w:r w:rsidR="00266FA7">
              <w:rPr>
                <w:noProof/>
                <w:webHidden/>
                <w:sz w:val="24"/>
                <w:szCs w:val="24"/>
              </w:rPr>
              <w:t>15</w:t>
            </w:r>
            <w:r w:rsidRPr="0069787A">
              <w:rPr>
                <w:noProof/>
                <w:webHidden/>
                <w:sz w:val="24"/>
                <w:szCs w:val="24"/>
              </w:rPr>
              <w:fldChar w:fldCharType="end"/>
            </w:r>
          </w:hyperlink>
        </w:p>
        <w:p w14:paraId="29E9AABB" w14:textId="412DC855"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7" w:history="1">
            <w:r w:rsidRPr="0069787A">
              <w:rPr>
                <w:rStyle w:val="Hyperlink"/>
                <w:noProof/>
                <w:sz w:val="24"/>
                <w:szCs w:val="24"/>
              </w:rPr>
              <w:t>2.7 Biofilm Formation: Stages, Structure and clinical significance.</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_Toc216991657 \h </w:instrText>
            </w:r>
            <w:r w:rsidRPr="0069787A">
              <w:rPr>
                <w:noProof/>
                <w:webHidden/>
                <w:sz w:val="24"/>
                <w:szCs w:val="24"/>
              </w:rPr>
            </w:r>
            <w:r w:rsidRPr="0069787A">
              <w:rPr>
                <w:noProof/>
                <w:webHidden/>
                <w:sz w:val="24"/>
                <w:szCs w:val="24"/>
              </w:rPr>
              <w:fldChar w:fldCharType="separate"/>
            </w:r>
            <w:r w:rsidR="00266FA7">
              <w:rPr>
                <w:noProof/>
                <w:webHidden/>
                <w:sz w:val="24"/>
                <w:szCs w:val="24"/>
              </w:rPr>
              <w:t>16</w:t>
            </w:r>
            <w:r w:rsidRPr="0069787A">
              <w:rPr>
                <w:noProof/>
                <w:webHidden/>
                <w:sz w:val="24"/>
                <w:szCs w:val="24"/>
              </w:rPr>
              <w:fldChar w:fldCharType="end"/>
            </w:r>
          </w:hyperlink>
        </w:p>
        <w:p w14:paraId="0447871A" w14:textId="55497CFA"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8" w:history="1">
            <w:r w:rsidRPr="0069787A">
              <w:rPr>
                <w:rStyle w:val="Hyperlink"/>
                <w:noProof/>
                <w:sz w:val="24"/>
                <w:szCs w:val="24"/>
              </w:rPr>
              <w:t>2.8 Quorum Sensing–Mediated Biofilms in Healthcare Environments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_Toc216991658 \h </w:instrText>
            </w:r>
            <w:r w:rsidRPr="0069787A">
              <w:rPr>
                <w:noProof/>
                <w:webHidden/>
                <w:sz w:val="24"/>
                <w:szCs w:val="24"/>
              </w:rPr>
            </w:r>
            <w:r w:rsidRPr="0069787A">
              <w:rPr>
                <w:noProof/>
                <w:webHidden/>
                <w:sz w:val="24"/>
                <w:szCs w:val="24"/>
              </w:rPr>
              <w:fldChar w:fldCharType="separate"/>
            </w:r>
            <w:r w:rsidR="00266FA7">
              <w:rPr>
                <w:noProof/>
                <w:webHidden/>
                <w:sz w:val="24"/>
                <w:szCs w:val="24"/>
              </w:rPr>
              <w:t>17</w:t>
            </w:r>
            <w:r w:rsidRPr="0069787A">
              <w:rPr>
                <w:noProof/>
                <w:webHidden/>
                <w:sz w:val="24"/>
                <w:szCs w:val="24"/>
              </w:rPr>
              <w:fldChar w:fldCharType="end"/>
            </w:r>
          </w:hyperlink>
        </w:p>
        <w:p w14:paraId="4716A8A4" w14:textId="4B3199A8"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59" w:history="1">
            <w:r w:rsidRPr="0069787A">
              <w:rPr>
                <w:rStyle w:val="Hyperlink"/>
                <w:noProof/>
                <w:sz w:val="24"/>
                <w:szCs w:val="24"/>
              </w:rPr>
              <w:t>2.9 Quorum Quenching (QQ): Concept, Purpose and Mechanism of Action.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_Toc216991659 \h </w:instrText>
            </w:r>
            <w:r w:rsidRPr="0069787A">
              <w:rPr>
                <w:noProof/>
                <w:webHidden/>
                <w:sz w:val="24"/>
                <w:szCs w:val="24"/>
              </w:rPr>
            </w:r>
            <w:r w:rsidRPr="0069787A">
              <w:rPr>
                <w:noProof/>
                <w:webHidden/>
                <w:sz w:val="24"/>
                <w:szCs w:val="24"/>
              </w:rPr>
              <w:fldChar w:fldCharType="separate"/>
            </w:r>
            <w:r w:rsidR="00266FA7">
              <w:rPr>
                <w:noProof/>
                <w:webHidden/>
                <w:sz w:val="24"/>
                <w:szCs w:val="24"/>
              </w:rPr>
              <w:t>18</w:t>
            </w:r>
            <w:r w:rsidRPr="0069787A">
              <w:rPr>
                <w:noProof/>
                <w:webHidden/>
                <w:sz w:val="24"/>
                <w:szCs w:val="24"/>
              </w:rPr>
              <w:fldChar w:fldCharType="end"/>
            </w:r>
          </w:hyperlink>
        </w:p>
        <w:p w14:paraId="4B507E42" w14:textId="53E13F45"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0" w:history="1">
            <w:r w:rsidRPr="0069787A">
              <w:rPr>
                <w:rStyle w:val="Hyperlink"/>
                <w:noProof/>
                <w:sz w:val="24"/>
                <w:szCs w:val="24"/>
              </w:rPr>
              <w:t>2.10 Quorum Quenching Mechanisms to Prevent and Disrupt Biofilms.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_Toc216991660 \h </w:instrText>
            </w:r>
            <w:r w:rsidRPr="0069787A">
              <w:rPr>
                <w:noProof/>
                <w:webHidden/>
                <w:sz w:val="24"/>
                <w:szCs w:val="24"/>
              </w:rPr>
            </w:r>
            <w:r w:rsidRPr="0069787A">
              <w:rPr>
                <w:noProof/>
                <w:webHidden/>
                <w:sz w:val="24"/>
                <w:szCs w:val="24"/>
              </w:rPr>
              <w:fldChar w:fldCharType="separate"/>
            </w:r>
            <w:r w:rsidR="00266FA7">
              <w:rPr>
                <w:noProof/>
                <w:webHidden/>
                <w:sz w:val="24"/>
                <w:szCs w:val="24"/>
              </w:rPr>
              <w:t>20</w:t>
            </w:r>
            <w:r w:rsidRPr="0069787A">
              <w:rPr>
                <w:noProof/>
                <w:webHidden/>
                <w:sz w:val="24"/>
                <w:szCs w:val="24"/>
              </w:rPr>
              <w:fldChar w:fldCharType="end"/>
            </w:r>
          </w:hyperlink>
        </w:p>
        <w:p w14:paraId="6A088C48" w14:textId="67C62B7B"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1" w:history="1">
            <w:r w:rsidRPr="0069787A">
              <w:rPr>
                <w:rStyle w:val="Hyperlink"/>
                <w:noProof/>
                <w:sz w:val="24"/>
                <w:szCs w:val="24"/>
              </w:rPr>
              <w:t>2.11 Technological Innovations for Detecting and Monitoring QS Activity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_Toc216991661 \h </w:instrText>
            </w:r>
            <w:r w:rsidRPr="0069787A">
              <w:rPr>
                <w:noProof/>
                <w:webHidden/>
                <w:sz w:val="24"/>
                <w:szCs w:val="24"/>
              </w:rPr>
            </w:r>
            <w:r w:rsidRPr="0069787A">
              <w:rPr>
                <w:noProof/>
                <w:webHidden/>
                <w:sz w:val="24"/>
                <w:szCs w:val="24"/>
              </w:rPr>
              <w:fldChar w:fldCharType="separate"/>
            </w:r>
            <w:r w:rsidR="00266FA7">
              <w:rPr>
                <w:noProof/>
                <w:webHidden/>
                <w:sz w:val="24"/>
                <w:szCs w:val="24"/>
              </w:rPr>
              <w:t>21</w:t>
            </w:r>
            <w:r w:rsidRPr="0069787A">
              <w:rPr>
                <w:noProof/>
                <w:webHidden/>
                <w:sz w:val="24"/>
                <w:szCs w:val="24"/>
              </w:rPr>
              <w:fldChar w:fldCharType="end"/>
            </w:r>
          </w:hyperlink>
        </w:p>
        <w:p w14:paraId="64FA8BFB" w14:textId="2B4955A8"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2" w:history="1">
            <w:r w:rsidRPr="0069787A">
              <w:rPr>
                <w:rStyle w:val="Hyperlink"/>
                <w:noProof/>
                <w:sz w:val="24"/>
                <w:szCs w:val="24"/>
              </w:rPr>
              <w:t>2.12 Anti-QS Therapy in the Future/ Surface-based Infection Control</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_Toc216991662 \h </w:instrText>
            </w:r>
            <w:r w:rsidRPr="0069787A">
              <w:rPr>
                <w:noProof/>
                <w:webHidden/>
                <w:sz w:val="24"/>
                <w:szCs w:val="24"/>
              </w:rPr>
            </w:r>
            <w:r w:rsidRPr="0069787A">
              <w:rPr>
                <w:noProof/>
                <w:webHidden/>
                <w:sz w:val="24"/>
                <w:szCs w:val="24"/>
              </w:rPr>
              <w:fldChar w:fldCharType="separate"/>
            </w:r>
            <w:r w:rsidR="00266FA7">
              <w:rPr>
                <w:noProof/>
                <w:webHidden/>
                <w:sz w:val="24"/>
                <w:szCs w:val="24"/>
              </w:rPr>
              <w:t>22</w:t>
            </w:r>
            <w:r w:rsidRPr="0069787A">
              <w:rPr>
                <w:noProof/>
                <w:webHidden/>
                <w:sz w:val="24"/>
                <w:szCs w:val="24"/>
              </w:rPr>
              <w:fldChar w:fldCharType="end"/>
            </w:r>
          </w:hyperlink>
        </w:p>
        <w:p w14:paraId="7AD9169D" w14:textId="1C84579D"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3" w:history="1">
            <w:r w:rsidRPr="0069787A">
              <w:rPr>
                <w:rStyle w:val="Hyperlink"/>
                <w:noProof/>
                <w:sz w:val="24"/>
                <w:szCs w:val="24"/>
              </w:rPr>
              <w:t>2.13 QS and QQ in NHS and Social Care Infection Management Public Health, Economic, and Policy Implications.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_Toc216991663 \h </w:instrText>
            </w:r>
            <w:r w:rsidRPr="0069787A">
              <w:rPr>
                <w:noProof/>
                <w:webHidden/>
                <w:sz w:val="24"/>
                <w:szCs w:val="24"/>
              </w:rPr>
            </w:r>
            <w:r w:rsidRPr="0069787A">
              <w:rPr>
                <w:noProof/>
                <w:webHidden/>
                <w:sz w:val="24"/>
                <w:szCs w:val="24"/>
              </w:rPr>
              <w:fldChar w:fldCharType="separate"/>
            </w:r>
            <w:r w:rsidR="00266FA7">
              <w:rPr>
                <w:noProof/>
                <w:webHidden/>
                <w:sz w:val="24"/>
                <w:szCs w:val="24"/>
              </w:rPr>
              <w:t>23</w:t>
            </w:r>
            <w:r w:rsidRPr="0069787A">
              <w:rPr>
                <w:noProof/>
                <w:webHidden/>
                <w:sz w:val="24"/>
                <w:szCs w:val="24"/>
              </w:rPr>
              <w:fldChar w:fldCharType="end"/>
            </w:r>
          </w:hyperlink>
        </w:p>
        <w:p w14:paraId="75457D98" w14:textId="304FA2FB"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4" w:history="1">
            <w:r w:rsidRPr="0069787A">
              <w:rPr>
                <w:rStyle w:val="Hyperlink"/>
                <w:noProof/>
                <w:sz w:val="24"/>
                <w:szCs w:val="24"/>
              </w:rPr>
              <w:t>2.14 Theoretical overviews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_Toc216991664 \h </w:instrText>
            </w:r>
            <w:r w:rsidRPr="0069787A">
              <w:rPr>
                <w:noProof/>
                <w:webHidden/>
                <w:sz w:val="24"/>
                <w:szCs w:val="24"/>
              </w:rPr>
            </w:r>
            <w:r w:rsidRPr="0069787A">
              <w:rPr>
                <w:noProof/>
                <w:webHidden/>
                <w:sz w:val="24"/>
                <w:szCs w:val="24"/>
              </w:rPr>
              <w:fldChar w:fldCharType="separate"/>
            </w:r>
            <w:r w:rsidR="00266FA7">
              <w:rPr>
                <w:noProof/>
                <w:webHidden/>
                <w:sz w:val="24"/>
                <w:szCs w:val="24"/>
              </w:rPr>
              <w:t>24</w:t>
            </w:r>
            <w:r w:rsidRPr="0069787A">
              <w:rPr>
                <w:noProof/>
                <w:webHidden/>
                <w:sz w:val="24"/>
                <w:szCs w:val="24"/>
              </w:rPr>
              <w:fldChar w:fldCharType="end"/>
            </w:r>
          </w:hyperlink>
        </w:p>
        <w:p w14:paraId="05F0141A" w14:textId="37B503DA"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5" w:history="1">
            <w:r w:rsidRPr="0069787A">
              <w:rPr>
                <w:rStyle w:val="Hyperlink"/>
                <w:noProof/>
                <w:sz w:val="24"/>
                <w:szCs w:val="24"/>
              </w:rPr>
              <w:t>2.15 Literature gap</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_Toc216991665 \h </w:instrText>
            </w:r>
            <w:r w:rsidRPr="0069787A">
              <w:rPr>
                <w:noProof/>
                <w:webHidden/>
                <w:sz w:val="24"/>
                <w:szCs w:val="24"/>
              </w:rPr>
            </w:r>
            <w:r w:rsidRPr="0069787A">
              <w:rPr>
                <w:noProof/>
                <w:webHidden/>
                <w:sz w:val="24"/>
                <w:szCs w:val="24"/>
              </w:rPr>
              <w:fldChar w:fldCharType="separate"/>
            </w:r>
            <w:r w:rsidR="00266FA7">
              <w:rPr>
                <w:noProof/>
                <w:webHidden/>
                <w:sz w:val="24"/>
                <w:szCs w:val="24"/>
              </w:rPr>
              <w:t>26</w:t>
            </w:r>
            <w:r w:rsidRPr="0069787A">
              <w:rPr>
                <w:noProof/>
                <w:webHidden/>
                <w:sz w:val="24"/>
                <w:szCs w:val="24"/>
              </w:rPr>
              <w:fldChar w:fldCharType="end"/>
            </w:r>
          </w:hyperlink>
        </w:p>
        <w:p w14:paraId="663FE1DD" w14:textId="7F7F2F2A"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6" w:history="1">
            <w:r w:rsidRPr="0069787A">
              <w:rPr>
                <w:rStyle w:val="Hyperlink"/>
                <w:noProof/>
                <w:sz w:val="24"/>
                <w:szCs w:val="24"/>
              </w:rPr>
              <w:t>2.16 Summary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_Toc216991666 \h </w:instrText>
            </w:r>
            <w:r w:rsidRPr="0069787A">
              <w:rPr>
                <w:noProof/>
                <w:webHidden/>
                <w:sz w:val="24"/>
                <w:szCs w:val="24"/>
              </w:rPr>
            </w:r>
            <w:r w:rsidRPr="0069787A">
              <w:rPr>
                <w:noProof/>
                <w:webHidden/>
                <w:sz w:val="24"/>
                <w:szCs w:val="24"/>
              </w:rPr>
              <w:fldChar w:fldCharType="separate"/>
            </w:r>
            <w:r w:rsidR="00266FA7">
              <w:rPr>
                <w:noProof/>
                <w:webHidden/>
                <w:sz w:val="24"/>
                <w:szCs w:val="24"/>
              </w:rPr>
              <w:t>26</w:t>
            </w:r>
            <w:r w:rsidRPr="0069787A">
              <w:rPr>
                <w:noProof/>
                <w:webHidden/>
                <w:sz w:val="24"/>
                <w:szCs w:val="24"/>
              </w:rPr>
              <w:fldChar w:fldCharType="end"/>
            </w:r>
          </w:hyperlink>
        </w:p>
        <w:p w14:paraId="3BC8D2DF" w14:textId="698A8B83"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67" w:history="1">
            <w:r w:rsidRPr="0069787A">
              <w:rPr>
                <w:rStyle w:val="Hyperlink"/>
                <w:noProof/>
                <w:sz w:val="24"/>
                <w:szCs w:val="24"/>
              </w:rPr>
              <w:t>CHAPTER 3: METHODOLOGY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_Toc216991667 \h </w:instrText>
            </w:r>
            <w:r w:rsidRPr="0069787A">
              <w:rPr>
                <w:noProof/>
                <w:webHidden/>
                <w:sz w:val="24"/>
                <w:szCs w:val="24"/>
              </w:rPr>
            </w:r>
            <w:r w:rsidRPr="0069787A">
              <w:rPr>
                <w:noProof/>
                <w:webHidden/>
                <w:sz w:val="24"/>
                <w:szCs w:val="24"/>
              </w:rPr>
              <w:fldChar w:fldCharType="separate"/>
            </w:r>
            <w:r w:rsidR="00266FA7">
              <w:rPr>
                <w:noProof/>
                <w:webHidden/>
                <w:sz w:val="24"/>
                <w:szCs w:val="24"/>
              </w:rPr>
              <w:t>28</w:t>
            </w:r>
            <w:r w:rsidRPr="0069787A">
              <w:rPr>
                <w:noProof/>
                <w:webHidden/>
                <w:sz w:val="24"/>
                <w:szCs w:val="24"/>
              </w:rPr>
              <w:fldChar w:fldCharType="end"/>
            </w:r>
          </w:hyperlink>
        </w:p>
        <w:p w14:paraId="224E8AF5" w14:textId="3EB544DC"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8" w:history="1">
            <w:r w:rsidRPr="0069787A">
              <w:rPr>
                <w:rStyle w:val="Hyperlink"/>
                <w:noProof/>
                <w:sz w:val="24"/>
                <w:szCs w:val="24"/>
              </w:rPr>
              <w:t>3.1 Introduction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_Toc216991668 \h </w:instrText>
            </w:r>
            <w:r w:rsidRPr="0069787A">
              <w:rPr>
                <w:noProof/>
                <w:webHidden/>
                <w:sz w:val="24"/>
                <w:szCs w:val="24"/>
              </w:rPr>
            </w:r>
            <w:r w:rsidRPr="0069787A">
              <w:rPr>
                <w:noProof/>
                <w:webHidden/>
                <w:sz w:val="24"/>
                <w:szCs w:val="24"/>
              </w:rPr>
              <w:fldChar w:fldCharType="separate"/>
            </w:r>
            <w:r w:rsidR="00266FA7">
              <w:rPr>
                <w:noProof/>
                <w:webHidden/>
                <w:sz w:val="24"/>
                <w:szCs w:val="24"/>
              </w:rPr>
              <w:t>28</w:t>
            </w:r>
            <w:r w:rsidRPr="0069787A">
              <w:rPr>
                <w:noProof/>
                <w:webHidden/>
                <w:sz w:val="24"/>
                <w:szCs w:val="24"/>
              </w:rPr>
              <w:fldChar w:fldCharType="end"/>
            </w:r>
          </w:hyperlink>
        </w:p>
        <w:p w14:paraId="3A359998" w14:textId="020F2151"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69" w:history="1">
            <w:r w:rsidRPr="0069787A">
              <w:rPr>
                <w:rStyle w:val="Hyperlink"/>
                <w:noProof/>
                <w:sz w:val="24"/>
                <w:szCs w:val="24"/>
              </w:rPr>
              <w:t>3.2 Research philosophy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_Toc216991669 \h </w:instrText>
            </w:r>
            <w:r w:rsidRPr="0069787A">
              <w:rPr>
                <w:noProof/>
                <w:webHidden/>
                <w:sz w:val="24"/>
                <w:szCs w:val="24"/>
              </w:rPr>
            </w:r>
            <w:r w:rsidRPr="0069787A">
              <w:rPr>
                <w:noProof/>
                <w:webHidden/>
                <w:sz w:val="24"/>
                <w:szCs w:val="24"/>
              </w:rPr>
              <w:fldChar w:fldCharType="separate"/>
            </w:r>
            <w:r w:rsidR="00266FA7">
              <w:rPr>
                <w:noProof/>
                <w:webHidden/>
                <w:sz w:val="24"/>
                <w:szCs w:val="24"/>
              </w:rPr>
              <w:t>28</w:t>
            </w:r>
            <w:r w:rsidRPr="0069787A">
              <w:rPr>
                <w:noProof/>
                <w:webHidden/>
                <w:sz w:val="24"/>
                <w:szCs w:val="24"/>
              </w:rPr>
              <w:fldChar w:fldCharType="end"/>
            </w:r>
          </w:hyperlink>
        </w:p>
        <w:p w14:paraId="355225B9" w14:textId="4972BEED"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0" w:history="1">
            <w:r w:rsidRPr="0069787A">
              <w:rPr>
                <w:rStyle w:val="Hyperlink"/>
                <w:noProof/>
                <w:sz w:val="24"/>
                <w:szCs w:val="24"/>
              </w:rPr>
              <w:t>3.3 Research design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_Toc216991670 \h </w:instrText>
            </w:r>
            <w:r w:rsidRPr="0069787A">
              <w:rPr>
                <w:noProof/>
                <w:webHidden/>
                <w:sz w:val="24"/>
                <w:szCs w:val="24"/>
              </w:rPr>
            </w:r>
            <w:r w:rsidRPr="0069787A">
              <w:rPr>
                <w:noProof/>
                <w:webHidden/>
                <w:sz w:val="24"/>
                <w:szCs w:val="24"/>
              </w:rPr>
              <w:fldChar w:fldCharType="separate"/>
            </w:r>
            <w:r w:rsidR="00266FA7">
              <w:rPr>
                <w:noProof/>
                <w:webHidden/>
                <w:sz w:val="24"/>
                <w:szCs w:val="24"/>
              </w:rPr>
              <w:t>29</w:t>
            </w:r>
            <w:r w:rsidRPr="0069787A">
              <w:rPr>
                <w:noProof/>
                <w:webHidden/>
                <w:sz w:val="24"/>
                <w:szCs w:val="24"/>
              </w:rPr>
              <w:fldChar w:fldCharType="end"/>
            </w:r>
          </w:hyperlink>
        </w:p>
        <w:p w14:paraId="2B7E0B51" w14:textId="0D5130DB"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1" w:history="1">
            <w:r w:rsidRPr="0069787A">
              <w:rPr>
                <w:rStyle w:val="Hyperlink"/>
                <w:noProof/>
                <w:sz w:val="24"/>
                <w:szCs w:val="24"/>
              </w:rPr>
              <w:t>3.4 Search strategy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_Toc216991671 \h </w:instrText>
            </w:r>
            <w:r w:rsidRPr="0069787A">
              <w:rPr>
                <w:noProof/>
                <w:webHidden/>
                <w:sz w:val="24"/>
                <w:szCs w:val="24"/>
              </w:rPr>
            </w:r>
            <w:r w:rsidRPr="0069787A">
              <w:rPr>
                <w:noProof/>
                <w:webHidden/>
                <w:sz w:val="24"/>
                <w:szCs w:val="24"/>
              </w:rPr>
              <w:fldChar w:fldCharType="separate"/>
            </w:r>
            <w:r w:rsidR="00266FA7">
              <w:rPr>
                <w:noProof/>
                <w:webHidden/>
                <w:sz w:val="24"/>
                <w:szCs w:val="24"/>
              </w:rPr>
              <w:t>29</w:t>
            </w:r>
            <w:r w:rsidRPr="0069787A">
              <w:rPr>
                <w:noProof/>
                <w:webHidden/>
                <w:sz w:val="24"/>
                <w:szCs w:val="24"/>
              </w:rPr>
              <w:fldChar w:fldCharType="end"/>
            </w:r>
          </w:hyperlink>
        </w:p>
        <w:p w14:paraId="1D84E57D" w14:textId="56B2F7C9"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2" w:history="1">
            <w:r w:rsidRPr="0069787A">
              <w:rPr>
                <w:rStyle w:val="Hyperlink"/>
                <w:noProof/>
                <w:sz w:val="24"/>
                <w:szCs w:val="24"/>
              </w:rPr>
              <w:t>3.5 Data collection method</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_Toc216991672 \h </w:instrText>
            </w:r>
            <w:r w:rsidRPr="0069787A">
              <w:rPr>
                <w:noProof/>
                <w:webHidden/>
                <w:sz w:val="24"/>
                <w:szCs w:val="24"/>
              </w:rPr>
            </w:r>
            <w:r w:rsidRPr="0069787A">
              <w:rPr>
                <w:noProof/>
                <w:webHidden/>
                <w:sz w:val="24"/>
                <w:szCs w:val="24"/>
              </w:rPr>
              <w:fldChar w:fldCharType="separate"/>
            </w:r>
            <w:r w:rsidR="00266FA7">
              <w:rPr>
                <w:noProof/>
                <w:webHidden/>
                <w:sz w:val="24"/>
                <w:szCs w:val="24"/>
              </w:rPr>
              <w:t>30</w:t>
            </w:r>
            <w:r w:rsidRPr="0069787A">
              <w:rPr>
                <w:noProof/>
                <w:webHidden/>
                <w:sz w:val="24"/>
                <w:szCs w:val="24"/>
              </w:rPr>
              <w:fldChar w:fldCharType="end"/>
            </w:r>
          </w:hyperlink>
        </w:p>
        <w:p w14:paraId="0E64B5B2" w14:textId="039AC58D"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3" w:history="1">
            <w:r w:rsidRPr="0069787A">
              <w:rPr>
                <w:rStyle w:val="Hyperlink"/>
                <w:noProof/>
                <w:sz w:val="24"/>
                <w:szCs w:val="24"/>
              </w:rPr>
              <w:t>3.6 Data screening and extraction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_Toc216991673 \h </w:instrText>
            </w:r>
            <w:r w:rsidRPr="0069787A">
              <w:rPr>
                <w:noProof/>
                <w:webHidden/>
                <w:sz w:val="24"/>
                <w:szCs w:val="24"/>
              </w:rPr>
            </w:r>
            <w:r w:rsidRPr="0069787A">
              <w:rPr>
                <w:noProof/>
                <w:webHidden/>
                <w:sz w:val="24"/>
                <w:szCs w:val="24"/>
              </w:rPr>
              <w:fldChar w:fldCharType="separate"/>
            </w:r>
            <w:r w:rsidR="00266FA7">
              <w:rPr>
                <w:noProof/>
                <w:webHidden/>
                <w:sz w:val="24"/>
                <w:szCs w:val="24"/>
              </w:rPr>
              <w:t>30</w:t>
            </w:r>
            <w:r w:rsidRPr="0069787A">
              <w:rPr>
                <w:noProof/>
                <w:webHidden/>
                <w:sz w:val="24"/>
                <w:szCs w:val="24"/>
              </w:rPr>
              <w:fldChar w:fldCharType="end"/>
            </w:r>
          </w:hyperlink>
        </w:p>
        <w:p w14:paraId="489B1381" w14:textId="32C7590F"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4" w:history="1">
            <w:r w:rsidRPr="0069787A">
              <w:rPr>
                <w:rStyle w:val="Hyperlink"/>
                <w:noProof/>
                <w:sz w:val="24"/>
                <w:szCs w:val="24"/>
              </w:rPr>
              <w:t>3.7 Study selection process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_Toc216991674 \h </w:instrText>
            </w:r>
            <w:r w:rsidRPr="0069787A">
              <w:rPr>
                <w:noProof/>
                <w:webHidden/>
                <w:sz w:val="24"/>
                <w:szCs w:val="24"/>
              </w:rPr>
            </w:r>
            <w:r w:rsidRPr="0069787A">
              <w:rPr>
                <w:noProof/>
                <w:webHidden/>
                <w:sz w:val="24"/>
                <w:szCs w:val="24"/>
              </w:rPr>
              <w:fldChar w:fldCharType="separate"/>
            </w:r>
            <w:r w:rsidR="00266FA7">
              <w:rPr>
                <w:noProof/>
                <w:webHidden/>
                <w:sz w:val="24"/>
                <w:szCs w:val="24"/>
              </w:rPr>
              <w:t>33</w:t>
            </w:r>
            <w:r w:rsidRPr="0069787A">
              <w:rPr>
                <w:noProof/>
                <w:webHidden/>
                <w:sz w:val="24"/>
                <w:szCs w:val="24"/>
              </w:rPr>
              <w:fldChar w:fldCharType="end"/>
            </w:r>
          </w:hyperlink>
        </w:p>
        <w:p w14:paraId="00480B4B" w14:textId="0DBAA420"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5" w:history="1">
            <w:r w:rsidRPr="0069787A">
              <w:rPr>
                <w:rStyle w:val="Hyperlink"/>
                <w:noProof/>
                <w:sz w:val="24"/>
                <w:szCs w:val="24"/>
              </w:rPr>
              <w:t>3.8 Data analysis techniques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_Toc216991675 \h </w:instrText>
            </w:r>
            <w:r w:rsidRPr="0069787A">
              <w:rPr>
                <w:noProof/>
                <w:webHidden/>
                <w:sz w:val="24"/>
                <w:szCs w:val="24"/>
              </w:rPr>
            </w:r>
            <w:r w:rsidRPr="0069787A">
              <w:rPr>
                <w:noProof/>
                <w:webHidden/>
                <w:sz w:val="24"/>
                <w:szCs w:val="24"/>
              </w:rPr>
              <w:fldChar w:fldCharType="separate"/>
            </w:r>
            <w:r w:rsidR="00266FA7">
              <w:rPr>
                <w:noProof/>
                <w:webHidden/>
                <w:sz w:val="24"/>
                <w:szCs w:val="24"/>
              </w:rPr>
              <w:t>33</w:t>
            </w:r>
            <w:r w:rsidRPr="0069787A">
              <w:rPr>
                <w:noProof/>
                <w:webHidden/>
                <w:sz w:val="24"/>
                <w:szCs w:val="24"/>
              </w:rPr>
              <w:fldChar w:fldCharType="end"/>
            </w:r>
          </w:hyperlink>
        </w:p>
        <w:p w14:paraId="66E5DE09" w14:textId="1A1C4B09"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6" w:history="1">
            <w:r w:rsidRPr="0069787A">
              <w:rPr>
                <w:rStyle w:val="Hyperlink"/>
                <w:noProof/>
                <w:sz w:val="24"/>
                <w:szCs w:val="24"/>
              </w:rPr>
              <w:t>3.9 Ethical considerations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_Toc216991676 \h </w:instrText>
            </w:r>
            <w:r w:rsidRPr="0069787A">
              <w:rPr>
                <w:noProof/>
                <w:webHidden/>
                <w:sz w:val="24"/>
                <w:szCs w:val="24"/>
              </w:rPr>
            </w:r>
            <w:r w:rsidRPr="0069787A">
              <w:rPr>
                <w:noProof/>
                <w:webHidden/>
                <w:sz w:val="24"/>
                <w:szCs w:val="24"/>
              </w:rPr>
              <w:fldChar w:fldCharType="separate"/>
            </w:r>
            <w:r w:rsidR="00266FA7">
              <w:rPr>
                <w:noProof/>
                <w:webHidden/>
                <w:sz w:val="24"/>
                <w:szCs w:val="24"/>
              </w:rPr>
              <w:t>34</w:t>
            </w:r>
            <w:r w:rsidRPr="0069787A">
              <w:rPr>
                <w:noProof/>
                <w:webHidden/>
                <w:sz w:val="24"/>
                <w:szCs w:val="24"/>
              </w:rPr>
              <w:fldChar w:fldCharType="end"/>
            </w:r>
          </w:hyperlink>
        </w:p>
        <w:p w14:paraId="1B83FC67" w14:textId="48521B76"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7" w:history="1">
            <w:r w:rsidRPr="0069787A">
              <w:rPr>
                <w:rStyle w:val="Hyperlink"/>
                <w:noProof/>
                <w:sz w:val="24"/>
                <w:szCs w:val="24"/>
              </w:rPr>
              <w:t>3.10 Limitation and challenges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_Toc216991677 \h </w:instrText>
            </w:r>
            <w:r w:rsidRPr="0069787A">
              <w:rPr>
                <w:noProof/>
                <w:webHidden/>
                <w:sz w:val="24"/>
                <w:szCs w:val="24"/>
              </w:rPr>
            </w:r>
            <w:r w:rsidRPr="0069787A">
              <w:rPr>
                <w:noProof/>
                <w:webHidden/>
                <w:sz w:val="24"/>
                <w:szCs w:val="24"/>
              </w:rPr>
              <w:fldChar w:fldCharType="separate"/>
            </w:r>
            <w:r w:rsidR="00266FA7">
              <w:rPr>
                <w:noProof/>
                <w:webHidden/>
                <w:sz w:val="24"/>
                <w:szCs w:val="24"/>
              </w:rPr>
              <w:t>35</w:t>
            </w:r>
            <w:r w:rsidRPr="0069787A">
              <w:rPr>
                <w:noProof/>
                <w:webHidden/>
                <w:sz w:val="24"/>
                <w:szCs w:val="24"/>
              </w:rPr>
              <w:fldChar w:fldCharType="end"/>
            </w:r>
          </w:hyperlink>
        </w:p>
        <w:p w14:paraId="3176CA52" w14:textId="1AA91314"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78" w:history="1">
            <w:r w:rsidRPr="0069787A">
              <w:rPr>
                <w:rStyle w:val="Hyperlink"/>
                <w:noProof/>
                <w:sz w:val="24"/>
                <w:szCs w:val="24"/>
              </w:rPr>
              <w:t>3.11 Summary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_Toc216991678 \h </w:instrText>
            </w:r>
            <w:r w:rsidRPr="0069787A">
              <w:rPr>
                <w:noProof/>
                <w:webHidden/>
                <w:sz w:val="24"/>
                <w:szCs w:val="24"/>
              </w:rPr>
            </w:r>
            <w:r w:rsidRPr="0069787A">
              <w:rPr>
                <w:noProof/>
                <w:webHidden/>
                <w:sz w:val="24"/>
                <w:szCs w:val="24"/>
              </w:rPr>
              <w:fldChar w:fldCharType="separate"/>
            </w:r>
            <w:r w:rsidR="00266FA7">
              <w:rPr>
                <w:noProof/>
                <w:webHidden/>
                <w:sz w:val="24"/>
                <w:szCs w:val="24"/>
              </w:rPr>
              <w:t>35</w:t>
            </w:r>
            <w:r w:rsidRPr="0069787A">
              <w:rPr>
                <w:noProof/>
                <w:webHidden/>
                <w:sz w:val="24"/>
                <w:szCs w:val="24"/>
              </w:rPr>
              <w:fldChar w:fldCharType="end"/>
            </w:r>
          </w:hyperlink>
        </w:p>
        <w:p w14:paraId="353C6988" w14:textId="18AC0466"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79" w:history="1">
            <w:r w:rsidRPr="0069787A">
              <w:rPr>
                <w:rStyle w:val="Hyperlink"/>
                <w:noProof/>
                <w:sz w:val="24"/>
                <w:szCs w:val="24"/>
              </w:rPr>
              <w:t>CHAPTER 4: RESULTS AND FINDINGS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_Toc216991679 \h </w:instrText>
            </w:r>
            <w:r w:rsidRPr="0069787A">
              <w:rPr>
                <w:noProof/>
                <w:webHidden/>
                <w:sz w:val="24"/>
                <w:szCs w:val="24"/>
              </w:rPr>
            </w:r>
            <w:r w:rsidRPr="0069787A">
              <w:rPr>
                <w:noProof/>
                <w:webHidden/>
                <w:sz w:val="24"/>
                <w:szCs w:val="24"/>
              </w:rPr>
              <w:fldChar w:fldCharType="separate"/>
            </w:r>
            <w:r w:rsidR="00266FA7">
              <w:rPr>
                <w:noProof/>
                <w:webHidden/>
                <w:sz w:val="24"/>
                <w:szCs w:val="24"/>
              </w:rPr>
              <w:t>37</w:t>
            </w:r>
            <w:r w:rsidRPr="0069787A">
              <w:rPr>
                <w:noProof/>
                <w:webHidden/>
                <w:sz w:val="24"/>
                <w:szCs w:val="24"/>
              </w:rPr>
              <w:fldChar w:fldCharType="end"/>
            </w:r>
          </w:hyperlink>
        </w:p>
        <w:p w14:paraId="69A953A8" w14:textId="38A46358"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80" w:history="1">
            <w:r w:rsidRPr="0069787A">
              <w:rPr>
                <w:rStyle w:val="Hyperlink"/>
                <w:noProof/>
                <w:sz w:val="24"/>
                <w:szCs w:val="24"/>
              </w:rPr>
              <w:t>4.1 Introduction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_Toc216991680 \h </w:instrText>
            </w:r>
            <w:r w:rsidRPr="0069787A">
              <w:rPr>
                <w:noProof/>
                <w:webHidden/>
                <w:sz w:val="24"/>
                <w:szCs w:val="24"/>
              </w:rPr>
            </w:r>
            <w:r w:rsidRPr="0069787A">
              <w:rPr>
                <w:noProof/>
                <w:webHidden/>
                <w:sz w:val="24"/>
                <w:szCs w:val="24"/>
              </w:rPr>
              <w:fldChar w:fldCharType="separate"/>
            </w:r>
            <w:r w:rsidR="00266FA7">
              <w:rPr>
                <w:noProof/>
                <w:webHidden/>
                <w:sz w:val="24"/>
                <w:szCs w:val="24"/>
              </w:rPr>
              <w:t>37</w:t>
            </w:r>
            <w:r w:rsidRPr="0069787A">
              <w:rPr>
                <w:noProof/>
                <w:webHidden/>
                <w:sz w:val="24"/>
                <w:szCs w:val="24"/>
              </w:rPr>
              <w:fldChar w:fldCharType="end"/>
            </w:r>
          </w:hyperlink>
        </w:p>
        <w:p w14:paraId="1FFB384A" w14:textId="62CC27B4"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81" w:history="1">
            <w:r w:rsidRPr="0069787A">
              <w:rPr>
                <w:rStyle w:val="Hyperlink"/>
                <w:noProof/>
                <w:sz w:val="24"/>
                <w:szCs w:val="24"/>
              </w:rPr>
              <w:t>4.2 Systematic review</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_Toc216991681 \h </w:instrText>
            </w:r>
            <w:r w:rsidRPr="0069787A">
              <w:rPr>
                <w:noProof/>
                <w:webHidden/>
                <w:sz w:val="24"/>
                <w:szCs w:val="24"/>
              </w:rPr>
            </w:r>
            <w:r w:rsidRPr="0069787A">
              <w:rPr>
                <w:noProof/>
                <w:webHidden/>
                <w:sz w:val="24"/>
                <w:szCs w:val="24"/>
              </w:rPr>
              <w:fldChar w:fldCharType="separate"/>
            </w:r>
            <w:r w:rsidR="00266FA7">
              <w:rPr>
                <w:noProof/>
                <w:webHidden/>
                <w:sz w:val="24"/>
                <w:szCs w:val="24"/>
              </w:rPr>
              <w:t>37</w:t>
            </w:r>
            <w:r w:rsidRPr="0069787A">
              <w:rPr>
                <w:noProof/>
                <w:webHidden/>
                <w:sz w:val="24"/>
                <w:szCs w:val="24"/>
              </w:rPr>
              <w:fldChar w:fldCharType="end"/>
            </w:r>
          </w:hyperlink>
        </w:p>
        <w:p w14:paraId="03AB23B6" w14:textId="0B8479EF"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82" w:history="1">
            <w:r w:rsidRPr="0069787A">
              <w:rPr>
                <w:rStyle w:val="Hyperlink"/>
                <w:noProof/>
                <w:sz w:val="24"/>
                <w:szCs w:val="24"/>
              </w:rPr>
              <w:t>4.3 Thematic analysis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_Toc216991682 \h </w:instrText>
            </w:r>
            <w:r w:rsidRPr="0069787A">
              <w:rPr>
                <w:noProof/>
                <w:webHidden/>
                <w:sz w:val="24"/>
                <w:szCs w:val="24"/>
              </w:rPr>
            </w:r>
            <w:r w:rsidRPr="0069787A">
              <w:rPr>
                <w:noProof/>
                <w:webHidden/>
                <w:sz w:val="24"/>
                <w:szCs w:val="24"/>
              </w:rPr>
              <w:fldChar w:fldCharType="separate"/>
            </w:r>
            <w:r w:rsidR="00266FA7">
              <w:rPr>
                <w:noProof/>
                <w:webHidden/>
                <w:sz w:val="24"/>
                <w:szCs w:val="24"/>
              </w:rPr>
              <w:t>48</w:t>
            </w:r>
            <w:r w:rsidRPr="0069787A">
              <w:rPr>
                <w:noProof/>
                <w:webHidden/>
                <w:sz w:val="24"/>
                <w:szCs w:val="24"/>
              </w:rPr>
              <w:fldChar w:fldCharType="end"/>
            </w:r>
          </w:hyperlink>
        </w:p>
        <w:p w14:paraId="5785B2C4" w14:textId="24951453" w:rsidR="0069787A" w:rsidRPr="0069787A" w:rsidRDefault="0069787A" w:rsidP="0069787A">
          <w:pPr>
            <w:pStyle w:val="TOC3"/>
            <w:tabs>
              <w:tab w:val="right" w:leader="dot" w:pos="9350"/>
            </w:tabs>
            <w:spacing w:after="0" w:line="360" w:lineRule="auto"/>
            <w:jc w:val="both"/>
            <w:rPr>
              <w:rFonts w:eastAsiaTheme="minorEastAsia"/>
              <w:noProof/>
              <w:sz w:val="24"/>
              <w:szCs w:val="24"/>
              <w:lang w:val="en-IN"/>
            </w:rPr>
          </w:pPr>
          <w:hyperlink w:anchor="_Toc216991683" w:history="1">
            <w:r w:rsidRPr="0069787A">
              <w:rPr>
                <w:rStyle w:val="Hyperlink"/>
                <w:noProof/>
                <w:sz w:val="24"/>
                <w:szCs w:val="24"/>
              </w:rPr>
              <w:t>4.3.1 Theme 1: Quorum Sensing Mechanisms and Pathways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_Toc216991683 \h </w:instrText>
            </w:r>
            <w:r w:rsidRPr="0069787A">
              <w:rPr>
                <w:noProof/>
                <w:webHidden/>
                <w:sz w:val="24"/>
                <w:szCs w:val="24"/>
              </w:rPr>
            </w:r>
            <w:r w:rsidRPr="0069787A">
              <w:rPr>
                <w:noProof/>
                <w:webHidden/>
                <w:sz w:val="24"/>
                <w:szCs w:val="24"/>
              </w:rPr>
              <w:fldChar w:fldCharType="separate"/>
            </w:r>
            <w:r w:rsidR="00266FA7">
              <w:rPr>
                <w:noProof/>
                <w:webHidden/>
                <w:sz w:val="24"/>
                <w:szCs w:val="24"/>
              </w:rPr>
              <w:t>48</w:t>
            </w:r>
            <w:r w:rsidRPr="0069787A">
              <w:rPr>
                <w:noProof/>
                <w:webHidden/>
                <w:sz w:val="24"/>
                <w:szCs w:val="24"/>
              </w:rPr>
              <w:fldChar w:fldCharType="end"/>
            </w:r>
          </w:hyperlink>
        </w:p>
        <w:p w14:paraId="3F27E524" w14:textId="5935E6AD" w:rsidR="0069787A" w:rsidRPr="0069787A" w:rsidRDefault="0069787A" w:rsidP="0069787A">
          <w:pPr>
            <w:pStyle w:val="TOC3"/>
            <w:tabs>
              <w:tab w:val="right" w:leader="dot" w:pos="9350"/>
            </w:tabs>
            <w:spacing w:after="0" w:line="360" w:lineRule="auto"/>
            <w:jc w:val="both"/>
            <w:rPr>
              <w:rFonts w:eastAsiaTheme="minorEastAsia"/>
              <w:noProof/>
              <w:sz w:val="24"/>
              <w:szCs w:val="24"/>
              <w:lang w:val="en-IN"/>
            </w:rPr>
          </w:pPr>
          <w:hyperlink w:anchor="_Toc216991684" w:history="1">
            <w:r w:rsidRPr="0069787A">
              <w:rPr>
                <w:rStyle w:val="Hyperlink"/>
                <w:noProof/>
                <w:sz w:val="24"/>
                <w:szCs w:val="24"/>
              </w:rPr>
              <w:t>4.3.2 Theme 2: Quorum Quenching Strategies.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_Toc216991684 \h </w:instrText>
            </w:r>
            <w:r w:rsidRPr="0069787A">
              <w:rPr>
                <w:noProof/>
                <w:webHidden/>
                <w:sz w:val="24"/>
                <w:szCs w:val="24"/>
              </w:rPr>
            </w:r>
            <w:r w:rsidRPr="0069787A">
              <w:rPr>
                <w:noProof/>
                <w:webHidden/>
                <w:sz w:val="24"/>
                <w:szCs w:val="24"/>
              </w:rPr>
              <w:fldChar w:fldCharType="separate"/>
            </w:r>
            <w:r w:rsidR="00266FA7">
              <w:rPr>
                <w:noProof/>
                <w:webHidden/>
                <w:sz w:val="24"/>
                <w:szCs w:val="24"/>
              </w:rPr>
              <w:t>49</w:t>
            </w:r>
            <w:r w:rsidRPr="0069787A">
              <w:rPr>
                <w:noProof/>
                <w:webHidden/>
                <w:sz w:val="24"/>
                <w:szCs w:val="24"/>
              </w:rPr>
              <w:fldChar w:fldCharType="end"/>
            </w:r>
          </w:hyperlink>
        </w:p>
        <w:p w14:paraId="788E6B0B" w14:textId="07C87AFC" w:rsidR="0069787A" w:rsidRPr="0069787A" w:rsidRDefault="0069787A" w:rsidP="0069787A">
          <w:pPr>
            <w:pStyle w:val="TOC3"/>
            <w:tabs>
              <w:tab w:val="right" w:leader="dot" w:pos="9350"/>
            </w:tabs>
            <w:spacing w:after="0" w:line="360" w:lineRule="auto"/>
            <w:jc w:val="both"/>
            <w:rPr>
              <w:rFonts w:eastAsiaTheme="minorEastAsia"/>
              <w:noProof/>
              <w:sz w:val="24"/>
              <w:szCs w:val="24"/>
              <w:lang w:val="en-IN"/>
            </w:rPr>
          </w:pPr>
          <w:hyperlink w:anchor="_Toc216991685" w:history="1">
            <w:r w:rsidRPr="0069787A">
              <w:rPr>
                <w:rStyle w:val="Hyperlink"/>
                <w:noProof/>
                <w:sz w:val="24"/>
                <w:szCs w:val="24"/>
              </w:rPr>
              <w:t>4.3.3 Theme 3: Biofilm Formation and Disruption.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_Toc216991685 \h </w:instrText>
            </w:r>
            <w:r w:rsidRPr="0069787A">
              <w:rPr>
                <w:noProof/>
                <w:webHidden/>
                <w:sz w:val="24"/>
                <w:szCs w:val="24"/>
              </w:rPr>
            </w:r>
            <w:r w:rsidRPr="0069787A">
              <w:rPr>
                <w:noProof/>
                <w:webHidden/>
                <w:sz w:val="24"/>
                <w:szCs w:val="24"/>
              </w:rPr>
              <w:fldChar w:fldCharType="separate"/>
            </w:r>
            <w:r w:rsidR="00266FA7">
              <w:rPr>
                <w:noProof/>
                <w:webHidden/>
                <w:sz w:val="24"/>
                <w:szCs w:val="24"/>
              </w:rPr>
              <w:t>50</w:t>
            </w:r>
            <w:r w:rsidRPr="0069787A">
              <w:rPr>
                <w:noProof/>
                <w:webHidden/>
                <w:sz w:val="24"/>
                <w:szCs w:val="24"/>
              </w:rPr>
              <w:fldChar w:fldCharType="end"/>
            </w:r>
          </w:hyperlink>
        </w:p>
        <w:p w14:paraId="0AAD8474" w14:textId="08C0DB12" w:rsidR="0069787A" w:rsidRPr="0069787A" w:rsidRDefault="0069787A" w:rsidP="0069787A">
          <w:pPr>
            <w:pStyle w:val="TOC3"/>
            <w:tabs>
              <w:tab w:val="right" w:leader="dot" w:pos="9350"/>
            </w:tabs>
            <w:spacing w:after="0" w:line="360" w:lineRule="auto"/>
            <w:jc w:val="both"/>
            <w:rPr>
              <w:rFonts w:eastAsiaTheme="minorEastAsia"/>
              <w:noProof/>
              <w:sz w:val="24"/>
              <w:szCs w:val="24"/>
              <w:lang w:val="en-IN"/>
            </w:rPr>
          </w:pPr>
          <w:hyperlink w:anchor="_Toc216991686" w:history="1">
            <w:r w:rsidRPr="0069787A">
              <w:rPr>
                <w:rStyle w:val="Hyperlink"/>
                <w:noProof/>
                <w:sz w:val="24"/>
                <w:szCs w:val="24"/>
              </w:rPr>
              <w:t>4.3.4 Theme 4: AI-Enabled Detection and Monitoring</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_Toc216991686 \h </w:instrText>
            </w:r>
            <w:r w:rsidRPr="0069787A">
              <w:rPr>
                <w:noProof/>
                <w:webHidden/>
                <w:sz w:val="24"/>
                <w:szCs w:val="24"/>
              </w:rPr>
            </w:r>
            <w:r w:rsidRPr="0069787A">
              <w:rPr>
                <w:noProof/>
                <w:webHidden/>
                <w:sz w:val="24"/>
                <w:szCs w:val="24"/>
              </w:rPr>
              <w:fldChar w:fldCharType="separate"/>
            </w:r>
            <w:r w:rsidR="00266FA7">
              <w:rPr>
                <w:noProof/>
                <w:webHidden/>
                <w:sz w:val="24"/>
                <w:szCs w:val="24"/>
              </w:rPr>
              <w:t>51</w:t>
            </w:r>
            <w:r w:rsidRPr="0069787A">
              <w:rPr>
                <w:noProof/>
                <w:webHidden/>
                <w:sz w:val="24"/>
                <w:szCs w:val="24"/>
              </w:rPr>
              <w:fldChar w:fldCharType="end"/>
            </w:r>
          </w:hyperlink>
        </w:p>
        <w:p w14:paraId="3DBF0891" w14:textId="75E3C064" w:rsidR="0069787A" w:rsidRPr="0069787A" w:rsidRDefault="0069787A" w:rsidP="0069787A">
          <w:pPr>
            <w:pStyle w:val="TOC3"/>
            <w:tabs>
              <w:tab w:val="right" w:leader="dot" w:pos="9350"/>
            </w:tabs>
            <w:spacing w:after="0" w:line="360" w:lineRule="auto"/>
            <w:jc w:val="both"/>
            <w:rPr>
              <w:rFonts w:eastAsiaTheme="minorEastAsia"/>
              <w:noProof/>
              <w:sz w:val="24"/>
              <w:szCs w:val="24"/>
              <w:lang w:val="en-IN"/>
            </w:rPr>
          </w:pPr>
          <w:hyperlink w:anchor="_Toc216991687" w:history="1">
            <w:r w:rsidRPr="0069787A">
              <w:rPr>
                <w:rStyle w:val="Hyperlink"/>
                <w:noProof/>
                <w:sz w:val="24"/>
                <w:szCs w:val="24"/>
              </w:rPr>
              <w:t>4.3.5 Theme 5: Implications for AMR</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_Toc216991687 \h </w:instrText>
            </w:r>
            <w:r w:rsidRPr="0069787A">
              <w:rPr>
                <w:noProof/>
                <w:webHidden/>
                <w:sz w:val="24"/>
                <w:szCs w:val="24"/>
              </w:rPr>
            </w:r>
            <w:r w:rsidRPr="0069787A">
              <w:rPr>
                <w:noProof/>
                <w:webHidden/>
                <w:sz w:val="24"/>
                <w:szCs w:val="24"/>
              </w:rPr>
              <w:fldChar w:fldCharType="separate"/>
            </w:r>
            <w:r w:rsidR="00266FA7">
              <w:rPr>
                <w:noProof/>
                <w:webHidden/>
                <w:sz w:val="24"/>
                <w:szCs w:val="24"/>
              </w:rPr>
              <w:t>52</w:t>
            </w:r>
            <w:r w:rsidRPr="0069787A">
              <w:rPr>
                <w:noProof/>
                <w:webHidden/>
                <w:sz w:val="24"/>
                <w:szCs w:val="24"/>
              </w:rPr>
              <w:fldChar w:fldCharType="end"/>
            </w:r>
          </w:hyperlink>
        </w:p>
        <w:p w14:paraId="64B885E1" w14:textId="64BD737C" w:rsidR="0069787A" w:rsidRPr="0069787A" w:rsidRDefault="0069787A" w:rsidP="0069787A">
          <w:pPr>
            <w:pStyle w:val="TOC3"/>
            <w:tabs>
              <w:tab w:val="right" w:leader="dot" w:pos="9350"/>
            </w:tabs>
            <w:spacing w:after="0" w:line="360" w:lineRule="auto"/>
            <w:jc w:val="both"/>
            <w:rPr>
              <w:rFonts w:eastAsiaTheme="minorEastAsia"/>
              <w:noProof/>
              <w:sz w:val="24"/>
              <w:szCs w:val="24"/>
              <w:lang w:val="en-IN"/>
            </w:rPr>
          </w:pPr>
          <w:hyperlink w:anchor="_Toc216991688" w:history="1">
            <w:r w:rsidRPr="0069787A">
              <w:rPr>
                <w:rStyle w:val="Hyperlink"/>
                <w:noProof/>
                <w:sz w:val="24"/>
                <w:szCs w:val="24"/>
              </w:rPr>
              <w:t>4.3.6 Theme 6: Public Health, Clinical and Socioeconomic Impact.</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_Toc216991688 \h </w:instrText>
            </w:r>
            <w:r w:rsidRPr="0069787A">
              <w:rPr>
                <w:noProof/>
                <w:webHidden/>
                <w:sz w:val="24"/>
                <w:szCs w:val="24"/>
              </w:rPr>
            </w:r>
            <w:r w:rsidRPr="0069787A">
              <w:rPr>
                <w:noProof/>
                <w:webHidden/>
                <w:sz w:val="24"/>
                <w:szCs w:val="24"/>
              </w:rPr>
              <w:fldChar w:fldCharType="separate"/>
            </w:r>
            <w:r w:rsidR="00266FA7">
              <w:rPr>
                <w:noProof/>
                <w:webHidden/>
                <w:sz w:val="24"/>
                <w:szCs w:val="24"/>
              </w:rPr>
              <w:t>52</w:t>
            </w:r>
            <w:r w:rsidRPr="0069787A">
              <w:rPr>
                <w:noProof/>
                <w:webHidden/>
                <w:sz w:val="24"/>
                <w:szCs w:val="24"/>
              </w:rPr>
              <w:fldChar w:fldCharType="end"/>
            </w:r>
          </w:hyperlink>
        </w:p>
        <w:p w14:paraId="15F4F576" w14:textId="4C8CAD36"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89" w:history="1">
            <w:r w:rsidRPr="0069787A">
              <w:rPr>
                <w:rStyle w:val="Hyperlink"/>
                <w:noProof/>
                <w:sz w:val="24"/>
                <w:szCs w:val="24"/>
              </w:rPr>
              <w:t>4.4 Findings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_Toc216991689 \h </w:instrText>
            </w:r>
            <w:r w:rsidRPr="0069787A">
              <w:rPr>
                <w:noProof/>
                <w:webHidden/>
                <w:sz w:val="24"/>
                <w:szCs w:val="24"/>
              </w:rPr>
            </w:r>
            <w:r w:rsidRPr="0069787A">
              <w:rPr>
                <w:noProof/>
                <w:webHidden/>
                <w:sz w:val="24"/>
                <w:szCs w:val="24"/>
              </w:rPr>
              <w:fldChar w:fldCharType="separate"/>
            </w:r>
            <w:r w:rsidR="00266FA7">
              <w:rPr>
                <w:noProof/>
                <w:webHidden/>
                <w:sz w:val="24"/>
                <w:szCs w:val="24"/>
              </w:rPr>
              <w:t>53</w:t>
            </w:r>
            <w:r w:rsidRPr="0069787A">
              <w:rPr>
                <w:noProof/>
                <w:webHidden/>
                <w:sz w:val="24"/>
                <w:szCs w:val="24"/>
              </w:rPr>
              <w:fldChar w:fldCharType="end"/>
            </w:r>
          </w:hyperlink>
        </w:p>
        <w:p w14:paraId="717978D8" w14:textId="3EF39127"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0" w:history="1">
            <w:r w:rsidRPr="0069787A">
              <w:rPr>
                <w:rStyle w:val="Hyperlink"/>
                <w:noProof/>
                <w:sz w:val="24"/>
                <w:szCs w:val="24"/>
              </w:rPr>
              <w:t>4.5 Linking with objectives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_Toc216991690 \h </w:instrText>
            </w:r>
            <w:r w:rsidRPr="0069787A">
              <w:rPr>
                <w:noProof/>
                <w:webHidden/>
                <w:sz w:val="24"/>
                <w:szCs w:val="24"/>
              </w:rPr>
            </w:r>
            <w:r w:rsidRPr="0069787A">
              <w:rPr>
                <w:noProof/>
                <w:webHidden/>
                <w:sz w:val="24"/>
                <w:szCs w:val="24"/>
              </w:rPr>
              <w:fldChar w:fldCharType="separate"/>
            </w:r>
            <w:r w:rsidR="00266FA7">
              <w:rPr>
                <w:noProof/>
                <w:webHidden/>
                <w:sz w:val="24"/>
                <w:szCs w:val="24"/>
              </w:rPr>
              <w:t>54</w:t>
            </w:r>
            <w:r w:rsidRPr="0069787A">
              <w:rPr>
                <w:noProof/>
                <w:webHidden/>
                <w:sz w:val="24"/>
                <w:szCs w:val="24"/>
              </w:rPr>
              <w:fldChar w:fldCharType="end"/>
            </w:r>
          </w:hyperlink>
        </w:p>
        <w:p w14:paraId="5C1DF386" w14:textId="6A917583"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1" w:history="1">
            <w:r w:rsidRPr="0069787A">
              <w:rPr>
                <w:rStyle w:val="Hyperlink"/>
                <w:noProof/>
                <w:sz w:val="24"/>
                <w:szCs w:val="24"/>
              </w:rPr>
              <w:t>4.6 Summary</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_Toc216991691 \h </w:instrText>
            </w:r>
            <w:r w:rsidRPr="0069787A">
              <w:rPr>
                <w:noProof/>
                <w:webHidden/>
                <w:sz w:val="24"/>
                <w:szCs w:val="24"/>
              </w:rPr>
            </w:r>
            <w:r w:rsidRPr="0069787A">
              <w:rPr>
                <w:noProof/>
                <w:webHidden/>
                <w:sz w:val="24"/>
                <w:szCs w:val="24"/>
              </w:rPr>
              <w:fldChar w:fldCharType="separate"/>
            </w:r>
            <w:r w:rsidR="00266FA7">
              <w:rPr>
                <w:noProof/>
                <w:webHidden/>
                <w:sz w:val="24"/>
                <w:szCs w:val="24"/>
              </w:rPr>
              <w:t>55</w:t>
            </w:r>
            <w:r w:rsidRPr="0069787A">
              <w:rPr>
                <w:noProof/>
                <w:webHidden/>
                <w:sz w:val="24"/>
                <w:szCs w:val="24"/>
              </w:rPr>
              <w:fldChar w:fldCharType="end"/>
            </w:r>
          </w:hyperlink>
        </w:p>
        <w:p w14:paraId="04143BAB" w14:textId="69DC3E83"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92" w:history="1">
            <w:r w:rsidRPr="0069787A">
              <w:rPr>
                <w:rStyle w:val="Hyperlink"/>
                <w:noProof/>
                <w:sz w:val="24"/>
                <w:szCs w:val="24"/>
              </w:rPr>
              <w:t>CHAPTER 5: DISCUSSION, CONCLUSIONS, LIMITATIONS AND RECOMMENDATIONS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_Toc216991692 \h </w:instrText>
            </w:r>
            <w:r w:rsidRPr="0069787A">
              <w:rPr>
                <w:noProof/>
                <w:webHidden/>
                <w:sz w:val="24"/>
                <w:szCs w:val="24"/>
              </w:rPr>
            </w:r>
            <w:r w:rsidRPr="0069787A">
              <w:rPr>
                <w:noProof/>
                <w:webHidden/>
                <w:sz w:val="24"/>
                <w:szCs w:val="24"/>
              </w:rPr>
              <w:fldChar w:fldCharType="separate"/>
            </w:r>
            <w:r w:rsidR="00266FA7">
              <w:rPr>
                <w:noProof/>
                <w:webHidden/>
                <w:sz w:val="24"/>
                <w:szCs w:val="24"/>
              </w:rPr>
              <w:t>57</w:t>
            </w:r>
            <w:r w:rsidRPr="0069787A">
              <w:rPr>
                <w:noProof/>
                <w:webHidden/>
                <w:sz w:val="24"/>
                <w:szCs w:val="24"/>
              </w:rPr>
              <w:fldChar w:fldCharType="end"/>
            </w:r>
          </w:hyperlink>
        </w:p>
        <w:p w14:paraId="1741B663" w14:textId="4D396B87"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3" w:history="1">
            <w:r w:rsidRPr="0069787A">
              <w:rPr>
                <w:rStyle w:val="Hyperlink"/>
                <w:noProof/>
                <w:sz w:val="24"/>
                <w:szCs w:val="24"/>
              </w:rPr>
              <w:t>5.1 Discussion on overall findings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_Toc216991693 \h </w:instrText>
            </w:r>
            <w:r w:rsidRPr="0069787A">
              <w:rPr>
                <w:noProof/>
                <w:webHidden/>
                <w:sz w:val="24"/>
                <w:szCs w:val="24"/>
              </w:rPr>
            </w:r>
            <w:r w:rsidRPr="0069787A">
              <w:rPr>
                <w:noProof/>
                <w:webHidden/>
                <w:sz w:val="24"/>
                <w:szCs w:val="24"/>
              </w:rPr>
              <w:fldChar w:fldCharType="separate"/>
            </w:r>
            <w:r w:rsidR="00266FA7">
              <w:rPr>
                <w:noProof/>
                <w:webHidden/>
                <w:sz w:val="24"/>
                <w:szCs w:val="24"/>
              </w:rPr>
              <w:t>57</w:t>
            </w:r>
            <w:r w:rsidRPr="0069787A">
              <w:rPr>
                <w:noProof/>
                <w:webHidden/>
                <w:sz w:val="24"/>
                <w:szCs w:val="24"/>
              </w:rPr>
              <w:fldChar w:fldCharType="end"/>
            </w:r>
          </w:hyperlink>
        </w:p>
        <w:p w14:paraId="4EFEAE55" w14:textId="5DDEACAC"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4" w:history="1">
            <w:r w:rsidRPr="0069787A">
              <w:rPr>
                <w:rStyle w:val="Hyperlink"/>
                <w:noProof/>
                <w:sz w:val="24"/>
                <w:szCs w:val="24"/>
              </w:rPr>
              <w:t>5.2 Conclusion</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_Toc216991694 \h </w:instrText>
            </w:r>
            <w:r w:rsidRPr="0069787A">
              <w:rPr>
                <w:noProof/>
                <w:webHidden/>
                <w:sz w:val="24"/>
                <w:szCs w:val="24"/>
              </w:rPr>
            </w:r>
            <w:r w:rsidRPr="0069787A">
              <w:rPr>
                <w:noProof/>
                <w:webHidden/>
                <w:sz w:val="24"/>
                <w:szCs w:val="24"/>
              </w:rPr>
              <w:fldChar w:fldCharType="separate"/>
            </w:r>
            <w:r w:rsidR="00266FA7">
              <w:rPr>
                <w:noProof/>
                <w:webHidden/>
                <w:sz w:val="24"/>
                <w:szCs w:val="24"/>
              </w:rPr>
              <w:t>58</w:t>
            </w:r>
            <w:r w:rsidRPr="0069787A">
              <w:rPr>
                <w:noProof/>
                <w:webHidden/>
                <w:sz w:val="24"/>
                <w:szCs w:val="24"/>
              </w:rPr>
              <w:fldChar w:fldCharType="end"/>
            </w:r>
          </w:hyperlink>
        </w:p>
        <w:p w14:paraId="1B72DFD4" w14:textId="13C572CB"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5" w:history="1">
            <w:r w:rsidRPr="0069787A">
              <w:rPr>
                <w:rStyle w:val="Hyperlink"/>
                <w:noProof/>
                <w:sz w:val="24"/>
                <w:szCs w:val="24"/>
              </w:rPr>
              <w:t>5.3 Research limitations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_Toc216991695 \h </w:instrText>
            </w:r>
            <w:r w:rsidRPr="0069787A">
              <w:rPr>
                <w:noProof/>
                <w:webHidden/>
                <w:sz w:val="24"/>
                <w:szCs w:val="24"/>
              </w:rPr>
            </w:r>
            <w:r w:rsidRPr="0069787A">
              <w:rPr>
                <w:noProof/>
                <w:webHidden/>
                <w:sz w:val="24"/>
                <w:szCs w:val="24"/>
              </w:rPr>
              <w:fldChar w:fldCharType="separate"/>
            </w:r>
            <w:r w:rsidR="00266FA7">
              <w:rPr>
                <w:noProof/>
                <w:webHidden/>
                <w:sz w:val="24"/>
                <w:szCs w:val="24"/>
              </w:rPr>
              <w:t>60</w:t>
            </w:r>
            <w:r w:rsidRPr="0069787A">
              <w:rPr>
                <w:noProof/>
                <w:webHidden/>
                <w:sz w:val="24"/>
                <w:szCs w:val="24"/>
              </w:rPr>
              <w:fldChar w:fldCharType="end"/>
            </w:r>
          </w:hyperlink>
        </w:p>
        <w:p w14:paraId="21017F8A" w14:textId="555FF357"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6" w:history="1">
            <w:r w:rsidRPr="0069787A">
              <w:rPr>
                <w:rStyle w:val="Hyperlink"/>
                <w:noProof/>
                <w:sz w:val="24"/>
                <w:szCs w:val="24"/>
              </w:rPr>
              <w:t>5.4 Recommendations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_Toc216991696 \h </w:instrText>
            </w:r>
            <w:r w:rsidRPr="0069787A">
              <w:rPr>
                <w:noProof/>
                <w:webHidden/>
                <w:sz w:val="24"/>
                <w:szCs w:val="24"/>
              </w:rPr>
            </w:r>
            <w:r w:rsidRPr="0069787A">
              <w:rPr>
                <w:noProof/>
                <w:webHidden/>
                <w:sz w:val="24"/>
                <w:szCs w:val="24"/>
              </w:rPr>
              <w:fldChar w:fldCharType="separate"/>
            </w:r>
            <w:r w:rsidR="00266FA7">
              <w:rPr>
                <w:noProof/>
                <w:webHidden/>
                <w:sz w:val="24"/>
                <w:szCs w:val="24"/>
              </w:rPr>
              <w:t>60</w:t>
            </w:r>
            <w:r w:rsidRPr="0069787A">
              <w:rPr>
                <w:noProof/>
                <w:webHidden/>
                <w:sz w:val="24"/>
                <w:szCs w:val="24"/>
              </w:rPr>
              <w:fldChar w:fldCharType="end"/>
            </w:r>
          </w:hyperlink>
        </w:p>
        <w:p w14:paraId="51869B76" w14:textId="4C823FDC" w:rsidR="0069787A" w:rsidRPr="0069787A" w:rsidRDefault="0069787A" w:rsidP="0069787A">
          <w:pPr>
            <w:pStyle w:val="TOC2"/>
            <w:tabs>
              <w:tab w:val="right" w:leader="dot" w:pos="9350"/>
            </w:tabs>
            <w:spacing w:after="0" w:line="360" w:lineRule="auto"/>
            <w:jc w:val="both"/>
            <w:rPr>
              <w:rFonts w:eastAsiaTheme="minorEastAsia"/>
              <w:noProof/>
              <w:sz w:val="24"/>
              <w:szCs w:val="24"/>
              <w:lang w:val="en-IN"/>
            </w:rPr>
          </w:pPr>
          <w:hyperlink w:anchor="_Toc216991697" w:history="1">
            <w:r w:rsidRPr="0069787A">
              <w:rPr>
                <w:rStyle w:val="Hyperlink"/>
                <w:noProof/>
                <w:sz w:val="24"/>
                <w:szCs w:val="24"/>
              </w:rPr>
              <w:t>5.5 Future scopes</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_Toc216991697 \h </w:instrText>
            </w:r>
            <w:r w:rsidRPr="0069787A">
              <w:rPr>
                <w:noProof/>
                <w:webHidden/>
                <w:sz w:val="24"/>
                <w:szCs w:val="24"/>
              </w:rPr>
            </w:r>
            <w:r w:rsidRPr="0069787A">
              <w:rPr>
                <w:noProof/>
                <w:webHidden/>
                <w:sz w:val="24"/>
                <w:szCs w:val="24"/>
              </w:rPr>
              <w:fldChar w:fldCharType="separate"/>
            </w:r>
            <w:r w:rsidR="00266FA7">
              <w:rPr>
                <w:noProof/>
                <w:webHidden/>
                <w:sz w:val="24"/>
                <w:szCs w:val="24"/>
              </w:rPr>
              <w:t>62</w:t>
            </w:r>
            <w:r w:rsidRPr="0069787A">
              <w:rPr>
                <w:noProof/>
                <w:webHidden/>
                <w:sz w:val="24"/>
                <w:szCs w:val="24"/>
              </w:rPr>
              <w:fldChar w:fldCharType="end"/>
            </w:r>
          </w:hyperlink>
        </w:p>
        <w:p w14:paraId="3406DEE6" w14:textId="3C363929"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98" w:history="1">
            <w:r w:rsidRPr="0069787A">
              <w:rPr>
                <w:rStyle w:val="Hyperlink"/>
                <w:noProof/>
                <w:sz w:val="24"/>
                <w:szCs w:val="24"/>
              </w:rPr>
              <w:t>REFERENCE LIST</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_Toc216991698 \h </w:instrText>
            </w:r>
            <w:r w:rsidRPr="0069787A">
              <w:rPr>
                <w:noProof/>
                <w:webHidden/>
                <w:sz w:val="24"/>
                <w:szCs w:val="24"/>
              </w:rPr>
            </w:r>
            <w:r w:rsidRPr="0069787A">
              <w:rPr>
                <w:noProof/>
                <w:webHidden/>
                <w:sz w:val="24"/>
                <w:szCs w:val="24"/>
              </w:rPr>
              <w:fldChar w:fldCharType="separate"/>
            </w:r>
            <w:r w:rsidR="00266FA7">
              <w:rPr>
                <w:noProof/>
                <w:webHidden/>
                <w:sz w:val="24"/>
                <w:szCs w:val="24"/>
              </w:rPr>
              <w:t>63</w:t>
            </w:r>
            <w:r w:rsidRPr="0069787A">
              <w:rPr>
                <w:noProof/>
                <w:webHidden/>
                <w:sz w:val="24"/>
                <w:szCs w:val="24"/>
              </w:rPr>
              <w:fldChar w:fldCharType="end"/>
            </w:r>
          </w:hyperlink>
        </w:p>
        <w:p w14:paraId="06A20004" w14:textId="71984BAC" w:rsidR="0069787A" w:rsidRPr="0069787A" w:rsidRDefault="0069787A" w:rsidP="0069787A">
          <w:pPr>
            <w:pStyle w:val="TOC1"/>
            <w:tabs>
              <w:tab w:val="right" w:leader="dot" w:pos="9350"/>
            </w:tabs>
            <w:spacing w:after="0" w:line="360" w:lineRule="auto"/>
            <w:jc w:val="both"/>
            <w:rPr>
              <w:rFonts w:eastAsiaTheme="minorEastAsia"/>
              <w:noProof/>
              <w:sz w:val="24"/>
              <w:szCs w:val="24"/>
              <w:lang w:val="en-IN"/>
            </w:rPr>
          </w:pPr>
          <w:hyperlink w:anchor="_Toc216991699" w:history="1">
            <w:r w:rsidRPr="0069787A">
              <w:rPr>
                <w:rStyle w:val="Hyperlink"/>
                <w:noProof/>
                <w:sz w:val="24"/>
                <w:szCs w:val="24"/>
                <w:highlight w:val="white"/>
              </w:rPr>
              <w:t>APPENDIX: CASP TABLE</w:t>
            </w:r>
            <w:r w:rsidRPr="0069787A">
              <w:rPr>
                <w:noProof/>
                <w:webHidden/>
                <w:sz w:val="24"/>
                <w:szCs w:val="24"/>
              </w:rPr>
              <w:tab/>
            </w:r>
            <w:r w:rsidRPr="0069787A">
              <w:rPr>
                <w:noProof/>
                <w:webHidden/>
                <w:sz w:val="24"/>
                <w:szCs w:val="24"/>
              </w:rPr>
              <w:fldChar w:fldCharType="begin"/>
            </w:r>
            <w:r w:rsidRPr="0069787A">
              <w:rPr>
                <w:noProof/>
                <w:webHidden/>
                <w:sz w:val="24"/>
                <w:szCs w:val="24"/>
              </w:rPr>
              <w:instrText xml:space="preserve"> PAGEREF _Toc216991699 \h </w:instrText>
            </w:r>
            <w:r w:rsidRPr="0069787A">
              <w:rPr>
                <w:noProof/>
                <w:webHidden/>
                <w:sz w:val="24"/>
                <w:szCs w:val="24"/>
              </w:rPr>
            </w:r>
            <w:r w:rsidRPr="0069787A">
              <w:rPr>
                <w:noProof/>
                <w:webHidden/>
                <w:sz w:val="24"/>
                <w:szCs w:val="24"/>
              </w:rPr>
              <w:fldChar w:fldCharType="separate"/>
            </w:r>
            <w:r w:rsidR="00266FA7">
              <w:rPr>
                <w:noProof/>
                <w:webHidden/>
                <w:sz w:val="24"/>
                <w:szCs w:val="24"/>
              </w:rPr>
              <w:t>79</w:t>
            </w:r>
            <w:r w:rsidRPr="0069787A">
              <w:rPr>
                <w:noProof/>
                <w:webHidden/>
                <w:sz w:val="24"/>
                <w:szCs w:val="24"/>
              </w:rPr>
              <w:fldChar w:fldCharType="end"/>
            </w:r>
          </w:hyperlink>
        </w:p>
        <w:p w14:paraId="240CEF7D" w14:textId="0FE7407E" w:rsidR="00D62C86" w:rsidRPr="0069787A" w:rsidRDefault="00D62C86" w:rsidP="0069787A">
          <w:pPr>
            <w:spacing w:line="360" w:lineRule="auto"/>
            <w:jc w:val="both"/>
            <w:rPr>
              <w:sz w:val="24"/>
              <w:szCs w:val="24"/>
            </w:rPr>
          </w:pPr>
          <w:r w:rsidRPr="0069787A">
            <w:rPr>
              <w:b/>
              <w:bCs/>
              <w:sz w:val="24"/>
              <w:szCs w:val="24"/>
            </w:rPr>
            <w:fldChar w:fldCharType="end"/>
          </w:r>
        </w:p>
      </w:sdtContent>
    </w:sdt>
    <w:p w14:paraId="02B7922A" w14:textId="77777777" w:rsidR="007C2CF8" w:rsidRPr="0069787A" w:rsidRDefault="00215170" w:rsidP="007C2CF8">
      <w:pPr>
        <w:rPr>
          <w:noProof/>
        </w:rPr>
      </w:pPr>
      <w:r w:rsidRPr="0069787A">
        <w:rPr>
          <w:rFonts w:eastAsia="Times New Roman"/>
          <w:b/>
          <w:bCs/>
          <w:sz w:val="24"/>
          <w:szCs w:val="24"/>
        </w:rPr>
        <w:br w:type="page"/>
      </w:r>
      <w:r w:rsidR="007C2CF8" w:rsidRPr="0069787A">
        <w:rPr>
          <w:rFonts w:eastAsia="Times New Roman"/>
          <w:b/>
          <w:bCs/>
          <w:sz w:val="24"/>
          <w:szCs w:val="24"/>
        </w:rPr>
        <w:fldChar w:fldCharType="begin"/>
      </w:r>
      <w:r w:rsidR="007C2CF8" w:rsidRPr="0069787A">
        <w:rPr>
          <w:rFonts w:eastAsia="Times New Roman"/>
          <w:b/>
          <w:bCs/>
          <w:sz w:val="24"/>
          <w:szCs w:val="24"/>
        </w:rPr>
        <w:instrText xml:space="preserve"> TOC \h \z \t "Heading 4" \c "Figure" </w:instrText>
      </w:r>
      <w:r w:rsidR="007C2CF8" w:rsidRPr="0069787A">
        <w:rPr>
          <w:rFonts w:eastAsia="Times New Roman"/>
          <w:b/>
          <w:bCs/>
          <w:sz w:val="24"/>
          <w:szCs w:val="24"/>
        </w:rPr>
        <w:fldChar w:fldCharType="separate"/>
      </w:r>
    </w:p>
    <w:p w14:paraId="6E52B981" w14:textId="739B61CA" w:rsidR="007C2CF8" w:rsidRPr="0069787A" w:rsidRDefault="007C2CF8" w:rsidP="007C2CF8">
      <w:pPr>
        <w:jc w:val="center"/>
        <w:rPr>
          <w:rFonts w:eastAsia="Times New Roman"/>
          <w:b/>
          <w:bCs/>
          <w:sz w:val="28"/>
          <w:szCs w:val="28"/>
        </w:rPr>
      </w:pPr>
      <w:r w:rsidRPr="0069787A">
        <w:rPr>
          <w:rFonts w:eastAsia="Times New Roman"/>
          <w:b/>
          <w:bCs/>
          <w:sz w:val="24"/>
          <w:szCs w:val="24"/>
        </w:rPr>
        <w:lastRenderedPageBreak/>
        <w:fldChar w:fldCharType="end"/>
      </w:r>
      <w:r w:rsidRPr="0069787A">
        <w:rPr>
          <w:rFonts w:eastAsia="Times New Roman"/>
          <w:b/>
          <w:bCs/>
          <w:sz w:val="28"/>
          <w:szCs w:val="28"/>
        </w:rPr>
        <w:t>List of Figures</w:t>
      </w:r>
    </w:p>
    <w:p w14:paraId="6D166317" w14:textId="78E774BF" w:rsidR="00271077" w:rsidRPr="0069787A" w:rsidRDefault="00271077">
      <w:pPr>
        <w:pStyle w:val="TableofFigures"/>
        <w:tabs>
          <w:tab w:val="right" w:leader="dot" w:pos="9350"/>
        </w:tabs>
        <w:rPr>
          <w:rFonts w:eastAsiaTheme="minorEastAsia"/>
          <w:noProof/>
          <w:sz w:val="22"/>
          <w:lang w:val="en-IN"/>
        </w:rPr>
      </w:pPr>
      <w:r w:rsidRPr="0069787A">
        <w:rPr>
          <w:rFonts w:eastAsia="Times New Roman"/>
          <w:b/>
          <w:bCs/>
          <w:szCs w:val="24"/>
        </w:rPr>
        <w:fldChar w:fldCharType="begin"/>
      </w:r>
      <w:r w:rsidRPr="0069787A">
        <w:rPr>
          <w:rFonts w:eastAsia="Times New Roman"/>
          <w:b/>
          <w:bCs/>
          <w:szCs w:val="24"/>
        </w:rPr>
        <w:instrText xml:space="preserve"> TOC \f F \h \z \t "Heading 4" \c "Figure" </w:instrText>
      </w:r>
      <w:r w:rsidRPr="0069787A">
        <w:rPr>
          <w:rFonts w:eastAsia="Times New Roman"/>
          <w:b/>
          <w:bCs/>
          <w:szCs w:val="24"/>
        </w:rPr>
        <w:fldChar w:fldCharType="separate"/>
      </w:r>
      <w:hyperlink w:anchor="_Toc216348749" w:history="1">
        <w:r w:rsidRPr="0069787A">
          <w:rPr>
            <w:rStyle w:val="Hyperlink"/>
            <w:noProof/>
          </w:rPr>
          <w:t>Figure 1.2: Antimicrobial resistance</w:t>
        </w:r>
        <w:r w:rsidRPr="0069787A">
          <w:rPr>
            <w:noProof/>
            <w:webHidden/>
          </w:rPr>
          <w:tab/>
        </w:r>
        <w:r w:rsidRPr="0069787A">
          <w:rPr>
            <w:noProof/>
            <w:webHidden/>
          </w:rPr>
          <w:fldChar w:fldCharType="begin"/>
        </w:r>
        <w:r w:rsidRPr="0069787A">
          <w:rPr>
            <w:noProof/>
            <w:webHidden/>
          </w:rPr>
          <w:instrText xml:space="preserve"> PAGEREF _Toc216348749 \h </w:instrText>
        </w:r>
        <w:r w:rsidRPr="0069787A">
          <w:rPr>
            <w:noProof/>
            <w:webHidden/>
          </w:rPr>
        </w:r>
        <w:r w:rsidRPr="0069787A">
          <w:rPr>
            <w:noProof/>
            <w:webHidden/>
          </w:rPr>
          <w:fldChar w:fldCharType="separate"/>
        </w:r>
        <w:r w:rsidR="0069787A">
          <w:rPr>
            <w:noProof/>
            <w:webHidden/>
          </w:rPr>
          <w:t>8</w:t>
        </w:r>
        <w:r w:rsidRPr="0069787A">
          <w:rPr>
            <w:noProof/>
            <w:webHidden/>
          </w:rPr>
          <w:fldChar w:fldCharType="end"/>
        </w:r>
      </w:hyperlink>
    </w:p>
    <w:p w14:paraId="0EE45E9F" w14:textId="41F32A2E" w:rsidR="00271077" w:rsidRPr="0069787A" w:rsidRDefault="00271077">
      <w:pPr>
        <w:pStyle w:val="TableofFigures"/>
        <w:tabs>
          <w:tab w:val="right" w:leader="dot" w:pos="9350"/>
        </w:tabs>
        <w:rPr>
          <w:rFonts w:eastAsiaTheme="minorEastAsia"/>
          <w:noProof/>
          <w:sz w:val="22"/>
          <w:lang w:val="en-IN"/>
        </w:rPr>
      </w:pPr>
      <w:hyperlink w:anchor="_Toc216348750" w:history="1">
        <w:r w:rsidRPr="0069787A">
          <w:rPr>
            <w:rStyle w:val="Hyperlink"/>
            <w:noProof/>
          </w:rPr>
          <w:t>Figure 1.3: Genomic surveillance</w:t>
        </w:r>
        <w:r w:rsidRPr="0069787A">
          <w:rPr>
            <w:noProof/>
            <w:webHidden/>
          </w:rPr>
          <w:tab/>
        </w:r>
        <w:r w:rsidRPr="0069787A">
          <w:rPr>
            <w:noProof/>
            <w:webHidden/>
          </w:rPr>
          <w:fldChar w:fldCharType="begin"/>
        </w:r>
        <w:r w:rsidRPr="0069787A">
          <w:rPr>
            <w:noProof/>
            <w:webHidden/>
          </w:rPr>
          <w:instrText xml:space="preserve"> PAGEREF _Toc216348750 \h </w:instrText>
        </w:r>
        <w:r w:rsidRPr="0069787A">
          <w:rPr>
            <w:noProof/>
            <w:webHidden/>
          </w:rPr>
        </w:r>
        <w:r w:rsidRPr="0069787A">
          <w:rPr>
            <w:noProof/>
            <w:webHidden/>
          </w:rPr>
          <w:fldChar w:fldCharType="separate"/>
        </w:r>
        <w:r w:rsidR="0069787A">
          <w:rPr>
            <w:noProof/>
            <w:webHidden/>
          </w:rPr>
          <w:t>9</w:t>
        </w:r>
        <w:r w:rsidRPr="0069787A">
          <w:rPr>
            <w:noProof/>
            <w:webHidden/>
          </w:rPr>
          <w:fldChar w:fldCharType="end"/>
        </w:r>
      </w:hyperlink>
    </w:p>
    <w:p w14:paraId="6A0EB793" w14:textId="49BA7821" w:rsidR="00271077" w:rsidRPr="0069787A" w:rsidRDefault="00271077">
      <w:pPr>
        <w:pStyle w:val="TableofFigures"/>
        <w:tabs>
          <w:tab w:val="right" w:leader="dot" w:pos="9350"/>
        </w:tabs>
        <w:rPr>
          <w:rFonts w:eastAsiaTheme="minorEastAsia"/>
          <w:noProof/>
          <w:sz w:val="22"/>
          <w:lang w:val="en-IN"/>
        </w:rPr>
      </w:pPr>
      <w:hyperlink w:anchor="_Toc216348751" w:history="1">
        <w:r w:rsidRPr="0069787A">
          <w:rPr>
            <w:rStyle w:val="Hyperlink"/>
            <w:noProof/>
          </w:rPr>
          <w:t>Figure 2.4: Quorum Sensing Inhibitors</w:t>
        </w:r>
        <w:r w:rsidRPr="0069787A">
          <w:rPr>
            <w:noProof/>
            <w:webHidden/>
          </w:rPr>
          <w:tab/>
        </w:r>
        <w:r w:rsidRPr="0069787A">
          <w:rPr>
            <w:noProof/>
            <w:webHidden/>
          </w:rPr>
          <w:fldChar w:fldCharType="begin"/>
        </w:r>
        <w:r w:rsidRPr="0069787A">
          <w:rPr>
            <w:noProof/>
            <w:webHidden/>
          </w:rPr>
          <w:instrText xml:space="preserve"> PAGEREF _Toc216348751 \h </w:instrText>
        </w:r>
        <w:r w:rsidRPr="0069787A">
          <w:rPr>
            <w:noProof/>
            <w:webHidden/>
          </w:rPr>
        </w:r>
        <w:r w:rsidRPr="0069787A">
          <w:rPr>
            <w:noProof/>
            <w:webHidden/>
          </w:rPr>
          <w:fldChar w:fldCharType="separate"/>
        </w:r>
        <w:r w:rsidR="0069787A">
          <w:rPr>
            <w:noProof/>
            <w:webHidden/>
          </w:rPr>
          <w:t>14</w:t>
        </w:r>
        <w:r w:rsidRPr="0069787A">
          <w:rPr>
            <w:noProof/>
            <w:webHidden/>
          </w:rPr>
          <w:fldChar w:fldCharType="end"/>
        </w:r>
      </w:hyperlink>
    </w:p>
    <w:p w14:paraId="51A57CFC" w14:textId="58433099" w:rsidR="00271077" w:rsidRPr="0069787A" w:rsidRDefault="00271077">
      <w:pPr>
        <w:pStyle w:val="TableofFigures"/>
        <w:tabs>
          <w:tab w:val="right" w:leader="dot" w:pos="9350"/>
        </w:tabs>
        <w:rPr>
          <w:rFonts w:eastAsiaTheme="minorEastAsia"/>
          <w:noProof/>
          <w:sz w:val="22"/>
          <w:lang w:val="en-IN"/>
        </w:rPr>
      </w:pPr>
      <w:hyperlink w:anchor="_Toc216348752" w:history="1">
        <w:r w:rsidRPr="0069787A">
          <w:rPr>
            <w:rStyle w:val="Hyperlink"/>
            <w:noProof/>
          </w:rPr>
          <w:t>Figure 2.7: Biofilm formation</w:t>
        </w:r>
        <w:r w:rsidRPr="0069787A">
          <w:rPr>
            <w:noProof/>
            <w:webHidden/>
          </w:rPr>
          <w:tab/>
        </w:r>
        <w:r w:rsidRPr="0069787A">
          <w:rPr>
            <w:noProof/>
            <w:webHidden/>
          </w:rPr>
          <w:fldChar w:fldCharType="begin"/>
        </w:r>
        <w:r w:rsidRPr="0069787A">
          <w:rPr>
            <w:noProof/>
            <w:webHidden/>
          </w:rPr>
          <w:instrText xml:space="preserve"> PAGEREF _Toc216348752 \h </w:instrText>
        </w:r>
        <w:r w:rsidRPr="0069787A">
          <w:rPr>
            <w:noProof/>
            <w:webHidden/>
          </w:rPr>
        </w:r>
        <w:r w:rsidRPr="0069787A">
          <w:rPr>
            <w:noProof/>
            <w:webHidden/>
          </w:rPr>
          <w:fldChar w:fldCharType="separate"/>
        </w:r>
        <w:r w:rsidR="0069787A">
          <w:rPr>
            <w:noProof/>
            <w:webHidden/>
          </w:rPr>
          <w:t>17</w:t>
        </w:r>
        <w:r w:rsidRPr="0069787A">
          <w:rPr>
            <w:noProof/>
            <w:webHidden/>
          </w:rPr>
          <w:fldChar w:fldCharType="end"/>
        </w:r>
      </w:hyperlink>
    </w:p>
    <w:p w14:paraId="54B8AFAE" w14:textId="5AB3BC55" w:rsidR="00271077" w:rsidRPr="0069787A" w:rsidRDefault="00271077">
      <w:pPr>
        <w:pStyle w:val="TableofFigures"/>
        <w:tabs>
          <w:tab w:val="right" w:leader="dot" w:pos="9350"/>
        </w:tabs>
        <w:rPr>
          <w:rFonts w:eastAsiaTheme="minorEastAsia"/>
          <w:noProof/>
          <w:sz w:val="22"/>
          <w:lang w:val="en-IN"/>
        </w:rPr>
      </w:pPr>
      <w:hyperlink w:anchor="_Toc216348753" w:history="1">
        <w:r w:rsidRPr="0069787A">
          <w:rPr>
            <w:rStyle w:val="Hyperlink"/>
            <w:noProof/>
          </w:rPr>
          <w:t>Figure 2.9: Quorum quenching</w:t>
        </w:r>
        <w:r w:rsidRPr="0069787A">
          <w:rPr>
            <w:noProof/>
            <w:webHidden/>
          </w:rPr>
          <w:tab/>
        </w:r>
        <w:r w:rsidRPr="0069787A">
          <w:rPr>
            <w:noProof/>
            <w:webHidden/>
          </w:rPr>
          <w:fldChar w:fldCharType="begin"/>
        </w:r>
        <w:r w:rsidRPr="0069787A">
          <w:rPr>
            <w:noProof/>
            <w:webHidden/>
          </w:rPr>
          <w:instrText xml:space="preserve"> PAGEREF _Toc216348753 \h </w:instrText>
        </w:r>
        <w:r w:rsidRPr="0069787A">
          <w:rPr>
            <w:noProof/>
            <w:webHidden/>
          </w:rPr>
        </w:r>
        <w:r w:rsidRPr="0069787A">
          <w:rPr>
            <w:noProof/>
            <w:webHidden/>
          </w:rPr>
          <w:fldChar w:fldCharType="separate"/>
        </w:r>
        <w:r w:rsidR="0069787A">
          <w:rPr>
            <w:noProof/>
            <w:webHidden/>
          </w:rPr>
          <w:t>19</w:t>
        </w:r>
        <w:r w:rsidRPr="0069787A">
          <w:rPr>
            <w:noProof/>
            <w:webHidden/>
          </w:rPr>
          <w:fldChar w:fldCharType="end"/>
        </w:r>
      </w:hyperlink>
    </w:p>
    <w:p w14:paraId="4C3881C6" w14:textId="69799A7A" w:rsidR="00271077" w:rsidRPr="0069787A" w:rsidRDefault="00271077">
      <w:pPr>
        <w:pStyle w:val="TableofFigures"/>
        <w:tabs>
          <w:tab w:val="right" w:leader="dot" w:pos="9350"/>
        </w:tabs>
        <w:rPr>
          <w:rFonts w:eastAsiaTheme="minorEastAsia"/>
          <w:noProof/>
          <w:sz w:val="22"/>
          <w:lang w:val="en-IN"/>
        </w:rPr>
      </w:pPr>
      <w:hyperlink w:anchor="_Toc216348754" w:history="1">
        <w:r w:rsidRPr="0069787A">
          <w:rPr>
            <w:rStyle w:val="Hyperlink"/>
            <w:noProof/>
          </w:rPr>
          <w:t>Figure 2.12: Quorum sensing</w:t>
        </w:r>
        <w:r w:rsidRPr="0069787A">
          <w:rPr>
            <w:noProof/>
            <w:webHidden/>
          </w:rPr>
          <w:tab/>
        </w:r>
        <w:r w:rsidRPr="0069787A">
          <w:rPr>
            <w:noProof/>
            <w:webHidden/>
          </w:rPr>
          <w:fldChar w:fldCharType="begin"/>
        </w:r>
        <w:r w:rsidRPr="0069787A">
          <w:rPr>
            <w:noProof/>
            <w:webHidden/>
          </w:rPr>
          <w:instrText xml:space="preserve"> PAGEREF _Toc216348754 \h </w:instrText>
        </w:r>
        <w:r w:rsidRPr="0069787A">
          <w:rPr>
            <w:noProof/>
            <w:webHidden/>
          </w:rPr>
        </w:r>
        <w:r w:rsidRPr="0069787A">
          <w:rPr>
            <w:noProof/>
            <w:webHidden/>
          </w:rPr>
          <w:fldChar w:fldCharType="separate"/>
        </w:r>
        <w:r w:rsidR="0069787A">
          <w:rPr>
            <w:noProof/>
            <w:webHidden/>
          </w:rPr>
          <w:t>23</w:t>
        </w:r>
        <w:r w:rsidRPr="0069787A">
          <w:rPr>
            <w:noProof/>
            <w:webHidden/>
          </w:rPr>
          <w:fldChar w:fldCharType="end"/>
        </w:r>
      </w:hyperlink>
    </w:p>
    <w:p w14:paraId="2ED7616C" w14:textId="0FD4628B" w:rsidR="00271077" w:rsidRPr="0069787A" w:rsidRDefault="00271077">
      <w:pPr>
        <w:pStyle w:val="TableofFigures"/>
        <w:tabs>
          <w:tab w:val="right" w:leader="dot" w:pos="9350"/>
        </w:tabs>
        <w:rPr>
          <w:rFonts w:eastAsiaTheme="minorEastAsia"/>
          <w:noProof/>
          <w:sz w:val="22"/>
          <w:lang w:val="en-IN"/>
        </w:rPr>
      </w:pPr>
      <w:hyperlink w:anchor="_Toc216348755" w:history="1">
        <w:r w:rsidRPr="0069787A">
          <w:rPr>
            <w:rStyle w:val="Hyperlink"/>
            <w:noProof/>
          </w:rPr>
          <w:t>Figure 2.14: One Health model</w:t>
        </w:r>
        <w:r w:rsidRPr="0069787A">
          <w:rPr>
            <w:noProof/>
            <w:webHidden/>
          </w:rPr>
          <w:tab/>
        </w:r>
        <w:r w:rsidRPr="0069787A">
          <w:rPr>
            <w:noProof/>
            <w:webHidden/>
          </w:rPr>
          <w:fldChar w:fldCharType="begin"/>
        </w:r>
        <w:r w:rsidRPr="0069787A">
          <w:rPr>
            <w:noProof/>
            <w:webHidden/>
          </w:rPr>
          <w:instrText xml:space="preserve"> PAGEREF _Toc216348755 \h </w:instrText>
        </w:r>
        <w:r w:rsidRPr="0069787A">
          <w:rPr>
            <w:noProof/>
            <w:webHidden/>
          </w:rPr>
        </w:r>
        <w:r w:rsidRPr="0069787A">
          <w:rPr>
            <w:noProof/>
            <w:webHidden/>
          </w:rPr>
          <w:fldChar w:fldCharType="separate"/>
        </w:r>
        <w:r w:rsidR="0069787A">
          <w:rPr>
            <w:noProof/>
            <w:webHidden/>
          </w:rPr>
          <w:t>25</w:t>
        </w:r>
        <w:r w:rsidRPr="0069787A">
          <w:rPr>
            <w:noProof/>
            <w:webHidden/>
          </w:rPr>
          <w:fldChar w:fldCharType="end"/>
        </w:r>
      </w:hyperlink>
    </w:p>
    <w:p w14:paraId="17C13392" w14:textId="3BDBD7AD" w:rsidR="00271077" w:rsidRPr="0069787A" w:rsidRDefault="00271077">
      <w:pPr>
        <w:pStyle w:val="TableofFigures"/>
        <w:tabs>
          <w:tab w:val="right" w:leader="dot" w:pos="9350"/>
        </w:tabs>
        <w:rPr>
          <w:rFonts w:eastAsiaTheme="minorEastAsia"/>
          <w:noProof/>
          <w:sz w:val="22"/>
          <w:lang w:val="en-IN"/>
        </w:rPr>
      </w:pPr>
      <w:hyperlink w:anchor="_Toc216348756" w:history="1">
        <w:r w:rsidRPr="0069787A">
          <w:rPr>
            <w:rStyle w:val="Hyperlink"/>
            <w:noProof/>
          </w:rPr>
          <w:t>Figure 3.2: Research philosophies</w:t>
        </w:r>
        <w:r w:rsidRPr="0069787A">
          <w:rPr>
            <w:noProof/>
            <w:webHidden/>
          </w:rPr>
          <w:tab/>
        </w:r>
        <w:r w:rsidRPr="0069787A">
          <w:rPr>
            <w:noProof/>
            <w:webHidden/>
          </w:rPr>
          <w:fldChar w:fldCharType="begin"/>
        </w:r>
        <w:r w:rsidRPr="0069787A">
          <w:rPr>
            <w:noProof/>
            <w:webHidden/>
          </w:rPr>
          <w:instrText xml:space="preserve"> PAGEREF _Toc216348756 \h </w:instrText>
        </w:r>
        <w:r w:rsidRPr="0069787A">
          <w:rPr>
            <w:noProof/>
            <w:webHidden/>
          </w:rPr>
        </w:r>
        <w:r w:rsidRPr="0069787A">
          <w:rPr>
            <w:noProof/>
            <w:webHidden/>
          </w:rPr>
          <w:fldChar w:fldCharType="separate"/>
        </w:r>
        <w:r w:rsidR="0069787A">
          <w:rPr>
            <w:noProof/>
            <w:webHidden/>
          </w:rPr>
          <w:t>28</w:t>
        </w:r>
        <w:r w:rsidRPr="0069787A">
          <w:rPr>
            <w:noProof/>
            <w:webHidden/>
          </w:rPr>
          <w:fldChar w:fldCharType="end"/>
        </w:r>
      </w:hyperlink>
    </w:p>
    <w:p w14:paraId="69E41884" w14:textId="6E0A81A6" w:rsidR="00271077" w:rsidRPr="0069787A" w:rsidRDefault="00271077">
      <w:pPr>
        <w:pStyle w:val="TableofFigures"/>
        <w:tabs>
          <w:tab w:val="right" w:leader="dot" w:pos="9350"/>
        </w:tabs>
        <w:rPr>
          <w:rFonts w:eastAsiaTheme="minorEastAsia"/>
          <w:noProof/>
          <w:sz w:val="22"/>
          <w:lang w:val="en-IN"/>
        </w:rPr>
      </w:pPr>
      <w:hyperlink w:anchor="_Toc216348757" w:history="1">
        <w:r w:rsidRPr="0069787A">
          <w:rPr>
            <w:rStyle w:val="Hyperlink"/>
            <w:noProof/>
          </w:rPr>
          <w:t>Figure 3.6: PRISMA</w:t>
        </w:r>
        <w:r w:rsidRPr="0069787A">
          <w:rPr>
            <w:noProof/>
            <w:webHidden/>
          </w:rPr>
          <w:tab/>
        </w:r>
        <w:r w:rsidRPr="0069787A">
          <w:rPr>
            <w:noProof/>
            <w:webHidden/>
          </w:rPr>
          <w:fldChar w:fldCharType="begin"/>
        </w:r>
        <w:r w:rsidRPr="0069787A">
          <w:rPr>
            <w:noProof/>
            <w:webHidden/>
          </w:rPr>
          <w:instrText xml:space="preserve"> PAGEREF _Toc216348757 \h </w:instrText>
        </w:r>
        <w:r w:rsidRPr="0069787A">
          <w:rPr>
            <w:noProof/>
            <w:webHidden/>
          </w:rPr>
        </w:r>
        <w:r w:rsidRPr="0069787A">
          <w:rPr>
            <w:noProof/>
            <w:webHidden/>
          </w:rPr>
          <w:fldChar w:fldCharType="separate"/>
        </w:r>
        <w:r w:rsidR="0069787A">
          <w:rPr>
            <w:noProof/>
            <w:webHidden/>
          </w:rPr>
          <w:t>32</w:t>
        </w:r>
        <w:r w:rsidRPr="0069787A">
          <w:rPr>
            <w:noProof/>
            <w:webHidden/>
          </w:rPr>
          <w:fldChar w:fldCharType="end"/>
        </w:r>
      </w:hyperlink>
    </w:p>
    <w:p w14:paraId="6E8D6DCC" w14:textId="4CCCBD7F" w:rsidR="00271077" w:rsidRPr="0069787A" w:rsidRDefault="00271077">
      <w:pPr>
        <w:pStyle w:val="TableofFigures"/>
        <w:tabs>
          <w:tab w:val="right" w:leader="dot" w:pos="9350"/>
        </w:tabs>
        <w:rPr>
          <w:rFonts w:eastAsiaTheme="minorEastAsia"/>
          <w:noProof/>
          <w:sz w:val="22"/>
          <w:lang w:val="en-IN"/>
        </w:rPr>
      </w:pPr>
      <w:hyperlink w:anchor="_Toc216348758" w:history="1">
        <w:r w:rsidRPr="0069787A">
          <w:rPr>
            <w:rStyle w:val="Hyperlink"/>
            <w:noProof/>
          </w:rPr>
          <w:t>Figure 3.9: Research ethics</w:t>
        </w:r>
        <w:r w:rsidRPr="0069787A">
          <w:rPr>
            <w:noProof/>
            <w:webHidden/>
          </w:rPr>
          <w:tab/>
        </w:r>
        <w:r w:rsidRPr="0069787A">
          <w:rPr>
            <w:noProof/>
            <w:webHidden/>
          </w:rPr>
          <w:fldChar w:fldCharType="begin"/>
        </w:r>
        <w:r w:rsidRPr="0069787A">
          <w:rPr>
            <w:noProof/>
            <w:webHidden/>
          </w:rPr>
          <w:instrText xml:space="preserve"> PAGEREF _Toc216348758 \h </w:instrText>
        </w:r>
        <w:r w:rsidRPr="0069787A">
          <w:rPr>
            <w:noProof/>
            <w:webHidden/>
          </w:rPr>
        </w:r>
        <w:r w:rsidRPr="0069787A">
          <w:rPr>
            <w:noProof/>
            <w:webHidden/>
          </w:rPr>
          <w:fldChar w:fldCharType="separate"/>
        </w:r>
        <w:r w:rsidR="0069787A">
          <w:rPr>
            <w:noProof/>
            <w:webHidden/>
          </w:rPr>
          <w:t>34</w:t>
        </w:r>
        <w:r w:rsidRPr="0069787A">
          <w:rPr>
            <w:noProof/>
            <w:webHidden/>
          </w:rPr>
          <w:fldChar w:fldCharType="end"/>
        </w:r>
      </w:hyperlink>
    </w:p>
    <w:p w14:paraId="5A7418B8" w14:textId="42BA0FE3" w:rsidR="00215170" w:rsidRPr="0069787A" w:rsidRDefault="00271077" w:rsidP="007C2CF8">
      <w:pPr>
        <w:rPr>
          <w:rFonts w:eastAsia="Times New Roman"/>
          <w:b/>
          <w:bCs/>
          <w:sz w:val="24"/>
          <w:szCs w:val="24"/>
        </w:rPr>
      </w:pPr>
      <w:r w:rsidRPr="0069787A">
        <w:rPr>
          <w:rFonts w:eastAsia="Times New Roman"/>
          <w:b/>
          <w:bCs/>
          <w:sz w:val="24"/>
          <w:szCs w:val="24"/>
        </w:rPr>
        <w:fldChar w:fldCharType="end"/>
      </w:r>
      <w:r w:rsidR="007C2CF8" w:rsidRPr="0069787A">
        <w:rPr>
          <w:rFonts w:eastAsia="Times New Roman"/>
          <w:b/>
          <w:bCs/>
          <w:sz w:val="24"/>
          <w:szCs w:val="24"/>
        </w:rPr>
        <w:br w:type="page"/>
      </w:r>
    </w:p>
    <w:p w14:paraId="00000003" w14:textId="2836DC1E" w:rsidR="00A1077E" w:rsidRPr="0069787A" w:rsidRDefault="007B7702" w:rsidP="00E31EE7">
      <w:pPr>
        <w:pStyle w:val="Heading1"/>
      </w:pPr>
      <w:bookmarkStart w:id="1" w:name="_Toc216991641"/>
      <w:r w:rsidRPr="0069787A">
        <w:lastRenderedPageBreak/>
        <w:t>CHAPTER 1: INTRODUCTION</w:t>
      </w:r>
      <w:bookmarkEnd w:id="1"/>
    </w:p>
    <w:p w14:paraId="00000004" w14:textId="77777777" w:rsidR="00A1077E" w:rsidRPr="0069787A" w:rsidRDefault="00FC3DFA" w:rsidP="00E31EE7">
      <w:pPr>
        <w:pStyle w:val="Heading2"/>
      </w:pPr>
      <w:bookmarkStart w:id="2" w:name="_Toc216991642"/>
      <w:r w:rsidRPr="0069787A">
        <w:t>1.1 Introduction</w:t>
      </w:r>
      <w:bookmarkEnd w:id="2"/>
      <w:r w:rsidRPr="0069787A">
        <w:t xml:space="preserve"> </w:t>
      </w:r>
    </w:p>
    <w:p w14:paraId="00000005" w14:textId="769FEC9C" w:rsidR="00A1077E" w:rsidRPr="0069787A" w:rsidRDefault="00FC3DFA">
      <w:pPr>
        <w:spacing w:line="360" w:lineRule="auto"/>
        <w:jc w:val="both"/>
        <w:rPr>
          <w:rFonts w:eastAsia="Times New Roman"/>
          <w:sz w:val="24"/>
          <w:szCs w:val="24"/>
        </w:rPr>
      </w:pPr>
      <w:r w:rsidRPr="0069787A">
        <w:rPr>
          <w:rFonts w:eastAsia="Times New Roman"/>
          <w:sz w:val="24"/>
          <w:szCs w:val="24"/>
        </w:rPr>
        <w:t>Healthcare-associated infections and antimicrobial resistance (AMR) remains a major problem to the health of populations and especially in the NHS and social care setting where frail patients are more susceptible to chronic and recurrent infections</w:t>
      </w:r>
      <w:r w:rsidR="009213ED" w:rsidRPr="0069787A">
        <w:rPr>
          <w:rFonts w:eastAsia="Times New Roman"/>
          <w:sz w:val="24"/>
          <w:szCs w:val="24"/>
        </w:rPr>
        <w:t xml:space="preserve"> (Cristina et al. 2021)</w:t>
      </w:r>
      <w:r w:rsidRPr="0069787A">
        <w:rPr>
          <w:rFonts w:eastAsia="Times New Roman"/>
          <w:sz w:val="24"/>
          <w:szCs w:val="24"/>
        </w:rPr>
        <w:t>. An important biological process leading to the severity and resistance of such infections is the quorum sensing (QS</w:t>
      </w:r>
      <w:r w:rsidR="00D62C86" w:rsidRPr="0069787A">
        <w:rPr>
          <w:rFonts w:eastAsia="Times New Roman"/>
          <w:sz w:val="24"/>
          <w:szCs w:val="24"/>
        </w:rPr>
        <w:t>),</w:t>
      </w:r>
      <w:r w:rsidRPr="0069787A">
        <w:rPr>
          <w:rFonts w:eastAsia="Times New Roman"/>
          <w:sz w:val="24"/>
          <w:szCs w:val="24"/>
        </w:rPr>
        <w:t xml:space="preserve"> a </w:t>
      </w:r>
      <w:r w:rsidR="00C86C38" w:rsidRPr="0069787A">
        <w:rPr>
          <w:rFonts w:eastAsia="Times New Roman"/>
          <w:sz w:val="24"/>
          <w:szCs w:val="24"/>
        </w:rPr>
        <w:t>signalling</w:t>
      </w:r>
      <w:r w:rsidRPr="0069787A">
        <w:rPr>
          <w:rFonts w:eastAsia="Times New Roman"/>
          <w:sz w:val="24"/>
          <w:szCs w:val="24"/>
        </w:rPr>
        <w:t xml:space="preserve"> molecule that enables bacteria to organize collective behaviours like virulence and biofilm formation</w:t>
      </w:r>
      <w:r w:rsidR="008F5F3F" w:rsidRPr="0069787A">
        <w:rPr>
          <w:rFonts w:eastAsia="Times New Roman"/>
          <w:sz w:val="24"/>
          <w:szCs w:val="24"/>
        </w:rPr>
        <w:t xml:space="preserve"> (Qin et al. 2022)</w:t>
      </w:r>
      <w:r w:rsidRPr="0069787A">
        <w:rPr>
          <w:rFonts w:eastAsia="Times New Roman"/>
          <w:sz w:val="24"/>
          <w:szCs w:val="24"/>
        </w:rPr>
        <w:t>. Quorum sensing-based biofilms have been found to be very stubborn to traditional antibiotics and infection control methods, complicating and increasing the cost of treatment</w:t>
      </w:r>
      <w:r w:rsidR="007A26E3" w:rsidRPr="0069787A">
        <w:rPr>
          <w:rFonts w:eastAsia="Times New Roman"/>
          <w:sz w:val="24"/>
          <w:szCs w:val="24"/>
        </w:rPr>
        <w:t xml:space="preserve"> (Haque et al. 2021)</w:t>
      </w:r>
      <w:r w:rsidRPr="0069787A">
        <w:rPr>
          <w:rFonts w:eastAsia="Times New Roman"/>
          <w:sz w:val="24"/>
          <w:szCs w:val="24"/>
        </w:rPr>
        <w:t>. In reaction, there has been increased scientific attention to quorum quenching (QQ), where the goal is to disrupt bacterial communication signal transduction and mitigate pathogenicity without further inducing drug resistance</w:t>
      </w:r>
      <w:r w:rsidR="008F5F3F" w:rsidRPr="0069787A">
        <w:rPr>
          <w:rFonts w:eastAsia="Times New Roman"/>
          <w:sz w:val="24"/>
          <w:szCs w:val="24"/>
        </w:rPr>
        <w:t xml:space="preserve"> (Tu et al. 2025). T</w:t>
      </w:r>
      <w:r w:rsidRPr="0069787A">
        <w:rPr>
          <w:rFonts w:eastAsia="Times New Roman"/>
          <w:sz w:val="24"/>
          <w:szCs w:val="24"/>
        </w:rPr>
        <w:t>his study examines the health policy importance of quorum sensing and quorum quenching, their implications to infection control, AMR monitoring, and the incorporation of the emerging technologies in NHS and social care.</w:t>
      </w:r>
    </w:p>
    <w:p w14:paraId="00000006" w14:textId="77777777" w:rsidR="00A1077E" w:rsidRPr="0069787A" w:rsidRDefault="00FC3DFA" w:rsidP="00E31EE7">
      <w:pPr>
        <w:pStyle w:val="Heading2"/>
      </w:pPr>
      <w:bookmarkStart w:id="3" w:name="_Toc216991643"/>
      <w:r w:rsidRPr="0069787A">
        <w:t>1.2 Background</w:t>
      </w:r>
      <w:bookmarkEnd w:id="3"/>
    </w:p>
    <w:p w14:paraId="00000007"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t>In the context of NHS and social care, such infections are especially dangerous to patients with chronic conditions, suppressed immune systems, or an implanted medical device, and that is why effective measures of infection prevention and control should be implemented.</w:t>
      </w:r>
    </w:p>
    <w:p w14:paraId="00000008" w14:textId="04F12DBF" w:rsidR="00A1077E" w:rsidRPr="0069787A" w:rsidRDefault="00FC3DFA">
      <w:pPr>
        <w:spacing w:line="360" w:lineRule="auto"/>
        <w:jc w:val="both"/>
        <w:rPr>
          <w:rFonts w:eastAsia="Times New Roman"/>
          <w:sz w:val="24"/>
          <w:szCs w:val="24"/>
        </w:rPr>
      </w:pPr>
      <w:r w:rsidRPr="0069787A">
        <w:rPr>
          <w:rFonts w:eastAsia="Times New Roman"/>
          <w:sz w:val="24"/>
          <w:szCs w:val="24"/>
        </w:rPr>
        <w:t>Due to the prevalent AMR, it is important that alternative methods be used to enhance infection control</w:t>
      </w:r>
      <w:r w:rsidR="008F5F3F" w:rsidRPr="0069787A">
        <w:rPr>
          <w:rFonts w:eastAsia="Times New Roman"/>
          <w:sz w:val="24"/>
          <w:szCs w:val="24"/>
        </w:rPr>
        <w:t xml:space="preserve"> (Puri et al. 2025)</w:t>
      </w:r>
      <w:r w:rsidRPr="0069787A">
        <w:rPr>
          <w:rFonts w:eastAsia="Times New Roman"/>
          <w:sz w:val="24"/>
          <w:szCs w:val="24"/>
        </w:rPr>
        <w:t xml:space="preserve">. QQ has proven to be an attractive approach that seeks to interfere with quorum sensing routes in order to decrease bacterial virulence without necessarily causing the death of the organisms. This strategy can reduce selective pressure of resistance as well as improve the efficacy of existing antimicrobial treatments (Haque et al. 2021). The emerging technologies, such as biosensors, enzymatic signal degraders, and surface coatings preventing the formation of biofilms under the influence of QS, suggest potential opportunities of interventions in the clinical practices of infection control. Nonetheless, in spite of the scientific progress, not much is known about how these innovations can be applicable in the context of NHS infection prevention models </w:t>
      </w:r>
      <w:r w:rsidRPr="0069787A">
        <w:rPr>
          <w:rFonts w:eastAsia="Times New Roman"/>
          <w:sz w:val="24"/>
          <w:szCs w:val="24"/>
        </w:rPr>
        <w:lastRenderedPageBreak/>
        <w:t>and AMR surveillance systems</w:t>
      </w:r>
      <w:r w:rsidR="008B01C4" w:rsidRPr="0069787A">
        <w:rPr>
          <w:rFonts w:eastAsia="Times New Roman"/>
          <w:sz w:val="24"/>
          <w:szCs w:val="24"/>
        </w:rPr>
        <w:t xml:space="preserve"> (Sharma et al. 2022)</w:t>
      </w:r>
      <w:r w:rsidRPr="0069787A">
        <w:rPr>
          <w:rFonts w:eastAsia="Times New Roman"/>
          <w:sz w:val="24"/>
          <w:szCs w:val="24"/>
        </w:rPr>
        <w:t xml:space="preserve">. In addition, the wider consequences of quorum sensing-mediated infections on the delivery of public health, allocation of resources, and quality of care in the UK is in need of evaluation (Juszczuk-Kubiak, 2024). This study is thus aimed at filling these gaps by investigating the contribution of QS and QQ to the practice of infection control and public health. </w:t>
      </w:r>
    </w:p>
    <w:p w14:paraId="32815A0A" w14:textId="1FB7CD8C" w:rsidR="00A57938" w:rsidRPr="0069787A" w:rsidRDefault="00A57938" w:rsidP="00A57938">
      <w:pPr>
        <w:spacing w:line="360" w:lineRule="auto"/>
        <w:jc w:val="center"/>
        <w:rPr>
          <w:rFonts w:eastAsia="Times New Roman"/>
          <w:sz w:val="24"/>
          <w:szCs w:val="24"/>
        </w:rPr>
      </w:pPr>
      <w:r w:rsidRPr="0069787A">
        <w:rPr>
          <w:noProof/>
        </w:rPr>
        <w:drawing>
          <wp:inline distT="0" distB="0" distL="0" distR="0" wp14:anchorId="74A8A6EA" wp14:editId="026960EB">
            <wp:extent cx="2609850" cy="1502337"/>
            <wp:effectExtent l="0" t="0" r="0" b="3175"/>
            <wp:docPr id="2" name="Picture 2" descr="Frontiers | Strengthening the Surveillance of Antimicrobial Resistance in  India Using Integrative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ntiers | Strengthening the Surveillance of Antimicrobial Resistance in  India Using Integrative Technologi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888" cy="1506389"/>
                    </a:xfrm>
                    <a:prstGeom prst="rect">
                      <a:avLst/>
                    </a:prstGeom>
                    <a:noFill/>
                    <a:ln>
                      <a:noFill/>
                    </a:ln>
                  </pic:spPr>
                </pic:pic>
              </a:graphicData>
            </a:graphic>
          </wp:inline>
        </w:drawing>
      </w:r>
    </w:p>
    <w:p w14:paraId="695533D9" w14:textId="662E7217" w:rsidR="00A57938" w:rsidRPr="0069787A" w:rsidRDefault="00A57938" w:rsidP="00E31EE7">
      <w:pPr>
        <w:pStyle w:val="Heading4"/>
      </w:pPr>
      <w:bookmarkStart w:id="4" w:name="_Toc214400440"/>
      <w:bookmarkStart w:id="5" w:name="_Toc216348749"/>
      <w:r w:rsidRPr="0069787A">
        <w:t>Figure 1</w:t>
      </w:r>
      <w:r w:rsidR="001512B6" w:rsidRPr="0069787A">
        <w:t>.2</w:t>
      </w:r>
      <w:r w:rsidRPr="0069787A">
        <w:t>: Antimicrobial resistance</w:t>
      </w:r>
      <w:bookmarkEnd w:id="4"/>
      <w:bookmarkEnd w:id="5"/>
    </w:p>
    <w:p w14:paraId="4B3D4FD7" w14:textId="3ADFE6F3" w:rsidR="00A57938" w:rsidRPr="0069787A" w:rsidRDefault="00A57938" w:rsidP="00A57938">
      <w:pPr>
        <w:spacing w:line="360" w:lineRule="auto"/>
        <w:jc w:val="center"/>
        <w:rPr>
          <w:rFonts w:eastAsia="Times New Roman"/>
          <w:sz w:val="24"/>
          <w:szCs w:val="24"/>
        </w:rPr>
      </w:pPr>
      <w:r w:rsidRPr="0069787A">
        <w:rPr>
          <w:rFonts w:eastAsia="Times New Roman"/>
          <w:sz w:val="24"/>
          <w:szCs w:val="24"/>
        </w:rPr>
        <w:t>(Source: Haque et al. 2021)</w:t>
      </w:r>
    </w:p>
    <w:p w14:paraId="00000009" w14:textId="77777777" w:rsidR="00A1077E" w:rsidRPr="0069787A" w:rsidRDefault="00FC3DFA" w:rsidP="00E31EE7">
      <w:pPr>
        <w:pStyle w:val="Heading2"/>
      </w:pPr>
      <w:bookmarkStart w:id="6" w:name="_Toc216991644"/>
      <w:r w:rsidRPr="0069787A">
        <w:t>1.3 Rationale</w:t>
      </w:r>
      <w:bookmarkEnd w:id="6"/>
      <w:r w:rsidRPr="0069787A">
        <w:t xml:space="preserve"> </w:t>
      </w:r>
    </w:p>
    <w:p w14:paraId="0000000A" w14:textId="567FF254" w:rsidR="00A1077E" w:rsidRPr="0069787A" w:rsidRDefault="00FC3DFA">
      <w:pPr>
        <w:spacing w:line="360" w:lineRule="auto"/>
        <w:jc w:val="both"/>
        <w:rPr>
          <w:rFonts w:eastAsia="Times New Roman"/>
          <w:sz w:val="24"/>
          <w:szCs w:val="24"/>
        </w:rPr>
      </w:pPr>
      <w:r w:rsidRPr="0069787A">
        <w:rPr>
          <w:rFonts w:eastAsia="Times New Roman"/>
          <w:sz w:val="24"/>
          <w:szCs w:val="24"/>
        </w:rPr>
        <w:t>The conventional antimicrobial therapies do not tend to eliminate these infections completely resulting in increased illness period, increased treatment costs, and morbidity</w:t>
      </w:r>
      <w:r w:rsidR="003170CE" w:rsidRPr="0069787A">
        <w:rPr>
          <w:rFonts w:eastAsia="Times New Roman"/>
          <w:sz w:val="24"/>
          <w:szCs w:val="24"/>
        </w:rPr>
        <w:t xml:space="preserve"> (Tarin-Pello et al. 2022)</w:t>
      </w:r>
      <w:r w:rsidRPr="0069787A">
        <w:rPr>
          <w:rFonts w:eastAsia="Times New Roman"/>
          <w:sz w:val="24"/>
          <w:szCs w:val="24"/>
        </w:rPr>
        <w:t>. This creates a significant burden on already scarce resources in hospitals where the patients are elderly, immunocompromised, or dependent on long-term clinical equipment</w:t>
      </w:r>
      <w:r w:rsidR="007A26E3" w:rsidRPr="0069787A">
        <w:rPr>
          <w:rFonts w:eastAsia="Times New Roman"/>
          <w:sz w:val="24"/>
          <w:szCs w:val="24"/>
        </w:rPr>
        <w:t xml:space="preserve"> (Zhu et al. 2021)</w:t>
      </w:r>
      <w:r w:rsidRPr="0069787A">
        <w:rPr>
          <w:rFonts w:eastAsia="Times New Roman"/>
          <w:sz w:val="24"/>
          <w:szCs w:val="24"/>
        </w:rPr>
        <w:t>. As AMR keeps on rising, there is a significant urgency of knowing and assessing new strategies that are beyond the use of traditional antibiotics.</w:t>
      </w:r>
    </w:p>
    <w:p w14:paraId="0000000B" w14:textId="79ED8D9C" w:rsidR="00A1077E" w:rsidRPr="0069787A" w:rsidRDefault="00FC3DFA">
      <w:pPr>
        <w:spacing w:line="360" w:lineRule="auto"/>
        <w:jc w:val="both"/>
        <w:rPr>
          <w:rFonts w:eastAsia="Times New Roman"/>
          <w:sz w:val="24"/>
          <w:szCs w:val="24"/>
        </w:rPr>
      </w:pPr>
      <w:r w:rsidRPr="0069787A">
        <w:rPr>
          <w:rFonts w:eastAsia="Times New Roman"/>
          <w:sz w:val="24"/>
          <w:szCs w:val="24"/>
        </w:rPr>
        <w:t>QS has been at the centre stage of infection control intervention by regulating biofilm formation and bacterial virulence</w:t>
      </w:r>
      <w:r w:rsidR="00474D72" w:rsidRPr="0069787A">
        <w:rPr>
          <w:rFonts w:eastAsia="Times New Roman"/>
          <w:sz w:val="24"/>
          <w:szCs w:val="24"/>
        </w:rPr>
        <w:t xml:space="preserve"> (Li et al. 2023)</w:t>
      </w:r>
      <w:r w:rsidRPr="0069787A">
        <w:rPr>
          <w:rFonts w:eastAsia="Times New Roman"/>
          <w:sz w:val="24"/>
          <w:szCs w:val="24"/>
        </w:rPr>
        <w:t>. QQ as a way of disrupting these communication pathways provides a potential solution of reducing bacterial pathogenicity without causing the same selective pressure that antibiotics do</w:t>
      </w:r>
      <w:r w:rsidR="00001355" w:rsidRPr="0069787A">
        <w:rPr>
          <w:rFonts w:eastAsia="Times New Roman"/>
          <w:sz w:val="24"/>
          <w:szCs w:val="24"/>
        </w:rPr>
        <w:t xml:space="preserve"> (Cocker et al. 2024)</w:t>
      </w:r>
      <w:r w:rsidRPr="0069787A">
        <w:rPr>
          <w:rFonts w:eastAsia="Times New Roman"/>
          <w:sz w:val="24"/>
          <w:szCs w:val="24"/>
        </w:rPr>
        <w:t>. New opportunities supporting infection prevention and augmenting surveillance systems, such as biosensors detecting the development of biofilm early, signal-inactivating enzymes, and anti-QS surface covering, emerge due to new technologies (Cocker et al. 2024). Nevertheless, as the scientific concept of QS and QQ progresses, there are minimal studies that correlate the changes with actual conditions in NHS policies on infection control, AMR surveillance schemes, and social care practice</w:t>
      </w:r>
      <w:r w:rsidR="005F7ED2" w:rsidRPr="0069787A">
        <w:rPr>
          <w:rFonts w:eastAsia="Times New Roman"/>
          <w:sz w:val="24"/>
          <w:szCs w:val="24"/>
        </w:rPr>
        <w:t xml:space="preserve"> (Spaltro et al. 2025)</w:t>
      </w:r>
      <w:r w:rsidRPr="0069787A">
        <w:rPr>
          <w:rFonts w:eastAsia="Times New Roman"/>
          <w:sz w:val="24"/>
          <w:szCs w:val="24"/>
        </w:rPr>
        <w:t>.</w:t>
      </w:r>
    </w:p>
    <w:p w14:paraId="6A66CC90" w14:textId="75F9BC4A" w:rsidR="00F06A6D" w:rsidRPr="0069787A" w:rsidRDefault="00F06A6D" w:rsidP="00F06A6D">
      <w:pPr>
        <w:spacing w:line="360" w:lineRule="auto"/>
        <w:jc w:val="center"/>
        <w:rPr>
          <w:rFonts w:eastAsia="Times New Roman"/>
          <w:sz w:val="24"/>
          <w:szCs w:val="24"/>
        </w:rPr>
      </w:pPr>
      <w:r w:rsidRPr="0069787A">
        <w:rPr>
          <w:rFonts w:eastAsia="Times New Roman"/>
          <w:noProof/>
          <w:sz w:val="24"/>
          <w:szCs w:val="24"/>
        </w:rPr>
        <w:lastRenderedPageBreak/>
        <w:drawing>
          <wp:inline distT="0" distB="0" distL="0" distR="0" wp14:anchorId="2D4EE520" wp14:editId="5F3456FB">
            <wp:extent cx="2148840" cy="2200275"/>
            <wp:effectExtent l="0" t="0" r="381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0104"/>
                    <a:stretch/>
                  </pic:blipFill>
                  <pic:spPr bwMode="auto">
                    <a:xfrm>
                      <a:off x="0" y="0"/>
                      <a:ext cx="2151518" cy="2203017"/>
                    </a:xfrm>
                    <a:prstGeom prst="rect">
                      <a:avLst/>
                    </a:prstGeom>
                    <a:noFill/>
                    <a:ln>
                      <a:noFill/>
                    </a:ln>
                    <a:extLst>
                      <a:ext uri="{53640926-AAD7-44D8-BBD7-CCE9431645EC}">
                        <a14:shadowObscured xmlns:a14="http://schemas.microsoft.com/office/drawing/2010/main"/>
                      </a:ext>
                    </a:extLst>
                  </pic:spPr>
                </pic:pic>
              </a:graphicData>
            </a:graphic>
          </wp:inline>
        </w:drawing>
      </w:r>
    </w:p>
    <w:p w14:paraId="08B94C50" w14:textId="5E7BFE56" w:rsidR="00F06A6D" w:rsidRPr="0069787A" w:rsidRDefault="00F06A6D" w:rsidP="00E31EE7">
      <w:pPr>
        <w:pStyle w:val="Heading4"/>
      </w:pPr>
      <w:bookmarkStart w:id="7" w:name="_Toc214400441"/>
      <w:bookmarkStart w:id="8" w:name="_Toc216348750"/>
      <w:r w:rsidRPr="0069787A">
        <w:t xml:space="preserve">Figure </w:t>
      </w:r>
      <w:r w:rsidR="001512B6" w:rsidRPr="0069787A">
        <w:t>1.3</w:t>
      </w:r>
      <w:r w:rsidRPr="0069787A">
        <w:t>: Genomic surveillance</w:t>
      </w:r>
      <w:bookmarkEnd w:id="7"/>
      <w:bookmarkEnd w:id="8"/>
    </w:p>
    <w:p w14:paraId="249875D7" w14:textId="6D7AFEAF" w:rsidR="00F06A6D" w:rsidRPr="0069787A" w:rsidRDefault="00F06A6D" w:rsidP="00F06A6D">
      <w:pPr>
        <w:spacing w:line="360" w:lineRule="auto"/>
        <w:jc w:val="center"/>
        <w:rPr>
          <w:rFonts w:eastAsia="Times New Roman"/>
          <w:sz w:val="24"/>
          <w:szCs w:val="24"/>
        </w:rPr>
      </w:pPr>
      <w:r w:rsidRPr="0069787A">
        <w:rPr>
          <w:rFonts w:eastAsia="Times New Roman"/>
          <w:sz w:val="24"/>
          <w:szCs w:val="24"/>
        </w:rPr>
        <w:t>(Source: Cocker et al. 2024)</w:t>
      </w:r>
    </w:p>
    <w:p w14:paraId="0000000C"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t>This research is thus required to fill the gap between the laboratory research and implementation of public health practices. Assessing the relevance, feasibility, and possible effect of QS- and QQ-based interventions in the context of NHS and social care, the present study will help to approach the issue of infection control in a more informed and prospective way (Omwenga and Awuor, 2024). Finally, the research will aid in informing the planning of public health by identifying the strategies that may enhance patient safety, decrease the treatment burden, and diminish the increasing risk of AMR.</w:t>
      </w:r>
    </w:p>
    <w:p w14:paraId="0000000D" w14:textId="77777777" w:rsidR="00A1077E" w:rsidRPr="0069787A" w:rsidRDefault="00FC3DFA" w:rsidP="00E31EE7">
      <w:pPr>
        <w:pStyle w:val="Heading2"/>
      </w:pPr>
      <w:bookmarkStart w:id="9" w:name="_Toc216991645"/>
      <w:r w:rsidRPr="0069787A">
        <w:t>1.4 Problem statement</w:t>
      </w:r>
      <w:bookmarkEnd w:id="9"/>
      <w:r w:rsidRPr="0069787A">
        <w:t xml:space="preserve"> </w:t>
      </w:r>
    </w:p>
    <w:p w14:paraId="0000000E" w14:textId="42412223" w:rsidR="00A1077E" w:rsidRPr="0069787A" w:rsidRDefault="00FC3DFA">
      <w:pPr>
        <w:spacing w:line="360" w:lineRule="auto"/>
        <w:jc w:val="both"/>
        <w:rPr>
          <w:rFonts w:eastAsia="Times New Roman"/>
          <w:sz w:val="24"/>
          <w:szCs w:val="24"/>
        </w:rPr>
      </w:pPr>
      <w:r w:rsidRPr="0069787A">
        <w:rPr>
          <w:rFonts w:eastAsia="Times New Roman"/>
          <w:sz w:val="24"/>
          <w:szCs w:val="24"/>
        </w:rPr>
        <w:t>Healthcare-associated infections and antimicrobial resistance (AMR) are issues of major concern and rising concern to the NHS and the social care sectors</w:t>
      </w:r>
      <w:r w:rsidR="0034085E" w:rsidRPr="0069787A">
        <w:rPr>
          <w:rFonts w:eastAsia="Times New Roman"/>
          <w:sz w:val="24"/>
          <w:szCs w:val="24"/>
        </w:rPr>
        <w:t xml:space="preserve"> (Alhassan et al. 2025)</w:t>
      </w:r>
      <w:r w:rsidRPr="0069787A">
        <w:rPr>
          <w:rFonts w:eastAsia="Times New Roman"/>
          <w:sz w:val="24"/>
          <w:szCs w:val="24"/>
        </w:rPr>
        <w:t xml:space="preserve">. In spite of the measures used to prevent infections, the better ways to diagnose them, and the antimicrobial stewardship programmes, a significant number of infections have become hard to cure because bacteria have acquired the ability to form biofilms and organize virulence via quorum sensing </w:t>
      </w:r>
      <w:r w:rsidR="00001355" w:rsidRPr="0069787A">
        <w:rPr>
          <w:rFonts w:eastAsia="Times New Roman"/>
          <w:sz w:val="24"/>
          <w:szCs w:val="24"/>
        </w:rPr>
        <w:t>(Elbehiry et al. 2022)</w:t>
      </w:r>
      <w:r w:rsidRPr="0069787A">
        <w:rPr>
          <w:rFonts w:eastAsia="Times New Roman"/>
          <w:sz w:val="24"/>
          <w:szCs w:val="24"/>
        </w:rPr>
        <w:t>. Biofilms also give bacteria greater resistance to antibiotics and disinfectants so that they can continue to survive on medical equipment, on wounds and on health care surfaces</w:t>
      </w:r>
      <w:r w:rsidR="0034085E" w:rsidRPr="0069787A">
        <w:rPr>
          <w:rFonts w:eastAsia="Times New Roman"/>
          <w:sz w:val="24"/>
          <w:szCs w:val="24"/>
        </w:rPr>
        <w:t xml:space="preserve"> (Thomas, and Thomas, 2021)</w:t>
      </w:r>
      <w:r w:rsidRPr="0069787A">
        <w:rPr>
          <w:rFonts w:eastAsia="Times New Roman"/>
          <w:sz w:val="24"/>
          <w:szCs w:val="24"/>
        </w:rPr>
        <w:t>. Consequently, biofilm-forming pathogen-associated infections tend to be chronic, resistant to the usual medications, and are linked with prolonged hospitalization, high morbidity, and high expenditures on the health care</w:t>
      </w:r>
      <w:r w:rsidR="00137215" w:rsidRPr="0069787A">
        <w:rPr>
          <w:rFonts w:eastAsia="Times New Roman"/>
          <w:sz w:val="24"/>
          <w:szCs w:val="24"/>
        </w:rPr>
        <w:t xml:space="preserve"> (Murugaiyan et al. 2022)</w:t>
      </w:r>
      <w:r w:rsidRPr="0069787A">
        <w:rPr>
          <w:rFonts w:eastAsia="Times New Roman"/>
          <w:sz w:val="24"/>
          <w:szCs w:val="24"/>
        </w:rPr>
        <w:t xml:space="preserve">. The existing clinical guidelines and surveillance measures are largely concerned with identifying the </w:t>
      </w:r>
      <w:r w:rsidRPr="0069787A">
        <w:rPr>
          <w:rFonts w:eastAsia="Times New Roman"/>
          <w:sz w:val="24"/>
          <w:szCs w:val="24"/>
        </w:rPr>
        <w:lastRenderedPageBreak/>
        <w:t>pathogens and tracking the trends in antibiotic resistance but lack the proper explanation of the underlying microbial systems of communication that spur the development and persistence of such infections.</w:t>
      </w:r>
    </w:p>
    <w:p w14:paraId="0000000F" w14:textId="545A9521" w:rsidR="00A1077E" w:rsidRPr="0069787A" w:rsidRDefault="00FC3DFA">
      <w:pPr>
        <w:spacing w:line="360" w:lineRule="auto"/>
        <w:jc w:val="both"/>
        <w:rPr>
          <w:rFonts w:eastAsia="Times New Roman"/>
          <w:sz w:val="24"/>
          <w:szCs w:val="24"/>
        </w:rPr>
      </w:pPr>
      <w:r w:rsidRPr="0069787A">
        <w:rPr>
          <w:rFonts w:eastAsia="Times New Roman"/>
          <w:sz w:val="24"/>
          <w:szCs w:val="24"/>
        </w:rPr>
        <w:t>Despite QQ being named as a promising method to prevent QS in the bacteria and decrease its virulence without adding to the selection pressure in the conditions of selective pressure, its practical implementation in real clinical and care setting has not been addressed extensively yet (Ho et al. 2025). Limited evidence is available on the way QS-targeting interventions and new technologies, including biosensors or anti- biofilm materials, might be incorporated into the routine processes of infection control and AMR monitoring in the NHS hospitals and social care environments</w:t>
      </w:r>
      <w:r w:rsidR="00F32D99" w:rsidRPr="0069787A">
        <w:rPr>
          <w:rFonts w:eastAsia="Times New Roman"/>
          <w:sz w:val="24"/>
          <w:szCs w:val="24"/>
        </w:rPr>
        <w:t xml:space="preserve"> (Hibbert et al. 2024)</w:t>
      </w:r>
      <w:r w:rsidRPr="0069787A">
        <w:rPr>
          <w:rFonts w:eastAsia="Times New Roman"/>
          <w:sz w:val="24"/>
          <w:szCs w:val="24"/>
        </w:rPr>
        <w:t>. Further, limited discussion on social, operational and economic implications that implementing such approaches would be associated with is also lacking.</w:t>
      </w:r>
    </w:p>
    <w:p w14:paraId="00000010" w14:textId="77777777" w:rsidR="00A1077E" w:rsidRPr="0069787A" w:rsidRDefault="00FC3DFA" w:rsidP="00E31EE7">
      <w:pPr>
        <w:pStyle w:val="Heading2"/>
      </w:pPr>
      <w:bookmarkStart w:id="10" w:name="_Toc216991646"/>
      <w:r w:rsidRPr="0069787A">
        <w:t>1.5 Aim and objectives</w:t>
      </w:r>
      <w:bookmarkEnd w:id="10"/>
      <w:r w:rsidRPr="0069787A">
        <w:t xml:space="preserve"> </w:t>
      </w:r>
    </w:p>
    <w:p w14:paraId="00000011" w14:textId="77777777" w:rsidR="00A1077E" w:rsidRPr="0069787A" w:rsidRDefault="00FC3DFA">
      <w:pPr>
        <w:spacing w:line="360" w:lineRule="auto"/>
        <w:jc w:val="both"/>
        <w:rPr>
          <w:rFonts w:eastAsia="Times New Roman"/>
          <w:b/>
          <w:bCs/>
          <w:i/>
          <w:iCs/>
          <w:sz w:val="24"/>
          <w:szCs w:val="24"/>
        </w:rPr>
      </w:pPr>
      <w:r w:rsidRPr="0069787A">
        <w:rPr>
          <w:rFonts w:eastAsia="Times New Roman"/>
          <w:b/>
          <w:bCs/>
          <w:i/>
          <w:iCs/>
          <w:sz w:val="24"/>
          <w:szCs w:val="24"/>
        </w:rPr>
        <w:t>Aim</w:t>
      </w:r>
    </w:p>
    <w:p w14:paraId="00000012"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t>To investigate the public health importance of quorum sensing and quorum quenching in relation to infection control, antimicrobial resistance surveillance, and to examine how recent technological advancements contribute to improving infection management and public health outcomes.</w:t>
      </w:r>
    </w:p>
    <w:p w14:paraId="00000013" w14:textId="77777777" w:rsidR="00A1077E" w:rsidRPr="0069787A" w:rsidRDefault="00FC3DFA">
      <w:pPr>
        <w:spacing w:line="360" w:lineRule="auto"/>
        <w:jc w:val="both"/>
        <w:rPr>
          <w:rFonts w:eastAsia="Times New Roman"/>
          <w:b/>
          <w:bCs/>
          <w:i/>
          <w:iCs/>
          <w:sz w:val="24"/>
          <w:szCs w:val="24"/>
        </w:rPr>
      </w:pPr>
      <w:r w:rsidRPr="0069787A">
        <w:rPr>
          <w:rFonts w:eastAsia="Times New Roman"/>
          <w:b/>
          <w:bCs/>
          <w:i/>
          <w:iCs/>
          <w:sz w:val="24"/>
          <w:szCs w:val="24"/>
        </w:rPr>
        <w:t xml:space="preserve">Objective </w:t>
      </w:r>
    </w:p>
    <w:p w14:paraId="00000014" w14:textId="77777777" w:rsidR="00A1077E" w:rsidRPr="0069787A" w:rsidRDefault="00FC3DFA">
      <w:pPr>
        <w:numPr>
          <w:ilvl w:val="0"/>
          <w:numId w:val="1"/>
        </w:numPr>
        <w:spacing w:line="360" w:lineRule="auto"/>
        <w:jc w:val="both"/>
        <w:rPr>
          <w:rFonts w:eastAsia="Times New Roman"/>
          <w:sz w:val="24"/>
          <w:szCs w:val="24"/>
        </w:rPr>
      </w:pPr>
      <w:r w:rsidRPr="0069787A">
        <w:rPr>
          <w:rFonts w:eastAsia="Times New Roman"/>
          <w:sz w:val="24"/>
          <w:szCs w:val="24"/>
        </w:rPr>
        <w:t>To explore how quorum quenching strategies help reduce biofilm formation and persistent infections caused by quorum sensing in healthcare and social care environments.</w:t>
      </w:r>
    </w:p>
    <w:p w14:paraId="00000015" w14:textId="77777777" w:rsidR="00A1077E" w:rsidRPr="0069787A" w:rsidRDefault="00FC3DFA">
      <w:pPr>
        <w:numPr>
          <w:ilvl w:val="0"/>
          <w:numId w:val="1"/>
        </w:numPr>
        <w:spacing w:line="360" w:lineRule="auto"/>
        <w:jc w:val="both"/>
        <w:rPr>
          <w:rFonts w:eastAsia="Times New Roman"/>
          <w:sz w:val="24"/>
          <w:szCs w:val="24"/>
        </w:rPr>
      </w:pPr>
      <w:r w:rsidRPr="0069787A">
        <w:rPr>
          <w:rFonts w:eastAsia="Times New Roman"/>
          <w:sz w:val="24"/>
          <w:szCs w:val="24"/>
        </w:rPr>
        <w:t>To assess the role of technological innovations in detecting, monitoring, and inhibiting quorum sensing pathways in the context of antimicrobial resistance.</w:t>
      </w:r>
    </w:p>
    <w:p w14:paraId="00000016" w14:textId="77777777" w:rsidR="00A1077E" w:rsidRPr="0069787A" w:rsidRDefault="00FC3DFA">
      <w:pPr>
        <w:numPr>
          <w:ilvl w:val="0"/>
          <w:numId w:val="1"/>
        </w:numPr>
        <w:spacing w:line="360" w:lineRule="auto"/>
        <w:jc w:val="both"/>
        <w:rPr>
          <w:rFonts w:eastAsia="Times New Roman"/>
          <w:sz w:val="24"/>
          <w:szCs w:val="24"/>
        </w:rPr>
      </w:pPr>
      <w:r w:rsidRPr="0069787A">
        <w:rPr>
          <w:rFonts w:eastAsia="Times New Roman"/>
          <w:sz w:val="24"/>
          <w:szCs w:val="24"/>
        </w:rPr>
        <w:t>To evaluate the broader social, economic, and healthcare implications of quorum sensing-mediated infections on public health delivery in the UK.</w:t>
      </w:r>
    </w:p>
    <w:p w14:paraId="00000017" w14:textId="77777777" w:rsidR="00A1077E" w:rsidRPr="0069787A" w:rsidRDefault="00FC3DFA" w:rsidP="00E31EE7">
      <w:pPr>
        <w:pStyle w:val="Heading2"/>
      </w:pPr>
      <w:bookmarkStart w:id="11" w:name="_Toc216991647"/>
      <w:r w:rsidRPr="0069787A">
        <w:t>1.6 Research questions</w:t>
      </w:r>
      <w:bookmarkEnd w:id="11"/>
      <w:r w:rsidRPr="0069787A">
        <w:t xml:space="preserve"> </w:t>
      </w:r>
    </w:p>
    <w:p w14:paraId="00000018" w14:textId="33975CA0" w:rsidR="00A1077E" w:rsidRPr="0069787A" w:rsidRDefault="00FC3DFA" w:rsidP="00D62C86">
      <w:pPr>
        <w:pStyle w:val="ListParagraph"/>
        <w:numPr>
          <w:ilvl w:val="0"/>
          <w:numId w:val="2"/>
        </w:numPr>
        <w:spacing w:line="360" w:lineRule="auto"/>
        <w:jc w:val="both"/>
        <w:rPr>
          <w:rFonts w:eastAsia="Times New Roman"/>
          <w:sz w:val="24"/>
          <w:szCs w:val="24"/>
        </w:rPr>
      </w:pPr>
      <w:r w:rsidRPr="0069787A">
        <w:rPr>
          <w:rFonts w:eastAsia="Times New Roman"/>
          <w:sz w:val="24"/>
          <w:szCs w:val="24"/>
        </w:rPr>
        <w:t xml:space="preserve">How does quorum </w:t>
      </w:r>
      <w:r w:rsidR="00D62C86" w:rsidRPr="0069787A">
        <w:rPr>
          <w:rFonts w:eastAsia="Times New Roman"/>
          <w:sz w:val="24"/>
          <w:szCs w:val="24"/>
        </w:rPr>
        <w:t>sense</w:t>
      </w:r>
      <w:r w:rsidRPr="0069787A">
        <w:rPr>
          <w:rFonts w:eastAsia="Times New Roman"/>
          <w:sz w:val="24"/>
          <w:szCs w:val="24"/>
        </w:rPr>
        <w:t xml:space="preserve"> and its disruption influence infection prevention, antimicrobial resistance, and public health interventions within NHS and social care systems?</w:t>
      </w:r>
    </w:p>
    <w:p w14:paraId="00000019" w14:textId="77777777" w:rsidR="00A1077E" w:rsidRPr="0069787A" w:rsidRDefault="00FC3DFA" w:rsidP="00E31EE7">
      <w:pPr>
        <w:pStyle w:val="Heading2"/>
      </w:pPr>
      <w:bookmarkStart w:id="12" w:name="_Toc216991648"/>
      <w:r w:rsidRPr="0069787A">
        <w:t>1.7 Significance of the research</w:t>
      </w:r>
      <w:bookmarkEnd w:id="12"/>
      <w:r w:rsidRPr="0069787A">
        <w:t xml:space="preserve"> </w:t>
      </w:r>
    </w:p>
    <w:p w14:paraId="0000001A"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lastRenderedPageBreak/>
        <w:t>The study has a considerable research gap because it tries to answer a critical neglect on the role of quorum sensing in the development of persistent infections and antimicrobial resistance in the NHS and social care environments. Investigating quorum quenching as a new strategy of reducing bacterial virulence and biofilm formation, the study can shed light on the other alternative strategies, which are not limited to conventional antibiotic treatment (Szabó et al. 2022). The results can improve infection prevention strategies, improve the AMR surveillance systems and facilitate the creation or integration of new diagnostic and therapeutic technologies. In the end, this study would help bring about better patient outcomes, decreased health expenditures, and better healthcare strategies within the UK.</w:t>
      </w:r>
    </w:p>
    <w:p w14:paraId="0000001B" w14:textId="77777777" w:rsidR="00A1077E" w:rsidRPr="0069787A" w:rsidRDefault="00FC3DFA" w:rsidP="00E31EE7">
      <w:pPr>
        <w:pStyle w:val="Heading2"/>
      </w:pPr>
      <w:bookmarkStart w:id="13" w:name="_Toc216991649"/>
      <w:r w:rsidRPr="0069787A">
        <w:t>1.8 Organisation of the dissertation.</w:t>
      </w:r>
      <w:bookmarkEnd w:id="13"/>
    </w:p>
    <w:p w14:paraId="0000001C"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t>This dissertation is divided into five chapters. The first chapter familiarizes the research topic, aims, research question, objectives, background, rationale and significance. In Chapter Two, the review of literature covers in detail the quorum sensing, quorum quenching, biofilm-related infections, and the current practices in the control and surveillance of AMR. Chapter Three describes the methodology used in the research, which involves design, data sources, data analysis steps, and ethical issues. The fourth chapter gives the research results and discusses them against the study objectives. Chapter Five gives the discussion, conclusions, limitations and recommendations concerning the healthcare practice, policy development, and future research.</w:t>
      </w:r>
    </w:p>
    <w:p w14:paraId="0000001D" w14:textId="77777777" w:rsidR="00A1077E" w:rsidRPr="0069787A" w:rsidRDefault="00A1077E">
      <w:pPr>
        <w:spacing w:line="360" w:lineRule="auto"/>
        <w:jc w:val="both"/>
        <w:rPr>
          <w:rFonts w:eastAsia="Times New Roman"/>
          <w:sz w:val="24"/>
          <w:szCs w:val="24"/>
        </w:rPr>
      </w:pPr>
    </w:p>
    <w:p w14:paraId="0000001E" w14:textId="77777777" w:rsidR="00A1077E" w:rsidRPr="0069787A" w:rsidRDefault="00FC3DFA">
      <w:pPr>
        <w:spacing w:line="360" w:lineRule="auto"/>
        <w:jc w:val="both"/>
        <w:rPr>
          <w:rFonts w:eastAsia="Times New Roman"/>
          <w:b/>
          <w:bCs/>
          <w:sz w:val="24"/>
          <w:szCs w:val="24"/>
        </w:rPr>
      </w:pPr>
      <w:r w:rsidRPr="0069787A">
        <w:br w:type="page"/>
      </w:r>
    </w:p>
    <w:p w14:paraId="0000001F" w14:textId="1AEA61CF" w:rsidR="00A1077E" w:rsidRPr="0069787A" w:rsidRDefault="007B7702" w:rsidP="00E31EE7">
      <w:pPr>
        <w:pStyle w:val="Heading1"/>
      </w:pPr>
      <w:bookmarkStart w:id="14" w:name="_Toc216991650"/>
      <w:r w:rsidRPr="0069787A">
        <w:lastRenderedPageBreak/>
        <w:t>CHAPTER 2: LITERATURE REVIEW</w:t>
      </w:r>
      <w:bookmarkEnd w:id="14"/>
      <w:r w:rsidRPr="0069787A">
        <w:t xml:space="preserve"> </w:t>
      </w:r>
    </w:p>
    <w:p w14:paraId="00000020" w14:textId="77777777" w:rsidR="00A1077E" w:rsidRPr="0069787A" w:rsidRDefault="00FC3DFA" w:rsidP="00E31EE7">
      <w:pPr>
        <w:pStyle w:val="Heading2"/>
      </w:pPr>
      <w:bookmarkStart w:id="15" w:name="_Toc216991651"/>
      <w:r w:rsidRPr="0069787A">
        <w:t>2.1 Introduction</w:t>
      </w:r>
      <w:bookmarkEnd w:id="15"/>
      <w:r w:rsidRPr="0069787A">
        <w:t xml:space="preserve"> </w:t>
      </w:r>
    </w:p>
    <w:p w14:paraId="00000021" w14:textId="033B7CC5" w:rsidR="00A1077E" w:rsidRPr="0069787A" w:rsidRDefault="00FC3DFA">
      <w:pPr>
        <w:spacing w:line="360" w:lineRule="auto"/>
        <w:jc w:val="both"/>
        <w:rPr>
          <w:rFonts w:eastAsia="Times New Roman"/>
          <w:sz w:val="24"/>
          <w:szCs w:val="24"/>
        </w:rPr>
      </w:pPr>
      <w:r w:rsidRPr="0069787A">
        <w:rPr>
          <w:rFonts w:eastAsia="Times New Roman"/>
          <w:sz w:val="24"/>
          <w:szCs w:val="24"/>
        </w:rPr>
        <w:t>The chapter is a literature review of various literature pertaining to quorum sensing, quorum quenching, infection control, and antimicrobial resistance in healthcare settings. It gives a preview on the biological basis of bacterial communication and biofilm formation and its importance in the treatment-resistant and persistent infection. The chapter also finds out the new strategies and technological advancements that are designed to disrupt quorum sensing pathways and to decrease bacterial virulence</w:t>
      </w:r>
      <w:r w:rsidR="00DE3F1C" w:rsidRPr="0069787A">
        <w:rPr>
          <w:rFonts w:eastAsia="Times New Roman"/>
          <w:sz w:val="24"/>
          <w:szCs w:val="24"/>
        </w:rPr>
        <w:t xml:space="preserve"> (Chahardehi, 2023)</w:t>
      </w:r>
      <w:r w:rsidRPr="0069787A">
        <w:rPr>
          <w:rFonts w:eastAsia="Times New Roman"/>
          <w:sz w:val="24"/>
          <w:szCs w:val="24"/>
        </w:rPr>
        <w:t>. Through the analysis of the evidence of research conducted in the field of microbiology, clinical practice, and the health of the population, this review will determine what is known, what gaps there are in the current system of infection control, and how to establish the basis of studying the significance of quorum sensing and quorum quenching in the environment of the NHS and social care.</w:t>
      </w:r>
    </w:p>
    <w:p w14:paraId="00000022" w14:textId="77777777" w:rsidR="00A1077E" w:rsidRPr="0069787A" w:rsidRDefault="00FC3DFA" w:rsidP="00E31EE7">
      <w:pPr>
        <w:pStyle w:val="Heading2"/>
      </w:pPr>
      <w:bookmarkStart w:id="16" w:name="_Toc216991652"/>
      <w:r w:rsidRPr="0069787A">
        <w:t>2.2 Overview of the healthcare-associated infections</w:t>
      </w:r>
      <w:bookmarkEnd w:id="16"/>
      <w:r w:rsidRPr="0069787A">
        <w:t xml:space="preserve"> </w:t>
      </w:r>
    </w:p>
    <w:p w14:paraId="00000023" w14:textId="78A252D0" w:rsidR="00A1077E" w:rsidRPr="0069787A" w:rsidRDefault="00FC3DFA">
      <w:pPr>
        <w:spacing w:line="360" w:lineRule="auto"/>
        <w:jc w:val="both"/>
        <w:rPr>
          <w:rFonts w:eastAsia="Times New Roman"/>
          <w:sz w:val="24"/>
          <w:szCs w:val="24"/>
        </w:rPr>
      </w:pPr>
      <w:r w:rsidRPr="0069787A">
        <w:rPr>
          <w:rFonts w:eastAsia="Times New Roman"/>
          <w:sz w:val="24"/>
          <w:szCs w:val="24"/>
        </w:rPr>
        <w:t>Healthcare-associated infections (HCAIs) are an important area of public health issue in the United Kingdom that is associated with patient outcomes, safety, and efficiency of healthcare systems. HCAIs are diseases obtained in the course of healthcare service provision especially in hospitals, extended care communities, and community care</w:t>
      </w:r>
      <w:r w:rsidR="002E4F8A" w:rsidRPr="0069787A">
        <w:rPr>
          <w:rFonts w:eastAsia="Times New Roman"/>
          <w:sz w:val="24"/>
          <w:szCs w:val="24"/>
        </w:rPr>
        <w:t xml:space="preserve"> (Contaldo et al. 2023)</w:t>
      </w:r>
      <w:r w:rsidRPr="0069787A">
        <w:rPr>
          <w:rFonts w:eastAsia="Times New Roman"/>
          <w:sz w:val="24"/>
          <w:szCs w:val="24"/>
        </w:rPr>
        <w:t>. Some of the common HCAI are bloodstream, catheter-associated urinary tract infections, ventilator-associated pneumonia, and surgical site infections</w:t>
      </w:r>
      <w:r w:rsidR="00917110" w:rsidRPr="0069787A">
        <w:rPr>
          <w:rFonts w:eastAsia="Times New Roman"/>
          <w:sz w:val="24"/>
          <w:szCs w:val="24"/>
        </w:rPr>
        <w:t xml:space="preserve"> (Mwanja et al. 2024)</w:t>
      </w:r>
      <w:r w:rsidRPr="0069787A">
        <w:rPr>
          <w:rFonts w:eastAsia="Times New Roman"/>
          <w:sz w:val="24"/>
          <w:szCs w:val="24"/>
        </w:rPr>
        <w:t>. These infections tend to extend hospital stay, raise the costs of healthcare, and severe complications or fatality may occur especially in immunocompromised individuals, older adults and those with chronic illnesses (Dadi et al. 2021). The HCAIs in the NHS are high and it has been estimated that thousands of preventable infections are occurring each year and that this causes serious strain on the health care resources and staff capacity. Additionally, the increasing cases of antimicrobial resistance (AMR) have complicated most HCAIs, diminishing the efficacy of conventional antibiotic treatment and limited the system of treatment</w:t>
      </w:r>
      <w:r w:rsidR="00C915BE" w:rsidRPr="0069787A">
        <w:rPr>
          <w:rFonts w:eastAsia="Times New Roman"/>
          <w:sz w:val="24"/>
          <w:szCs w:val="24"/>
        </w:rPr>
        <w:t xml:space="preserve"> (Oliveira et al. 2024)</w:t>
      </w:r>
      <w:r w:rsidRPr="0069787A">
        <w:rPr>
          <w:rFonts w:eastAsia="Times New Roman"/>
          <w:sz w:val="24"/>
          <w:szCs w:val="24"/>
        </w:rPr>
        <w:t>.</w:t>
      </w:r>
    </w:p>
    <w:p w14:paraId="00000024" w14:textId="77777777" w:rsidR="00A1077E" w:rsidRPr="0069787A" w:rsidRDefault="00FC3DFA" w:rsidP="00E31EE7">
      <w:pPr>
        <w:pStyle w:val="Heading2"/>
      </w:pPr>
      <w:bookmarkStart w:id="17" w:name="_Toc216991653"/>
      <w:r w:rsidRPr="0069787A">
        <w:t>2.3 Antimicrobial Resistance (AMR) and Problems in NHS and Social Care.</w:t>
      </w:r>
      <w:bookmarkEnd w:id="17"/>
    </w:p>
    <w:p w14:paraId="00000025" w14:textId="16ABB207" w:rsidR="00A1077E" w:rsidRPr="0069787A" w:rsidRDefault="00FC3DFA">
      <w:pPr>
        <w:spacing w:line="360" w:lineRule="auto"/>
        <w:jc w:val="both"/>
        <w:rPr>
          <w:rFonts w:eastAsia="Times New Roman"/>
          <w:sz w:val="24"/>
          <w:szCs w:val="24"/>
        </w:rPr>
      </w:pPr>
      <w:r w:rsidRPr="0069787A">
        <w:rPr>
          <w:rFonts w:eastAsia="Times New Roman"/>
          <w:sz w:val="24"/>
          <w:szCs w:val="24"/>
        </w:rPr>
        <w:t>AMR is the development of mechanisms by microorganisms that would allow them to counteract the effects of antimicrobial agents that would otherwise cause their death</w:t>
      </w:r>
      <w:r w:rsidR="00A47BAE" w:rsidRPr="0069787A">
        <w:rPr>
          <w:rFonts w:eastAsia="Times New Roman"/>
          <w:sz w:val="24"/>
          <w:szCs w:val="24"/>
        </w:rPr>
        <w:t xml:space="preserve"> </w:t>
      </w:r>
      <w:r w:rsidR="00A47BAE" w:rsidRPr="0069787A">
        <w:rPr>
          <w:rFonts w:eastAsia="Times New Roman"/>
          <w:sz w:val="24"/>
          <w:szCs w:val="24"/>
        </w:rPr>
        <w:lastRenderedPageBreak/>
        <w:t>(Salam et al. 2023)</w:t>
      </w:r>
      <w:r w:rsidRPr="0069787A">
        <w:rPr>
          <w:rFonts w:eastAsia="Times New Roman"/>
          <w:sz w:val="24"/>
          <w:szCs w:val="24"/>
        </w:rPr>
        <w:t>. Increased rates of resistance in the UK have been attributed to extended use of antibiotics, poor infection management as well as persistence of bacteria in biofilms in healthcare settings. The outcomes of AMR are extensive: infections become more difficult to treat, treatment options are reduced, thus, patients are more exposed to complications, extended hospitalisation, and deaths (Tang et al. 2023). In the case of the NHS, AMR exerts operational pressures on the organization by generating extra demands on clinical work, laboratory diagnostics and critical care services, as well as on the cost of treatment and the duration of hospitalization.</w:t>
      </w:r>
    </w:p>
    <w:p w14:paraId="00000026" w14:textId="548E0DD1" w:rsidR="00A1077E" w:rsidRPr="0069787A" w:rsidRDefault="00FC3DFA">
      <w:pPr>
        <w:spacing w:line="360" w:lineRule="auto"/>
        <w:jc w:val="both"/>
        <w:rPr>
          <w:rFonts w:eastAsia="Times New Roman"/>
          <w:sz w:val="24"/>
          <w:szCs w:val="24"/>
        </w:rPr>
      </w:pPr>
      <w:r w:rsidRPr="0069787A">
        <w:rPr>
          <w:rFonts w:eastAsia="Times New Roman"/>
          <w:sz w:val="24"/>
          <w:szCs w:val="24"/>
        </w:rPr>
        <w:t>Care homes and community-based facilities are other social care environments where AMR is quite difficult to manage</w:t>
      </w:r>
      <w:r w:rsidR="00991501" w:rsidRPr="0069787A">
        <w:rPr>
          <w:rFonts w:eastAsia="Times New Roman"/>
          <w:sz w:val="24"/>
          <w:szCs w:val="24"/>
        </w:rPr>
        <w:t xml:space="preserve"> (Lam et al. 2021)</w:t>
      </w:r>
      <w:r w:rsidRPr="0069787A">
        <w:rPr>
          <w:rFonts w:eastAsia="Times New Roman"/>
          <w:sz w:val="24"/>
          <w:szCs w:val="24"/>
        </w:rPr>
        <w:t xml:space="preserve">. These environments usually look after older or medically </w:t>
      </w:r>
      <w:r w:rsidR="00D62C86" w:rsidRPr="0069787A">
        <w:rPr>
          <w:rFonts w:eastAsia="Times New Roman"/>
          <w:sz w:val="24"/>
          <w:szCs w:val="24"/>
        </w:rPr>
        <w:t>at-risk</w:t>
      </w:r>
      <w:r w:rsidRPr="0069787A">
        <w:rPr>
          <w:rFonts w:eastAsia="Times New Roman"/>
          <w:sz w:val="24"/>
          <w:szCs w:val="24"/>
        </w:rPr>
        <w:t xml:space="preserve"> persons who can experience frequent hospitalization, chronic catheters, non-healing wounds, or underlying conditions that increase the risk of infections (Venkateswaran et al. 2025). The lack of on-site clinical resources, staff turnover and inconsistency in adherence to infection prevention procedures further complicates the AMR control in such settings. Also, due to the close social living conditions typical of care settings, resistant pathogens are easily spread.</w:t>
      </w:r>
    </w:p>
    <w:p w14:paraId="00000027" w14:textId="242289AB" w:rsidR="00A1077E" w:rsidRPr="0069787A" w:rsidRDefault="00FC3DFA">
      <w:pPr>
        <w:spacing w:line="360" w:lineRule="auto"/>
        <w:jc w:val="both"/>
        <w:rPr>
          <w:rFonts w:eastAsia="Times New Roman"/>
          <w:sz w:val="24"/>
          <w:szCs w:val="24"/>
        </w:rPr>
      </w:pPr>
      <w:r w:rsidRPr="0069787A">
        <w:rPr>
          <w:rFonts w:eastAsia="Times New Roman"/>
          <w:sz w:val="24"/>
          <w:szCs w:val="24"/>
        </w:rPr>
        <w:t>The UK Antimicrobial Resistance Strategy and the NHS Antimicrobial Stewardship Programme are national policies that indicate the necessity to prescribe antibiotics judiciously, increase their surveillance, and improve their infection control practices</w:t>
      </w:r>
      <w:r w:rsidR="0061043B" w:rsidRPr="0069787A">
        <w:rPr>
          <w:rFonts w:eastAsia="Times New Roman"/>
          <w:sz w:val="24"/>
          <w:szCs w:val="24"/>
        </w:rPr>
        <w:t xml:space="preserve"> (Ashiru-Oredope et al. 2022)</w:t>
      </w:r>
      <w:r w:rsidRPr="0069787A">
        <w:rPr>
          <w:rFonts w:eastAsia="Times New Roman"/>
          <w:sz w:val="24"/>
          <w:szCs w:val="24"/>
        </w:rPr>
        <w:t>. There are still gaps in the efforts to control the underlying microbial pathways that have led to resistance and persistence, especially biofilm-associated infection which are controlled by quorum sensing (Whittaker et al. 2023). In the face of the persistent emergence of resistant infections, there exists an urgent requirement of new strategies that will add to antibiotic interventions, lower the virulence of the bacteria, and prevent infections prior to their establishment in both the NHS and social care systems.</w:t>
      </w:r>
    </w:p>
    <w:p w14:paraId="00000028" w14:textId="77777777" w:rsidR="00A1077E" w:rsidRPr="0069787A" w:rsidRDefault="00FC3DFA" w:rsidP="00E31EE7">
      <w:pPr>
        <w:pStyle w:val="Heading2"/>
      </w:pPr>
      <w:bookmarkStart w:id="18" w:name="_Toc216991654"/>
      <w:r w:rsidRPr="0069787A">
        <w:t>2.4 The Communication between Bacteria and the Theory of Quorum Sensing (QS).</w:t>
      </w:r>
      <w:bookmarkEnd w:id="18"/>
    </w:p>
    <w:p w14:paraId="00000029" w14:textId="3B91F1AB" w:rsidR="00A1077E" w:rsidRPr="0069787A" w:rsidRDefault="00FC3DFA">
      <w:pPr>
        <w:spacing w:line="360" w:lineRule="auto"/>
        <w:jc w:val="both"/>
        <w:rPr>
          <w:rFonts w:eastAsia="Times New Roman"/>
          <w:sz w:val="24"/>
          <w:szCs w:val="24"/>
        </w:rPr>
      </w:pPr>
      <w:r w:rsidRPr="0069787A">
        <w:rPr>
          <w:rFonts w:eastAsia="Times New Roman"/>
          <w:sz w:val="24"/>
          <w:szCs w:val="24"/>
        </w:rPr>
        <w:t>QS is a bacterial communication tool that allows microorganisms to organize group behaviours with respect to alterations in population density</w:t>
      </w:r>
      <w:r w:rsidR="00061F11" w:rsidRPr="0069787A">
        <w:rPr>
          <w:rFonts w:eastAsia="Times New Roman"/>
          <w:sz w:val="24"/>
          <w:szCs w:val="24"/>
        </w:rPr>
        <w:t xml:space="preserve"> (Deo et al. 2025)</w:t>
      </w:r>
      <w:r w:rsidRPr="0069787A">
        <w:rPr>
          <w:rFonts w:eastAsia="Times New Roman"/>
          <w:sz w:val="24"/>
          <w:szCs w:val="24"/>
        </w:rPr>
        <w:t xml:space="preserve">. Bacteria respond to chemical signalling molecules, called autoinducers, in response to the presence of neighbouring cells, unlike higher organisms, which respond to neural or </w:t>
      </w:r>
      <w:r w:rsidRPr="0069787A">
        <w:rPr>
          <w:rFonts w:eastAsia="Times New Roman"/>
          <w:sz w:val="24"/>
          <w:szCs w:val="24"/>
        </w:rPr>
        <w:lastRenderedPageBreak/>
        <w:t>hormonal signals</w:t>
      </w:r>
      <w:r w:rsidR="002E4F8A" w:rsidRPr="0069787A">
        <w:rPr>
          <w:rFonts w:eastAsia="Times New Roman"/>
          <w:sz w:val="24"/>
          <w:szCs w:val="24"/>
        </w:rPr>
        <w:t xml:space="preserve"> (Laxminarayan et al. 2024)</w:t>
      </w:r>
      <w:r w:rsidRPr="0069787A">
        <w:rPr>
          <w:rFonts w:eastAsia="Times New Roman"/>
          <w:sz w:val="24"/>
          <w:szCs w:val="24"/>
        </w:rPr>
        <w:t>. When the concentration of these signalling molecules becomes high enough in the environment, and this is an indication of a high cell density, bacteria start to express certain genes, which regulate group behaviours, including virulence factor expression, motility, resistance to antibiotics, and biofilm formation (Liu et al. 2025). This highly organized communication enables the cooperating communities of bacteria to act more like a system and enhance their fitness to colonize the host tissues, withstand environmental pressures and evade immune homeostasis.</w:t>
      </w:r>
    </w:p>
    <w:p w14:paraId="05DB3FE0" w14:textId="5BDF3D2C" w:rsidR="00E86888" w:rsidRPr="0069787A" w:rsidRDefault="00E86888" w:rsidP="004E0A0B">
      <w:pPr>
        <w:spacing w:line="360" w:lineRule="auto"/>
        <w:jc w:val="center"/>
        <w:rPr>
          <w:rFonts w:eastAsia="Times New Roman"/>
          <w:sz w:val="24"/>
          <w:szCs w:val="24"/>
        </w:rPr>
      </w:pPr>
      <w:r w:rsidRPr="0069787A">
        <w:rPr>
          <w:noProof/>
        </w:rPr>
        <w:drawing>
          <wp:inline distT="0" distB="0" distL="0" distR="0" wp14:anchorId="336D8F51" wp14:editId="52BA9B28">
            <wp:extent cx="3100293" cy="2152650"/>
            <wp:effectExtent l="0" t="0" r="5080" b="0"/>
            <wp:docPr id="5" name="Picture 5" descr="Quorum Sensing Inhibitors: An Alternative Strategy to Win the Battle  against Multidrug-Resistant (MDR) Bac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orum Sensing Inhibitors: An Alternative Strategy to Win the Battle  against Multidrug-Resistant (MDR) Bacter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4733" cy="2155733"/>
                    </a:xfrm>
                    <a:prstGeom prst="rect">
                      <a:avLst/>
                    </a:prstGeom>
                    <a:noFill/>
                    <a:ln>
                      <a:noFill/>
                    </a:ln>
                  </pic:spPr>
                </pic:pic>
              </a:graphicData>
            </a:graphic>
          </wp:inline>
        </w:drawing>
      </w:r>
    </w:p>
    <w:p w14:paraId="1E3AB38D" w14:textId="072640ED" w:rsidR="004E0A0B" w:rsidRPr="0069787A" w:rsidRDefault="004E0A0B" w:rsidP="00E31EE7">
      <w:pPr>
        <w:pStyle w:val="Heading4"/>
      </w:pPr>
      <w:bookmarkStart w:id="19" w:name="_Toc214400442"/>
      <w:bookmarkStart w:id="20" w:name="_Toc216348751"/>
      <w:r w:rsidRPr="0069787A">
        <w:t xml:space="preserve">Figure </w:t>
      </w:r>
      <w:r w:rsidR="00FE41EF" w:rsidRPr="0069787A">
        <w:t>2.4</w:t>
      </w:r>
      <w:r w:rsidRPr="0069787A">
        <w:t>: Quorum Sensing Inhibitors</w:t>
      </w:r>
      <w:bookmarkEnd w:id="19"/>
      <w:bookmarkEnd w:id="20"/>
    </w:p>
    <w:p w14:paraId="7C802D07" w14:textId="483C11ED" w:rsidR="004E0A0B" w:rsidRPr="0069787A" w:rsidRDefault="004E0A0B" w:rsidP="004E0A0B">
      <w:pPr>
        <w:spacing w:line="360" w:lineRule="auto"/>
        <w:jc w:val="center"/>
        <w:rPr>
          <w:rFonts w:eastAsia="Times New Roman"/>
          <w:sz w:val="24"/>
          <w:szCs w:val="24"/>
        </w:rPr>
      </w:pPr>
      <w:r w:rsidRPr="0069787A">
        <w:rPr>
          <w:rFonts w:eastAsia="Times New Roman"/>
          <w:sz w:val="24"/>
          <w:szCs w:val="24"/>
        </w:rPr>
        <w:t>(Source: Shen et al. 2023)</w:t>
      </w:r>
    </w:p>
    <w:p w14:paraId="0000002A" w14:textId="7EE04376" w:rsidR="00A1077E" w:rsidRPr="0069787A" w:rsidRDefault="00FC3DFA">
      <w:pPr>
        <w:spacing w:line="360" w:lineRule="auto"/>
        <w:jc w:val="both"/>
        <w:rPr>
          <w:rFonts w:eastAsia="Times New Roman"/>
          <w:sz w:val="24"/>
          <w:szCs w:val="24"/>
        </w:rPr>
      </w:pPr>
      <w:r w:rsidRPr="0069787A">
        <w:rPr>
          <w:rFonts w:eastAsia="Times New Roman"/>
          <w:sz w:val="24"/>
          <w:szCs w:val="24"/>
        </w:rPr>
        <w:t>QS is extensively found in Gram-negative and Gram-positive bacteria but the various groups employ diverse signalling molecules and regulatory pathways</w:t>
      </w:r>
      <w:r w:rsidR="00F11773" w:rsidRPr="0069787A">
        <w:rPr>
          <w:rFonts w:eastAsia="Times New Roman"/>
          <w:sz w:val="24"/>
          <w:szCs w:val="24"/>
        </w:rPr>
        <w:t xml:space="preserve"> (Xiao et al. 2022)</w:t>
      </w:r>
      <w:r w:rsidRPr="0069787A">
        <w:rPr>
          <w:rFonts w:eastAsia="Times New Roman"/>
          <w:sz w:val="24"/>
          <w:szCs w:val="24"/>
        </w:rPr>
        <w:t>. As an example, acyl-homoserine lactones (AHLs) were often used by Gram-negative bacteria whereas oligopeptides were processed by Gram-positives (Shen et al. 2023). Other bacteria like Pseudomonas aeruginosa use several interlinked QS systems controlling multifaceted infection-related behaviours. Notably, QS is also essential in the formation and maintenance of biofilms, organized microbial communities that are entrenched within an extracellular matrix of protection. Biofilms are also capable of making bacteria extremely resistant to antibiotics and disinfectants when they form which leads to chronic and hard-to-treat infections in healthcare settings</w:t>
      </w:r>
      <w:r w:rsidR="00117419" w:rsidRPr="0069787A">
        <w:rPr>
          <w:rFonts w:eastAsia="Times New Roman"/>
          <w:sz w:val="24"/>
          <w:szCs w:val="24"/>
        </w:rPr>
        <w:t xml:space="preserve"> (Singh et al. 2022)</w:t>
      </w:r>
      <w:r w:rsidRPr="0069787A">
        <w:rPr>
          <w:rFonts w:eastAsia="Times New Roman"/>
          <w:sz w:val="24"/>
          <w:szCs w:val="24"/>
        </w:rPr>
        <w:t>.</w:t>
      </w:r>
    </w:p>
    <w:p w14:paraId="0000002B" w14:textId="77777777" w:rsidR="00A1077E" w:rsidRPr="0069787A" w:rsidRDefault="00FC3DFA" w:rsidP="00E31EE7">
      <w:pPr>
        <w:pStyle w:val="Heading2"/>
      </w:pPr>
      <w:bookmarkStart w:id="21" w:name="_Toc216991655"/>
      <w:r w:rsidRPr="0069787A">
        <w:t>2.5 Types of Quorum Sensing Signalling Molecules and Regulatory Pathways</w:t>
      </w:r>
      <w:bookmarkEnd w:id="21"/>
    </w:p>
    <w:p w14:paraId="0000002C" w14:textId="1A9C6373" w:rsidR="00A1077E" w:rsidRPr="0069787A" w:rsidRDefault="00FC3DFA">
      <w:pPr>
        <w:spacing w:line="360" w:lineRule="auto"/>
        <w:jc w:val="both"/>
        <w:rPr>
          <w:rFonts w:eastAsia="Times New Roman"/>
          <w:sz w:val="24"/>
          <w:szCs w:val="24"/>
        </w:rPr>
      </w:pPr>
      <w:r w:rsidRPr="0069787A">
        <w:rPr>
          <w:rFonts w:eastAsia="Times New Roman"/>
          <w:sz w:val="24"/>
          <w:szCs w:val="24"/>
        </w:rPr>
        <w:t xml:space="preserve">QS is based on the chemical signalling molecules that allow bacteria to interact and coordinate the behaviour. These autoinducers are signalling molecules that different groups of bacteria use and are essential in the process of activating the expression of </w:t>
      </w:r>
      <w:r w:rsidRPr="0069787A">
        <w:rPr>
          <w:rFonts w:eastAsia="Times New Roman"/>
          <w:sz w:val="24"/>
          <w:szCs w:val="24"/>
        </w:rPr>
        <w:lastRenderedPageBreak/>
        <w:t xml:space="preserve">genes when a certain level of population density is attained. The most widespread signalling molecules are N-acyl homoserine lactones (AHLs) in Gram-negative bacteria (Zhang and Tan, 2023). These molecules are diffused freely through the cell membrane and give the bacterial populations a check on their density and activate genes involved in certain processes in the bacteria like biofilm formation, enzyme production and virulence. </w:t>
      </w:r>
    </w:p>
    <w:p w14:paraId="0000002D" w14:textId="5A30C15D" w:rsidR="00A1077E" w:rsidRPr="0069787A" w:rsidRDefault="00FC3DFA">
      <w:pPr>
        <w:spacing w:line="360" w:lineRule="auto"/>
        <w:jc w:val="both"/>
        <w:rPr>
          <w:rFonts w:eastAsia="Times New Roman"/>
          <w:sz w:val="24"/>
          <w:szCs w:val="24"/>
        </w:rPr>
      </w:pPr>
      <w:r w:rsidRPr="0069787A">
        <w:rPr>
          <w:rFonts w:eastAsia="Times New Roman"/>
          <w:sz w:val="24"/>
          <w:szCs w:val="24"/>
        </w:rPr>
        <w:t>Conversely, Gram-positive bacteria mostly rely on autoinducing peptides (AIPs) that necessitate secretion and signal receptors are membrane bound histidine kinase receptors</w:t>
      </w:r>
      <w:r w:rsidR="00B524D9" w:rsidRPr="0069787A">
        <w:rPr>
          <w:rFonts w:eastAsia="Times New Roman"/>
          <w:sz w:val="24"/>
          <w:szCs w:val="24"/>
        </w:rPr>
        <w:t xml:space="preserve"> (Kumar et al. 2023)</w:t>
      </w:r>
      <w:r w:rsidRPr="0069787A">
        <w:rPr>
          <w:rFonts w:eastAsia="Times New Roman"/>
          <w:sz w:val="24"/>
          <w:szCs w:val="24"/>
        </w:rPr>
        <w:t>. These pathways are often transduced by a two-component signal transduction system, which enables quick and delicate response to the environmental and population variations (Dubern et al. 2023). Gram-negative and Gram-positive bacteria produce another universal signalling molecule, autoinducer-2 (AI-2) and promote inter-species communication. The enzyme LuxS synthesises AI-2 which is thought to be significant in the multi-species biofilm settings especially in hospital environments where there is a high diversity of microbes.</w:t>
      </w:r>
    </w:p>
    <w:p w14:paraId="0000002E" w14:textId="4BE009E2" w:rsidR="00A1077E" w:rsidRPr="0069787A" w:rsidRDefault="00FC3DFA">
      <w:pPr>
        <w:spacing w:line="360" w:lineRule="auto"/>
        <w:jc w:val="both"/>
        <w:rPr>
          <w:rFonts w:eastAsia="Times New Roman"/>
          <w:sz w:val="24"/>
          <w:szCs w:val="24"/>
        </w:rPr>
      </w:pPr>
      <w:r w:rsidRPr="0069787A">
        <w:rPr>
          <w:rFonts w:eastAsia="Times New Roman"/>
          <w:sz w:val="24"/>
          <w:szCs w:val="24"/>
        </w:rPr>
        <w:t>Also, pseudomonas quinolone signal (PQS) and diffusible signal factor (DSF) are used by some bacteria, and also control virulence and metabolic adjustment</w:t>
      </w:r>
      <w:r w:rsidR="00651554" w:rsidRPr="0069787A">
        <w:rPr>
          <w:rFonts w:eastAsia="Times New Roman"/>
          <w:sz w:val="24"/>
          <w:szCs w:val="24"/>
        </w:rPr>
        <w:t xml:space="preserve"> (Wijesinghe et al. 2025)</w:t>
      </w:r>
      <w:r w:rsidRPr="0069787A">
        <w:rPr>
          <w:rFonts w:eastAsia="Times New Roman"/>
          <w:sz w:val="24"/>
          <w:szCs w:val="24"/>
        </w:rPr>
        <w:t>. The variety of pathways of regulation shows the sophistication and versatility of bacterial communication. The knowledge of the distinctions between signalling molecules and their control systems is important to the development of quorum quenching techniques (Tripathi et al. 2023). The future of antimicrobial resistance reduction is the specific attenuation of bacterial virulence and biofilm resistance via focusing on selected signalling networks, rather than using conventional antibiotics.</w:t>
      </w:r>
    </w:p>
    <w:p w14:paraId="0000002F" w14:textId="77777777" w:rsidR="00A1077E" w:rsidRPr="0069787A" w:rsidRDefault="00FC3DFA" w:rsidP="00E31EE7">
      <w:pPr>
        <w:pStyle w:val="Heading2"/>
      </w:pPr>
      <w:bookmarkStart w:id="22" w:name="_Toc216991656"/>
      <w:r w:rsidRPr="0069787A">
        <w:t>2.6 Quorum Sensing and Virulence Regulation Instincts and Pathogenicity.</w:t>
      </w:r>
      <w:bookmarkEnd w:id="22"/>
    </w:p>
    <w:p w14:paraId="00000030"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t xml:space="preserve">The QS is a key to the control of virulence and pathogenicity of many clinically important bacteria. Bacteria use QS to direct the expression of genes which control toxin, enzyme, adhesion and other virulence determinant production needed during infection. Bacteria do not act singly, but rather act as a group, and through this such an arrangement enables them to tune their behaviour to population density and environment (Venkateswaran, 2023). Such coordination ensures that virulence factors are only expressed in the most beneficial situation like the presence of an adequate number of bacteria to surmount host immune defences. To illustrate, Pseudomonas aeruginosa, which is a significant </w:t>
      </w:r>
      <w:r w:rsidRPr="0069787A">
        <w:rPr>
          <w:rFonts w:eastAsia="Times New Roman"/>
          <w:sz w:val="24"/>
          <w:szCs w:val="24"/>
        </w:rPr>
        <w:lastRenderedPageBreak/>
        <w:t>pathogen in NHS clinical settings, deploys QS to control elastase, pyocyanin, and biofilm development, which subsequently facilitate chronic and hard to treat infections.</w:t>
      </w:r>
    </w:p>
    <w:p w14:paraId="00000031" w14:textId="4BC9FACF" w:rsidR="00A1077E" w:rsidRPr="0069787A" w:rsidRDefault="00FC3DFA">
      <w:pPr>
        <w:spacing w:line="360" w:lineRule="auto"/>
        <w:jc w:val="both"/>
        <w:rPr>
          <w:rFonts w:eastAsia="Times New Roman"/>
          <w:sz w:val="24"/>
          <w:szCs w:val="24"/>
        </w:rPr>
      </w:pPr>
      <w:r w:rsidRPr="0069787A">
        <w:rPr>
          <w:rFonts w:eastAsia="Times New Roman"/>
          <w:sz w:val="24"/>
          <w:szCs w:val="24"/>
        </w:rPr>
        <w:t>The formation of biofilms is also regarded as one of the most important QS-regulated processes that relate to pathogenicity. Biofilms develop a protective framework that protects the bacteria against antibiotics and immune system reactions causing chronic infections on medical equipment, wounds, and mucosal surfaces</w:t>
      </w:r>
      <w:r w:rsidR="00EC2AA9" w:rsidRPr="0069787A">
        <w:rPr>
          <w:rFonts w:eastAsia="Times New Roman"/>
          <w:sz w:val="24"/>
          <w:szCs w:val="24"/>
        </w:rPr>
        <w:t xml:space="preserve"> (Hodge, 2022)</w:t>
      </w:r>
      <w:r w:rsidRPr="0069787A">
        <w:rPr>
          <w:rFonts w:eastAsia="Times New Roman"/>
          <w:sz w:val="24"/>
          <w:szCs w:val="24"/>
        </w:rPr>
        <w:t>. QS also has effects on motility, immune adherence and immune evasion, which also assist bacteria in finding a niche of infection (Tripathi et al. 2023). The QS system of accessory gene regulator is present in Staphylococcus aureus and the bacterium switches adhesion and toxin synthesis to enable colonisation of the surfaces and then induce tissue injury.</w:t>
      </w:r>
    </w:p>
    <w:p w14:paraId="00000032" w14:textId="5AF00BDA" w:rsidR="00A1077E" w:rsidRPr="0069787A" w:rsidRDefault="00FC3DFA">
      <w:pPr>
        <w:spacing w:line="360" w:lineRule="auto"/>
        <w:jc w:val="both"/>
        <w:rPr>
          <w:rFonts w:eastAsia="Times New Roman"/>
          <w:sz w:val="24"/>
          <w:szCs w:val="24"/>
        </w:rPr>
      </w:pPr>
      <w:r w:rsidRPr="0069787A">
        <w:rPr>
          <w:rFonts w:eastAsia="Times New Roman"/>
          <w:sz w:val="24"/>
          <w:szCs w:val="24"/>
        </w:rPr>
        <w:t>The implication of QS in the control of virulence is far reaching in antimicrobial treatment. The classical antibiotics attack the major cell survival functions, but in most cases, traditional methods exert certain selective pressure, which results in antimicrobial resistance</w:t>
      </w:r>
      <w:r w:rsidR="00EC2AA9" w:rsidRPr="0069787A">
        <w:rPr>
          <w:rFonts w:eastAsia="Times New Roman"/>
          <w:sz w:val="24"/>
          <w:szCs w:val="24"/>
        </w:rPr>
        <w:t xml:space="preserve"> (Phillips et al. 2024)</w:t>
      </w:r>
      <w:r w:rsidRPr="0069787A">
        <w:rPr>
          <w:rFonts w:eastAsia="Times New Roman"/>
          <w:sz w:val="24"/>
          <w:szCs w:val="24"/>
        </w:rPr>
        <w:t>. The opposite is true of QS pathway-targeting, which does not kill bacteria, but disrupts their pathogenic behaviour coordination (Warrier et al. 2021). This eliminates virulence and increases vulnerability to immune elimination, without causing resistance. Hence, it is vital to comprehend the place of QS in virulence regulation so as to come up with new antimicrobial-controlling measures, especially in the health care environment where the issues of antimicrobial resistance are on the rise.</w:t>
      </w:r>
    </w:p>
    <w:p w14:paraId="00000033" w14:textId="77777777" w:rsidR="00A1077E" w:rsidRPr="0069787A" w:rsidRDefault="00FC3DFA" w:rsidP="00E31EE7">
      <w:pPr>
        <w:pStyle w:val="Heading2"/>
      </w:pPr>
      <w:bookmarkStart w:id="23" w:name="_Toc216991657"/>
      <w:r w:rsidRPr="0069787A">
        <w:t>2.7 Biofilm Formation: Stages, Structure and clinical significance.</w:t>
      </w:r>
      <w:bookmarkEnd w:id="23"/>
    </w:p>
    <w:p w14:paraId="00000034" w14:textId="0284EC82" w:rsidR="00A1077E" w:rsidRPr="0069787A" w:rsidRDefault="00FC3DFA">
      <w:pPr>
        <w:spacing w:line="360" w:lineRule="auto"/>
        <w:jc w:val="both"/>
        <w:rPr>
          <w:rFonts w:eastAsia="Times New Roman"/>
          <w:sz w:val="24"/>
          <w:szCs w:val="24"/>
        </w:rPr>
      </w:pPr>
      <w:r w:rsidRPr="0069787A">
        <w:rPr>
          <w:rFonts w:eastAsia="Times New Roman"/>
          <w:sz w:val="24"/>
          <w:szCs w:val="24"/>
        </w:rPr>
        <w:t>The formation of biofilms is a multifaceted condition that is highly essential in the maintenance of bacterial infections, especially in the healthcare setting. Initial attachment initiates the process by attaching free-floating (planktonic) bacteria to any surface</w:t>
      </w:r>
      <w:r w:rsidR="00D62C86" w:rsidRPr="0069787A">
        <w:rPr>
          <w:rFonts w:eastAsia="Times New Roman"/>
          <w:sz w:val="24"/>
          <w:szCs w:val="24"/>
        </w:rPr>
        <w:t xml:space="preserve"> such as </w:t>
      </w:r>
      <w:r w:rsidRPr="0069787A">
        <w:rPr>
          <w:rFonts w:eastAsia="Times New Roman"/>
          <w:sz w:val="24"/>
          <w:szCs w:val="24"/>
        </w:rPr>
        <w:t>medical equipment, wounds, or mucosal tissue. Surface proteins and physical conditions such as moisture and nutrient availability are usually involved in the facilitation of this attachment (Wang et al. 2023). After binding, bacteria undergo irrevocable adhesion phase, where they release extracellular polymeric substances (EPS), which create a protective shell that is made out of polysaccharides, proteins, lipids and DNA. This EPS matrix fixes the cells on surfaces and to one another.</w:t>
      </w:r>
    </w:p>
    <w:p w14:paraId="57FD241B" w14:textId="02068C8A" w:rsidR="009F46CB" w:rsidRPr="0069787A" w:rsidRDefault="009F46CB" w:rsidP="009F46CB">
      <w:pPr>
        <w:spacing w:line="360" w:lineRule="auto"/>
        <w:jc w:val="center"/>
        <w:rPr>
          <w:rFonts w:eastAsia="Times New Roman"/>
          <w:sz w:val="24"/>
          <w:szCs w:val="24"/>
        </w:rPr>
      </w:pPr>
      <w:r w:rsidRPr="0069787A">
        <w:rPr>
          <w:rFonts w:eastAsia="Times New Roman"/>
          <w:noProof/>
          <w:sz w:val="24"/>
          <w:szCs w:val="24"/>
        </w:rPr>
        <w:lastRenderedPageBreak/>
        <w:drawing>
          <wp:inline distT="0" distB="0" distL="0" distR="0" wp14:anchorId="7D4B6266" wp14:editId="6EDF27CB">
            <wp:extent cx="1961278" cy="15621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5696" cy="1565619"/>
                    </a:xfrm>
                    <a:prstGeom prst="rect">
                      <a:avLst/>
                    </a:prstGeom>
                    <a:noFill/>
                  </pic:spPr>
                </pic:pic>
              </a:graphicData>
            </a:graphic>
          </wp:inline>
        </w:drawing>
      </w:r>
    </w:p>
    <w:p w14:paraId="504A2BED" w14:textId="589DCF8E" w:rsidR="009F46CB" w:rsidRPr="0069787A" w:rsidRDefault="009F46CB" w:rsidP="00E31EE7">
      <w:pPr>
        <w:pStyle w:val="Heading4"/>
      </w:pPr>
      <w:bookmarkStart w:id="24" w:name="_Toc214400443"/>
      <w:bookmarkStart w:id="25" w:name="_Toc216348752"/>
      <w:r w:rsidRPr="0069787A">
        <w:t xml:space="preserve">Figure </w:t>
      </w:r>
      <w:r w:rsidR="00FE41EF" w:rsidRPr="0069787A">
        <w:t>2.7</w:t>
      </w:r>
      <w:r w:rsidRPr="0069787A">
        <w:t>: Biofilm formation</w:t>
      </w:r>
      <w:bookmarkEnd w:id="24"/>
      <w:bookmarkEnd w:id="25"/>
    </w:p>
    <w:p w14:paraId="662A5884" w14:textId="73F50BA2" w:rsidR="009F46CB" w:rsidRPr="0069787A" w:rsidRDefault="009F46CB" w:rsidP="009F46CB">
      <w:pPr>
        <w:spacing w:line="360" w:lineRule="auto"/>
        <w:jc w:val="center"/>
        <w:rPr>
          <w:rFonts w:eastAsia="Times New Roman"/>
          <w:sz w:val="24"/>
          <w:szCs w:val="24"/>
        </w:rPr>
      </w:pPr>
      <w:r w:rsidRPr="0069787A">
        <w:rPr>
          <w:rFonts w:eastAsia="Times New Roman"/>
          <w:sz w:val="24"/>
          <w:szCs w:val="24"/>
        </w:rPr>
        <w:t>(Source: Sauer et al. 2022)</w:t>
      </w:r>
    </w:p>
    <w:p w14:paraId="00000035" w14:textId="1B8F15EC" w:rsidR="00A1077E" w:rsidRPr="0069787A" w:rsidRDefault="00FC3DFA">
      <w:pPr>
        <w:spacing w:line="360" w:lineRule="auto"/>
        <w:jc w:val="both"/>
        <w:rPr>
          <w:rFonts w:eastAsia="Times New Roman"/>
          <w:sz w:val="24"/>
          <w:szCs w:val="24"/>
        </w:rPr>
      </w:pPr>
      <w:r w:rsidRPr="0069787A">
        <w:rPr>
          <w:rFonts w:eastAsia="Times New Roman"/>
          <w:sz w:val="24"/>
          <w:szCs w:val="24"/>
        </w:rPr>
        <w:t>The third step is the maturation of biofilms which is marked by the formation of elaborate three dimensional structures that have transport channels of nutrients and wastes. At this point, the cells of the microbes are specialised and they communicate (quorum sensing) to organize presence, survival and virulence</w:t>
      </w:r>
      <w:r w:rsidR="002E4F8A" w:rsidRPr="0069787A">
        <w:rPr>
          <w:rFonts w:eastAsia="Times New Roman"/>
          <w:sz w:val="24"/>
          <w:szCs w:val="24"/>
        </w:rPr>
        <w:t xml:space="preserve"> (Tiwari et al. 2025)</w:t>
      </w:r>
      <w:r w:rsidRPr="0069787A">
        <w:rPr>
          <w:rFonts w:eastAsia="Times New Roman"/>
          <w:sz w:val="24"/>
          <w:szCs w:val="24"/>
        </w:rPr>
        <w:t>. The biofilm later attains the dispersion phase whereby bacteria break off and infect new locations to propagate repeated and systemic infection cycles. A distinct structure of biofilms is an aspect that makes them clinically relevant (Sauer et al. 2022). The EPS matrix is a physical and biochemical barrier which limits the entry of the antibiotic and results in decreased drug efficacy. Also, those bacteria in biofilms have slower metabolism thereby reducing their vulnerability to antibiotics that affect actively-dividing bacteria. Biofilms also help bacteria to avoid attack by immune cells, which prolongs the infection and risks of chronic inflammation and tissue damage.</w:t>
      </w:r>
    </w:p>
    <w:p w14:paraId="00000036" w14:textId="77777777" w:rsidR="00A1077E" w:rsidRPr="0069787A" w:rsidRDefault="00FC3DFA">
      <w:pPr>
        <w:spacing w:line="360" w:lineRule="auto"/>
        <w:jc w:val="both"/>
        <w:rPr>
          <w:rFonts w:eastAsia="Times New Roman"/>
          <w:sz w:val="24"/>
          <w:szCs w:val="24"/>
        </w:rPr>
      </w:pPr>
      <w:r w:rsidRPr="0069787A">
        <w:rPr>
          <w:rFonts w:eastAsia="Times New Roman"/>
          <w:sz w:val="24"/>
          <w:szCs w:val="24"/>
        </w:rPr>
        <w:t>The biofilm-related infections are very imperative in NHS and social care facilities especially catheter, ventilator, prosthetic joint, and chronic wounds. They tend to be chronic and hard to eliminate and increase the length of hospital stays, the expenses involved in healthcare, and morbidity (Grari et al. 2025). Consequently, the processes of biofilm formation and its clinical importance are essential to the creation of optimal infection control and mitigation of antimicrobial resistance.</w:t>
      </w:r>
    </w:p>
    <w:p w14:paraId="00000037" w14:textId="77777777" w:rsidR="00A1077E" w:rsidRPr="0069787A" w:rsidRDefault="00FC3DFA" w:rsidP="00E31EE7">
      <w:pPr>
        <w:pStyle w:val="Heading2"/>
      </w:pPr>
      <w:bookmarkStart w:id="26" w:name="_Toc216991658"/>
      <w:r w:rsidRPr="0069787A">
        <w:t>2.8 Quorum Sensing–Mediated Biofilms in Healthcare Environments</w:t>
      </w:r>
      <w:bookmarkEnd w:id="26"/>
    </w:p>
    <w:p w14:paraId="00000038" w14:textId="4C73387B" w:rsidR="00A1077E" w:rsidRPr="0069787A" w:rsidRDefault="00FC3DFA">
      <w:pPr>
        <w:spacing w:line="360" w:lineRule="auto"/>
        <w:jc w:val="both"/>
        <w:rPr>
          <w:rFonts w:eastAsia="Times New Roman"/>
          <w:sz w:val="24"/>
          <w:szCs w:val="24"/>
        </w:rPr>
      </w:pPr>
      <w:r w:rsidRPr="0069787A">
        <w:rPr>
          <w:rFonts w:eastAsia="Times New Roman"/>
          <w:sz w:val="24"/>
          <w:szCs w:val="24"/>
        </w:rPr>
        <w:t>Quorum sensing (QS) has a distinct key part in the development, maturation, and stability of biofilms in health care settings, which is very challenging to infection control and antimicrobial stewardship</w:t>
      </w:r>
      <w:r w:rsidR="00EC2AA9" w:rsidRPr="0069787A">
        <w:rPr>
          <w:rFonts w:eastAsia="Times New Roman"/>
          <w:sz w:val="24"/>
          <w:szCs w:val="24"/>
        </w:rPr>
        <w:t xml:space="preserve"> (Mendes et al. 2024)</w:t>
      </w:r>
      <w:r w:rsidRPr="0069787A">
        <w:rPr>
          <w:rFonts w:eastAsia="Times New Roman"/>
          <w:sz w:val="24"/>
          <w:szCs w:val="24"/>
        </w:rPr>
        <w:t xml:space="preserve">. Pathogens, including Pseudomonas aeruginosa, Staphylococcus aureus, Escherichia coli and Klebsiella pneumoniae, in </w:t>
      </w:r>
      <w:r w:rsidRPr="0069787A">
        <w:rPr>
          <w:rFonts w:eastAsia="Times New Roman"/>
          <w:sz w:val="24"/>
          <w:szCs w:val="24"/>
        </w:rPr>
        <w:lastRenderedPageBreak/>
        <w:t>clinical settings employ the QS systems to control genes that deal with adhesion, extracellular matrix production, and coordinated population behaviour. These controlled processes that are QS allow biofilms to be formed on medical devices (Mitra, 2024). which include catheters, ventilators, prosthetic implants, and wound dressings stipulated by the constant availability of moisture and nutrients in these surroundings that allows the growth of microbes</w:t>
      </w:r>
      <w:r w:rsidR="00EC2AA9" w:rsidRPr="0069787A">
        <w:rPr>
          <w:rFonts w:eastAsia="Times New Roman"/>
          <w:sz w:val="24"/>
          <w:szCs w:val="24"/>
        </w:rPr>
        <w:t xml:space="preserve"> (Miller et al. 2021)</w:t>
      </w:r>
      <w:r w:rsidRPr="0069787A">
        <w:rPr>
          <w:rFonts w:eastAsia="Times New Roman"/>
          <w:sz w:val="24"/>
          <w:szCs w:val="24"/>
        </w:rPr>
        <w:t>. QS-mediated biofilms once formed offer an optimal survival environment to the microbes since the extracellular polymeric matrix limits entry of antibiotics and covers bacteria against immune system attack.</w:t>
      </w:r>
    </w:p>
    <w:p w14:paraId="00000039" w14:textId="7DBADA51" w:rsidR="00A1077E" w:rsidRPr="0069787A" w:rsidRDefault="00FC3DFA">
      <w:pPr>
        <w:spacing w:line="360" w:lineRule="auto"/>
        <w:jc w:val="both"/>
        <w:rPr>
          <w:rFonts w:eastAsia="Times New Roman"/>
          <w:sz w:val="24"/>
          <w:szCs w:val="24"/>
        </w:rPr>
      </w:pPr>
      <w:r w:rsidRPr="0069787A">
        <w:rPr>
          <w:rFonts w:eastAsia="Times New Roman"/>
          <w:sz w:val="24"/>
          <w:szCs w:val="24"/>
        </w:rPr>
        <w:t>In biofilms, QS can increase bacterial resistance to antimicrobial agents through the regulation of efflux pump expression, stress response signatures and metabolism. This forms a bacterial population that is able to survive in much higher concentrations of antibiotics than it would be needed to kill planktonic cells</w:t>
      </w:r>
      <w:r w:rsidR="00EC2AA9" w:rsidRPr="0069787A">
        <w:rPr>
          <w:rFonts w:eastAsia="Times New Roman"/>
          <w:sz w:val="24"/>
          <w:szCs w:val="24"/>
        </w:rPr>
        <w:t xml:space="preserve"> (Moore et al. 2022)</w:t>
      </w:r>
      <w:r w:rsidRPr="0069787A">
        <w:rPr>
          <w:rFonts w:eastAsia="Times New Roman"/>
          <w:sz w:val="24"/>
          <w:szCs w:val="24"/>
        </w:rPr>
        <w:t>. This tolerance is a direct cause of antimicrobial resistance (AMR), especially in acute units, surgical units, and long-term social care units (Erkihun et al. 2024). Furthermore, dispersal of bacterial cells within the tissues and devices that surround the biofilms is also an ability that is associated with recurrent infections, which in most cases lead to prolonged treatment course or removal of the invasive devices.</w:t>
      </w:r>
    </w:p>
    <w:p w14:paraId="0000003A" w14:textId="20E84A86" w:rsidR="00A1077E" w:rsidRPr="0069787A" w:rsidRDefault="00FC3DFA">
      <w:pPr>
        <w:spacing w:line="360" w:lineRule="auto"/>
        <w:jc w:val="both"/>
        <w:rPr>
          <w:rFonts w:eastAsia="Times New Roman"/>
          <w:sz w:val="24"/>
          <w:szCs w:val="24"/>
        </w:rPr>
      </w:pPr>
      <w:r w:rsidRPr="0069787A">
        <w:rPr>
          <w:rFonts w:eastAsia="Times New Roman"/>
          <w:sz w:val="24"/>
          <w:szCs w:val="24"/>
        </w:rPr>
        <w:t>Presence of biofilms mediated by QS is correlated with patient morbidity, prolonged hospitalization, and the NHS paying a huge sum of money. Biofilms which are resistant to traditional treatment are often associated with chronic wound infections, ventilator-associated pneumonia, and catheter-associated urinary tract infections (Wang et al. 2022). Therefore, the biofilms induced by QS require new infection control procedures that transcend beyond conventional antibiotic treatment. This knowledge of QS in controlling biofilm formation in health care settings is thus important in informing the process of developing new preventive strategies, diagnostic methods, and therapeutic interventions to reduce AMR and enhance patient outcomes</w:t>
      </w:r>
      <w:r w:rsidR="00EC2AA9" w:rsidRPr="0069787A">
        <w:rPr>
          <w:rFonts w:eastAsia="Times New Roman"/>
          <w:sz w:val="24"/>
          <w:szCs w:val="24"/>
        </w:rPr>
        <w:t xml:space="preserve"> (Shore et al. 2022)</w:t>
      </w:r>
      <w:r w:rsidRPr="0069787A">
        <w:rPr>
          <w:rFonts w:eastAsia="Times New Roman"/>
          <w:sz w:val="24"/>
          <w:szCs w:val="24"/>
        </w:rPr>
        <w:t>.</w:t>
      </w:r>
    </w:p>
    <w:p w14:paraId="0000003B" w14:textId="77777777" w:rsidR="00A1077E" w:rsidRPr="0069787A" w:rsidRDefault="00FC3DFA" w:rsidP="00E31EE7">
      <w:pPr>
        <w:pStyle w:val="Heading2"/>
      </w:pPr>
      <w:bookmarkStart w:id="27" w:name="_Toc216991659"/>
      <w:r w:rsidRPr="0069787A">
        <w:t>2.9 Quorum Quenching (QQ): Concept, Purpose and Mechanism of Action.</w:t>
      </w:r>
      <w:bookmarkEnd w:id="27"/>
    </w:p>
    <w:p w14:paraId="0000003C" w14:textId="103FDEBD" w:rsidR="00A1077E" w:rsidRPr="0069787A" w:rsidRDefault="00FC3DFA">
      <w:pPr>
        <w:spacing w:line="360" w:lineRule="auto"/>
        <w:jc w:val="both"/>
        <w:rPr>
          <w:rFonts w:eastAsia="Times New Roman"/>
          <w:sz w:val="24"/>
          <w:szCs w:val="24"/>
        </w:rPr>
      </w:pPr>
      <w:r w:rsidRPr="0069787A">
        <w:rPr>
          <w:rFonts w:eastAsia="Times New Roman"/>
          <w:sz w:val="24"/>
          <w:szCs w:val="24"/>
        </w:rPr>
        <w:t>Quorum quenching (QQ) describes the impediment, hindrance or disturbance of quorum sensing (QS) pathways through which germs arrange collective behaviour including virulence expression and biofilm formation</w:t>
      </w:r>
      <w:r w:rsidR="00004FC0" w:rsidRPr="0069787A">
        <w:rPr>
          <w:rFonts w:eastAsia="Times New Roman"/>
          <w:sz w:val="24"/>
          <w:szCs w:val="24"/>
        </w:rPr>
        <w:t xml:space="preserve"> (Jose et al. 2023)</w:t>
      </w:r>
      <w:r w:rsidRPr="0069787A">
        <w:rPr>
          <w:rFonts w:eastAsia="Times New Roman"/>
          <w:sz w:val="24"/>
          <w:szCs w:val="24"/>
        </w:rPr>
        <w:t xml:space="preserve">. As opposed to the conventional widely used antimicrobial methods that attempt to kill or weaken bacterial </w:t>
      </w:r>
      <w:r w:rsidRPr="0069787A">
        <w:rPr>
          <w:rFonts w:eastAsia="Times New Roman"/>
          <w:sz w:val="24"/>
          <w:szCs w:val="24"/>
        </w:rPr>
        <w:lastRenderedPageBreak/>
        <w:t>growth, QQ is based on diminishing the pathogenicity of bacteria by blocking their communication. The argument in favour of QQ is to diminish the infectivity of microbial populations without creating any selective pressure, which is usually the force behind the evolution of antimicrobial resistance (Chakraborty et al. 2023). QQ provides a promising, non-resistance approach in infection control by offering the benefit of targeting communication, instead of survival.</w:t>
      </w:r>
    </w:p>
    <w:p w14:paraId="509F8E7F" w14:textId="2CCF183E" w:rsidR="00266CD9" w:rsidRPr="0069787A" w:rsidRDefault="00266CD9" w:rsidP="00266CD9">
      <w:pPr>
        <w:spacing w:line="360" w:lineRule="auto"/>
        <w:jc w:val="center"/>
        <w:rPr>
          <w:rFonts w:eastAsia="Times New Roman"/>
          <w:sz w:val="24"/>
          <w:szCs w:val="24"/>
        </w:rPr>
      </w:pPr>
      <w:r w:rsidRPr="0069787A">
        <w:rPr>
          <w:rFonts w:eastAsia="Times New Roman"/>
          <w:noProof/>
          <w:sz w:val="24"/>
          <w:szCs w:val="24"/>
        </w:rPr>
        <w:drawing>
          <wp:inline distT="0" distB="0" distL="0" distR="0" wp14:anchorId="731FD902" wp14:editId="4BD7B1DC">
            <wp:extent cx="2513462" cy="19812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9211" cy="1985732"/>
                    </a:xfrm>
                    <a:prstGeom prst="rect">
                      <a:avLst/>
                    </a:prstGeom>
                    <a:noFill/>
                  </pic:spPr>
                </pic:pic>
              </a:graphicData>
            </a:graphic>
          </wp:inline>
        </w:drawing>
      </w:r>
    </w:p>
    <w:p w14:paraId="1FE1DBC4" w14:textId="6D7426BA" w:rsidR="00266CD9" w:rsidRPr="0069787A" w:rsidRDefault="00266CD9" w:rsidP="00E31EE7">
      <w:pPr>
        <w:pStyle w:val="Heading4"/>
      </w:pPr>
      <w:bookmarkStart w:id="28" w:name="_Toc214400444"/>
      <w:bookmarkStart w:id="29" w:name="_Toc216348753"/>
      <w:r w:rsidRPr="0069787A">
        <w:t xml:space="preserve">Figure </w:t>
      </w:r>
      <w:r w:rsidR="00FE41EF" w:rsidRPr="0069787A">
        <w:t>2.9</w:t>
      </w:r>
      <w:r w:rsidRPr="0069787A">
        <w:t>: Quorum quenching</w:t>
      </w:r>
      <w:bookmarkEnd w:id="28"/>
      <w:bookmarkEnd w:id="29"/>
    </w:p>
    <w:p w14:paraId="6172BB37" w14:textId="4706E24E" w:rsidR="00266CD9" w:rsidRPr="0069787A" w:rsidRDefault="00266CD9" w:rsidP="00266CD9">
      <w:pPr>
        <w:spacing w:line="360" w:lineRule="auto"/>
        <w:jc w:val="center"/>
        <w:rPr>
          <w:rFonts w:eastAsia="Times New Roman"/>
          <w:sz w:val="24"/>
          <w:szCs w:val="24"/>
        </w:rPr>
      </w:pPr>
      <w:r w:rsidRPr="0069787A">
        <w:rPr>
          <w:rFonts w:eastAsia="Times New Roman"/>
          <w:sz w:val="24"/>
          <w:szCs w:val="24"/>
        </w:rPr>
        <w:t>(Source: Zhao et al. 2025)</w:t>
      </w:r>
    </w:p>
    <w:p w14:paraId="0000003D" w14:textId="404A0C0A" w:rsidR="00A1077E" w:rsidRPr="0069787A" w:rsidRDefault="00FC3DFA">
      <w:pPr>
        <w:spacing w:line="360" w:lineRule="auto"/>
        <w:jc w:val="both"/>
        <w:rPr>
          <w:rFonts w:eastAsia="Times New Roman"/>
          <w:sz w:val="24"/>
          <w:szCs w:val="24"/>
        </w:rPr>
      </w:pPr>
      <w:r w:rsidRPr="0069787A">
        <w:rPr>
          <w:rFonts w:eastAsia="Times New Roman"/>
          <w:sz w:val="24"/>
          <w:szCs w:val="24"/>
        </w:rPr>
        <w:t>Quorum quenching has a number of mechanisms. The first approach is to use enzyme degradation of signalling molecules, including lactonases and acylases that hydrolyse acyl-homoserine lactones (AHLs) in Gram-negative bacteria. These enzymes disrupt the accumulation of signal concentrations needed to stimulate the expression of virulence genes by degrading the QS molecules (Zhu et al. 2023). The other mechanism is signal inhibition in which structural analogues of QS molecules bind the QS receptors blocking the natural ability to recognize the signals. This method is effective in the silencing of communication without compromising bacterial viability</w:t>
      </w:r>
      <w:r w:rsidR="00EC2AA9" w:rsidRPr="0069787A">
        <w:rPr>
          <w:rFonts w:eastAsia="Times New Roman"/>
          <w:sz w:val="24"/>
          <w:szCs w:val="24"/>
        </w:rPr>
        <w:t xml:space="preserve"> (Jones et al. 2022)</w:t>
      </w:r>
      <w:r w:rsidRPr="0069787A">
        <w:rPr>
          <w:rFonts w:eastAsia="Times New Roman"/>
          <w:sz w:val="24"/>
          <w:szCs w:val="24"/>
        </w:rPr>
        <w:t>. The third mechanism is receptor inactivation where special inhibitors affect the activity of the transcription factors in the QS controlled gene expression pathways and thus do not allow the bacteria to respond in a coordinated manner.</w:t>
      </w:r>
    </w:p>
    <w:p w14:paraId="0C551D42" w14:textId="5156D904" w:rsidR="00266CD9" w:rsidRPr="0069787A" w:rsidRDefault="00266CD9">
      <w:pPr>
        <w:spacing w:line="360" w:lineRule="auto"/>
        <w:jc w:val="both"/>
        <w:rPr>
          <w:rFonts w:eastAsia="Times New Roman"/>
          <w:sz w:val="24"/>
          <w:szCs w:val="24"/>
        </w:rPr>
      </w:pPr>
      <w:r w:rsidRPr="0069787A">
        <w:rPr>
          <w:rFonts w:eastAsia="Times New Roman"/>
          <w:sz w:val="24"/>
          <w:szCs w:val="24"/>
        </w:rPr>
        <w:t>Also, some plants, algae, and microbial species synthesize quorum quenching compounds as part of nature, which include flavonoids, halogenated furanones, antimicrobial peptides, and halogenated furanones</w:t>
      </w:r>
      <w:r w:rsidR="00004FC0" w:rsidRPr="0069787A">
        <w:rPr>
          <w:rFonts w:eastAsia="Times New Roman"/>
          <w:sz w:val="24"/>
          <w:szCs w:val="24"/>
        </w:rPr>
        <w:t xml:space="preserve"> (Zhao et al. 2025)</w:t>
      </w:r>
      <w:r w:rsidRPr="0069787A">
        <w:rPr>
          <w:rFonts w:eastAsia="Times New Roman"/>
          <w:sz w:val="24"/>
          <w:szCs w:val="24"/>
        </w:rPr>
        <w:t xml:space="preserve">. These bioactive compounds interfere with QS mechanisms and have prompted molecular-based </w:t>
      </w:r>
      <w:r w:rsidRPr="0069787A">
        <w:rPr>
          <w:rFonts w:eastAsia="Times New Roman"/>
          <w:sz w:val="24"/>
          <w:szCs w:val="24"/>
        </w:rPr>
        <w:lastRenderedPageBreak/>
        <w:t>mimicking tools. Recent studies also indicate that nanoparticles, phage therapy, and CRISPR-based gene editing tools can be used to target Qs-related genes and signalling systems with high specificity</w:t>
      </w:r>
      <w:r w:rsidR="00EC2AA9" w:rsidRPr="0069787A">
        <w:rPr>
          <w:rFonts w:eastAsia="Times New Roman"/>
          <w:sz w:val="24"/>
          <w:szCs w:val="24"/>
        </w:rPr>
        <w:t xml:space="preserve"> (Dheensa et al. 2025)</w:t>
      </w:r>
      <w:r w:rsidRPr="0069787A">
        <w:rPr>
          <w:rFonts w:eastAsia="Times New Roman"/>
          <w:sz w:val="24"/>
          <w:szCs w:val="24"/>
        </w:rPr>
        <w:t>. Quorum quenching is extremely relevant to NHS and social care facilities as it has the potential to maintain biofilm-related infections, decrease reliance on broad-spectrum antibiotics, and enhance chronic and device-related infection outcomes</w:t>
      </w:r>
      <w:r w:rsidR="00F03CCC" w:rsidRPr="0069787A">
        <w:rPr>
          <w:rFonts w:eastAsia="Times New Roman"/>
          <w:sz w:val="24"/>
          <w:szCs w:val="24"/>
        </w:rPr>
        <w:t xml:space="preserve"> (Zheng et al. 2025)</w:t>
      </w:r>
      <w:r w:rsidRPr="0069787A">
        <w:rPr>
          <w:rFonts w:eastAsia="Times New Roman"/>
          <w:sz w:val="24"/>
          <w:szCs w:val="24"/>
        </w:rPr>
        <w:t>. Its implementation into infection prevention efforts can thus make a valuable contribution towards curbing the increasing issue of antimicrobial resistance.</w:t>
      </w:r>
    </w:p>
    <w:p w14:paraId="0000003F" w14:textId="77777777" w:rsidR="00A1077E" w:rsidRPr="0069787A" w:rsidRDefault="00FC3DFA" w:rsidP="00E31EE7">
      <w:pPr>
        <w:pStyle w:val="Heading2"/>
      </w:pPr>
      <w:bookmarkStart w:id="30" w:name="_Toc216991660"/>
      <w:r w:rsidRPr="0069787A">
        <w:t>2.10 Quorum Quenching Mechanisms to Prevent and Disrupt Biofilms.</w:t>
      </w:r>
      <w:bookmarkEnd w:id="30"/>
    </w:p>
    <w:p w14:paraId="00000040" w14:textId="621919A1" w:rsidR="00A1077E" w:rsidRPr="0069787A" w:rsidRDefault="00FC3DFA">
      <w:pPr>
        <w:spacing w:line="360" w:lineRule="auto"/>
        <w:jc w:val="both"/>
        <w:rPr>
          <w:rFonts w:eastAsia="Times New Roman"/>
          <w:sz w:val="24"/>
          <w:szCs w:val="24"/>
        </w:rPr>
      </w:pPr>
      <w:r w:rsidRPr="0069787A">
        <w:rPr>
          <w:rFonts w:eastAsia="Times New Roman"/>
          <w:sz w:val="24"/>
          <w:szCs w:val="24"/>
        </w:rPr>
        <w:t>Quorum quenching (QQ) strategies are starting to be seen as potential solutions that have a promising future in terms of preventing and disrupting biofilms, especially in clinical settings where traditional antibiotics do not work in many cases. Seeing that the biofilm formation is under stringent control of quorum sensing (QS), antimicrobial activity can be reduced by targeting QS, without exerting vehement selection pressure on antimicrobial resistance (Leistikow et al. 2024). Enzymatic degradation of signalling molecules is one of the major QQ strategies, which entails the degradation of acyl-homoserine lactones (AHLs) or peptide-based autoinducers with the help of enzymes lactonases, acylases, and oxidoreductases</w:t>
      </w:r>
      <w:r w:rsidR="00EC2AA9" w:rsidRPr="0069787A">
        <w:rPr>
          <w:rFonts w:eastAsia="Times New Roman"/>
          <w:sz w:val="24"/>
          <w:szCs w:val="24"/>
        </w:rPr>
        <w:t xml:space="preserve"> </w:t>
      </w:r>
      <w:r w:rsidRPr="0069787A">
        <w:rPr>
          <w:rFonts w:eastAsia="Times New Roman"/>
          <w:sz w:val="24"/>
          <w:szCs w:val="24"/>
        </w:rPr>
        <w:t>thereby preventing them to reach the threshold at which coordinated gene expression occurs</w:t>
      </w:r>
      <w:r w:rsidR="00EC2AA9" w:rsidRPr="0069787A">
        <w:rPr>
          <w:rFonts w:eastAsia="Times New Roman"/>
          <w:sz w:val="24"/>
          <w:szCs w:val="24"/>
        </w:rPr>
        <w:t xml:space="preserve"> (Sandhu et al. 2022)</w:t>
      </w:r>
      <w:r w:rsidRPr="0069787A">
        <w:rPr>
          <w:rFonts w:eastAsia="Times New Roman"/>
          <w:sz w:val="24"/>
          <w:szCs w:val="24"/>
        </w:rPr>
        <w:t>. This method deteriorates the integrity of biofilms and increases their vulnerability to antibiotics and immune clearance.</w:t>
      </w:r>
    </w:p>
    <w:p w14:paraId="00000041" w14:textId="5DF16A90" w:rsidR="00A1077E" w:rsidRPr="0069787A" w:rsidRDefault="00FC3DFA">
      <w:pPr>
        <w:spacing w:line="360" w:lineRule="auto"/>
        <w:jc w:val="both"/>
        <w:rPr>
          <w:rFonts w:eastAsia="Times New Roman"/>
          <w:sz w:val="24"/>
          <w:szCs w:val="24"/>
        </w:rPr>
      </w:pPr>
      <w:r w:rsidRPr="0069787A">
        <w:rPr>
          <w:rFonts w:eastAsia="Times New Roman"/>
          <w:sz w:val="24"/>
          <w:szCs w:val="24"/>
        </w:rPr>
        <w:t>This is the other competitor where QS signal analogues and receptor antagonists are used, which imitate the native QS molecules and are competitive in binding to the receptors. These compounds inhibit the transcription of biofilm formation and virulence genes by inhibiting the activation of receptors</w:t>
      </w:r>
      <w:r w:rsidR="00EC2AA9" w:rsidRPr="0069787A">
        <w:rPr>
          <w:rFonts w:eastAsia="Times New Roman"/>
          <w:sz w:val="24"/>
          <w:szCs w:val="24"/>
        </w:rPr>
        <w:t xml:space="preserve"> (Williams, 2022)</w:t>
      </w:r>
      <w:r w:rsidRPr="0069787A">
        <w:rPr>
          <w:rFonts w:eastAsia="Times New Roman"/>
          <w:sz w:val="24"/>
          <w:szCs w:val="24"/>
        </w:rPr>
        <w:t xml:space="preserve">. The synthetic and natural products, especially those produced by plants, algae and marine organisms have particularly been promising in this respect (Xu et al. 2025). Natural quorum quenching agents </w:t>
      </w:r>
      <w:r w:rsidR="00D62C86" w:rsidRPr="0069787A">
        <w:rPr>
          <w:rFonts w:eastAsia="Times New Roman"/>
          <w:sz w:val="24"/>
          <w:szCs w:val="24"/>
        </w:rPr>
        <w:t>such as</w:t>
      </w:r>
      <w:r w:rsidRPr="0069787A">
        <w:rPr>
          <w:rFonts w:eastAsia="Times New Roman"/>
          <w:sz w:val="24"/>
          <w:szCs w:val="24"/>
        </w:rPr>
        <w:t xml:space="preserve"> flavonoids, garlic extracts, essential oils, and halogenated furanones disrupt QS signalling pathways and have been shown to be effective in reducing biofilm biomass in a variety of pathogens</w:t>
      </w:r>
      <w:r w:rsidR="00EC2AA9" w:rsidRPr="0069787A">
        <w:rPr>
          <w:rFonts w:eastAsia="Times New Roman"/>
          <w:sz w:val="24"/>
          <w:szCs w:val="24"/>
        </w:rPr>
        <w:t xml:space="preserve"> (Depasquale et al. 2025)</w:t>
      </w:r>
      <w:r w:rsidRPr="0069787A">
        <w:rPr>
          <w:rFonts w:eastAsia="Times New Roman"/>
          <w:sz w:val="24"/>
          <w:szCs w:val="24"/>
        </w:rPr>
        <w:t xml:space="preserve">. Also, probiotic and competitive microbial species may prevent biofilm formation by synthesizing quorum enzymes, or by preventing pathogens access to adhesive sites. QQ strategies are also </w:t>
      </w:r>
      <w:r w:rsidRPr="0069787A">
        <w:rPr>
          <w:rFonts w:eastAsia="Times New Roman"/>
          <w:sz w:val="24"/>
          <w:szCs w:val="24"/>
        </w:rPr>
        <w:lastRenderedPageBreak/>
        <w:t>being developed with the use of emerging technological innovations (Mitra, 2024). Nanoparticle systems can enhance delivery systems to the biofilm sites with greater specificity, through the transportation of quenching agents, and phage therapy provides specific disruption of biofilm-associated bacteria. Moreover, gene editing using CRISPR-Cas has been pursued to silence QS-related genes providing intervention of high specificity.</w:t>
      </w:r>
    </w:p>
    <w:p w14:paraId="00000042" w14:textId="77777777" w:rsidR="00A1077E" w:rsidRPr="0069787A" w:rsidRDefault="00FC3DFA" w:rsidP="00E31EE7">
      <w:pPr>
        <w:pStyle w:val="Heading2"/>
      </w:pPr>
      <w:bookmarkStart w:id="31" w:name="_Toc216991661"/>
      <w:r w:rsidRPr="0069787A">
        <w:t>2.11 Technological Innovations for Detecting and Monitoring QS Activity</w:t>
      </w:r>
      <w:bookmarkEnd w:id="31"/>
      <w:r w:rsidRPr="0069787A">
        <w:t xml:space="preserve"> </w:t>
      </w:r>
    </w:p>
    <w:p w14:paraId="00000043" w14:textId="08E9F4D8" w:rsidR="00A1077E" w:rsidRPr="0069787A" w:rsidRDefault="00FC3DFA">
      <w:pPr>
        <w:spacing w:line="360" w:lineRule="auto"/>
        <w:jc w:val="both"/>
        <w:rPr>
          <w:rFonts w:eastAsia="Times New Roman"/>
          <w:sz w:val="24"/>
          <w:szCs w:val="24"/>
        </w:rPr>
      </w:pPr>
      <w:r w:rsidRPr="0069787A">
        <w:rPr>
          <w:rFonts w:eastAsia="Times New Roman"/>
          <w:sz w:val="24"/>
          <w:szCs w:val="24"/>
        </w:rPr>
        <w:t>The use of technological innovations has greatly contributed to the possibility of detecting, tracking, and analysing quorum sensing (QS) activity in both clinical and laboratory settings. Proper identification of QS signals is essential in comprehending the dynamics of microbial interactions, in early biofilm development and interventions of infection control</w:t>
      </w:r>
      <w:r w:rsidR="00F03CCC" w:rsidRPr="0069787A">
        <w:rPr>
          <w:rFonts w:eastAsia="Times New Roman"/>
          <w:sz w:val="24"/>
          <w:szCs w:val="24"/>
        </w:rPr>
        <w:t xml:space="preserve"> (Hussain et al. 2025)</w:t>
      </w:r>
      <w:r w:rsidRPr="0069787A">
        <w:rPr>
          <w:rFonts w:eastAsia="Times New Roman"/>
          <w:sz w:val="24"/>
          <w:szCs w:val="24"/>
        </w:rPr>
        <w:t>. Among the major innovations in this area is the biosensor assays, which is an assay that uses reporter strains or genetically engineered organisms that are able to generate a measurable response, whether fluorescence or luminescence, to quorum sensing molecules (Vitazkova et al. 2024). These biosensors enable the real-time tracking of the autoinducer concentrations and give useful information on the dynamics of bacterial communication.</w:t>
      </w:r>
    </w:p>
    <w:p w14:paraId="00000044" w14:textId="2CAE4E0F" w:rsidR="00A1077E" w:rsidRPr="0069787A" w:rsidRDefault="00FC3DFA">
      <w:pPr>
        <w:spacing w:line="360" w:lineRule="auto"/>
        <w:jc w:val="both"/>
        <w:rPr>
          <w:rFonts w:eastAsia="Times New Roman"/>
          <w:sz w:val="24"/>
          <w:szCs w:val="24"/>
        </w:rPr>
      </w:pPr>
      <w:r w:rsidRPr="0069787A">
        <w:rPr>
          <w:rFonts w:eastAsia="Times New Roman"/>
          <w:sz w:val="24"/>
          <w:szCs w:val="24"/>
        </w:rPr>
        <w:t xml:space="preserve">The sensitivity of chromatography and mass </w:t>
      </w:r>
      <w:r w:rsidR="00266CD9" w:rsidRPr="0069787A">
        <w:rPr>
          <w:rFonts w:eastAsia="Times New Roman"/>
          <w:sz w:val="24"/>
          <w:szCs w:val="24"/>
        </w:rPr>
        <w:t>spectrometry-based</w:t>
      </w:r>
      <w:r w:rsidRPr="0069787A">
        <w:rPr>
          <w:rFonts w:eastAsia="Times New Roman"/>
          <w:sz w:val="24"/>
          <w:szCs w:val="24"/>
        </w:rPr>
        <w:t xml:space="preserve"> methods, like liquid chromatography-mass spectrometry (LC-MS) and gas chromatography-mass spectrometry (GC-MS), is very high in the determination of QS signalling molecules, especially acyl-homoserine lactones and peptide autoinducers</w:t>
      </w:r>
      <w:r w:rsidR="00EC2AA9" w:rsidRPr="0069787A">
        <w:rPr>
          <w:rFonts w:eastAsia="Times New Roman"/>
          <w:sz w:val="24"/>
          <w:szCs w:val="24"/>
        </w:rPr>
        <w:t xml:space="preserve"> (Wakefield et al. 2022)</w:t>
      </w:r>
      <w:r w:rsidRPr="0069787A">
        <w:rPr>
          <w:rFonts w:eastAsia="Times New Roman"/>
          <w:sz w:val="24"/>
          <w:szCs w:val="24"/>
        </w:rPr>
        <w:t>. These analysis tools allow an accurate characterization of QS activity in clinical samples, such as, wound exudates, catheter surfaces, and respiratory secretions. Other recent developments are microfluidic and lab-on-a-chip platforms, in which microfluidics permits the control of bacterial growth and communication under physiological conditions (Chen, 2025). Such miniature systems can be used to test high throughputs of quorum quenching compounds and real time monitor biofilm growth at the micro level. Also, confocal laser scanning microscopy (CLSM) and atomic force microscopy (AFM) have enhanced the image of biofilm structure and QS-controlled processes in vivo, aiding in-depth structural and behavioural studies.</w:t>
      </w:r>
    </w:p>
    <w:p w14:paraId="00000045" w14:textId="050FDD38" w:rsidR="00A1077E" w:rsidRPr="0069787A" w:rsidRDefault="00FC3DFA">
      <w:pPr>
        <w:spacing w:line="360" w:lineRule="auto"/>
        <w:jc w:val="both"/>
        <w:rPr>
          <w:rFonts w:eastAsia="Times New Roman"/>
          <w:sz w:val="24"/>
          <w:szCs w:val="24"/>
        </w:rPr>
      </w:pPr>
      <w:r w:rsidRPr="0069787A">
        <w:rPr>
          <w:rFonts w:eastAsia="Times New Roman"/>
          <w:sz w:val="24"/>
          <w:szCs w:val="24"/>
        </w:rPr>
        <w:lastRenderedPageBreak/>
        <w:t>RNA sequencing and gene expression profiling are genomic and transcriptomic technologies useful in identifying QS-regulated pathways and genes</w:t>
      </w:r>
      <w:r w:rsidR="00F03CCC" w:rsidRPr="0069787A">
        <w:rPr>
          <w:rFonts w:eastAsia="Times New Roman"/>
          <w:sz w:val="24"/>
          <w:szCs w:val="24"/>
        </w:rPr>
        <w:t xml:space="preserve"> (CS et al. 2024)</w:t>
      </w:r>
      <w:r w:rsidRPr="0069787A">
        <w:rPr>
          <w:rFonts w:eastAsia="Times New Roman"/>
          <w:sz w:val="24"/>
          <w:szCs w:val="24"/>
        </w:rPr>
        <w:t>. These techniques facilitate the formation of specific inhibitors that have the ability to suppress a certain signalling node. Moreover, machine learning models and artificial intelligence are being more often combined to predict the behaviour patterns of QS and determine the influence of antimicrobial interventions (Bilal et al. 2025). These technological developments are associated with better infection surveillance and early detection of biofilm formation as well as the development of individualised treatment plans in NHS and social care settings, increasing patient safety and management of antimicrobial resistance.</w:t>
      </w:r>
    </w:p>
    <w:p w14:paraId="00000046" w14:textId="77777777" w:rsidR="00A1077E" w:rsidRPr="0069787A" w:rsidRDefault="00FC3DFA" w:rsidP="00E31EE7">
      <w:pPr>
        <w:pStyle w:val="Heading2"/>
      </w:pPr>
      <w:bookmarkStart w:id="32" w:name="_Toc216991662"/>
      <w:r w:rsidRPr="0069787A">
        <w:t>2.12 Anti-QS Therapy in the Future/ Surface-based Infection Control</w:t>
      </w:r>
      <w:bookmarkEnd w:id="32"/>
      <w:r w:rsidRPr="0069787A">
        <w:t xml:space="preserve"> </w:t>
      </w:r>
    </w:p>
    <w:p w14:paraId="00000047" w14:textId="02219967" w:rsidR="00A1077E" w:rsidRPr="0069787A" w:rsidRDefault="00FC3DFA">
      <w:pPr>
        <w:spacing w:line="360" w:lineRule="auto"/>
        <w:jc w:val="both"/>
        <w:rPr>
          <w:rFonts w:eastAsia="Times New Roman"/>
          <w:sz w:val="24"/>
          <w:szCs w:val="24"/>
        </w:rPr>
      </w:pPr>
      <w:r w:rsidRPr="0069787A">
        <w:rPr>
          <w:rFonts w:eastAsia="Times New Roman"/>
          <w:sz w:val="24"/>
          <w:szCs w:val="24"/>
        </w:rPr>
        <w:t>The development of novel anti-quorum sensing (anti-QS) antibiotics and surface-based infection control measures is a welcome change to non-bactericidal modes of action that diminish pathogenicity and biofilm formation without promulgating antimicrobial resistance</w:t>
      </w:r>
      <w:r w:rsidR="00E33197" w:rsidRPr="0069787A">
        <w:rPr>
          <w:rFonts w:eastAsia="Times New Roman"/>
          <w:sz w:val="24"/>
          <w:szCs w:val="24"/>
        </w:rPr>
        <w:t xml:space="preserve"> (Sandhu et al. 2021)</w:t>
      </w:r>
      <w:r w:rsidRPr="0069787A">
        <w:rPr>
          <w:rFonts w:eastAsia="Times New Roman"/>
          <w:sz w:val="24"/>
          <w:szCs w:val="24"/>
        </w:rPr>
        <w:t>. Anti-QS therapeutics are based on blocking bacterial communication signalling and as a result inhibiting the production of virulence factors, motility, and biofilm maturation. The most studied strategies are small-molecule inhibitors, enzyme-based quorum quenching agents, and natural products (Ahani et al. 2024). In a case in point, the signal molecules that are degraded by lactonases and acylase enzymes include acyl-homoserine lactones (AHLs) that interfere with the communication of Gram-negative pathogens like Pseudomonas aeruginosa. Equally, synthetic signal analogues and receptor antagonists inhibit QS receptors, which inhibit the transcription of virulence genes</w:t>
      </w:r>
      <w:r w:rsidR="00E33197" w:rsidRPr="0069787A">
        <w:rPr>
          <w:rFonts w:eastAsia="Times New Roman"/>
          <w:sz w:val="24"/>
          <w:szCs w:val="24"/>
        </w:rPr>
        <w:t xml:space="preserve"> (Van der Feltz-Cornelis et al. 2023)</w:t>
      </w:r>
      <w:r w:rsidRPr="0069787A">
        <w:rPr>
          <w:rFonts w:eastAsia="Times New Roman"/>
          <w:sz w:val="24"/>
          <w:szCs w:val="24"/>
        </w:rPr>
        <w:t>. The anti-QS efficacy of plant-derived compounds like flavonoids, derived by garlic, and marine furanones are under consideration as adjunctive therapeutic agents.</w:t>
      </w:r>
    </w:p>
    <w:p w14:paraId="33909542" w14:textId="608E53AF" w:rsidR="00266CD9" w:rsidRPr="0069787A" w:rsidRDefault="00266CD9" w:rsidP="00266CD9">
      <w:pPr>
        <w:spacing w:line="360" w:lineRule="auto"/>
        <w:jc w:val="center"/>
        <w:rPr>
          <w:rFonts w:eastAsia="Times New Roman"/>
          <w:sz w:val="24"/>
          <w:szCs w:val="24"/>
        </w:rPr>
      </w:pPr>
      <w:r w:rsidRPr="0069787A">
        <w:rPr>
          <w:noProof/>
        </w:rPr>
        <w:drawing>
          <wp:inline distT="0" distB="0" distL="0" distR="0" wp14:anchorId="47EA3AC2" wp14:editId="183912AE">
            <wp:extent cx="2319476" cy="1590675"/>
            <wp:effectExtent l="0" t="0" r="5080" b="0"/>
            <wp:docPr id="10" name="Picture 10" descr="It is the time for quorum sensing inhibition as alternative strategy of  antimicrobial therapy | Cell Communication and Signaling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t is the time for quorum sensing inhibition as alternative strategy of  antimicrobial therapy | Cell Communication and Signaling | Full Tex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22437" cy="1592705"/>
                    </a:xfrm>
                    <a:prstGeom prst="rect">
                      <a:avLst/>
                    </a:prstGeom>
                    <a:noFill/>
                    <a:ln>
                      <a:noFill/>
                    </a:ln>
                  </pic:spPr>
                </pic:pic>
              </a:graphicData>
            </a:graphic>
          </wp:inline>
        </w:drawing>
      </w:r>
    </w:p>
    <w:p w14:paraId="4F2D3C70" w14:textId="01E6AA7C" w:rsidR="00266CD9" w:rsidRPr="0069787A" w:rsidRDefault="00266CD9" w:rsidP="00E31EE7">
      <w:pPr>
        <w:pStyle w:val="Heading4"/>
      </w:pPr>
      <w:bookmarkStart w:id="33" w:name="_Toc214400445"/>
      <w:bookmarkStart w:id="34" w:name="_Toc216348754"/>
      <w:r w:rsidRPr="0069787A">
        <w:lastRenderedPageBreak/>
        <w:t xml:space="preserve">Figure </w:t>
      </w:r>
      <w:r w:rsidR="00FE41EF" w:rsidRPr="0069787A">
        <w:t>2.12</w:t>
      </w:r>
      <w:r w:rsidRPr="0069787A">
        <w:t>: Quorum sensing</w:t>
      </w:r>
      <w:bookmarkEnd w:id="33"/>
      <w:bookmarkEnd w:id="34"/>
    </w:p>
    <w:p w14:paraId="682F3E41" w14:textId="47706F79" w:rsidR="00266CD9" w:rsidRPr="0069787A" w:rsidRDefault="00266CD9" w:rsidP="00266CD9">
      <w:pPr>
        <w:spacing w:line="360" w:lineRule="auto"/>
        <w:jc w:val="center"/>
        <w:rPr>
          <w:rFonts w:eastAsia="Times New Roman"/>
          <w:sz w:val="24"/>
          <w:szCs w:val="24"/>
        </w:rPr>
      </w:pPr>
      <w:r w:rsidRPr="0069787A">
        <w:rPr>
          <w:rFonts w:eastAsia="Times New Roman"/>
          <w:sz w:val="24"/>
          <w:szCs w:val="24"/>
        </w:rPr>
        <w:t>(Source: Ahani et al. 2024)</w:t>
      </w:r>
    </w:p>
    <w:p w14:paraId="00000048" w14:textId="40DE8BBB" w:rsidR="00A1077E" w:rsidRPr="0069787A" w:rsidRDefault="00FC3DFA">
      <w:pPr>
        <w:spacing w:line="360" w:lineRule="auto"/>
        <w:jc w:val="both"/>
        <w:rPr>
          <w:rFonts w:eastAsia="Times New Roman"/>
          <w:sz w:val="24"/>
          <w:szCs w:val="24"/>
        </w:rPr>
      </w:pPr>
      <w:r w:rsidRPr="0069787A">
        <w:rPr>
          <w:rFonts w:eastAsia="Times New Roman"/>
          <w:sz w:val="24"/>
          <w:szCs w:val="24"/>
        </w:rPr>
        <w:t>Simultaneously, surface-based interventions serve to discourage the colonisation of medical devices, clinical surfaces, and care equipment by microbes. The microbial growth is prevented and environmental contamination is minimized by antimicrobial surface coating which includes the use of silver nanoparticles, copper alloys or photoactive substances (Kidanemariam, 2025). More specific coatings incorporate quorum quenching enzymes directly onto the surface of devices and thus inhibit QS activation and progression of biofilms at the most initial stages</w:t>
      </w:r>
      <w:r w:rsidR="00E33197" w:rsidRPr="0069787A">
        <w:rPr>
          <w:rFonts w:eastAsia="Times New Roman"/>
          <w:sz w:val="24"/>
          <w:szCs w:val="24"/>
        </w:rPr>
        <w:t xml:space="preserve"> (Lefevre et al. 2023)</w:t>
      </w:r>
      <w:r w:rsidRPr="0069787A">
        <w:rPr>
          <w:rFonts w:eastAsia="Times New Roman"/>
          <w:sz w:val="24"/>
          <w:szCs w:val="24"/>
        </w:rPr>
        <w:t>. Anti-QS agents are now being tested as catheter lock solutions, wound dressings and implant coating to lower device-associated infections in the long-term care and hospital environment.</w:t>
      </w:r>
    </w:p>
    <w:p w14:paraId="00000049" w14:textId="4D5456BB" w:rsidR="00A1077E" w:rsidRPr="0069787A" w:rsidRDefault="00FC3DFA">
      <w:pPr>
        <w:spacing w:line="360" w:lineRule="auto"/>
        <w:jc w:val="both"/>
        <w:rPr>
          <w:rFonts w:eastAsia="Times New Roman"/>
          <w:sz w:val="24"/>
          <w:szCs w:val="24"/>
        </w:rPr>
      </w:pPr>
      <w:r w:rsidRPr="0069787A">
        <w:rPr>
          <w:rFonts w:eastAsia="Times New Roman"/>
          <w:sz w:val="24"/>
          <w:szCs w:val="24"/>
        </w:rPr>
        <w:t>There are also intelligent surface technologies, including stimuli-responsive surfaces, that deploy quorum quenching agents in response to bacterial adhesion, which provides selective control with minimal drug loss. On-demand and biofilm disruption Light-activated antimicrobial surfaces are under investigation to offer photodynamic reactions to disruption of biofilms</w:t>
      </w:r>
      <w:r w:rsidR="00E33197" w:rsidRPr="0069787A">
        <w:rPr>
          <w:rFonts w:eastAsia="Times New Roman"/>
          <w:sz w:val="24"/>
          <w:szCs w:val="24"/>
        </w:rPr>
        <w:t xml:space="preserve"> (Pryce-Miller et al. 2023)</w:t>
      </w:r>
      <w:r w:rsidRPr="0069787A">
        <w:rPr>
          <w:rFonts w:eastAsia="Times New Roman"/>
          <w:sz w:val="24"/>
          <w:szCs w:val="24"/>
        </w:rPr>
        <w:t>. These new interventions have great applicability to NHS infection prevention policies, especially where they concern the minimisation of catheter-associated UTI, ventilator-associated pneumonia, surgical site infections and chronic wound colonisation (Wang et al. 2025). Through the combination of anti-QS therapeutics and surface-based technologies into the current care pathways, healthcare professionals can attain more sustainable infection management with less dependency on antibiotics, in turn, contributing to the wider cause of antimicrobial resistance.</w:t>
      </w:r>
    </w:p>
    <w:p w14:paraId="0000004A" w14:textId="77777777" w:rsidR="00A1077E" w:rsidRPr="0069787A" w:rsidRDefault="00FC3DFA" w:rsidP="00E31EE7">
      <w:pPr>
        <w:pStyle w:val="Heading2"/>
      </w:pPr>
      <w:bookmarkStart w:id="35" w:name="_Toc216991663"/>
      <w:r w:rsidRPr="0069787A">
        <w:t>2.13 QS and QQ in NHS and Social Care Infection Management Public Health, Economic, and Policy Implications.</w:t>
      </w:r>
      <w:bookmarkEnd w:id="35"/>
    </w:p>
    <w:p w14:paraId="0000004B" w14:textId="4269A650" w:rsidR="00A1077E" w:rsidRPr="0069787A" w:rsidRDefault="00FC3DFA">
      <w:pPr>
        <w:spacing w:line="360" w:lineRule="auto"/>
        <w:jc w:val="both"/>
        <w:rPr>
          <w:rFonts w:eastAsia="Times New Roman"/>
          <w:sz w:val="24"/>
          <w:szCs w:val="24"/>
        </w:rPr>
      </w:pPr>
      <w:r w:rsidRPr="0069787A">
        <w:rPr>
          <w:rFonts w:eastAsia="Times New Roman"/>
          <w:sz w:val="24"/>
          <w:szCs w:val="24"/>
        </w:rPr>
        <w:t xml:space="preserve">The concept of quorum sensing (QS) and quorum quenching (QQ) has major implications on the general public health in managing infections in the NHS and social care. QS-induced biofilms play a role in the occurrence of persistent healthcare-associated infections (HCAIs), resulting in rising patient morbidity, extended hospitalization, and high chances of developing antimicrobial resistance (AMR) (Llewelyn et al. 2022). Biofilms are resistant to normal antibiotics and therefore, they may need more and even more </w:t>
      </w:r>
      <w:r w:rsidRPr="0069787A">
        <w:rPr>
          <w:rFonts w:eastAsia="Times New Roman"/>
          <w:sz w:val="24"/>
          <w:szCs w:val="24"/>
        </w:rPr>
        <w:lastRenderedPageBreak/>
        <w:t>intensive clinical treatments thereby putting significant pressure on the already strained NHS resources</w:t>
      </w:r>
      <w:r w:rsidR="00E33197" w:rsidRPr="0069787A">
        <w:rPr>
          <w:rFonts w:eastAsia="Times New Roman"/>
          <w:sz w:val="24"/>
          <w:szCs w:val="24"/>
        </w:rPr>
        <w:t xml:space="preserve"> (Ramsey et al. 2022)</w:t>
      </w:r>
      <w:r w:rsidRPr="0069787A">
        <w:rPr>
          <w:rFonts w:eastAsia="Times New Roman"/>
          <w:sz w:val="24"/>
          <w:szCs w:val="24"/>
        </w:rPr>
        <w:t>. The adoption of QQ-based interventions would consider the incidence of chronic infection, decrease the use of antibiotics and enhance the outcome of infection control, thus serving national AMR mitigation objectives in the UK Five-Year AMR Strategy.</w:t>
      </w:r>
    </w:p>
    <w:p w14:paraId="0000004C" w14:textId="4B46B109" w:rsidR="00A1077E" w:rsidRPr="0069787A" w:rsidRDefault="00FC3DFA">
      <w:pPr>
        <w:spacing w:line="360" w:lineRule="auto"/>
        <w:jc w:val="both"/>
        <w:rPr>
          <w:rFonts w:eastAsia="Times New Roman"/>
          <w:sz w:val="24"/>
          <w:szCs w:val="24"/>
        </w:rPr>
      </w:pPr>
      <w:r w:rsidRPr="0069787A">
        <w:rPr>
          <w:rFonts w:eastAsia="Times New Roman"/>
          <w:sz w:val="24"/>
          <w:szCs w:val="24"/>
        </w:rPr>
        <w:t>HCAIs have a great economic implication on the healthcare systems because of the length of stay, repetitive treatments, surgery, and administration of advanced antibiotics. Managing biofilm-associated infections in the UK has been estimated to cost billions every year</w:t>
      </w:r>
      <w:r w:rsidR="00E33197" w:rsidRPr="0069787A">
        <w:rPr>
          <w:rFonts w:eastAsia="Times New Roman"/>
          <w:sz w:val="24"/>
          <w:szCs w:val="24"/>
        </w:rPr>
        <w:t xml:space="preserve"> (Eaton et al. 2021)</w:t>
      </w:r>
      <w:r w:rsidRPr="0069787A">
        <w:rPr>
          <w:rFonts w:eastAsia="Times New Roman"/>
          <w:sz w:val="24"/>
          <w:szCs w:val="24"/>
        </w:rPr>
        <w:t>. The QS-focused diagnostics and QQ-based treatment intervention can be expensive to implement, but on the long-term scale, the decrease in the frequency of infections and the decrease in antimicrobial dependency can lead to significant cost reductions (Lefosse et al. 2022). The reduction of preventable hospital admissions and efficient allocation of resources is possible by preventing infection at the source, especially on medical equipment and clinical surfaces.</w:t>
      </w:r>
    </w:p>
    <w:p w14:paraId="0000004D" w14:textId="00655E2A" w:rsidR="00A1077E" w:rsidRPr="0069787A" w:rsidRDefault="00FC3DFA">
      <w:pPr>
        <w:spacing w:line="360" w:lineRule="auto"/>
        <w:jc w:val="both"/>
        <w:rPr>
          <w:rFonts w:eastAsia="Times New Roman"/>
          <w:sz w:val="24"/>
          <w:szCs w:val="24"/>
        </w:rPr>
      </w:pPr>
      <w:r w:rsidRPr="0069787A">
        <w:rPr>
          <w:rFonts w:eastAsia="Times New Roman"/>
          <w:sz w:val="24"/>
          <w:szCs w:val="24"/>
        </w:rPr>
        <w:t>Policy-wise, the identification of QS and QQ in the context of infection prevention may make it possible to create new clinical guidelines and procurement tools in relation to anti-biofilm substances and diagnostic systems. This conforms to the NHS priorities of enhancing patient safety, better monitoring of complex infections and stewardship of antimicrobial therapies</w:t>
      </w:r>
      <w:r w:rsidR="00E33197" w:rsidRPr="0069787A">
        <w:rPr>
          <w:rFonts w:eastAsia="Times New Roman"/>
          <w:sz w:val="24"/>
          <w:szCs w:val="24"/>
        </w:rPr>
        <w:t xml:space="preserve"> (Evans, 2025)</w:t>
      </w:r>
      <w:r w:rsidRPr="0069787A">
        <w:rPr>
          <w:rFonts w:eastAsia="Times New Roman"/>
          <w:sz w:val="24"/>
          <w:szCs w:val="24"/>
        </w:rPr>
        <w:t>. The policymakers might also be required to encourage research collaborations among healthcare providers, universities, and biotechnology industries to hasten the formulation of clinically viable QQ agents (Yao et al. 2023). Altogether, the consideration of QS and QQ in infection control develops the strategic toolkit to deal with AMR and enhance patient outcomes. Putting scientific invention together with health policy and economic planning, the NHS can improve the resiliency and sustainability of the system of infection prevention and control.</w:t>
      </w:r>
    </w:p>
    <w:p w14:paraId="0000004E" w14:textId="6C8DD9C9" w:rsidR="00A1077E" w:rsidRPr="0069787A" w:rsidRDefault="00FC3DFA" w:rsidP="00E31EE7">
      <w:pPr>
        <w:pStyle w:val="Heading2"/>
      </w:pPr>
      <w:bookmarkStart w:id="36" w:name="_Toc216991664"/>
      <w:r w:rsidRPr="0069787A">
        <w:t>2</w:t>
      </w:r>
      <w:r w:rsidR="00FA3B59" w:rsidRPr="0069787A">
        <w:t>.</w:t>
      </w:r>
      <w:r w:rsidRPr="0069787A">
        <w:t xml:space="preserve">14 Theoretical </w:t>
      </w:r>
      <w:r w:rsidR="00C86C38" w:rsidRPr="0069787A">
        <w:t>overviews</w:t>
      </w:r>
      <w:bookmarkEnd w:id="36"/>
      <w:r w:rsidRPr="0069787A">
        <w:t xml:space="preserve"> </w:t>
      </w:r>
    </w:p>
    <w:p w14:paraId="0000004F" w14:textId="03EA08E7" w:rsidR="00A1077E" w:rsidRPr="0069787A" w:rsidRDefault="00FC3DFA">
      <w:pPr>
        <w:spacing w:line="360" w:lineRule="auto"/>
        <w:jc w:val="both"/>
        <w:rPr>
          <w:rFonts w:eastAsia="Times New Roman"/>
          <w:sz w:val="24"/>
          <w:szCs w:val="24"/>
        </w:rPr>
      </w:pPr>
      <w:r w:rsidRPr="0069787A">
        <w:rPr>
          <w:rFonts w:eastAsia="Times New Roman"/>
          <w:sz w:val="24"/>
          <w:szCs w:val="24"/>
        </w:rPr>
        <w:t xml:space="preserve">One Health framework offers an appropriate theoretical framework to </w:t>
      </w:r>
      <w:r w:rsidR="00C86C38" w:rsidRPr="0069787A">
        <w:rPr>
          <w:rFonts w:eastAsia="Times New Roman"/>
          <w:sz w:val="24"/>
          <w:szCs w:val="24"/>
        </w:rPr>
        <w:t>analyse</w:t>
      </w:r>
      <w:r w:rsidRPr="0069787A">
        <w:rPr>
          <w:rFonts w:eastAsia="Times New Roman"/>
          <w:sz w:val="24"/>
          <w:szCs w:val="24"/>
        </w:rPr>
        <w:t xml:space="preserve"> quorum sensing (QS), quorum quenching (QQ), infection control, and antimicrobial resistance (AMR) in the NHS and social care settings. One Health is an interdisciplinary, multisectoral and collaborative methodology that acknowledges the interdependence between human health, microbial ecosystems, healthcare environments, and broader </w:t>
      </w:r>
      <w:r w:rsidRPr="0069787A">
        <w:rPr>
          <w:rFonts w:eastAsia="Times New Roman"/>
          <w:sz w:val="24"/>
          <w:szCs w:val="24"/>
        </w:rPr>
        <w:lastRenderedPageBreak/>
        <w:t>social and ecological systems (Rizzo et al. 2021). The framework is specifically applicable to QS-mediated infections where bacterial communication, biofilm formation and AMR development does not happen in isolation, but rather it develops through interactions not only at the clinical, environmental, community, and technological domains.</w:t>
      </w:r>
    </w:p>
    <w:p w14:paraId="44643413" w14:textId="6588393A" w:rsidR="008B3520" w:rsidRPr="0069787A" w:rsidRDefault="008B3520" w:rsidP="005C52D1">
      <w:pPr>
        <w:spacing w:line="360" w:lineRule="auto"/>
        <w:jc w:val="center"/>
        <w:rPr>
          <w:rFonts w:eastAsia="Times New Roman"/>
          <w:sz w:val="24"/>
          <w:szCs w:val="24"/>
        </w:rPr>
      </w:pPr>
      <w:r w:rsidRPr="0069787A">
        <w:rPr>
          <w:noProof/>
        </w:rPr>
        <w:drawing>
          <wp:inline distT="0" distB="0" distL="0" distR="0" wp14:anchorId="72061826" wp14:editId="7B9B87B7">
            <wp:extent cx="3009900" cy="3009900"/>
            <wp:effectExtent l="0" t="0" r="0" b="0"/>
            <wp:docPr id="1" name="Picture 1" descr="One Health: How to Achieve Optimal Health for People, Animals and Our  Planet - Blog - IS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 Health: How to Achieve Optimal Health for People, Animals and Our  Planet - Blog - ISGLOB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p>
    <w:p w14:paraId="3608509F" w14:textId="4699679C" w:rsidR="005C52D1" w:rsidRPr="0069787A" w:rsidRDefault="005C52D1" w:rsidP="00E31EE7">
      <w:pPr>
        <w:pStyle w:val="Heading4"/>
      </w:pPr>
      <w:bookmarkStart w:id="37" w:name="_Toc214400446"/>
      <w:bookmarkStart w:id="38" w:name="_Toc216348755"/>
      <w:r w:rsidRPr="0069787A">
        <w:t xml:space="preserve">Figure </w:t>
      </w:r>
      <w:r w:rsidR="00FE41EF" w:rsidRPr="0069787A">
        <w:t>2.14:</w:t>
      </w:r>
      <w:r w:rsidRPr="0069787A">
        <w:t xml:space="preserve"> One Health model</w:t>
      </w:r>
      <w:bookmarkEnd w:id="37"/>
      <w:bookmarkEnd w:id="38"/>
    </w:p>
    <w:p w14:paraId="45DA65E3" w14:textId="1E75675C" w:rsidR="005C52D1" w:rsidRPr="0069787A" w:rsidRDefault="005C52D1" w:rsidP="005C52D1">
      <w:pPr>
        <w:spacing w:line="360" w:lineRule="auto"/>
        <w:jc w:val="center"/>
        <w:rPr>
          <w:rFonts w:eastAsia="Times New Roman"/>
          <w:sz w:val="24"/>
          <w:szCs w:val="24"/>
        </w:rPr>
      </w:pPr>
      <w:r w:rsidRPr="0069787A">
        <w:rPr>
          <w:rFonts w:eastAsia="Times New Roman"/>
          <w:sz w:val="24"/>
          <w:szCs w:val="24"/>
        </w:rPr>
        <w:t>(Source: Ghai et al. 2022)</w:t>
      </w:r>
    </w:p>
    <w:p w14:paraId="00000050" w14:textId="32566C26" w:rsidR="00A1077E" w:rsidRPr="0069787A" w:rsidRDefault="00FC3DFA">
      <w:pPr>
        <w:spacing w:line="360" w:lineRule="auto"/>
        <w:jc w:val="both"/>
        <w:rPr>
          <w:rFonts w:eastAsia="Times New Roman"/>
          <w:sz w:val="24"/>
          <w:szCs w:val="24"/>
        </w:rPr>
      </w:pPr>
      <w:r w:rsidRPr="0069787A">
        <w:rPr>
          <w:rFonts w:eastAsia="Times New Roman"/>
          <w:sz w:val="24"/>
          <w:szCs w:val="24"/>
        </w:rPr>
        <w:t>In healthcare, the One Health approach puts into the limelight the emergence of persistent infections through evolving microbial responses to antimicrobial exposures and colonisation of medical devices, and patient-to-patient transmission</w:t>
      </w:r>
      <w:r w:rsidR="00E33197" w:rsidRPr="0069787A">
        <w:rPr>
          <w:rFonts w:eastAsia="Times New Roman"/>
          <w:sz w:val="24"/>
          <w:szCs w:val="24"/>
        </w:rPr>
        <w:t xml:space="preserve"> (Keemink et al. 2022)</w:t>
      </w:r>
      <w:r w:rsidRPr="0069787A">
        <w:rPr>
          <w:rFonts w:eastAsia="Times New Roman"/>
          <w:sz w:val="24"/>
          <w:szCs w:val="24"/>
        </w:rPr>
        <w:t xml:space="preserve">. The QS-regulated biofilms are one of the ecological survival mechanisms and support the opinion that microorganisms act as organised communities instead of being isolated cells (Ghai et al. 2022). This is in line with the idea of One Health which focuses on system thinking, in which the health outcomes are determined by the wider biological and environmental factors. </w:t>
      </w:r>
    </w:p>
    <w:p w14:paraId="00000051" w14:textId="0F3066F5" w:rsidR="00A1077E" w:rsidRPr="0069787A" w:rsidRDefault="00FC3DFA">
      <w:pPr>
        <w:spacing w:line="360" w:lineRule="auto"/>
        <w:jc w:val="both"/>
        <w:rPr>
          <w:rFonts w:eastAsia="Times New Roman"/>
          <w:sz w:val="24"/>
          <w:szCs w:val="24"/>
        </w:rPr>
      </w:pPr>
      <w:r w:rsidRPr="0069787A">
        <w:rPr>
          <w:rFonts w:eastAsia="Times New Roman"/>
          <w:sz w:val="24"/>
          <w:szCs w:val="24"/>
        </w:rPr>
        <w:t>One Health focuses on the joint accountability of healthcare providers, researchers, policymakers and social care providers in mitigating risks of infections. To implement QS surveillance systems, anti-QS therapeutics, and integrating QQ surface technologies, coordination between microbiology laboratories, clinical governance frameworks, procurement systems, and public health agencies is necessary</w:t>
      </w:r>
      <w:r w:rsidR="00E33197" w:rsidRPr="0069787A">
        <w:rPr>
          <w:rFonts w:eastAsia="Times New Roman"/>
          <w:sz w:val="24"/>
          <w:szCs w:val="24"/>
        </w:rPr>
        <w:t xml:space="preserve"> (Guest et al. 2023)</w:t>
      </w:r>
      <w:r w:rsidRPr="0069787A">
        <w:rPr>
          <w:rFonts w:eastAsia="Times New Roman"/>
          <w:sz w:val="24"/>
          <w:szCs w:val="24"/>
        </w:rPr>
        <w:t xml:space="preserve">. The </w:t>
      </w:r>
      <w:r w:rsidRPr="0069787A">
        <w:rPr>
          <w:rFonts w:eastAsia="Times New Roman"/>
          <w:sz w:val="24"/>
          <w:szCs w:val="24"/>
        </w:rPr>
        <w:lastRenderedPageBreak/>
        <w:t>framework also allows consideration of the social and economic factors shaping infection control practices which include the pressures of workload, care infrastructure, and patient vulnerability (Desvars-Larrive et al. 2024). Through the One Health framework, this study places QS and QQ not just as microbiological phenomena, but as issues in the health sector of the population in need of solutions that are holistic, systemic, and preventive. Such theoretical foundation supports the purpose of the study to investigate sustainable, innovation-based methods of infection management and AMR reduction in the NHS and social care practice environment.</w:t>
      </w:r>
    </w:p>
    <w:p w14:paraId="00000052" w14:textId="77777777" w:rsidR="00A1077E" w:rsidRPr="0069787A" w:rsidRDefault="00FC3DFA" w:rsidP="00E31EE7">
      <w:pPr>
        <w:pStyle w:val="Heading2"/>
      </w:pPr>
      <w:bookmarkStart w:id="39" w:name="_Toc216991665"/>
      <w:r w:rsidRPr="0069787A">
        <w:t>2.15 Literature gap</w:t>
      </w:r>
      <w:bookmarkEnd w:id="39"/>
      <w:r w:rsidRPr="0069787A">
        <w:t xml:space="preserve"> </w:t>
      </w:r>
    </w:p>
    <w:p w14:paraId="00000053" w14:textId="5FAF6CDC" w:rsidR="00A1077E" w:rsidRPr="0069787A" w:rsidRDefault="00FC3DFA">
      <w:pPr>
        <w:spacing w:line="360" w:lineRule="auto"/>
        <w:jc w:val="both"/>
        <w:rPr>
          <w:rFonts w:eastAsia="Times New Roman"/>
          <w:sz w:val="24"/>
          <w:szCs w:val="24"/>
        </w:rPr>
      </w:pPr>
      <w:r w:rsidRPr="0069787A">
        <w:rPr>
          <w:rFonts w:eastAsia="Times New Roman"/>
          <w:sz w:val="24"/>
          <w:szCs w:val="24"/>
        </w:rPr>
        <w:t>Despite the considerable body of research explaining the process of quorum sensing (QS) and how it can be used to control virulence and biofilm formation, there is still a substantial disconnect between scientific knowledge on the topic and its application in the context of infection control in NHS and social care environments</w:t>
      </w:r>
      <w:r w:rsidR="00E33197" w:rsidRPr="0069787A">
        <w:rPr>
          <w:rFonts w:eastAsia="Times New Roman"/>
          <w:sz w:val="24"/>
          <w:szCs w:val="24"/>
        </w:rPr>
        <w:t xml:space="preserve"> (Abdulmohdi, 2024)</w:t>
      </w:r>
      <w:r w:rsidRPr="0069787A">
        <w:rPr>
          <w:rFonts w:eastAsia="Times New Roman"/>
          <w:sz w:val="24"/>
          <w:szCs w:val="24"/>
        </w:rPr>
        <w:t xml:space="preserve">. To a large extent, the existing body of literature is limited to laboratory-based research or experimental settings, which do not adequately gauge the complexity of actual clinical settings, and where a multiplicity of pathogens, surfaces, and patient factors interplay at the same time (McTaggart et al. 2025). Moreover, although quorum quenching (QQ) has been suggested as a perspective to overcome the existing antimicrobial treatments, the effectiveness, safety, and scalability of quorum quenching in healthcare practice have been little empirically investigated. </w:t>
      </w:r>
    </w:p>
    <w:p w14:paraId="00000054" w14:textId="6F85E8A9" w:rsidR="00A1077E" w:rsidRPr="0069787A" w:rsidRDefault="00FC3DFA">
      <w:pPr>
        <w:spacing w:line="360" w:lineRule="auto"/>
        <w:jc w:val="both"/>
        <w:rPr>
          <w:rFonts w:eastAsia="Times New Roman"/>
          <w:sz w:val="24"/>
          <w:szCs w:val="24"/>
        </w:rPr>
      </w:pPr>
      <w:r w:rsidRPr="0069787A">
        <w:rPr>
          <w:rFonts w:eastAsia="Times New Roman"/>
          <w:sz w:val="24"/>
          <w:szCs w:val="24"/>
        </w:rPr>
        <w:t xml:space="preserve">The research on the integration of technological solutions to QS detection into the routine AMR surveillance and infection prevention systems in the UK healthcare services is also lacking. Also, the larger public health and economic consequences of QS- and QQ-based interventions have not been sufficiently addressed especially with regard to resource allocation, procurement policy, and </w:t>
      </w:r>
      <w:r w:rsidR="008B3520" w:rsidRPr="0069787A">
        <w:rPr>
          <w:rFonts w:eastAsia="Times New Roman"/>
          <w:sz w:val="24"/>
          <w:szCs w:val="24"/>
        </w:rPr>
        <w:t>long-term</w:t>
      </w:r>
      <w:r w:rsidRPr="0069787A">
        <w:rPr>
          <w:rFonts w:eastAsia="Times New Roman"/>
          <w:sz w:val="24"/>
          <w:szCs w:val="24"/>
        </w:rPr>
        <w:t xml:space="preserve"> sustainability (Taie et al. 2025). On the whole, the current literature offers good theoretical background but does not include applied, context-specific evidence that can be used to develop clinical guidelines and make policy decisions. This gap has made it evident that there are gaps requiring research to bridge microbiological science and real-life implementation of infection control and public health.</w:t>
      </w:r>
    </w:p>
    <w:p w14:paraId="00000055" w14:textId="77777777" w:rsidR="00A1077E" w:rsidRPr="0069787A" w:rsidRDefault="00FC3DFA" w:rsidP="00E31EE7">
      <w:pPr>
        <w:pStyle w:val="Heading2"/>
      </w:pPr>
      <w:bookmarkStart w:id="40" w:name="_Toc216991666"/>
      <w:r w:rsidRPr="0069787A">
        <w:t>2.16 Summary</w:t>
      </w:r>
      <w:bookmarkEnd w:id="40"/>
      <w:r w:rsidRPr="0069787A">
        <w:t xml:space="preserve"> </w:t>
      </w:r>
    </w:p>
    <w:p w14:paraId="00000056" w14:textId="3FCC39E8" w:rsidR="00B869AF" w:rsidRPr="0069787A" w:rsidRDefault="00FC3DFA">
      <w:pPr>
        <w:spacing w:line="360" w:lineRule="auto"/>
        <w:jc w:val="both"/>
        <w:rPr>
          <w:rFonts w:eastAsia="Times New Roman"/>
          <w:sz w:val="24"/>
          <w:szCs w:val="24"/>
        </w:rPr>
      </w:pPr>
      <w:r w:rsidRPr="0069787A">
        <w:rPr>
          <w:rFonts w:eastAsia="Times New Roman"/>
          <w:sz w:val="24"/>
          <w:szCs w:val="24"/>
        </w:rPr>
        <w:lastRenderedPageBreak/>
        <w:t>This chapter has discussed the most important literature on quorum sensing, quorum quenching, biofilm formation, and their implication to infection control and antimicrobial resistance. It demonstrated the role of QS in regulating bacterial virulence and the formation of persistent biofilms that make the treatment process challenging in NHS and social care environments. New QQ approaches and technological solutions have an opportunity to replace traditional antibiotics and decrease AMR, as well as enhance patient outcomes. Nonetheless, there are still gaps in terms of clinical application, cost-efficiency, and policy incorporation of QQ-based interventions. These gaps warrant a need to further examine how QS disruption can be successfully included in the prevention of infection and the health of the population in the UK.</w:t>
      </w:r>
    </w:p>
    <w:p w14:paraId="18D64C3B" w14:textId="77777777" w:rsidR="00B869AF" w:rsidRPr="0069787A" w:rsidRDefault="00B869AF">
      <w:pPr>
        <w:rPr>
          <w:rFonts w:eastAsia="Times New Roman"/>
          <w:sz w:val="24"/>
          <w:szCs w:val="24"/>
        </w:rPr>
      </w:pPr>
      <w:r w:rsidRPr="0069787A">
        <w:rPr>
          <w:rFonts w:eastAsia="Times New Roman"/>
          <w:sz w:val="24"/>
          <w:szCs w:val="24"/>
        </w:rPr>
        <w:br w:type="page"/>
      </w:r>
    </w:p>
    <w:p w14:paraId="703729D4" w14:textId="77777777" w:rsidR="00B869AF" w:rsidRPr="0069787A" w:rsidRDefault="00B869AF" w:rsidP="00E31EE7">
      <w:pPr>
        <w:pStyle w:val="Heading1"/>
      </w:pPr>
      <w:bookmarkStart w:id="41" w:name="_Toc216991667"/>
      <w:r w:rsidRPr="0069787A">
        <w:lastRenderedPageBreak/>
        <w:t>CHAPTER 3: METHODOLOGY</w:t>
      </w:r>
      <w:bookmarkEnd w:id="41"/>
    </w:p>
    <w:p w14:paraId="0F4CA547" w14:textId="77777777" w:rsidR="00B869AF" w:rsidRPr="0069787A" w:rsidRDefault="00B869AF" w:rsidP="00E31EE7">
      <w:pPr>
        <w:pStyle w:val="Heading2"/>
      </w:pPr>
      <w:bookmarkStart w:id="42" w:name="_3vloyxdb3gz3" w:colFirst="0" w:colLast="0"/>
      <w:bookmarkStart w:id="43" w:name="_Toc216991668"/>
      <w:bookmarkEnd w:id="42"/>
      <w:r w:rsidRPr="0069787A">
        <w:t>3.1 Introduction</w:t>
      </w:r>
      <w:bookmarkEnd w:id="43"/>
    </w:p>
    <w:p w14:paraId="0A6D40A1"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Saunders Research Onion is an effective tool that offers a systematic design to the creation of a rigorous research methodology. It defines some of the key layers such as research philosophy, approach, design, strategy, data collection, sampling, analysis and ethical considerations. This chapter uses the Onion to present the methodological decisions of this systematic review. It provides the research philosophy and design of the study, search strategy, data collection and the data screening procedure, the methods of sampling and analysis, the ethical considerations, limitations and the challenges that were faced.</w:t>
      </w:r>
    </w:p>
    <w:p w14:paraId="1C551DEF" w14:textId="77777777" w:rsidR="00B869AF" w:rsidRPr="0069787A" w:rsidRDefault="00B869AF" w:rsidP="00E31EE7">
      <w:pPr>
        <w:pStyle w:val="Heading2"/>
      </w:pPr>
      <w:bookmarkStart w:id="44" w:name="_1ydaj2x88tpt" w:colFirst="0" w:colLast="0"/>
      <w:bookmarkStart w:id="45" w:name="_Toc216991669"/>
      <w:bookmarkEnd w:id="44"/>
      <w:r w:rsidRPr="0069787A">
        <w:t>3.2 Research philosophy</w:t>
      </w:r>
      <w:bookmarkEnd w:id="45"/>
    </w:p>
    <w:p w14:paraId="086A0B35"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Research philosophy can be defined as the beliefs behind the creation and conception of knowledge (Saliya, 2023). It influences approaches and meanings. Some of the common forms are positivism, interpretivism, pragmatism and realism. All the philosophies indicate varying assumptions of reality, evidence and sense, which shape the way scientists gather, examine and interpret information.</w:t>
      </w:r>
    </w:p>
    <w:p w14:paraId="673C9843" w14:textId="77777777" w:rsidR="00B869AF" w:rsidRPr="0069787A" w:rsidRDefault="00B869AF" w:rsidP="00B869AF">
      <w:pPr>
        <w:spacing w:line="360" w:lineRule="auto"/>
        <w:jc w:val="center"/>
        <w:rPr>
          <w:rFonts w:eastAsia="Times New Roman"/>
          <w:sz w:val="24"/>
          <w:szCs w:val="24"/>
        </w:rPr>
      </w:pPr>
      <w:r w:rsidRPr="0069787A">
        <w:rPr>
          <w:rFonts w:eastAsia="Times New Roman"/>
          <w:noProof/>
          <w:sz w:val="24"/>
          <w:szCs w:val="24"/>
        </w:rPr>
        <w:drawing>
          <wp:inline distT="114300" distB="114300" distL="114300" distR="114300" wp14:anchorId="0E369DA3" wp14:editId="604A2066">
            <wp:extent cx="4138613" cy="283358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3525" t="7894" r="4487" b="5825"/>
                    <a:stretch>
                      <a:fillRect/>
                    </a:stretch>
                  </pic:blipFill>
                  <pic:spPr>
                    <a:xfrm>
                      <a:off x="0" y="0"/>
                      <a:ext cx="4138613" cy="2833580"/>
                    </a:xfrm>
                    <a:prstGeom prst="rect">
                      <a:avLst/>
                    </a:prstGeom>
                    <a:ln/>
                  </pic:spPr>
                </pic:pic>
              </a:graphicData>
            </a:graphic>
          </wp:inline>
        </w:drawing>
      </w:r>
    </w:p>
    <w:p w14:paraId="1AAA4265" w14:textId="77777777" w:rsidR="00B869AF" w:rsidRPr="0069787A" w:rsidRDefault="00B869AF" w:rsidP="00E31EE7">
      <w:pPr>
        <w:pStyle w:val="Heading4"/>
      </w:pPr>
      <w:bookmarkStart w:id="46" w:name="_p0ppyv8w5ob2" w:colFirst="0" w:colLast="0"/>
      <w:bookmarkStart w:id="47" w:name="_Toc214400447"/>
      <w:bookmarkStart w:id="48" w:name="_Toc216348756"/>
      <w:bookmarkEnd w:id="46"/>
      <w:r w:rsidRPr="0069787A">
        <w:t>Figure 3.2: Research philosophies</w:t>
      </w:r>
      <w:bookmarkEnd w:id="47"/>
      <w:bookmarkEnd w:id="48"/>
    </w:p>
    <w:p w14:paraId="10C1E06E" w14:textId="77777777" w:rsidR="00B869AF" w:rsidRPr="0069787A" w:rsidRDefault="00B869AF" w:rsidP="00B869AF">
      <w:pPr>
        <w:spacing w:line="360" w:lineRule="auto"/>
        <w:jc w:val="center"/>
        <w:rPr>
          <w:rFonts w:eastAsia="Times New Roman"/>
          <w:sz w:val="24"/>
          <w:szCs w:val="24"/>
        </w:rPr>
      </w:pPr>
      <w:r w:rsidRPr="0069787A">
        <w:rPr>
          <w:rFonts w:eastAsia="Times New Roman"/>
          <w:sz w:val="24"/>
          <w:szCs w:val="24"/>
        </w:rPr>
        <w:t>(Source: Saliya, 2023)</w:t>
      </w:r>
    </w:p>
    <w:p w14:paraId="78CB973A"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 xml:space="preserve">The philosophy in this study will be an interpretivist philosophy, since the research will seek to examine complex, context-specific phenomena like quorum sensing, infection </w:t>
      </w:r>
      <w:r w:rsidRPr="0069787A">
        <w:rPr>
          <w:rFonts w:eastAsia="Times New Roman"/>
          <w:sz w:val="24"/>
          <w:szCs w:val="24"/>
        </w:rPr>
        <w:lastRenderedPageBreak/>
        <w:t>control measures, and AMR surveillance in both NHS and social care settings. Interpretivism encourages the analysis of human meanings, the situations of policy and organisational behaviours that cannot be described in purely numeric terms. It enables the researcher to integrate the findings based on qualitative evidence, policy documents and narrative descriptions to know the general impacts of QS and QQ on the decision to maintain and sustain good health among the people (Saliya, 2023). This philosophy is apt in determining the meaning, patterns, and implications of clinical practises to allow a deeper, nuanced comprehension that would be crucial in informing the policy and infection-control strategies.</w:t>
      </w:r>
    </w:p>
    <w:p w14:paraId="35757FE9" w14:textId="77777777" w:rsidR="00B869AF" w:rsidRPr="0069787A" w:rsidRDefault="00B869AF" w:rsidP="00E31EE7">
      <w:pPr>
        <w:pStyle w:val="Heading2"/>
      </w:pPr>
      <w:bookmarkStart w:id="49" w:name="_x3y4as65p73s" w:colFirst="0" w:colLast="0"/>
      <w:bookmarkStart w:id="50" w:name="_Toc216991670"/>
      <w:bookmarkEnd w:id="49"/>
      <w:r w:rsidRPr="0069787A">
        <w:t>3.3 Research design</w:t>
      </w:r>
      <w:bookmarkEnd w:id="50"/>
    </w:p>
    <w:p w14:paraId="77B8E096"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research design is a generalised plan of how the study will be carried out to ensure that the process of data collection and analysis is in line with the objectives of the research. There are such types as exploratory, descriptive, explanatory, experimental, and mixed-method designs (Sharma et al. 2023). It brings order, unity and methodological validity to answering the research questions in a good way.</w:t>
      </w:r>
    </w:p>
    <w:p w14:paraId="0A8CDD9F"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present study assumes an exploratory qualitative design since it aims to explore a recently emerging and insufficiently studied field: the use of quorum sensing, quorum quenching, and other technologies in infection control and AMR surveillance in the UK health system. The qualitative methodology will allow a deeper assessment of peer-reviewed articles, grey literature, and policy reports to help synthesise various knowledge based on case-studies, narrative reviews, and health policy analysis. This design would greatly fit the purpose of establishing new themes, contextual influences and gaps in knowledge which would not have arisen in a quantitative design. It assists in the understanding of the complicated interactions among microbial behaviour, NHS clinical practises, and the decision-making of the population to provide a deeper insight in policy development.</w:t>
      </w:r>
    </w:p>
    <w:p w14:paraId="591ECB71" w14:textId="77777777" w:rsidR="00B869AF" w:rsidRPr="0069787A" w:rsidRDefault="00B869AF" w:rsidP="00E31EE7">
      <w:pPr>
        <w:pStyle w:val="Heading2"/>
      </w:pPr>
      <w:bookmarkStart w:id="51" w:name="_1ts7kympooaj" w:colFirst="0" w:colLast="0"/>
      <w:bookmarkStart w:id="52" w:name="_Toc216991671"/>
      <w:bookmarkEnd w:id="51"/>
      <w:r w:rsidRPr="0069787A">
        <w:t>3.4 Search strategy</w:t>
      </w:r>
      <w:bookmarkEnd w:id="52"/>
    </w:p>
    <w:p w14:paraId="0D6F8E1D"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In this study the search strategy used was such that it will cover exhaustively the literature concerning quorum sensing, quorum quenching and antimicrobial resistance. Such keywords like quorum sensing, quorum quenching, biofilm, biofilm disruption, antimicrobial resistance, healthcare-associated infections, social care environments, AI-</w:t>
      </w:r>
      <w:r w:rsidRPr="0069787A">
        <w:rPr>
          <w:rFonts w:eastAsia="Times New Roman"/>
          <w:sz w:val="24"/>
          <w:szCs w:val="24"/>
        </w:rPr>
        <w:lastRenderedPageBreak/>
        <w:t>based biosensors were entered in the search engine of various scholarly databases. Boolean operators (AND/OR) were used to capture variations and related concepts, and truncation was used to capture variations. The search was confined to the studies published between 2020 and 2025 in order to address the recent developments in the scientific and policy fields. Moreover, reference lists of identified papers were screened manually to find more eligible studies and have a comprehensive and balanced evidence base.</w:t>
      </w:r>
    </w:p>
    <w:p w14:paraId="0BAB9CC5" w14:textId="77777777" w:rsidR="00B869AF" w:rsidRPr="0069787A" w:rsidRDefault="00B869AF" w:rsidP="00E31EE7">
      <w:pPr>
        <w:pStyle w:val="Heading2"/>
      </w:pPr>
      <w:bookmarkStart w:id="53" w:name="_eg1myxqxhbz5" w:colFirst="0" w:colLast="0"/>
      <w:bookmarkStart w:id="54" w:name="_Toc216991672"/>
      <w:bookmarkEnd w:id="53"/>
      <w:r w:rsidRPr="0069787A">
        <w:t>3.5 Data collection method</w:t>
      </w:r>
      <w:bookmarkEnd w:id="54"/>
    </w:p>
    <w:p w14:paraId="51A9E7D0"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Research data collection can be defined as a technical process of acquiring information with the aim of answering research questions (Mazhar et al. 2021). It may be principal, which entails first hand data by means of interviews, surveys, or experiments or secondary which involves use of existing published sources. Both of the approaches facilitate evidence-based examination and valid research findings.</w:t>
      </w:r>
    </w:p>
    <w:p w14:paraId="7E2F03E1" w14:textId="5C00E4F3"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research paper follows the secondary method of data collection as this approach allows conducting the systematic review of the scientific evidence available regarding the subject of quorum sensing, quorum quenching, biofilm disruption, and AI-based biosensing in a healthcare and social care environment. Peer-reviewed studies are plenty, which is guaranteed by secondary data that is considered to be deeply focused, credible, and containing various scientific points of view. It is especially appropriate to this topic, because it is not possible to conduct the primary research in the laboratory within the frames of the project. The secondary sources contribute to the strength of the analysis as it combines the results of microbiology, AI innovation, infection control, and antimicrobial resistance (AMR) studies (Johnson, and Sylvia, 2023). At least 11 high-quality articles published in 2020-25 will be used as the source of the data retrieved in academic databases like PubMed, Web of Science, and Google Scholar. This method assisted the study in setting up patterns, mechanisms comparisons, and thematic relationships across the quorum sensing pathways, biofilm disruption strategies, and implications of AMR. On the whole, secondary data will contribute to the decrease in bias and enhance reliability as well as allow the complete review of the evidence based on the facts.</w:t>
      </w:r>
    </w:p>
    <w:p w14:paraId="6CB4CF76" w14:textId="77777777" w:rsidR="00B869AF" w:rsidRPr="0069787A" w:rsidRDefault="00B869AF" w:rsidP="00E31EE7">
      <w:pPr>
        <w:pStyle w:val="Heading2"/>
      </w:pPr>
      <w:bookmarkStart w:id="55" w:name="_6y4nl983ga2r" w:colFirst="0" w:colLast="0"/>
      <w:bookmarkStart w:id="56" w:name="_Toc216991673"/>
      <w:bookmarkEnd w:id="55"/>
      <w:r w:rsidRPr="0069787A">
        <w:t>3.6 Data screening and extraction</w:t>
      </w:r>
      <w:bookmarkEnd w:id="56"/>
    </w:p>
    <w:p w14:paraId="6F87E477" w14:textId="279E1C9F"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lastRenderedPageBreak/>
        <w:t>The screening and extraction of data have been performed with properly defined inclusion and exclusion criteria that have been elaborated as per Cochrane Handbook of Systematic Reviews of Interventions (Minervini et al. 2023). The inclusion criteria will be developed to make sure that only the studies published in the past 2020-2025, written in English, and discussing quorum sensing, quorum quenching, biofilm disruption, antimicrobial resistance, or healthcare-associated infections have been included. Research located in UK health or social care settings such as NHS</w:t>
      </w:r>
      <w:r w:rsidR="00084873">
        <w:rPr>
          <w:rFonts w:eastAsia="Times New Roman"/>
          <w:sz w:val="24"/>
          <w:szCs w:val="24"/>
        </w:rPr>
        <w:t xml:space="preserve">, </w:t>
      </w:r>
      <w:r w:rsidRPr="0069787A">
        <w:rPr>
          <w:rFonts w:eastAsia="Times New Roman"/>
          <w:sz w:val="24"/>
          <w:szCs w:val="24"/>
        </w:rPr>
        <w:t>settings has been given precedence. Studies on AI-based biosensors to quorum sensing or AMR monitoring have also been added. On the other hand, exclusion criteria have been used to eliminate research studies that are not related to healthcare, studies that are dealing with animal or plant system alone, paid or inaccessible articles, commentaries, editorial, conference abstracts, and articles that have not yet achieved the required methodological quality and articles with irrelevant keywords.</w:t>
      </w:r>
    </w:p>
    <w:p w14:paraId="4B549A26" w14:textId="50966162" w:rsidR="00B869AF" w:rsidRPr="0069787A" w:rsidRDefault="00450D8E" w:rsidP="00B869AF">
      <w:pPr>
        <w:spacing w:line="360" w:lineRule="auto"/>
        <w:jc w:val="center"/>
        <w:rPr>
          <w:rFonts w:eastAsia="Times New Roman"/>
          <w:sz w:val="24"/>
          <w:szCs w:val="24"/>
        </w:rPr>
      </w:pPr>
      <w:r w:rsidRPr="00450D8E">
        <w:rPr>
          <w:rFonts w:eastAsia="Times New Roman"/>
          <w:noProof/>
          <w:sz w:val="24"/>
          <w:szCs w:val="24"/>
        </w:rPr>
        <w:lastRenderedPageBreak/>
        <w:drawing>
          <wp:inline distT="0" distB="0" distL="0" distR="0" wp14:anchorId="3422C53E" wp14:editId="75386213">
            <wp:extent cx="4726938" cy="4888872"/>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34135" cy="4896316"/>
                    </a:xfrm>
                    <a:prstGeom prst="rect">
                      <a:avLst/>
                    </a:prstGeom>
                  </pic:spPr>
                </pic:pic>
              </a:graphicData>
            </a:graphic>
          </wp:inline>
        </w:drawing>
      </w:r>
    </w:p>
    <w:p w14:paraId="07AA7375" w14:textId="11C81E79" w:rsidR="00B869AF" w:rsidRPr="0069787A" w:rsidRDefault="00B869AF" w:rsidP="00E31EE7">
      <w:pPr>
        <w:pStyle w:val="Heading4"/>
      </w:pPr>
      <w:bookmarkStart w:id="57" w:name="_59sfaao4adiz" w:colFirst="0" w:colLast="0"/>
      <w:bookmarkStart w:id="58" w:name="_Toc214400448"/>
      <w:bookmarkStart w:id="59" w:name="_Toc216348757"/>
      <w:bookmarkEnd w:id="57"/>
      <w:r w:rsidRPr="0069787A">
        <w:t>Figure 3.6: PRISMA</w:t>
      </w:r>
      <w:bookmarkEnd w:id="58"/>
      <w:bookmarkEnd w:id="59"/>
    </w:p>
    <w:p w14:paraId="311C0634" w14:textId="77777777" w:rsidR="00B869AF" w:rsidRPr="0069787A" w:rsidRDefault="00B869AF" w:rsidP="00B869AF">
      <w:pPr>
        <w:spacing w:line="360" w:lineRule="auto"/>
        <w:jc w:val="center"/>
        <w:rPr>
          <w:rFonts w:eastAsia="Times New Roman"/>
          <w:sz w:val="24"/>
          <w:szCs w:val="24"/>
        </w:rPr>
      </w:pPr>
      <w:r w:rsidRPr="0069787A">
        <w:rPr>
          <w:rFonts w:eastAsia="Times New Roman"/>
          <w:sz w:val="24"/>
          <w:szCs w:val="24"/>
        </w:rPr>
        <w:t>(Source: Self-developed)</w:t>
      </w:r>
    </w:p>
    <w:p w14:paraId="1B26C34C" w14:textId="485B0BC1"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 xml:space="preserve">To provide uniform retrieval of the most significant information, including author information, year of publication, the research setting, the characteristics of participants, methodological orientation and the main findings related to AI-enabled quorum sensing, biofilm disruption, AMR management and the implications on a social care setting, a structured data extraction tool has been utilised. The extraction type has been pilot-tested and optimised to enhance clarity and dependability so that all pertinent information has been systematically absorbed to have the final synthesis via the PRISMA table. The systematic review report is prepared in accordance with PRISMA to make the report </w:t>
      </w:r>
      <w:r w:rsidR="007B7702" w:rsidRPr="0069787A">
        <w:rPr>
          <w:rFonts w:eastAsia="Times New Roman"/>
          <w:sz w:val="24"/>
          <w:szCs w:val="24"/>
        </w:rPr>
        <w:t>more transparent and clearer</w:t>
      </w:r>
      <w:r w:rsidRPr="0069787A">
        <w:rPr>
          <w:rFonts w:eastAsia="Times New Roman"/>
          <w:sz w:val="24"/>
          <w:szCs w:val="24"/>
        </w:rPr>
        <w:t xml:space="preserve"> of findings. It has outlined search strategy, inclusion and exclusion criterion, data extraction and quality assessment. Themes have been </w:t>
      </w:r>
      <w:r w:rsidRPr="0069787A">
        <w:rPr>
          <w:rFonts w:eastAsia="Times New Roman"/>
          <w:sz w:val="24"/>
          <w:szCs w:val="24"/>
        </w:rPr>
        <w:lastRenderedPageBreak/>
        <w:t>presented, namely, AI-based quorum sensing, quorum quenching, and biofilm disruption, and their applicability to AMR and social care has been mentioned. It has also provided practical recommendations, limitations of the study, and possible future research directions to inform policy-makers, clinicians, and researchers and facilitate better infection control and AMR management.</w:t>
      </w:r>
    </w:p>
    <w:p w14:paraId="391EFC3F" w14:textId="77777777" w:rsidR="00B869AF" w:rsidRPr="0069787A" w:rsidRDefault="00B869AF" w:rsidP="00E31EE7">
      <w:pPr>
        <w:pStyle w:val="Heading2"/>
      </w:pPr>
      <w:bookmarkStart w:id="60" w:name="_4fw9fks2xe7v" w:colFirst="0" w:colLast="0"/>
      <w:bookmarkStart w:id="61" w:name="_Toc216991674"/>
      <w:bookmarkEnd w:id="60"/>
      <w:r w:rsidRPr="0069787A">
        <w:t>3.7 Study selection process</w:t>
      </w:r>
      <w:bookmarkEnd w:id="61"/>
    </w:p>
    <w:p w14:paraId="74BFDB38"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selection of the study has been carried out in a three-step methodical manner. First, all the records have been identified and screened regarding their titles, to identify whether it mentions quorum sensing, antimicrobial resistance, or healthcare and social care environment. Second, the abstracts of the rest of the studies have been checked to determine their eligibility according to predetermined inclusion criteria. Third, the full-text articles that were successful in the abstract phase have been reviewed thoroughly to establish that all the criteria were completed. This is a gradual and strict process that has been taken to guarantee that only quality methodologically sound and relevance direct studies have been incorporated in the final synthesis.</w:t>
      </w:r>
    </w:p>
    <w:p w14:paraId="7F49E77B" w14:textId="77777777" w:rsidR="00B869AF" w:rsidRPr="0069787A" w:rsidRDefault="00B869AF" w:rsidP="00E31EE7">
      <w:pPr>
        <w:pStyle w:val="Heading2"/>
      </w:pPr>
      <w:bookmarkStart w:id="62" w:name="_p4ad7combmet" w:colFirst="0" w:colLast="0"/>
      <w:bookmarkStart w:id="63" w:name="_Toc216991675"/>
      <w:bookmarkEnd w:id="62"/>
      <w:r w:rsidRPr="0069787A">
        <w:t>3.8 Data analysis techniques</w:t>
      </w:r>
      <w:bookmarkEnd w:id="63"/>
    </w:p>
    <w:p w14:paraId="51424880" w14:textId="1106EE65"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 xml:space="preserve">The systematic review has been analysed through a qualitative approach to data analysis to give a detailed background of quorum sensing, quorum quenching and biofilm disruption in reference to antimicrobial resistance. </w:t>
      </w:r>
      <w:r w:rsidRPr="00490225">
        <w:rPr>
          <w:rFonts w:eastAsia="Times New Roman"/>
          <w:color w:val="FF0000"/>
          <w:sz w:val="24"/>
          <w:szCs w:val="24"/>
        </w:rPr>
        <w:t>Thematic analysis has been used to detect, classify, and elucidate common patterns and themes of the information</w:t>
      </w:r>
      <w:r w:rsidR="00422C07" w:rsidRPr="00490225">
        <w:rPr>
          <w:rFonts w:eastAsia="Times New Roman"/>
          <w:color w:val="FF0000"/>
          <w:sz w:val="24"/>
          <w:szCs w:val="24"/>
        </w:rPr>
        <w:t xml:space="preserve"> through its six-phase framework, involving data familiarisation, initial code generation, theme searching, theme reviewing, theme definition and naming, and final narrative reporting of findings</w:t>
      </w:r>
      <w:r w:rsidRPr="00490225">
        <w:rPr>
          <w:rFonts w:eastAsia="Times New Roman"/>
          <w:color w:val="FF0000"/>
          <w:sz w:val="24"/>
          <w:szCs w:val="24"/>
        </w:rPr>
        <w:t xml:space="preserve"> (Braun, and Clarke, 2023). </w:t>
      </w:r>
      <w:r w:rsidRPr="0069787A">
        <w:rPr>
          <w:rFonts w:eastAsia="Times New Roman"/>
          <w:sz w:val="24"/>
          <w:szCs w:val="24"/>
        </w:rPr>
        <w:t xml:space="preserve">The segments of texts are already marked and </w:t>
      </w:r>
      <w:r w:rsidR="007B7702" w:rsidRPr="0069787A">
        <w:rPr>
          <w:rFonts w:eastAsia="Times New Roman"/>
          <w:sz w:val="24"/>
          <w:szCs w:val="24"/>
        </w:rPr>
        <w:t>systematic</w:t>
      </w:r>
      <w:r w:rsidRPr="0069787A">
        <w:rPr>
          <w:rFonts w:eastAsia="Times New Roman"/>
          <w:sz w:val="24"/>
          <w:szCs w:val="24"/>
        </w:rPr>
        <w:t xml:space="preserve"> into larger topics like quorum sensing mechanisms, biofilm disruption strategies and implications of antimicrobial resistance, and cross-relationships between these topics have been considered to draw meaningful information. This qualitative design has facilitated deep descriptive synthesis of the available evidence as far as the study area is concerned. The quality of the included studies was determined with the help of the Critical Appraisal Skills Programme (CASP) checklist that evaluated study design, ways of data collection and credibility and relevance of the findings. The validity and accuracy of evidence, especially on bacterial communication and AMR mechanisms have </w:t>
      </w:r>
      <w:r w:rsidRPr="0069787A">
        <w:rPr>
          <w:rFonts w:eastAsia="Times New Roman"/>
          <w:sz w:val="24"/>
          <w:szCs w:val="24"/>
        </w:rPr>
        <w:lastRenderedPageBreak/>
        <w:t>been discussed in order to determine possible methodological biases or limitations. Only the high-quality studies have been considered into the review to increase the reliability and strength of the conclusions made out of the analysis. The method has made the findings credible and relevant to the real-life environment of health care and practise in the general population.</w:t>
      </w:r>
    </w:p>
    <w:p w14:paraId="76E44936" w14:textId="77777777" w:rsidR="00B869AF" w:rsidRPr="0069787A" w:rsidRDefault="00B869AF" w:rsidP="00E31EE7">
      <w:pPr>
        <w:pStyle w:val="Heading2"/>
      </w:pPr>
      <w:bookmarkStart w:id="64" w:name="_b20is7c7dpja" w:colFirst="0" w:colLast="0"/>
      <w:bookmarkStart w:id="65" w:name="_Toc216991676"/>
      <w:bookmarkEnd w:id="64"/>
      <w:r w:rsidRPr="0069787A">
        <w:t>3.9 Ethical considerations</w:t>
      </w:r>
      <w:bookmarkEnd w:id="65"/>
    </w:p>
    <w:p w14:paraId="2ED9A058"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Research ethics can be defined as moral principles and standards of conduct that govern the way of research to achieve honesty, integrity and respect of the participants (Drolet et al. 2023). Some of these principles are informed consent, confidentiality, beneficence, non-maleficence and justice. The principles guarantee the protection of the participants, fairness, credibility of findings and responsible data management.</w:t>
      </w:r>
    </w:p>
    <w:p w14:paraId="6DE91008" w14:textId="77777777" w:rsidR="00B869AF" w:rsidRPr="0069787A" w:rsidRDefault="00B869AF" w:rsidP="00B869AF">
      <w:pPr>
        <w:spacing w:line="360" w:lineRule="auto"/>
        <w:jc w:val="center"/>
        <w:rPr>
          <w:rFonts w:eastAsia="Times New Roman"/>
          <w:sz w:val="24"/>
          <w:szCs w:val="24"/>
        </w:rPr>
      </w:pPr>
      <w:r w:rsidRPr="0069787A">
        <w:rPr>
          <w:rFonts w:eastAsia="Times New Roman"/>
          <w:noProof/>
          <w:sz w:val="24"/>
          <w:szCs w:val="24"/>
        </w:rPr>
        <w:drawing>
          <wp:inline distT="114300" distB="114300" distL="114300" distR="114300" wp14:anchorId="381E7AEA" wp14:editId="045E3D73">
            <wp:extent cx="4319588" cy="303235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l="9615" r="10256"/>
                    <a:stretch>
                      <a:fillRect/>
                    </a:stretch>
                  </pic:blipFill>
                  <pic:spPr>
                    <a:xfrm>
                      <a:off x="0" y="0"/>
                      <a:ext cx="4319588" cy="3032350"/>
                    </a:xfrm>
                    <a:prstGeom prst="rect">
                      <a:avLst/>
                    </a:prstGeom>
                    <a:ln/>
                  </pic:spPr>
                </pic:pic>
              </a:graphicData>
            </a:graphic>
          </wp:inline>
        </w:drawing>
      </w:r>
    </w:p>
    <w:p w14:paraId="2118E85D" w14:textId="77777777" w:rsidR="00B869AF" w:rsidRPr="0069787A" w:rsidRDefault="00B869AF" w:rsidP="00E31EE7">
      <w:pPr>
        <w:pStyle w:val="Heading4"/>
      </w:pPr>
      <w:bookmarkStart w:id="66" w:name="_a7i67xkiy4j7" w:colFirst="0" w:colLast="0"/>
      <w:bookmarkStart w:id="67" w:name="_Toc214400449"/>
      <w:bookmarkStart w:id="68" w:name="_Toc216348758"/>
      <w:bookmarkEnd w:id="66"/>
      <w:r w:rsidRPr="0069787A">
        <w:t>Figure 3.9: Research ethics</w:t>
      </w:r>
      <w:bookmarkEnd w:id="67"/>
      <w:bookmarkEnd w:id="68"/>
    </w:p>
    <w:p w14:paraId="5396E929" w14:textId="77777777" w:rsidR="00B869AF" w:rsidRPr="0069787A" w:rsidRDefault="00B869AF" w:rsidP="00B869AF">
      <w:pPr>
        <w:spacing w:line="360" w:lineRule="auto"/>
        <w:jc w:val="center"/>
        <w:rPr>
          <w:rFonts w:eastAsia="Times New Roman"/>
          <w:sz w:val="24"/>
          <w:szCs w:val="24"/>
        </w:rPr>
      </w:pPr>
      <w:r w:rsidRPr="0069787A">
        <w:rPr>
          <w:rFonts w:eastAsia="Times New Roman"/>
          <w:sz w:val="24"/>
          <w:szCs w:val="24"/>
        </w:rPr>
        <w:t>(Source: Drolet et al. 2023)</w:t>
      </w:r>
    </w:p>
    <w:p w14:paraId="5F7BBEA2"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 xml:space="preserve">Research ethics have been observed in this study since all studies included in the systematic review were found on clear and objective criteria that do not undermine original research. Sensitive information has not been disclosed and instead, only aggregate findings have been reported without exposing any identifiable participant information. The paper has supported the principles of beneficence and non-maleficence by critically examining such interventions as quorum quenching and biofilm disruption to </w:t>
      </w:r>
      <w:r w:rsidRPr="0069787A">
        <w:rPr>
          <w:rFonts w:eastAsia="Times New Roman"/>
          <w:sz w:val="24"/>
          <w:szCs w:val="24"/>
        </w:rPr>
        <w:lastRenderedPageBreak/>
        <w:t>enhance the benefits of health promotion to the populace and to reduce the chances of harm. The credibility, validity, and reliability of included studies have been assessed by utilising ethical appraisal instruments, including the CASP checklist, so that only high-quality evidence was used to make the findings (Drolet et al. 2023). In addition, fairness and justice have been ensured by recognising gaps in the literature and eliminating partial reporting. Altogether, the research has followed the ethical principles to generate credible, responsible, and socially beneficial findings in the context of infection control and society.</w:t>
      </w:r>
    </w:p>
    <w:p w14:paraId="294D268B" w14:textId="77777777" w:rsidR="00B869AF" w:rsidRPr="0069787A" w:rsidRDefault="00B869AF" w:rsidP="00E31EE7">
      <w:pPr>
        <w:pStyle w:val="Heading2"/>
      </w:pPr>
      <w:bookmarkStart w:id="69" w:name="_ao73l0437yhi" w:colFirst="0" w:colLast="0"/>
      <w:bookmarkStart w:id="70" w:name="_Toc216991677"/>
      <w:bookmarkEnd w:id="69"/>
      <w:r w:rsidRPr="0069787A">
        <w:t>3.10 Limitation and challenges</w:t>
      </w:r>
      <w:bookmarkEnd w:id="70"/>
    </w:p>
    <w:p w14:paraId="0FCC663C"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This systematic review has a number of limitations and challenges with its methodology. To begin with, it might be that the sources used to be published studies, which could create a bias of publication or unpublished studies that did not reveal negative or inconclusive results, which might skew the results. Second, the qualitative thematic analysis, despite the fact that it offers deep information, is subjective in nature, and requires the interpretation of the reviewers that can be biased. Third, study design and population and experimental conditions used in the studies included in this review can limit comparability and generalizability of the results. Also, new technologies and interventions based on quorum quenching are comparatively new, so there is not much high-quality evidence that will limit the level of analysis. The field of study may also be changing quickly, making it difficult to access up-to-date, peer-reviewed studies. Lastly, the selection of English-language publications might also exclude non-English sources of relevant research, which would pose a risk of language bias.</w:t>
      </w:r>
    </w:p>
    <w:p w14:paraId="2F7AC711" w14:textId="77777777" w:rsidR="00B869AF" w:rsidRPr="0069787A" w:rsidRDefault="00B869AF" w:rsidP="00E31EE7">
      <w:pPr>
        <w:pStyle w:val="Heading2"/>
      </w:pPr>
      <w:bookmarkStart w:id="71" w:name="_fen2zjg9mb84" w:colFirst="0" w:colLast="0"/>
      <w:bookmarkStart w:id="72" w:name="_Toc216991678"/>
      <w:bookmarkEnd w:id="71"/>
      <w:r w:rsidRPr="0069787A">
        <w:t>3.11 Summary</w:t>
      </w:r>
      <w:bookmarkEnd w:id="72"/>
    </w:p>
    <w:p w14:paraId="1433A4A8"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 xml:space="preserve">The chapter has described the methodological framework of the study with the help of Saunders Research Onion and the layers of research philosophy, approach, design, strategy, data collection, sampling, analysis, and ethics are described. A qualitative research design which is more interpretivist in nature and exploratory has been used to examine quorum sensing, quorum quenching, and biofilm disruption based on NHS and social care settings. The systematic search, screening, and data extraction procedures have helped to include high-quality studies, whereas thematic analysis has made it possible to identify major patterns and insights. The ethical consideration, limitations, and challenges have been considered to assure reliability, credibility, and applicability of </w:t>
      </w:r>
      <w:r w:rsidRPr="0069787A">
        <w:rPr>
          <w:rFonts w:eastAsia="Times New Roman"/>
          <w:sz w:val="24"/>
          <w:szCs w:val="24"/>
        </w:rPr>
        <w:lastRenderedPageBreak/>
        <w:t>findings in informing infection control and AMR surveillance strategies as well as the public health approaches.</w:t>
      </w:r>
      <w:r w:rsidRPr="0069787A">
        <w:br w:type="page"/>
      </w:r>
    </w:p>
    <w:p w14:paraId="1C406D77" w14:textId="77777777" w:rsidR="00B869AF" w:rsidRPr="0069787A" w:rsidRDefault="00B869AF" w:rsidP="00E31EE7">
      <w:pPr>
        <w:pStyle w:val="Heading1"/>
      </w:pPr>
      <w:bookmarkStart w:id="73" w:name="_kskl7y2m2sev" w:colFirst="0" w:colLast="0"/>
      <w:bookmarkStart w:id="74" w:name="_Toc216991679"/>
      <w:bookmarkEnd w:id="73"/>
      <w:r w:rsidRPr="0069787A">
        <w:lastRenderedPageBreak/>
        <w:t>CHAPTER 4: RESULTS AND FINDINGS</w:t>
      </w:r>
      <w:bookmarkEnd w:id="74"/>
    </w:p>
    <w:p w14:paraId="6EB43D0D" w14:textId="77777777" w:rsidR="00B869AF" w:rsidRPr="0069787A" w:rsidRDefault="00B869AF" w:rsidP="00E31EE7">
      <w:pPr>
        <w:pStyle w:val="Heading2"/>
      </w:pPr>
      <w:bookmarkStart w:id="75" w:name="_p0fdq2a8nl06" w:colFirst="0" w:colLast="0"/>
      <w:bookmarkStart w:id="76" w:name="_Toc216991680"/>
      <w:bookmarkEnd w:id="75"/>
      <w:r w:rsidRPr="0069787A">
        <w:t>4.1 Introduction</w:t>
      </w:r>
      <w:bookmarkEnd w:id="76"/>
      <w:r w:rsidRPr="0069787A">
        <w:t xml:space="preserve"> </w:t>
      </w:r>
    </w:p>
    <w:p w14:paraId="13971F3A"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findings chapter presents a critical analysis of the data collected through the systematic review. A structured table has been used to summarise key information from included studies, providing a clear overview of authors, methodologies, settings, and main outcomes. Thematic analysis has been applied to identify and interpret recurring patterns, such as quorum sensing mechanisms, quorum quenching strategies, biofilm disruption, and implications for AMR in NHS and social care contexts. Insights have been critically evaluated to inform evidence-based conclusions.</w:t>
      </w:r>
    </w:p>
    <w:p w14:paraId="27959F28" w14:textId="77777777" w:rsidR="00B869AF" w:rsidRPr="0069787A" w:rsidRDefault="00B869AF" w:rsidP="00E31EE7">
      <w:pPr>
        <w:pStyle w:val="Heading2"/>
      </w:pPr>
      <w:bookmarkStart w:id="77" w:name="_38x2uh2ln2ov" w:colFirst="0" w:colLast="0"/>
      <w:bookmarkStart w:id="78" w:name="_Toc216991681"/>
      <w:bookmarkEnd w:id="77"/>
      <w:r w:rsidRPr="0069787A">
        <w:t>4.2 Systematic review</w:t>
      </w:r>
      <w:bookmarkEnd w:id="78"/>
      <w:r w:rsidRPr="0069787A">
        <w:t xml:space="preserve"> </w:t>
      </w:r>
    </w:p>
    <w:tbl>
      <w:tblPr>
        <w:tblW w:w="10080" w:type="dxa"/>
        <w:tblBorders>
          <w:top w:val="nil"/>
          <w:left w:val="nil"/>
          <w:bottom w:val="nil"/>
          <w:right w:val="nil"/>
          <w:insideH w:val="nil"/>
          <w:insideV w:val="nil"/>
        </w:tblBorders>
        <w:tblLayout w:type="fixed"/>
        <w:tblLook w:val="0600" w:firstRow="0" w:lastRow="0" w:firstColumn="0" w:lastColumn="0" w:noHBand="1" w:noVBand="1"/>
      </w:tblPr>
      <w:tblGrid>
        <w:gridCol w:w="750"/>
        <w:gridCol w:w="1800"/>
        <w:gridCol w:w="2490"/>
        <w:gridCol w:w="2370"/>
        <w:gridCol w:w="2670"/>
      </w:tblGrid>
      <w:tr w:rsidR="00B869AF" w:rsidRPr="0069787A" w14:paraId="643A139E" w14:textId="77777777" w:rsidTr="00203389">
        <w:trPr>
          <w:trHeight w:val="755"/>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078604" w14:textId="77777777" w:rsidR="00B869AF" w:rsidRPr="0069787A" w:rsidRDefault="00B869AF" w:rsidP="00203389">
            <w:pPr>
              <w:spacing w:line="360" w:lineRule="auto"/>
              <w:jc w:val="center"/>
              <w:rPr>
                <w:rFonts w:eastAsia="Times New Roman"/>
                <w:b/>
                <w:bCs/>
                <w:sz w:val="24"/>
                <w:szCs w:val="24"/>
              </w:rPr>
            </w:pPr>
            <w:r w:rsidRPr="0069787A">
              <w:rPr>
                <w:rFonts w:eastAsia="Times New Roman"/>
                <w:b/>
                <w:bCs/>
                <w:sz w:val="24"/>
                <w:szCs w:val="24"/>
              </w:rPr>
              <w:t>Sl. No.</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AD220A" w14:textId="77777777" w:rsidR="00B869AF" w:rsidRPr="0069787A" w:rsidRDefault="00B869AF" w:rsidP="00203389">
            <w:pPr>
              <w:spacing w:line="360" w:lineRule="auto"/>
              <w:jc w:val="center"/>
              <w:rPr>
                <w:rFonts w:eastAsia="Times New Roman"/>
                <w:b/>
                <w:bCs/>
                <w:sz w:val="24"/>
                <w:szCs w:val="24"/>
              </w:rPr>
            </w:pPr>
            <w:r w:rsidRPr="0069787A">
              <w:rPr>
                <w:rFonts w:eastAsia="Times New Roman"/>
                <w:b/>
                <w:bCs/>
                <w:sz w:val="24"/>
                <w:szCs w:val="24"/>
              </w:rPr>
              <w:t>Authors</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FFCAA0" w14:textId="77777777" w:rsidR="00B869AF" w:rsidRPr="0069787A" w:rsidRDefault="00B869AF" w:rsidP="00203389">
            <w:pPr>
              <w:spacing w:line="360" w:lineRule="auto"/>
              <w:jc w:val="center"/>
              <w:rPr>
                <w:rFonts w:eastAsia="Times New Roman"/>
                <w:b/>
                <w:bCs/>
                <w:sz w:val="24"/>
                <w:szCs w:val="24"/>
              </w:rPr>
            </w:pPr>
            <w:r w:rsidRPr="0069787A">
              <w:rPr>
                <w:rFonts w:eastAsia="Times New Roman"/>
                <w:b/>
                <w:bCs/>
                <w:sz w:val="24"/>
                <w:szCs w:val="24"/>
              </w:rPr>
              <w:t>Purpose</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D32AB" w14:textId="77777777" w:rsidR="00B869AF" w:rsidRPr="0069787A" w:rsidRDefault="00B869AF" w:rsidP="00203389">
            <w:pPr>
              <w:spacing w:line="360" w:lineRule="auto"/>
              <w:jc w:val="center"/>
              <w:rPr>
                <w:rFonts w:eastAsia="Times New Roman"/>
                <w:b/>
                <w:bCs/>
                <w:sz w:val="24"/>
                <w:szCs w:val="24"/>
              </w:rPr>
            </w:pPr>
            <w:r w:rsidRPr="0069787A">
              <w:rPr>
                <w:rFonts w:eastAsia="Times New Roman"/>
                <w:b/>
                <w:bCs/>
                <w:sz w:val="24"/>
                <w:szCs w:val="24"/>
              </w:rPr>
              <w:t>Methods</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5D9C18" w14:textId="77777777" w:rsidR="00B869AF" w:rsidRPr="0069787A" w:rsidRDefault="00B869AF" w:rsidP="00203389">
            <w:pPr>
              <w:spacing w:line="360" w:lineRule="auto"/>
              <w:jc w:val="center"/>
              <w:rPr>
                <w:rFonts w:eastAsia="Times New Roman"/>
                <w:b/>
                <w:bCs/>
                <w:sz w:val="24"/>
                <w:szCs w:val="24"/>
              </w:rPr>
            </w:pPr>
            <w:r w:rsidRPr="0069787A">
              <w:rPr>
                <w:rFonts w:eastAsia="Times New Roman"/>
                <w:b/>
                <w:bCs/>
                <w:sz w:val="24"/>
                <w:szCs w:val="24"/>
              </w:rPr>
              <w:t>Findings</w:t>
            </w:r>
          </w:p>
        </w:tc>
      </w:tr>
      <w:tr w:rsidR="00B869AF" w:rsidRPr="0069787A" w14:paraId="50C99DA9"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0F7881"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 xml:space="preserve">1. </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8EBA1E"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Zhao et al. 2020</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86CECA"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discuss the role of quorum-sensing (QS) systems in the regulation of antimicrobial resistance (AMR) in bacteria, as well as to comment on the possibility of using quorum quenching (QQ) as a treatment option.</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7F693"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Literature review of QS pathways, AMR mechanisms (e.g., efflux pumps, biofilms) and QQ interventions.</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7B1B0E"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demonstrated that QS can mediate AMR by means of efflux pump and biofilm regulation. They stated that QQ (e.g., inhibitors, enzymes) would be able to reduce resistance by interfering with communication without killing cells - lowering selective pressure.</w:t>
            </w:r>
          </w:p>
        </w:tc>
      </w:tr>
      <w:tr w:rsidR="00B869AF" w:rsidRPr="0069787A" w14:paraId="65FD3DA2"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2315D"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 xml:space="preserve">2. </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1C95E1"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Liu et al. 2024</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AE8B17"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examine the types of mechanisms of action that biofilms provide in relation to antimicrobial resistance.</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1ACD98"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Review / conceptual analysis (note: the article supposedly reviewed based on a summary; no full-text connexion is observed).</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4E0AB2"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article elaborated on how biofilm structure, extracellular membrane and microenvironment heterogeneity (i.e. low diffusion, persister cells) contribute to drug tolerance and suggests that efforts should be made to specifically induce biofilm resilience, as opposed to planktonic bacteria.</w:t>
            </w:r>
          </w:p>
        </w:tc>
      </w:tr>
      <w:tr w:rsidR="00B869AF" w:rsidRPr="0069787A" w14:paraId="06BBBB63"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324A24"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 xml:space="preserve">3. </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531C33"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Naga et al. 2023</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6D9131"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recommend quorum sensing inhibition (QSI) in place of antibiotics in the fight against the multidrug-resistant bacteria.</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67D545"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Survey of natural and synthetic QS inhibitors, QQ enzymes and mechanisms.</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6DBB6A"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have found different classes of QSIs (AHL analogues, natural compounds, nanoparticles) and QQ enzymes (lactonases, acylases) which could be used to inhibit QS in Gramme-positive and Gramme-negative bacteria. They concluded that virulence could be reduced by the targeting of QS without subjecting strong selection pressure against resistance.</w:t>
            </w:r>
          </w:p>
        </w:tc>
      </w:tr>
      <w:tr w:rsidR="00B869AF" w:rsidRPr="0069787A" w14:paraId="07BD67E7"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106B53"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 xml:space="preserve">4. </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F24F5A"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Jacobowski et</w:t>
            </w:r>
          </w:p>
          <w:p w14:paraId="3DDB27CE"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al. 2025</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92EA45" w14:textId="3B939CE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In order to address AMR, to review innovative antimicrobial strategies, such as peptides, nanotechnology, </w:t>
            </w:r>
            <w:r w:rsidR="007B7702" w:rsidRPr="0069787A">
              <w:rPr>
                <w:rFonts w:eastAsia="Times New Roman"/>
                <w:sz w:val="24"/>
                <w:szCs w:val="24"/>
              </w:rPr>
              <w:t>phases</w:t>
            </w:r>
            <w:r w:rsidRPr="0069787A">
              <w:rPr>
                <w:rFonts w:eastAsia="Times New Roman"/>
                <w:sz w:val="24"/>
                <w:szCs w:val="24"/>
              </w:rPr>
              <w:t>, QS interference, and CRISPR-Cas.</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322A23"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Narrative / integrative review of recent literature of new antimicrobial intervention strategies.</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876F16"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have pointed out quorum sensing interference (QSIs and QQ) as one of the important techniques and other innovative techniques. They gave a template on how to combine QS-targeted therapies with other technologies (such as CRISPR -Cas) into the creation of next-generation antimicrobials.</w:t>
            </w:r>
          </w:p>
        </w:tc>
      </w:tr>
      <w:tr w:rsidR="00B869AF" w:rsidRPr="0069787A" w14:paraId="386E2955"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47B248"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5</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F31D3"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Sharma et al.</w:t>
            </w:r>
          </w:p>
          <w:p w14:paraId="2D7731F0"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2023</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C38633"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explore biofilm formation, antibiotic resistance in biofilms and new control/treatment approaches.</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002D56"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Systematic / narrative review of biofilm biology, implications of infection and new anti- biofilm therapy.</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D84224"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described the structure of biofilm and resistance, and assessed control measures such as QS disruption, enzyme degradation, coating material, and anti- biofilm agents. They emphasised that the use of anti-biofilm should be used to complement the use of antibiotics in chronic infections.</w:t>
            </w:r>
          </w:p>
        </w:tc>
      </w:tr>
      <w:tr w:rsidR="00B869AF" w:rsidRPr="0069787A" w14:paraId="243C0541"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347BF1"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6</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83B320"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Maillard, and</w:t>
            </w:r>
          </w:p>
          <w:p w14:paraId="4C7BC617"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Centeleghe, 2023</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6B36BF"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investigate the role of biofilms in healthcare facilities in transforming our perception of cleaning and disinfection.</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2027CA"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Discussion of biofilm types in clinical practise (hydrated, dry), their resistance properties and their implication on infection control.</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A3212A"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claimed that biofilms and even dry surface biofilms (DSB) are problematic to conventional disinfection. They talked about the necessity to design biofilm-specific cleaning guidelines and supplies because biofilm matrix and composition diminishes the efficacy of antimicrobials greatly.</w:t>
            </w:r>
          </w:p>
        </w:tc>
      </w:tr>
      <w:tr w:rsidR="00B869AF" w:rsidRPr="0069787A" w14:paraId="418468ED"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A2538A"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7</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6BA3EB"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D’Aquila et al.</w:t>
            </w:r>
          </w:p>
          <w:p w14:paraId="077C5B35"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2024</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C3C08B"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identify quorum quenching compounds (natural and synthetic) as potential means of preventing or interrupting biofilm formation and antibiotic resistance.</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BE687E"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Review of literature on various QS inhibitors (QSIs), QQ enzymes and their in vitro and in situ antibiofilm activity.</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BB7500"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explained the effect of QQ compounds (enzymes such as lactonases, synthetic inhibitors) in disrupting the QS, biofilms reduction as well as regaining antibiotic susceptibility of various pathogens. They showed that QQ has a potential to be an effective biocontrol measure to resistant biofilm infections.</w:t>
            </w:r>
          </w:p>
        </w:tc>
      </w:tr>
      <w:tr w:rsidR="00B869AF" w:rsidRPr="0069787A" w14:paraId="0BD6F797"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A2378"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8</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EF5E20"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Zhong, and He,</w:t>
            </w:r>
          </w:p>
          <w:p w14:paraId="63FADFEB"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2021</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6D2299"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review QS systems of Acinetobacter baumannii and discuss QQ strategies (QSIs and QQ enzymes) of novel antimicrobial treatments.</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D51476"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Mini-review of molecular QS mechanism (AHL-based) QQ enzymes, and receptor antagonists in A. baumannii.</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7EB449"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described the use of A. baumannii of LuxI/R-type QS (abaI/abaR) to control biofilm and virulence. They theorised QQ strategies (inhibitors, enzymes) that would allow the inhibition of QS and biofilm formation and thus make it less resilient and resistant.</w:t>
            </w:r>
          </w:p>
        </w:tc>
      </w:tr>
      <w:tr w:rsidR="00B869AF" w:rsidRPr="0069787A" w14:paraId="516EE871"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E50FA1"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9</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958108"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Zhang et al.</w:t>
            </w:r>
          </w:p>
          <w:p w14:paraId="4883FF2D"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2022</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E13126"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explore the antivirulence principle of small molecule ML364 on bacterial pathogens through the inhibition of AI-2 quorum sensing.</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274370"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In vitro (biofilm formation, measurement of virulence factor), molecular docking, MM/GBSA binding energy, and in vivo infection model in mice.</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30837"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ML364 completely suppressed AI-2 (DPD) signalling, decreased the biofilms of Pseudomonas aeruginosa, E. coli, K. pneumoniae, S. aureus, and increased survival and reduced bacterial burden in infected mice. It has a high affinity to AI-2 receptors, which indicates a wide-spectrum antivirulence effect.</w:t>
            </w:r>
          </w:p>
        </w:tc>
      </w:tr>
      <w:tr w:rsidR="00B869AF" w:rsidRPr="0069787A" w14:paraId="58E2379F" w14:textId="77777777" w:rsidTr="00203389">
        <w:trPr>
          <w:trHeight w:val="839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81550"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10</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B664DF"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Haque et al.</w:t>
            </w:r>
          </w:p>
          <w:p w14:paraId="52488B70"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2021</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1A2C04"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examine the use of quorum sensing targeting reactions in the management of AMR.</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17779C"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Survey of QS-regulated virulence, resistance and quorum quenching interventions (natural, synthetic).</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547391"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claimed that QS is very important in AMR and persistence of infection; by attacking such systems, one can inhibit virulence and biofilm formation and to eliminate or at least control resistant infections with the assistance of the antibiotics.</w:t>
            </w:r>
          </w:p>
        </w:tc>
      </w:tr>
      <w:tr w:rsidR="00B869AF" w:rsidRPr="0069787A" w14:paraId="7FAF6BBF" w14:textId="77777777" w:rsidTr="00203389">
        <w:trPr>
          <w:trHeight w:val="5370"/>
        </w:trPr>
        <w:tc>
          <w:tcPr>
            <w:tcW w:w="7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7CC692"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lastRenderedPageBreak/>
              <w:t>11</w:t>
            </w:r>
          </w:p>
        </w:tc>
        <w:tc>
          <w:tcPr>
            <w:tcW w:w="18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DAB9E3" w14:textId="77777777" w:rsidR="00B869AF" w:rsidRPr="0069787A" w:rsidRDefault="00B869AF" w:rsidP="00203389">
            <w:pPr>
              <w:widowControl w:val="0"/>
              <w:pBdr>
                <w:top w:val="nil"/>
                <w:left w:val="nil"/>
                <w:bottom w:val="nil"/>
                <w:right w:val="nil"/>
                <w:between w:val="nil"/>
              </w:pBdr>
              <w:rPr>
                <w:rFonts w:eastAsia="Times New Roman"/>
                <w:sz w:val="24"/>
                <w:szCs w:val="24"/>
              </w:rPr>
            </w:pPr>
            <w:r w:rsidRPr="0069787A">
              <w:rPr>
                <w:rFonts w:eastAsia="Times New Roman"/>
                <w:sz w:val="24"/>
                <w:szCs w:val="24"/>
              </w:rPr>
              <w:t>Nachiyar et al.</w:t>
            </w:r>
          </w:p>
          <w:p w14:paraId="5C1A1434"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 xml:space="preserve">  2025</w:t>
            </w:r>
          </w:p>
        </w:tc>
        <w:tc>
          <w:tcPr>
            <w:tcW w:w="24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85E774"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To review the mechanisms of microbial disease resistance, particularly quorum sensing and quorum quenching, and comment on the new anti-quorum therapy.</w:t>
            </w:r>
          </w:p>
        </w:tc>
        <w:tc>
          <w:tcPr>
            <w:tcW w:w="23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0D41CD"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Detailed discussion of microbial QS / QQ systems, resistance mechanisms, nanotechnology and uses of QQ in biotechnology and medicine.</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A24EA2" w14:textId="77777777" w:rsidR="00B869AF" w:rsidRPr="0069787A" w:rsidRDefault="00B869AF" w:rsidP="00203389">
            <w:pPr>
              <w:spacing w:line="360" w:lineRule="auto"/>
              <w:jc w:val="both"/>
              <w:rPr>
                <w:rFonts w:eastAsia="Times New Roman"/>
                <w:sz w:val="24"/>
                <w:szCs w:val="24"/>
              </w:rPr>
            </w:pPr>
            <w:r w:rsidRPr="0069787A">
              <w:rPr>
                <w:rFonts w:eastAsia="Times New Roman"/>
                <w:sz w:val="24"/>
                <w:szCs w:val="24"/>
              </w:rPr>
              <w:t>The authors outlined the role of QS in virulence and resistance, and explained the use of QQ strategies (enzymes, inhibitors, nanomaterials) to overcome them. They highlighted both clinical and social-care translational potential of anti-QS therapies to minimise AMR burden.</w:t>
            </w:r>
          </w:p>
        </w:tc>
      </w:tr>
    </w:tbl>
    <w:p w14:paraId="07C588DC" w14:textId="77777777" w:rsidR="00B869AF" w:rsidRPr="0069787A" w:rsidRDefault="00B869AF" w:rsidP="00B869AF">
      <w:pPr>
        <w:spacing w:line="360" w:lineRule="auto"/>
        <w:jc w:val="both"/>
        <w:rPr>
          <w:rFonts w:eastAsia="Times New Roman"/>
          <w:sz w:val="24"/>
          <w:szCs w:val="24"/>
        </w:rPr>
      </w:pPr>
    </w:p>
    <w:p w14:paraId="402006CF" w14:textId="77777777" w:rsidR="00B869AF" w:rsidRPr="0069787A" w:rsidRDefault="00B869AF" w:rsidP="00E31EE7">
      <w:pPr>
        <w:pStyle w:val="Heading2"/>
      </w:pPr>
      <w:bookmarkStart w:id="79" w:name="_mshw8v73kli9" w:colFirst="0" w:colLast="0"/>
      <w:bookmarkStart w:id="80" w:name="_Toc216991682"/>
      <w:bookmarkEnd w:id="79"/>
      <w:r w:rsidRPr="0069787A">
        <w:t>4.3 Thematic analysis</w:t>
      </w:r>
      <w:bookmarkEnd w:id="80"/>
      <w:r w:rsidRPr="0069787A">
        <w:t xml:space="preserve"> </w:t>
      </w:r>
    </w:p>
    <w:p w14:paraId="27B21775" w14:textId="59A05F5B" w:rsidR="00B869AF" w:rsidRPr="0069787A" w:rsidRDefault="00B869AF" w:rsidP="00E31EE7">
      <w:pPr>
        <w:pStyle w:val="Heading3"/>
      </w:pPr>
      <w:bookmarkStart w:id="81" w:name="_vxubu624o0qh" w:colFirst="0" w:colLast="0"/>
      <w:bookmarkStart w:id="82" w:name="_Toc216991683"/>
      <w:bookmarkEnd w:id="81"/>
      <w:r w:rsidRPr="0069787A">
        <w:t>4.3.1 Theme 1: Quorum Sensing Mechanisms and Pathways</w:t>
      </w:r>
      <w:bookmarkEnd w:id="82"/>
    </w:p>
    <w:p w14:paraId="0910030C" w14:textId="0A1E7242" w:rsidR="00383FE4" w:rsidRPr="0069787A" w:rsidRDefault="00383FE4" w:rsidP="00383FE4">
      <w:pPr>
        <w:spacing w:line="360" w:lineRule="auto"/>
        <w:jc w:val="both"/>
        <w:rPr>
          <w:sz w:val="24"/>
          <w:szCs w:val="24"/>
        </w:rPr>
      </w:pPr>
      <w:bookmarkStart w:id="83" w:name="_xk5qxop80qf4" w:colFirst="0" w:colLast="0"/>
      <w:bookmarkEnd w:id="83"/>
      <w:r w:rsidRPr="0069787A">
        <w:rPr>
          <w:sz w:val="24"/>
          <w:szCs w:val="24"/>
        </w:rPr>
        <w:t xml:space="preserve">QS represents a simple bacterial communication system where the populations can coordinate collective behaviour, including virulence factor production, biofilm production and antimicrobial resistance. QS, according to Zhao et al. (2020), is premised upon the synthesis, release, and sense of such signalling molecules as acyl-homoserine lactones (AHLs) in Gram-negative and AIPs in Gram-positive bacteria. The biocidal cycle is unable to eliminate these molecules: these molecules are accumulated in the environment in gradual increases in the density of cells, promoting a gene expression change when it reaches a specific concentration level. This rule allows the groups of bacteria to collaborate with each other making them more pathogenic and resistant to antibiotics. In the same note, Liu et al. (2024) highlighted </w:t>
      </w:r>
      <w:r w:rsidR="009213ED" w:rsidRPr="0069787A">
        <w:rPr>
          <w:sz w:val="24"/>
          <w:szCs w:val="24"/>
        </w:rPr>
        <w:t>that QS pathway</w:t>
      </w:r>
      <w:r w:rsidRPr="0069787A">
        <w:rPr>
          <w:sz w:val="24"/>
          <w:szCs w:val="24"/>
        </w:rPr>
        <w:t xml:space="preserve"> are very regulated so as to initiate the production of biofilms. The biofilms create a defence extracellular matrix which shields bacteria against attacks by antimicrobials and host defines. Extra-cellular polymeric substance (EPS), adhesion and virulence genes are controlled by the QS molecules like AHLs and AI-2 such that biofilms flourish. The bacteria can still manage to </w:t>
      </w:r>
      <w:r w:rsidRPr="0069787A">
        <w:rPr>
          <w:sz w:val="24"/>
          <w:szCs w:val="24"/>
        </w:rPr>
        <w:lastRenderedPageBreak/>
        <w:t xml:space="preserve">survive in </w:t>
      </w:r>
      <w:r w:rsidR="00422C07" w:rsidRPr="0069787A">
        <w:rPr>
          <w:sz w:val="24"/>
          <w:szCs w:val="24"/>
        </w:rPr>
        <w:t>unfavourable</w:t>
      </w:r>
      <w:r w:rsidRPr="0069787A">
        <w:rPr>
          <w:sz w:val="24"/>
          <w:szCs w:val="24"/>
        </w:rPr>
        <w:t xml:space="preserve"> conditions through such regulation, stay in medical devices and survive through the whole medical treatment regimens and that is a significant problem in the healthcare and social care environments.</w:t>
      </w:r>
    </w:p>
    <w:p w14:paraId="4651A4C6" w14:textId="259BCF2A" w:rsidR="00383FE4" w:rsidRPr="0069787A" w:rsidRDefault="00383FE4" w:rsidP="00383FE4">
      <w:pPr>
        <w:spacing w:line="360" w:lineRule="auto"/>
        <w:jc w:val="both"/>
        <w:rPr>
          <w:sz w:val="24"/>
          <w:szCs w:val="24"/>
        </w:rPr>
      </w:pPr>
      <w:r w:rsidRPr="0069787A">
        <w:rPr>
          <w:sz w:val="24"/>
          <w:szCs w:val="24"/>
        </w:rPr>
        <w:t xml:space="preserve">Naga et al. (2023) also described </w:t>
      </w:r>
      <w:r w:rsidR="00422C07" w:rsidRPr="0069787A">
        <w:rPr>
          <w:sz w:val="24"/>
          <w:szCs w:val="24"/>
        </w:rPr>
        <w:t>that QS pathway</w:t>
      </w:r>
      <w:r w:rsidRPr="0069787A">
        <w:rPr>
          <w:sz w:val="24"/>
          <w:szCs w:val="24"/>
        </w:rPr>
        <w:t xml:space="preserve"> had a huge influence on bacteria virulence regulation and that pathogenicity was minimized by interfering with such signalling pathways. The authors in the research came to the conclusion that QS inhibitor (QSIs) or QQ enzymes such as lactonases or acylases could degrade or inactivate signalling molecules, co-ordinate the expression of virulence and biofilm maturation genes</w:t>
      </w:r>
      <w:r w:rsidR="00E33197" w:rsidRPr="0069787A">
        <w:rPr>
          <w:sz w:val="24"/>
          <w:szCs w:val="24"/>
        </w:rPr>
        <w:t xml:space="preserve"> (Watson et al. 2021)</w:t>
      </w:r>
      <w:r w:rsidRPr="0069787A">
        <w:rPr>
          <w:sz w:val="24"/>
          <w:szCs w:val="24"/>
        </w:rPr>
        <w:t>. These findings emphasize that, in addition to the role of QS in the maintenance of infections, it is also a potential target of the interventions to minimize AMR without the need to kill bacteria, which diminishes the selection pressure to adapt to resistances.</w:t>
      </w:r>
    </w:p>
    <w:p w14:paraId="452B095C" w14:textId="77777777" w:rsidR="00383FE4" w:rsidRPr="0069787A" w:rsidRDefault="00383FE4" w:rsidP="00E31EE7">
      <w:pPr>
        <w:pStyle w:val="Heading3"/>
      </w:pPr>
      <w:bookmarkStart w:id="84" w:name="_Toc216991684"/>
      <w:r w:rsidRPr="0069787A">
        <w:t>4.3.2 Theme 2: Quorum Quenching Strategies.</w:t>
      </w:r>
      <w:bookmarkEnd w:id="84"/>
    </w:p>
    <w:p w14:paraId="1F12E890" w14:textId="2C645BC6" w:rsidR="00383FE4" w:rsidRPr="0069787A" w:rsidRDefault="00383FE4" w:rsidP="00383FE4">
      <w:pPr>
        <w:spacing w:line="360" w:lineRule="auto"/>
        <w:jc w:val="both"/>
        <w:rPr>
          <w:sz w:val="24"/>
          <w:szCs w:val="24"/>
        </w:rPr>
      </w:pPr>
      <w:r w:rsidRPr="0069787A">
        <w:rPr>
          <w:sz w:val="24"/>
          <w:szCs w:val="24"/>
        </w:rPr>
        <w:t>QQ methods have been found to be a good alternative to the conventional antimicrobial therapy, particularly in the management of biofilm-related infections and AMR. According to the researchers, Zhao et al. (2020) believe that QQ works by disrupting the signal of bacterial communication rather than killing the bacteria itself, thereby reducing resistance due to the selection pressure. Their analysis included the role of enzymatic QQ that includes lactonases and acylases that destroy the AHL signalling of Gram-negative bacteria and leads to the blockage of the virulence factor expression and the formation of biofilms</w:t>
      </w:r>
      <w:r w:rsidR="00E33197" w:rsidRPr="0069787A">
        <w:rPr>
          <w:sz w:val="24"/>
          <w:szCs w:val="24"/>
        </w:rPr>
        <w:t xml:space="preserve"> (Gibson et al. 2022)</w:t>
      </w:r>
      <w:r w:rsidRPr="0069787A">
        <w:rPr>
          <w:sz w:val="24"/>
          <w:szCs w:val="24"/>
        </w:rPr>
        <w:t>. This is not just a method to minimize the pathogenicity of bacteria, but also enhances the performance of already existing antimicrobial treatment.</w:t>
      </w:r>
    </w:p>
    <w:p w14:paraId="033D080C" w14:textId="554E3423" w:rsidR="00383FE4" w:rsidRPr="0069787A" w:rsidRDefault="00383FE4" w:rsidP="00383FE4">
      <w:pPr>
        <w:spacing w:line="360" w:lineRule="auto"/>
        <w:jc w:val="both"/>
        <w:rPr>
          <w:sz w:val="24"/>
          <w:szCs w:val="24"/>
        </w:rPr>
      </w:pPr>
      <w:r w:rsidRPr="0069787A">
        <w:rPr>
          <w:sz w:val="24"/>
          <w:szCs w:val="24"/>
        </w:rPr>
        <w:t xml:space="preserve">Naga et al. (2023) also indicated the future outlook of both natural and artificial quorum sensing inhibitors (QSIs) in clinical setting. They state that, by blocking its receptors with plant-based products, nanoparticles and small-molecule inhibitors, it is possible to interfere with QS signalling to reduce bacterial virulence and persistence. It is worth mentioning that such measures are capable of minimizing the biofilm formation of multidrug-resistant pathogens without such a substantial selection pressure and, thus, QQ is a long-term prevention measure in a healthcare and social care environment that is sustainable. D’Aquila et al. (2024) talked about the implementation of QQ and available new technologies, including enzyme-functionalized surfaces and biosensors. They noted </w:t>
      </w:r>
      <w:r w:rsidRPr="0069787A">
        <w:rPr>
          <w:sz w:val="24"/>
          <w:szCs w:val="24"/>
        </w:rPr>
        <w:lastRenderedPageBreak/>
        <w:t>that surface treatment, which is aimed at the breakdown of QS molecules, can prevent initial biofilm settlement to a medical device and hospital surface to ensure that the incidence of the healthcare-associated infection will be substantially reduced. In addition, the QQ-based real-time biosensors detect QS activity and make it possible to intervene at the time and deal with the dangers of AMR</w:t>
      </w:r>
      <w:r w:rsidR="00E33197" w:rsidRPr="0069787A">
        <w:rPr>
          <w:sz w:val="24"/>
          <w:szCs w:val="24"/>
        </w:rPr>
        <w:t xml:space="preserve"> (Dixon-Woods et al. 2024)</w:t>
      </w:r>
      <w:r w:rsidRPr="0069787A">
        <w:rPr>
          <w:sz w:val="24"/>
          <w:szCs w:val="24"/>
        </w:rPr>
        <w:t>.</w:t>
      </w:r>
      <w:r w:rsidR="00E33197" w:rsidRPr="0069787A">
        <w:rPr>
          <w:sz w:val="24"/>
          <w:szCs w:val="24"/>
        </w:rPr>
        <w:t xml:space="preserve"> </w:t>
      </w:r>
      <w:r w:rsidRPr="0069787A">
        <w:rPr>
          <w:sz w:val="24"/>
          <w:szCs w:val="24"/>
        </w:rPr>
        <w:t>This complexity of measures and AI-based detection and monitoring technologies increases the chances of QQ being more efficient in preventing infections, decreasing AMR, and improving patient outcomes in health organization.</w:t>
      </w:r>
    </w:p>
    <w:p w14:paraId="576A5DB8" w14:textId="77777777" w:rsidR="00383FE4" w:rsidRPr="0069787A" w:rsidRDefault="00383FE4" w:rsidP="00E31EE7">
      <w:pPr>
        <w:pStyle w:val="Heading3"/>
      </w:pPr>
      <w:bookmarkStart w:id="85" w:name="_Toc216991685"/>
      <w:r w:rsidRPr="0069787A">
        <w:t>4.3.3 Theme 3: Biofilm Formation and Disruption.</w:t>
      </w:r>
      <w:bookmarkEnd w:id="85"/>
    </w:p>
    <w:p w14:paraId="269A3FE1" w14:textId="77777777" w:rsidR="00383FE4" w:rsidRPr="0069787A" w:rsidRDefault="00383FE4" w:rsidP="00383FE4">
      <w:pPr>
        <w:spacing w:line="360" w:lineRule="auto"/>
        <w:jc w:val="both"/>
        <w:rPr>
          <w:sz w:val="24"/>
          <w:szCs w:val="24"/>
        </w:rPr>
      </w:pPr>
      <w:r w:rsidRPr="0069787A">
        <w:rPr>
          <w:sz w:val="24"/>
          <w:szCs w:val="24"/>
        </w:rPr>
        <w:t>The concept of the role of QS in persistent infections and AMR and the manner in which QQ strategies are applicable to act to intervene is based on biofilm formation and disruption. To block biofilm formation, Zhang et al. (2022) have taken into account a small molecule, ML364, that interferes with the AI-2 QS system and produces a potent effect on biofilm formation in most bacteria (pseudomonas aeruginosa, E. coli, Klebsiella pneumoniae, and Staphylococcus aureus). They possess in vitro data of a reduction in the weight of biofilm and in vivo mouse infection modalities demonstrates that, ML364 reduces the weight of bacteria and elevates survival. It was proposed in molecular docking that there was a possibility that ML364 had a higher affinity to receptors than natural AI-2, which are able to explain the anti-biofilm activity in part.</w:t>
      </w:r>
    </w:p>
    <w:p w14:paraId="069151AA" w14:textId="77777777" w:rsidR="00383FE4" w:rsidRPr="0069787A" w:rsidRDefault="00383FE4" w:rsidP="00383FE4">
      <w:pPr>
        <w:spacing w:line="360" w:lineRule="auto"/>
        <w:jc w:val="both"/>
        <w:rPr>
          <w:sz w:val="24"/>
          <w:szCs w:val="24"/>
        </w:rPr>
      </w:pPr>
      <w:r w:rsidRPr="0069787A">
        <w:rPr>
          <w:sz w:val="24"/>
          <w:szCs w:val="24"/>
        </w:rPr>
        <w:t>Meanwhile, D’Aquila et al. (2024) provide an in-depth review of the QQ compounds, both natural and synthetic, that act as QS inhibitors, and by extension biofilms. They describe the activity of the QQ enzymes (such as lactonases) and small-molecule QS inhibitors, but also other determinants, in order to respond to intercellular communication, prevent adhesion, build up mature biofilms and recover antibiotic resistance. Their explanation brings to light the fact that QQ is a possible biocontrol intervention that can be used to cope with biofilm caused antibiotic resistance among Gram-positive and Gram-negative pathogens.</w:t>
      </w:r>
    </w:p>
    <w:p w14:paraId="0FF69FB5" w14:textId="5688678A" w:rsidR="00383FE4" w:rsidRPr="0069787A" w:rsidRDefault="00383FE4" w:rsidP="00383FE4">
      <w:pPr>
        <w:spacing w:line="360" w:lineRule="auto"/>
        <w:jc w:val="both"/>
        <w:rPr>
          <w:b/>
          <w:bCs/>
          <w:i/>
          <w:iCs/>
          <w:sz w:val="24"/>
          <w:szCs w:val="24"/>
        </w:rPr>
      </w:pPr>
      <w:r w:rsidRPr="0069787A">
        <w:rPr>
          <w:sz w:val="24"/>
          <w:szCs w:val="24"/>
        </w:rPr>
        <w:t xml:space="preserve">Maillard and Centeleghe (2023), in their turn, ponder over the structural and environmental context of biofilms in the healthcare setting and their resistance to disinfection in particular. They draw the line between hydrated biofilms (drains, wet hospital medical equipment) and dry surface biofilms (DSB) on common surfaces in </w:t>
      </w:r>
      <w:r w:rsidRPr="0069787A">
        <w:rPr>
          <w:sz w:val="24"/>
          <w:szCs w:val="24"/>
        </w:rPr>
        <w:lastRenderedPageBreak/>
        <w:t xml:space="preserve">hospitals. Such biofilms could be heterogeneous, multi-species and embedded within a shielding layer of extracellular polymeric substances (EPS) and extra-cellular DNA which significantly reduces the usefulness of conventional cleaning and biocide-based decontamination. Maillard and Centeleghe are of the view that bespoke cleaning processes are supposed to be </w:t>
      </w:r>
      <w:r w:rsidR="00162C92" w:rsidRPr="0069787A">
        <w:rPr>
          <w:sz w:val="24"/>
          <w:szCs w:val="24"/>
        </w:rPr>
        <w:t>modelled</w:t>
      </w:r>
      <w:r w:rsidRPr="0069787A">
        <w:rPr>
          <w:sz w:val="24"/>
          <w:szCs w:val="24"/>
        </w:rPr>
        <w:t xml:space="preserve"> to assault biofilm beds instead of killing planktonic bacteria on a general basis.</w:t>
      </w:r>
    </w:p>
    <w:p w14:paraId="03599808" w14:textId="77777777" w:rsidR="00383FE4" w:rsidRPr="0069787A" w:rsidRDefault="00383FE4" w:rsidP="00E31EE7">
      <w:pPr>
        <w:pStyle w:val="Heading3"/>
      </w:pPr>
      <w:bookmarkStart w:id="86" w:name="_Toc216991686"/>
      <w:r w:rsidRPr="0069787A">
        <w:t>4.3.4 Theme 4: AI-Enabled Detection and Monitoring</w:t>
      </w:r>
      <w:bookmarkEnd w:id="86"/>
    </w:p>
    <w:p w14:paraId="1F2A2401" w14:textId="77777777" w:rsidR="00383FE4" w:rsidRPr="0069787A" w:rsidRDefault="00383FE4" w:rsidP="00383FE4">
      <w:pPr>
        <w:spacing w:line="360" w:lineRule="auto"/>
        <w:jc w:val="both"/>
        <w:rPr>
          <w:sz w:val="24"/>
          <w:szCs w:val="24"/>
        </w:rPr>
      </w:pPr>
      <w:r w:rsidRPr="0069787A">
        <w:rPr>
          <w:sz w:val="24"/>
          <w:szCs w:val="24"/>
        </w:rPr>
        <w:t>The topics of AI-based detection and surveillance have taken the center stage in the context of understanding and controlling QS and QQ systems, and biofilm formation within the healthcare and social care environments. As highlighted by Zhao et al. (2020), the opportunities of computational models and predictive algorithm in the mapping of QS signalling pathways and predicting bacterial virulence behaviours are conveyed. The model of predicting the early signs of biofilm growth can be based on an AI that should model the dynamics of bacterial communication and, consequently, timely intervention in the clinical scenario prevents the further extension of infections. Similarly, Naga et al. (2023) have emphasized that AI-assisted biosensors are used in real-time to detect QS molecules. With the combination of these biosensors and machine learning models instance, the change in concentrations of autoinducers can be sensed with high sensitivity and specificity that are applied to monitor bacterial communication. The ability to detect the QS activity before the biofilms grow allows medical practitioners to apply quorum quenching strategies early enough, which can potentially avoid the emergence of AMR.</w:t>
      </w:r>
    </w:p>
    <w:p w14:paraId="2EB3FD93" w14:textId="77777777" w:rsidR="00383FE4" w:rsidRPr="0069787A" w:rsidRDefault="00383FE4" w:rsidP="00383FE4">
      <w:pPr>
        <w:spacing w:line="360" w:lineRule="auto"/>
        <w:jc w:val="both"/>
        <w:rPr>
          <w:sz w:val="24"/>
          <w:szCs w:val="24"/>
        </w:rPr>
      </w:pPr>
      <w:r w:rsidRPr="0069787A">
        <w:rPr>
          <w:sz w:val="24"/>
          <w:szCs w:val="24"/>
        </w:rPr>
        <w:t xml:space="preserve">To the fact, Jacobowski et al. (2025) contributed to the fact that AI is applied to bring together multiple datasets in microbiology, genomics, or clinical records of infections. AI algorithms can be used to analyse the patterns of QS-controlled virulence of different pathogens and correlate them with the results of their patients and their surrounding in hospitals and social care settings. Such procedures are employed to enhance surveillance technologies in that they provide predictive data and help to make evidence-based decisions in the infection control operations. Zhang et al. (2022) provided empirical information on quorum-sensing inhibitors monitoring with the assistance of AI. </w:t>
      </w:r>
    </w:p>
    <w:p w14:paraId="4A13C79E" w14:textId="77777777" w:rsidR="00383FE4" w:rsidRPr="0069787A" w:rsidRDefault="00383FE4" w:rsidP="00E31EE7">
      <w:pPr>
        <w:pStyle w:val="Heading3"/>
      </w:pPr>
      <w:bookmarkStart w:id="87" w:name="_Toc216991687"/>
      <w:r w:rsidRPr="0069787A">
        <w:lastRenderedPageBreak/>
        <w:t>4.3.5 Theme 5: Implications for AMR</w:t>
      </w:r>
      <w:bookmarkEnd w:id="87"/>
    </w:p>
    <w:p w14:paraId="73DDE2B8" w14:textId="77831516" w:rsidR="00383FE4" w:rsidRPr="0069787A" w:rsidRDefault="00383FE4" w:rsidP="00383FE4">
      <w:pPr>
        <w:spacing w:line="360" w:lineRule="auto"/>
        <w:jc w:val="both"/>
        <w:rPr>
          <w:sz w:val="24"/>
          <w:szCs w:val="24"/>
        </w:rPr>
      </w:pPr>
      <w:r w:rsidRPr="0069787A">
        <w:rPr>
          <w:sz w:val="24"/>
          <w:szCs w:val="24"/>
        </w:rPr>
        <w:t xml:space="preserve">The study has built significant contributions of QS and QQ to AMR in the state of healthcare and social care. As Zhao et al. (2020) noted, the central role in the control of bacterial virulence and biofilm formation will directly result in the formation and maintenance of AMR. The existence of biofilms also </w:t>
      </w:r>
      <w:r w:rsidR="00162C92" w:rsidRPr="0069787A">
        <w:rPr>
          <w:sz w:val="24"/>
          <w:szCs w:val="24"/>
        </w:rPr>
        <w:t>assists</w:t>
      </w:r>
      <w:r w:rsidRPr="0069787A">
        <w:rPr>
          <w:sz w:val="24"/>
          <w:szCs w:val="24"/>
        </w:rPr>
        <w:t xml:space="preserve"> bacteria in preventing the entry of antibiotics and the resistant ones can proliferate. It has been demonstrated that the quorum quenching strategies are able to interfere with bacterial communication by understanding the processes participating in quorum sensing and hence diminishing virulence without having to impose the type of selection pressures that traditional antibiotics do. Naga et al. (2023) </w:t>
      </w:r>
      <w:r w:rsidR="00162C92" w:rsidRPr="0069787A">
        <w:rPr>
          <w:sz w:val="24"/>
          <w:szCs w:val="24"/>
        </w:rPr>
        <w:t>proves</w:t>
      </w:r>
      <w:r w:rsidRPr="0069787A">
        <w:rPr>
          <w:sz w:val="24"/>
          <w:szCs w:val="24"/>
        </w:rPr>
        <w:t xml:space="preserve"> this fact and show that the pathogenicity of bacteria and biofilm formation may be kept down by blocking QS with the assistance of natural or artificial compounds. It implies that the interventions based on QQ can be implemented as an addition to the existing antimicrobial therapy and contribute to its effectiveness and, possibly, change the trend of the multi-drug resistant pathogens. Based on their results, the integration of QQ strategies into the context of infection control measures could be beneficial to decrease the rate of AMR in high-risk clinical practice.</w:t>
      </w:r>
    </w:p>
    <w:p w14:paraId="224FA362" w14:textId="77777777" w:rsidR="00383FE4" w:rsidRPr="0069787A" w:rsidRDefault="00383FE4" w:rsidP="00383FE4">
      <w:pPr>
        <w:spacing w:line="360" w:lineRule="auto"/>
        <w:jc w:val="both"/>
        <w:rPr>
          <w:sz w:val="24"/>
          <w:szCs w:val="24"/>
        </w:rPr>
      </w:pPr>
      <w:r w:rsidRPr="0069787A">
        <w:rPr>
          <w:sz w:val="24"/>
          <w:szCs w:val="24"/>
        </w:rPr>
        <w:t xml:space="preserve">According to Sharma et al. (2023), another possibility is that biofilms may serve as the reservoir of the resilient bacteria, which gives the continuum of the course of infection even after the long-term use of antibiotics. By targeting the QS disruption in order to interfere with biofilm formation the study has shown that chronic infections that are otherwise hard to cure, can be cured. This highlights the relevance of anti-biofilm methods in the inhibition of the selective pressure driving AMR. Jacobowski et al. (2025) extend these findings by putting the innovative interventions, including the QS-targeted interventions, into the framework of the multi-pronged approach to AMR. </w:t>
      </w:r>
    </w:p>
    <w:p w14:paraId="643BA7DD" w14:textId="77777777" w:rsidR="00383FE4" w:rsidRPr="0069787A" w:rsidRDefault="00383FE4" w:rsidP="00E31EE7">
      <w:pPr>
        <w:pStyle w:val="Heading3"/>
      </w:pPr>
      <w:bookmarkStart w:id="88" w:name="_Toc216991688"/>
      <w:r w:rsidRPr="0069787A">
        <w:t>4.3.6 Theme 6: Public Health, Clinical and Socioeconomic Impact.</w:t>
      </w:r>
      <w:bookmarkEnd w:id="88"/>
    </w:p>
    <w:p w14:paraId="5FA3AB24" w14:textId="502E8B5D" w:rsidR="00383FE4" w:rsidRPr="0069787A" w:rsidRDefault="00383FE4" w:rsidP="00383FE4">
      <w:pPr>
        <w:spacing w:line="360" w:lineRule="auto"/>
        <w:jc w:val="both"/>
        <w:rPr>
          <w:sz w:val="24"/>
          <w:szCs w:val="24"/>
        </w:rPr>
      </w:pPr>
      <w:r w:rsidRPr="0069787A">
        <w:rPr>
          <w:sz w:val="24"/>
          <w:szCs w:val="24"/>
        </w:rPr>
        <w:t xml:space="preserve">The systematic review findings reveal that QS and QQ have powerful consequences in the health of the population, medical care, and cost of healthcare. Zhao et al. (2020) highlighted that the direct causes of persistent infections, the extended period of the hospitalization, and the mortality rates are QS-regulated virulence and biofilm formation. This, in its turn, imposes a huge burden on the health care systems of the population and especially on the healthcare and social care facilities where the vulnerable groups are </w:t>
      </w:r>
      <w:r w:rsidRPr="0069787A">
        <w:rPr>
          <w:sz w:val="24"/>
          <w:szCs w:val="24"/>
        </w:rPr>
        <w:lastRenderedPageBreak/>
        <w:t xml:space="preserve">more exposed. The article pointed out that quorum quenching interventions could potentially reduce the pathogenicity of bacteria, which will lead to improved patient outcomes and strain on the clinical resources. Sharma et al. (2023) </w:t>
      </w:r>
      <w:r w:rsidR="00162C92" w:rsidRPr="0069787A">
        <w:rPr>
          <w:sz w:val="24"/>
          <w:szCs w:val="24"/>
        </w:rPr>
        <w:t>analysed</w:t>
      </w:r>
      <w:r w:rsidRPr="0069787A">
        <w:rPr>
          <w:sz w:val="24"/>
          <w:szCs w:val="24"/>
        </w:rPr>
        <w:t xml:space="preserve"> biofilm formation as an important determinant of chronic infections since it leads to repeated treatments, increased hospitalism, and increased use of healthcare resources, since, with the development of biofilms, the conventional antibiotics are ineffective. By disrupting biofilms and inhibiting the QS, the healthcare providers will be in a position to minimize the survival of the infections, lower the cost of treatment, and also decrease the burden on antimicrobial stewardship programs. These interventions also minimize the probability of social health facilities outbreaks and general health security to the population.</w:t>
      </w:r>
    </w:p>
    <w:p w14:paraId="78770537" w14:textId="13726112" w:rsidR="00383FE4" w:rsidRPr="0069787A" w:rsidRDefault="00383FE4" w:rsidP="00383FE4">
      <w:pPr>
        <w:spacing w:line="360" w:lineRule="auto"/>
        <w:jc w:val="both"/>
        <w:rPr>
          <w:sz w:val="24"/>
          <w:szCs w:val="24"/>
        </w:rPr>
      </w:pPr>
      <w:r w:rsidRPr="0069787A">
        <w:rPr>
          <w:sz w:val="24"/>
          <w:szCs w:val="24"/>
        </w:rPr>
        <w:t>Jacobowski et al. (2025) referred to new antimicrobial solutions, including QS-directed treatment and new technologies, including nanomaterials and artificial intelligence-monitored systems. These approaches can be used not only to positively influence the clinical outcomes by controlling the dissemination of infection but offer rather economical solutions by terminating the need to take recurring courses of antibiotics and expensive procedures. The integration of AI-based biosensors will also offer a chance to recognize the QS activity at the earliest phase and implement prompt treatment interventions and support infection prevention. Zhong and He (2021) narrowed their focus on Acinetobacter that is a pathogen that is normally associated with hospital-acquired infections. They found that quorum quenching can disrupt the growth of biofilms and virulence and, therefore, make infections less severe. A lower healthcare expenditure, improved resource distribution, and patient safety are the socioeconomic benefits that were identified in the study. Overall, these papers highlight the transformational character of QS and QQ practices and have shown that the response to microbial communication systems can positively influence the health outcomes of the population, the clinical efficiency, and the total economic impact of antimicrobial-resistant infections in health and social care facilities.</w:t>
      </w:r>
    </w:p>
    <w:p w14:paraId="37C7E464" w14:textId="12EA78FC" w:rsidR="00B869AF" w:rsidRPr="0069787A" w:rsidRDefault="00B869AF" w:rsidP="00E31EE7">
      <w:pPr>
        <w:pStyle w:val="Heading2"/>
      </w:pPr>
      <w:bookmarkStart w:id="89" w:name="_2rss03k5f65m" w:colFirst="0" w:colLast="0"/>
      <w:bookmarkStart w:id="90" w:name="_Toc216991689"/>
      <w:bookmarkEnd w:id="89"/>
      <w:r w:rsidRPr="0069787A">
        <w:t>4.4 Findings</w:t>
      </w:r>
      <w:bookmarkEnd w:id="90"/>
      <w:r w:rsidRPr="0069787A">
        <w:t xml:space="preserve"> </w:t>
      </w:r>
      <w:r w:rsidR="00FB10DD" w:rsidRPr="0069787A">
        <w:tab/>
      </w:r>
    </w:p>
    <w:p w14:paraId="0A919531"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 xml:space="preserve">It was found that QS mechanisms are in the centre of the spotlight of pathogenicity, biofilm formation and AMR in healthcare and social care settings. As noted by Zhao et al. (2020), AHLs and AIPs are signalling molecules associated with QS, which increase with the </w:t>
      </w:r>
      <w:r w:rsidRPr="0069787A">
        <w:rPr>
          <w:rFonts w:eastAsia="Times New Roman"/>
          <w:sz w:val="24"/>
          <w:szCs w:val="24"/>
        </w:rPr>
        <w:lastRenderedPageBreak/>
        <w:t>population density of bacteria to induce the expression of virulence and biofilm-relevant genes. Liu et al. (2024) highlighted that the protection against antibiotics and immune responses is enabled by the protection of biofilms that are managed by QS molecules such as AHLs and AI-2, which should explain the survival of bacteria on medical equipment and hospital surfaces. According to Nagel et al. (2023), any disruption of QS pathways with QQ enzymes or inhibitors can decrease the virulence and biofilm maturation, which is a non-lethal method to reduce the persistence of the infection and decrease the selection pressure to antimicrobial resistance. D’Aquila et al. (2024) also showed that QQ strategies, such as the use of enzyme-functionalized surfaces and biosensors, do not allow the biofilm to develop on the surfaces, and it is also possible to monitor the QS activity in real-time, which allows the infection to be controlled proactively. Taken together, these results indicate that the knowledge of QS pathways can be used to implement specific interventions, minimising biofilm-related infections, and facilitating the work of antimicrobial stewards in clinical and social practise.</w:t>
      </w:r>
    </w:p>
    <w:p w14:paraId="0E152982"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QQ strategies have been demonstrated to be of clinical and socioeconomic advantages. According to Zhao et al. (2020), enzymatic QQ, with the help of lactonases and acylases, breaks down the signal molecules to suppress the virulence and biofilm formation, increases the activity of the available antibiotics. Naga et al. (2023) emphasised that plant-derived natural and synthetic, as well as nanoparticle-based, QS inhibitors, do not enhance resistance in bacteria and decrease bacterial persistent behaviour. Jacobowski et al. (2025) highlighted that AI-enabled monitoring, nanomaterials, and predictive algorithms enhanced infection surveillance and, therefore, prompt interventions and medical decision-making based on the data collected. The results of Zhong and He (2021) indicated that QQ strategies against pathogens such as Acinetobacter baumannii can minimise the cost of healthcare and the severity of infection. Taken together, these studies point out the fact that QS and QQ interventions have beneficial effects on patient outcomes, infection prevention, and decreased economic impacts on healthcare systems. These strategies can be used to provide sustainable solutions to managing persistent infections and AMR reduction in NHS and social care settings by interfering with communication between the microbes.</w:t>
      </w:r>
    </w:p>
    <w:p w14:paraId="5CE61640" w14:textId="77777777" w:rsidR="00B869AF" w:rsidRPr="0069787A" w:rsidRDefault="00B869AF" w:rsidP="00E31EE7">
      <w:pPr>
        <w:pStyle w:val="Heading2"/>
      </w:pPr>
      <w:bookmarkStart w:id="91" w:name="_xvaanyyjv5ot" w:colFirst="0" w:colLast="0"/>
      <w:bookmarkStart w:id="92" w:name="_Toc216991690"/>
      <w:bookmarkEnd w:id="91"/>
      <w:r w:rsidRPr="0069787A">
        <w:t>4.5 Linking with objectives</w:t>
      </w:r>
      <w:bookmarkEnd w:id="92"/>
      <w:r w:rsidRPr="0069787A">
        <w:t xml:space="preserve"> </w:t>
      </w:r>
    </w:p>
    <w:p w14:paraId="01F06DAB"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lastRenderedPageBreak/>
        <w:t>The results of the study have managed to answer the research objectives through the emphasis on the paramount importance of QS and QQ in terms of infection control and AMR management. The aim of investigating the QQ strategies has been achieved since published research, such as Zhao et al. (2020) and Naga et al. (2023) showed that the enzyme degradation of QS molecules and natural or synthetic quorum sensing inhibitors interfere with bacterial communication. Such interventions decrease biofilm maturation, inhibit virulence and limit persistent infections in health and social care settings, which offer a long-term complement to traditional antibiotics with limited selective pressure towards resistance.</w:t>
      </w:r>
    </w:p>
    <w:p w14:paraId="7FABF97B" w14:textId="77777777" w:rsidR="00B869AF" w:rsidRPr="0069787A" w:rsidRDefault="00B869AF" w:rsidP="00B869AF">
      <w:pPr>
        <w:spacing w:line="360" w:lineRule="auto"/>
        <w:jc w:val="both"/>
        <w:rPr>
          <w:rFonts w:eastAsia="Times New Roman"/>
          <w:sz w:val="24"/>
          <w:szCs w:val="24"/>
        </w:rPr>
      </w:pPr>
      <w:r w:rsidRPr="0069787A">
        <w:rPr>
          <w:rFonts w:eastAsia="Times New Roman"/>
          <w:sz w:val="24"/>
          <w:szCs w:val="24"/>
        </w:rPr>
        <w:t>The goal of the evaluation of technological innovations has also been achieved. A study by Jacobowski et al. (2025) and D’Aquila et al. (2024) also identified the use of AI-enabled biosensors, predictive algorithms, and enzyme-functionalized surfaces, which enable real-time monitoring of QS activity, early-stage biofilm formation detection, and targeted QQ interventions. These technologies improve the occurrence of infection prevention and the antimicrobial stewardship programmes. Lastly, the more general social, economic and health impacts have been addressed by the One Health framework, focusing on the interrelationship between human, animal, and environmental health. Infections caused by QS are associated with long stay, morbidity and elevated healthcare expenses. The results have shown that QQ and technological strategies have the potential to enhance patient outcomes, resource allocation and lead to decreases in the burden on NHS and social care systems. Altogether, the research incorporates microbial communication mechanisms with systemic, practical, and policy-relevant applications, which all effectively address all research objectives.</w:t>
      </w:r>
    </w:p>
    <w:p w14:paraId="038EE504" w14:textId="77777777" w:rsidR="00B869AF" w:rsidRPr="0069787A" w:rsidRDefault="00B869AF" w:rsidP="00E31EE7">
      <w:pPr>
        <w:pStyle w:val="Heading2"/>
      </w:pPr>
      <w:bookmarkStart w:id="93" w:name="_l4goc75nqvtj" w:colFirst="0" w:colLast="0"/>
      <w:bookmarkStart w:id="94" w:name="_Toc216991691"/>
      <w:bookmarkEnd w:id="93"/>
      <w:r w:rsidRPr="0069787A">
        <w:t>4.6 Summary</w:t>
      </w:r>
      <w:bookmarkEnd w:id="94"/>
      <w:r w:rsidRPr="0069787A">
        <w:t xml:space="preserve"> </w:t>
      </w:r>
    </w:p>
    <w:p w14:paraId="1628779C" w14:textId="77777777" w:rsidR="000E6F9A" w:rsidRPr="0069787A" w:rsidRDefault="00B869AF">
      <w:pPr>
        <w:spacing w:line="360" w:lineRule="auto"/>
        <w:jc w:val="both"/>
        <w:rPr>
          <w:rFonts w:eastAsia="Times New Roman"/>
          <w:sz w:val="24"/>
          <w:szCs w:val="24"/>
        </w:rPr>
      </w:pPr>
      <w:r w:rsidRPr="0069787A">
        <w:rPr>
          <w:rFonts w:eastAsia="Times New Roman"/>
          <w:sz w:val="24"/>
          <w:szCs w:val="24"/>
        </w:rPr>
        <w:t xml:space="preserve">The findings chapter provides detailed discussion of the QS and QQ in bacterial pathogenicity, biofilm formation as well as AMR. Systematic review and thematic analysis allowed identifying six major themes, including QS mechanisms and pathways, QQ strategies, biofilm formation and disruption, AI-enabled detection and monitoring, implications on AMR, and public health, clinical, and socioeconomic impact. Research indicates that QS controls virulence and biofilm formation, and QQ interventions, including enzymatic, chemical, and technological, interfere with communication, decrease the </w:t>
      </w:r>
      <w:r w:rsidRPr="0069787A">
        <w:rPr>
          <w:rFonts w:eastAsia="Times New Roman"/>
          <w:sz w:val="24"/>
          <w:szCs w:val="24"/>
        </w:rPr>
        <w:lastRenderedPageBreak/>
        <w:t>persistence of infection, and increase the effectiveness of antibiotics. It is possible to monitor and control infections in real-time through AI-enabled tools. Hence, these results reveal that the research collaboration of QS and QQ approaches can enhance patient outcomes, decrease AMR, use healthcare resources effectively, and educate evidence-based public health and clinical practise in the NHS and social care facilities.</w:t>
      </w:r>
    </w:p>
    <w:p w14:paraId="605BDB43" w14:textId="77777777" w:rsidR="000E6F9A" w:rsidRPr="0069787A" w:rsidRDefault="000E6F9A">
      <w:pPr>
        <w:rPr>
          <w:rFonts w:eastAsia="Times New Roman"/>
          <w:sz w:val="24"/>
          <w:szCs w:val="24"/>
        </w:rPr>
      </w:pPr>
      <w:r w:rsidRPr="0069787A">
        <w:rPr>
          <w:rFonts w:eastAsia="Times New Roman"/>
          <w:sz w:val="24"/>
          <w:szCs w:val="24"/>
        </w:rPr>
        <w:br w:type="page"/>
      </w:r>
    </w:p>
    <w:p w14:paraId="786F3EC0" w14:textId="77777777" w:rsidR="000E6F9A" w:rsidRPr="0069787A" w:rsidRDefault="000E6F9A" w:rsidP="000E6F9A">
      <w:pPr>
        <w:pStyle w:val="Heading1"/>
        <w:rPr>
          <w:lang w:val="en-IN"/>
        </w:rPr>
      </w:pPr>
      <w:bookmarkStart w:id="95" w:name="_Toc216991692"/>
      <w:r w:rsidRPr="0069787A">
        <w:rPr>
          <w:color w:val="000000"/>
        </w:rPr>
        <w:lastRenderedPageBreak/>
        <w:t>CHAPTER 5: DISCUSSION, CONCLUSIONS, LIMITATIONS AND RECOMMENDATIONS</w:t>
      </w:r>
      <w:bookmarkEnd w:id="95"/>
    </w:p>
    <w:p w14:paraId="5EC745F5" w14:textId="77777777" w:rsidR="000E6F9A" w:rsidRPr="0069787A" w:rsidRDefault="000E6F9A" w:rsidP="000E6F9A">
      <w:pPr>
        <w:pStyle w:val="Heading2"/>
      </w:pPr>
      <w:bookmarkStart w:id="96" w:name="_Toc216991693"/>
      <w:r w:rsidRPr="0069787A">
        <w:rPr>
          <w:color w:val="000000"/>
        </w:rPr>
        <w:t>5.1 Discussion on overall findings</w:t>
      </w:r>
      <w:bookmarkEnd w:id="96"/>
      <w:r w:rsidRPr="0069787A">
        <w:rPr>
          <w:color w:val="000000"/>
        </w:rPr>
        <w:t> </w:t>
      </w:r>
    </w:p>
    <w:p w14:paraId="1DD3ABBC"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This systematic review presents the results that QS has a pivotal and undervalued contribution to the maintenance, intricacy, and AMR profile of infections that are regularly faced by NHS and social care settings (Zhao et al. 2020). Throughout the analysed literature, QS can be identified as a very basic motivator of bacterial cooperation allowing pathogens to control the process of biofilm formation, the release of virulence factors, and the resistance strategies, including the activation of efflux pumps. This response is why the traditional antimicrobial treatment tends to fail in clinical practise, particularly in the treatment of weak patients, those who are immunocompromised, or those dependent on medical equipment. It is shown in the review that it is not possible to comprehend and treat persistent infections without the recognition of the molecular communication systems underlying bacterial resilience.</w:t>
      </w:r>
    </w:p>
    <w:p w14:paraId="5C701C11"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A second important discovery relates to QQ, the promising and innovative alternative to traditional antibiotics. The analysed literature is consistent in demonstrating that QQ interferes with bacterial signalling, instead of causing bacterial cell death, which results in reduced virulence and biofilm stability, as well as a reduction in the selection pressure in favour of resistance. There has been a high potential of enzyme degraders, receptor antagonists, natural compounds, nanoparticles and synthetic mini molecules in inhibiting QS pathways in Gramme-positive and Gramme-negative bacteria. In vitro and animal studies (e.g., the inhibition of AI-2 signalling by ML364) indicate that QQ has the potential to revert the antibiotic resistance and substantially decrease the pathogen load (Zhang et al. 2022). This knowledge suggests that the use of QQ-based interventions may be used as an addition or supplement to current NHS infection-control measures, especially when non-resistant infections are widespread and/or multidrug-resistant infections are widespread.</w:t>
      </w:r>
    </w:p>
    <w:p w14:paraId="53F1B109"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 xml:space="preserve">The results also indicate that biofilms continue being one of the hardest to tackle contributors of hospital acquired diseases. Biofilms regulated by QS ensure defence of pathogens with the help of extracellular matrix and assist them to resist disinfectants, environmental factors, and therapeutic treatment. This is much applicable in NHS and </w:t>
      </w:r>
      <w:r w:rsidRPr="0069787A">
        <w:rPr>
          <w:rFonts w:ascii="Arial" w:hAnsi="Arial" w:cs="Arial"/>
          <w:color w:val="000000"/>
        </w:rPr>
        <w:lastRenderedPageBreak/>
        <w:t>social care environments in which medical equipment, chronic wounds, and dry surfaces are favourable to the growth of biofilms (Maillard and Centeleghe, 2023). Although the existing policies focus on the decontamination and antimicrobial stewardship, they fail to sufficiently respond to the biofilm-related issues. The review encourages the use of biofilm-oriented cleaning guidelines, improved surface coating and device-level development to address the QS-mediated biofilm formation.</w:t>
      </w:r>
    </w:p>
    <w:p w14:paraId="7A217F95"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A transformation opportunity in early detection and monitoring is the use of technological development, especially AI-based biosensors, predictive modelling, and enzyme-functionalised material. The facts prove that digital technology is capable of detecting the signs of QS and biofilm activity far earlier than the traditional microbiological ones, promoting more preventive and specific infection-control actions (D’Aquila et al. 2024). The inclusion of these technologies in the surveillance systems operated by the NHS AMR may make a tremendous difference as it will enhance early warning, decrease delays at the treatment stage, and facilitate the management of resources more efficiently. </w:t>
      </w:r>
    </w:p>
    <w:p w14:paraId="722864BF" w14:textId="77777777" w:rsidR="000E6F9A" w:rsidRPr="0069787A" w:rsidRDefault="000E6F9A" w:rsidP="000E6F9A">
      <w:pPr>
        <w:pStyle w:val="Heading2"/>
      </w:pPr>
      <w:bookmarkStart w:id="97" w:name="_Toc216991694"/>
      <w:r w:rsidRPr="0069787A">
        <w:rPr>
          <w:color w:val="000000"/>
        </w:rPr>
        <w:t>5.2 Conclusion</w:t>
      </w:r>
      <w:bookmarkEnd w:id="97"/>
      <w:r w:rsidRPr="0069787A">
        <w:rPr>
          <w:color w:val="000000"/>
        </w:rPr>
        <w:t> </w:t>
      </w:r>
    </w:p>
    <w:p w14:paraId="12ADE9B4"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The entire research was able to achieve its objective of examining the importance of QS and QQ in the field of public health in terms of infection control and AMR surveillance, and the implication of the same to the NHS and social care settings. The systematic and theoretically informed research presented a combination of microbiological data, healthcare policy views, technological advances, and considerations of the population health so as to offer a comprehensive view of how the microbial communication process can influence the risk and outcome of infection. The systematic review enabled the research to pool, contrast, and synthesise the modern-day research covering bench-level scientific findings, engineering inventions, and healthcare systems facts. Such an integrative approach has made sure that the analysis will be applicable to clinical practise in addition to being based on strong scientific literature, which served to establish QS and QQ as new pillars of the modern infection prevention and AMR approaches.</w:t>
      </w:r>
    </w:p>
    <w:p w14:paraId="34EB4AAD"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 xml:space="preserve">The choice of the study area was based on the increasing international interest in the problem of continuous infections, biofilm complications, and the increasing antimicrobial resistance levels of healthcare facilities. This appreciation informed the research project </w:t>
      </w:r>
      <w:r w:rsidRPr="0069787A">
        <w:rPr>
          <w:rFonts w:ascii="Arial" w:hAnsi="Arial" w:cs="Arial"/>
          <w:color w:val="000000"/>
        </w:rPr>
        <w:lastRenderedPageBreak/>
        <w:t>to centre the research on QS since it is a basic biological process that forms the basis of bacterial cooperation, expression of virulence and therapeutic failure. Similarly, QQ turned out to be a critical field to be investigated because it will help in reducing these mechanisms without escalating resistance. These areas of focus greatly added to the quality of knowledge gathered, as the study was able to relate microbiological processes to clinical outcomes and population health decisions in the real world. All stages of the systematic review helped to develop this knowledge as they filtered the quality evidence, placed the results in sensible thematic patterns, and recognised cross-cutting insights that were applicable in health service delivery.</w:t>
      </w:r>
    </w:p>
    <w:p w14:paraId="419C8FBC"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The theoretical framework of One Health contributed to the formation of the direction of analysis and reinforcement of the conclusions. The framework allowed making sure that QS and QQ were not analysed as isolated scientific phenomena but rather as the part of healthcare infrastructure, environmental hygiene, patient susceptibility, and technological ecosystems. This method allowed classifying QS-regulated infections as the results of interactions at the system level, which is compatible with the principles of One Health collaboration and ecological consciousness and holistic risk management. Theories related to microbial ecology, systems thinking and coordinated public health governance further strengthened the statement that effective responses to the QS-mediated infections have to combine laboratory science, organisational policy, clinical governance, and technological innovation.</w:t>
      </w:r>
    </w:p>
    <w:p w14:paraId="2E4304AD"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The analysis chapter enhanced the study by converting the scientific knowledge into NHS and social care into the implication of the research. Biofilm behaviour synthesis, technological innovations, virulence suppression strategies and biosensing innovations showed that the disruption of QS can transform infection control practises. Additionally, it was found that there are notable disconnects between scientific innovation and practical application that indicate that NHS systems can implement the emerging technologies in the form of AI-enabled biosensors, smart surfaces, and QQ-based therapeutics in order to enhance surveillance and decrease the number of infections. Such a match between evidence and policy relevance is an indication of how the study was able to achieve its objective of connecting QS research and public health outcomes.</w:t>
      </w:r>
    </w:p>
    <w:p w14:paraId="5C173178"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lastRenderedPageBreak/>
        <w:t>It can be interpreted that the systematic review did not fail to reach the intended purpose by allowing the combination of scientific facts, theoretical background, and medical realities to obtain a full picture of QS, QQ, and their implications in managing infections and AMR surveillance. The study provided a logical, practise-based discussion that underpins future innovation, policy change and inter-disciplinary creativity in the setting of NHS and social care.</w:t>
      </w:r>
    </w:p>
    <w:p w14:paraId="00D1B385" w14:textId="77777777" w:rsidR="000E6F9A" w:rsidRPr="0069787A" w:rsidRDefault="000E6F9A" w:rsidP="000E6F9A">
      <w:pPr>
        <w:pStyle w:val="Heading2"/>
      </w:pPr>
      <w:bookmarkStart w:id="98" w:name="_Toc216991695"/>
      <w:r w:rsidRPr="0069787A">
        <w:rPr>
          <w:color w:val="000000"/>
        </w:rPr>
        <w:t>5.3 Research limitations</w:t>
      </w:r>
      <w:bookmarkEnd w:id="98"/>
      <w:r w:rsidRPr="0069787A">
        <w:rPr>
          <w:color w:val="000000"/>
        </w:rPr>
        <w:t> </w:t>
      </w:r>
    </w:p>
    <w:p w14:paraId="07E0B083" w14:textId="4DF35E9D"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 xml:space="preserve">There are a number of limitations of this study. The systematic review used only secondary data and this implies that it was limited by the quality, scope, and rigour of the existing studies. Most of the existing QS and QQ studies are still laboratory based hence limiting their usefulness in direct application in NHS practise settings. In some articles there were no clinical trials or </w:t>
      </w:r>
      <w:r w:rsidR="004D3B3A" w:rsidRPr="0069787A">
        <w:rPr>
          <w:rFonts w:ascii="Arial" w:hAnsi="Arial" w:cs="Arial"/>
          <w:color w:val="000000"/>
        </w:rPr>
        <w:t>real-life</w:t>
      </w:r>
      <w:r w:rsidRPr="0069787A">
        <w:rPr>
          <w:rFonts w:ascii="Arial" w:hAnsi="Arial" w:cs="Arial"/>
          <w:color w:val="000000"/>
        </w:rPr>
        <w:t xml:space="preserve"> assessment, which decreased the possibility of extrapolating the results to various healthcare settings. The fact that technological changes are extremely rapid also assumes that part of the evidence can become obsolete rather fast. Lastly, dissimilar terminology, experimental situations, and results measures among studies were challenging to compare, which may restrict the accuracy and extent of synthesis.</w:t>
      </w:r>
    </w:p>
    <w:p w14:paraId="51E05819" w14:textId="77777777" w:rsidR="000E6F9A" w:rsidRPr="0069787A" w:rsidRDefault="000E6F9A" w:rsidP="000E6F9A">
      <w:pPr>
        <w:pStyle w:val="Heading2"/>
      </w:pPr>
      <w:bookmarkStart w:id="99" w:name="_Toc216991696"/>
      <w:r w:rsidRPr="0069787A">
        <w:rPr>
          <w:color w:val="000000"/>
        </w:rPr>
        <w:t>5.4 Recommendations</w:t>
      </w:r>
      <w:bookmarkEnd w:id="99"/>
      <w:r w:rsidRPr="0069787A">
        <w:rPr>
          <w:color w:val="000000"/>
        </w:rPr>
        <w:t> </w:t>
      </w:r>
    </w:p>
    <w:p w14:paraId="26A09981" w14:textId="5358D89A"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 xml:space="preserve">To improve the way </w:t>
      </w:r>
      <w:r w:rsidR="004D3B3A" w:rsidRPr="0069787A">
        <w:rPr>
          <w:rFonts w:ascii="Arial" w:hAnsi="Arial" w:cs="Arial"/>
          <w:color w:val="000000"/>
        </w:rPr>
        <w:t>people,</w:t>
      </w:r>
      <w:r w:rsidRPr="0069787A">
        <w:rPr>
          <w:rFonts w:ascii="Arial" w:hAnsi="Arial" w:cs="Arial"/>
          <w:color w:val="000000"/>
        </w:rPr>
        <w:t xml:space="preserve"> respond to QS and QQ as a part of infection control and AMR management, scientific innovation, organisational preparedness, and integration of the policies should be combined. According to the results of the study, it is possible to make a number of recommendations that can help to enhance the practise settings of NHS and social care and become better equipped to face the challenges of QS-mediated infections.</w:t>
      </w:r>
    </w:p>
    <w:p w14:paraId="7A2DA08F" w14:textId="77777777" w:rsidR="000E6F9A" w:rsidRPr="0069787A" w:rsidRDefault="000E6F9A" w:rsidP="000E6F9A">
      <w:pPr>
        <w:pStyle w:val="NormalWeb"/>
        <w:numPr>
          <w:ilvl w:val="0"/>
          <w:numId w:val="3"/>
        </w:numPr>
        <w:spacing w:before="0" w:beforeAutospacing="0" w:after="0" w:afterAutospacing="0" w:line="360" w:lineRule="auto"/>
        <w:jc w:val="both"/>
        <w:textAlignment w:val="baseline"/>
        <w:rPr>
          <w:rFonts w:ascii="Arial" w:hAnsi="Arial" w:cs="Arial"/>
          <w:color w:val="000000"/>
        </w:rPr>
      </w:pPr>
      <w:r w:rsidRPr="0069787A">
        <w:rPr>
          <w:rFonts w:ascii="Arial" w:hAnsi="Arial" w:cs="Arial"/>
          <w:color w:val="000000"/>
        </w:rPr>
        <w:t xml:space="preserve">QS-targeted methods should be included in the NHS infection control systems as the part of prevention and treatment regimes. Because QS is the cause of biofilm, persistent infection, and antimicrobial resistance, the combination of QQ agents, including enzyme-based disruptors, signal inhibitors, and blockers of natural compounds, can greatly decrease microbial communication and virulence. Implementation of QQ-centred interventions in high-risks settings, including ICUs, surgical units, and homes with care would help to interrupt pathogenic colonisation </w:t>
      </w:r>
      <w:r w:rsidRPr="0069787A">
        <w:rPr>
          <w:rFonts w:ascii="Arial" w:hAnsi="Arial" w:cs="Arial"/>
          <w:color w:val="000000"/>
        </w:rPr>
        <w:lastRenderedPageBreak/>
        <w:t>earlier (Juszczuk-Kubiak, 2024). This ought to be accompanied by more investment on translational research in order to translate laboratory QS results into clinical implementable solutions.</w:t>
      </w:r>
    </w:p>
    <w:p w14:paraId="43757EB7" w14:textId="77777777" w:rsidR="000E6F9A" w:rsidRPr="0069787A" w:rsidRDefault="000E6F9A" w:rsidP="000E6F9A">
      <w:pPr>
        <w:pStyle w:val="NormalWeb"/>
        <w:numPr>
          <w:ilvl w:val="0"/>
          <w:numId w:val="3"/>
        </w:numPr>
        <w:spacing w:before="0" w:beforeAutospacing="0" w:after="0" w:afterAutospacing="0" w:line="360" w:lineRule="auto"/>
        <w:jc w:val="both"/>
        <w:textAlignment w:val="baseline"/>
        <w:rPr>
          <w:rFonts w:ascii="Arial" w:hAnsi="Arial" w:cs="Arial"/>
          <w:color w:val="000000"/>
        </w:rPr>
      </w:pPr>
      <w:r w:rsidRPr="0069787A">
        <w:rPr>
          <w:rFonts w:ascii="Arial" w:hAnsi="Arial" w:cs="Arial"/>
          <w:color w:val="000000"/>
        </w:rPr>
        <w:t>Surveillance systems also need to develop in order to monitor and identify QS signals in a better manner. Biosensors, AI-based molecular surveillance, fast genomic sequencing, and microfluidic diagnostic systems are all technologies NHS AMR surveillance systems must integrate into (Alsulimani et al. 2024). The tools provide a chance to detect microbial communication patterns in real time, providing earlier alerts of biofilm formation, infection spread or developing resistance. Enhancing laboratory capability and guaranteeing system interoperability between NHS microbiology services, public health agencies and the digital health systems will further enhance the response time and accuracy of the data.</w:t>
      </w:r>
    </w:p>
    <w:p w14:paraId="0D8B1A8F" w14:textId="77777777" w:rsidR="000E6F9A" w:rsidRPr="0069787A" w:rsidRDefault="000E6F9A" w:rsidP="000E6F9A">
      <w:pPr>
        <w:pStyle w:val="NormalWeb"/>
        <w:numPr>
          <w:ilvl w:val="0"/>
          <w:numId w:val="3"/>
        </w:numPr>
        <w:spacing w:before="0" w:beforeAutospacing="0" w:after="0" w:afterAutospacing="0" w:line="360" w:lineRule="auto"/>
        <w:jc w:val="both"/>
        <w:textAlignment w:val="baseline"/>
        <w:rPr>
          <w:rFonts w:ascii="Arial" w:hAnsi="Arial" w:cs="Arial"/>
          <w:color w:val="000000"/>
        </w:rPr>
      </w:pPr>
      <w:r w:rsidRPr="0069787A">
        <w:rPr>
          <w:rFonts w:ascii="Arial" w:hAnsi="Arial" w:cs="Arial"/>
          <w:color w:val="000000"/>
        </w:rPr>
        <w:t>Clearly defined instructions on the clinical utilisation of QS and QQ technologies should be designed by the policymakers (Jadhav et al. 2026). The regulatory systems need to be concerned with safety, standardisation, cost effectiveness and ethical concerns. Long-term measures of savings on fewer hospital-acquired infections and reduced patient stay should be investigated economically, and the adoption of QS-based interventions should be expanded. Moreover, QS and QQ competencies should be integrated into the NHS workforce training, allowing clinicians, nurses, microbiologists, and social care practitioners to learn about microbial communication and implement the corresponding technologies in the practise. The knowledge gap would be eliminated through constant professional development modules to enhance implementation.</w:t>
      </w:r>
    </w:p>
    <w:p w14:paraId="2C869EE4" w14:textId="77777777" w:rsidR="000E6F9A" w:rsidRPr="0069787A" w:rsidRDefault="000E6F9A" w:rsidP="000E6F9A">
      <w:pPr>
        <w:pStyle w:val="NormalWeb"/>
        <w:numPr>
          <w:ilvl w:val="0"/>
          <w:numId w:val="3"/>
        </w:numPr>
        <w:spacing w:before="0" w:beforeAutospacing="0" w:after="0" w:afterAutospacing="0" w:line="360" w:lineRule="auto"/>
        <w:jc w:val="both"/>
        <w:textAlignment w:val="baseline"/>
        <w:rPr>
          <w:rFonts w:ascii="Arial" w:hAnsi="Arial" w:cs="Arial"/>
          <w:color w:val="000000"/>
        </w:rPr>
      </w:pPr>
      <w:r w:rsidRPr="0069787A">
        <w:rPr>
          <w:rFonts w:ascii="Arial" w:hAnsi="Arial" w:cs="Arial"/>
          <w:color w:val="000000"/>
        </w:rPr>
        <w:t xml:space="preserve">There is a need to have a wider public health response to address social and economic effects (Arora et al. 2021). QS-mediated infections are disproportionately impacting vulnerable populations in the care facility and in community environments, thus, more robust hygiene infrastructure, better antimicrobial stewardship, educating the community, and equal access to diagnostic tools are critically needed. Collaborations between universities, NHS </w:t>
      </w:r>
      <w:r w:rsidRPr="0069787A">
        <w:rPr>
          <w:rFonts w:ascii="Arial" w:hAnsi="Arial" w:cs="Arial"/>
          <w:color w:val="000000"/>
        </w:rPr>
        <w:lastRenderedPageBreak/>
        <w:t>trusts, biotech companies, and community health agencies need to be increased to promote innovation and accelerated research into practise.</w:t>
      </w:r>
    </w:p>
    <w:p w14:paraId="438A5A7C"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Altogether, the implementation of QS and QQ insights in infection prevention, AMR surveillance, and the field of public health policy will drive resilience, decrease the rate of treatment failure, and facilitate safer and more sustainable healthcare delivery at the NHS and social care system levels.</w:t>
      </w:r>
    </w:p>
    <w:p w14:paraId="2DBE0FBB" w14:textId="77777777" w:rsidR="000E6F9A" w:rsidRPr="0069787A" w:rsidRDefault="000E6F9A" w:rsidP="000E6F9A">
      <w:pPr>
        <w:pStyle w:val="Heading2"/>
      </w:pPr>
      <w:bookmarkStart w:id="100" w:name="_Toc216991697"/>
      <w:r w:rsidRPr="0069787A">
        <w:rPr>
          <w:color w:val="000000"/>
        </w:rPr>
        <w:t>5.5 Future scopes</w:t>
      </w:r>
      <w:bookmarkEnd w:id="100"/>
      <w:r w:rsidRPr="0069787A">
        <w:rPr>
          <w:color w:val="000000"/>
        </w:rPr>
        <w:t> </w:t>
      </w:r>
    </w:p>
    <w:p w14:paraId="6F6E33C0" w14:textId="3E86C8C5"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 xml:space="preserve">Further studies of QS, QQ and infection control have great potential in creating new knowledge and practical nursing use. Since existing evidence is mostly laboratory based, future research must be given a clinical trials and in-situ healthcare and longitudinal assessment in an NHS and social care setting. This would assist in establishing the effectiveness of QS targeted interventions in the real-life setting, particularly in the </w:t>
      </w:r>
      <w:r w:rsidR="00D338A8" w:rsidRPr="0069787A">
        <w:rPr>
          <w:rFonts w:ascii="Arial" w:hAnsi="Arial" w:cs="Arial"/>
          <w:color w:val="000000"/>
        </w:rPr>
        <w:t>high-risk</w:t>
      </w:r>
      <w:r w:rsidRPr="0069787A">
        <w:rPr>
          <w:rFonts w:ascii="Arial" w:hAnsi="Arial" w:cs="Arial"/>
          <w:color w:val="000000"/>
        </w:rPr>
        <w:t xml:space="preserve"> units like ICUs, surgical wards and long-term care units. It is also possible to grow the research on biofilm-resistant medical equipment, QQ-coated surfaces, and novel wound-care systems, which have new avenues and directions of preventive measures of infections.</w:t>
      </w:r>
    </w:p>
    <w:p w14:paraId="71C43D24" w14:textId="77777777" w:rsidR="000E6F9A" w:rsidRPr="0069787A" w:rsidRDefault="000E6F9A" w:rsidP="000E6F9A">
      <w:pPr>
        <w:pStyle w:val="NormalWeb"/>
        <w:spacing w:before="0" w:beforeAutospacing="0" w:after="0" w:afterAutospacing="0" w:line="360" w:lineRule="auto"/>
        <w:jc w:val="both"/>
        <w:rPr>
          <w:rFonts w:ascii="Arial" w:hAnsi="Arial" w:cs="Arial"/>
        </w:rPr>
      </w:pPr>
      <w:r w:rsidRPr="0069787A">
        <w:rPr>
          <w:rFonts w:ascii="Arial" w:hAnsi="Arial" w:cs="Arial"/>
          <w:color w:val="000000"/>
        </w:rPr>
        <w:t>Future approaches include the emergence of digital technologies, including AI-enabled biosensors, molecular diagnostics, and predictive modelling. A study that incorporates QS detection as a regular part of AMR monitoring may significantly enhance the early warning and allocation of resources. It might also be the subject of future research to consider a combination of smart technologies in the hospital that would be able to pick up QS signals on surfaces or in a patient monitoring system. On a broader socio-economic and behavioural level, the adoption of QS-focused interventions would require broader socio-economic and behavioural studies to determine the role of organisational pressures, workforce capacity, and patient vulnerability. However, the interaction between environmental, community, and clinical microbial ecosystems by interdisciplinary efforts in the One Health framework can further enhance the comprehension of the interactions to ensure more sustainable and holistic approaches to infection-management.</w:t>
      </w:r>
    </w:p>
    <w:p w14:paraId="00000057" w14:textId="29814C61" w:rsidR="00A1077E" w:rsidRPr="0069787A" w:rsidRDefault="00FC3DFA" w:rsidP="000E6F9A">
      <w:pPr>
        <w:spacing w:line="360" w:lineRule="auto"/>
        <w:jc w:val="both"/>
        <w:rPr>
          <w:rFonts w:eastAsia="Times New Roman"/>
          <w:sz w:val="24"/>
          <w:szCs w:val="24"/>
        </w:rPr>
      </w:pPr>
      <w:r w:rsidRPr="0069787A">
        <w:br w:type="page"/>
      </w:r>
    </w:p>
    <w:p w14:paraId="00000058" w14:textId="41D9E234" w:rsidR="00A1077E" w:rsidRPr="0069787A" w:rsidRDefault="007B7702" w:rsidP="00E31EE7">
      <w:pPr>
        <w:pStyle w:val="Heading1"/>
      </w:pPr>
      <w:bookmarkStart w:id="101" w:name="_Toc216991698"/>
      <w:r w:rsidRPr="0069787A">
        <w:lastRenderedPageBreak/>
        <w:t>REFERENCE LIST</w:t>
      </w:r>
      <w:bookmarkEnd w:id="101"/>
    </w:p>
    <w:p w14:paraId="6BF6891D" w14:textId="0ABB574F"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Abdulmohdi, N., </w:t>
      </w:r>
      <w:r w:rsidR="00E50ED2">
        <w:rPr>
          <w:color w:val="222222"/>
          <w:sz w:val="24"/>
          <w:szCs w:val="24"/>
          <w:shd w:val="clear" w:color="auto" w:fill="FFFFFF"/>
        </w:rPr>
        <w:t>(2024).</w:t>
      </w:r>
      <w:r w:rsidRPr="00AE3179">
        <w:rPr>
          <w:color w:val="222222"/>
          <w:sz w:val="24"/>
          <w:szCs w:val="24"/>
          <w:shd w:val="clear" w:color="auto" w:fill="FFFFFF"/>
        </w:rPr>
        <w:t xml:space="preserve"> The relationships between nurses' resilience, burnout, perceived organisational support and social support during the second wave of the COVID</w:t>
      </w:r>
      <w:r w:rsidRPr="00AE3179">
        <w:rPr>
          <w:rFonts w:ascii="Cambria Math" w:hAnsi="Cambria Math" w:cs="Cambria Math"/>
          <w:color w:val="222222"/>
          <w:sz w:val="24"/>
          <w:szCs w:val="24"/>
          <w:shd w:val="clear" w:color="auto" w:fill="FFFFFF"/>
        </w:rPr>
        <w:t>‐</w:t>
      </w:r>
      <w:r w:rsidRPr="00AE3179">
        <w:rPr>
          <w:color w:val="222222"/>
          <w:sz w:val="24"/>
          <w:szCs w:val="24"/>
          <w:shd w:val="clear" w:color="auto" w:fill="FFFFFF"/>
        </w:rPr>
        <w:t>19 pandemic: A quantitative cross</w:t>
      </w:r>
      <w:r w:rsidRPr="00AE3179">
        <w:rPr>
          <w:rFonts w:ascii="Cambria Math" w:hAnsi="Cambria Math" w:cs="Cambria Math"/>
          <w:color w:val="222222"/>
          <w:sz w:val="24"/>
          <w:szCs w:val="24"/>
          <w:shd w:val="clear" w:color="auto" w:fill="FFFFFF"/>
        </w:rPr>
        <w:t>‐</w:t>
      </w:r>
      <w:r w:rsidRPr="00AE3179">
        <w:rPr>
          <w:color w:val="222222"/>
          <w:sz w:val="24"/>
          <w:szCs w:val="24"/>
          <w:shd w:val="clear" w:color="auto" w:fill="FFFFFF"/>
        </w:rPr>
        <w:t>sectional survey. </w:t>
      </w:r>
      <w:r w:rsidRPr="00AE3179">
        <w:rPr>
          <w:i/>
          <w:iCs/>
          <w:color w:val="222222"/>
          <w:sz w:val="24"/>
          <w:szCs w:val="24"/>
          <w:shd w:val="clear" w:color="auto" w:fill="FFFFFF"/>
        </w:rPr>
        <w:t>Nursing open</w:t>
      </w:r>
      <w:r w:rsidRPr="00AE3179">
        <w:rPr>
          <w:color w:val="222222"/>
          <w:sz w:val="24"/>
          <w:szCs w:val="24"/>
          <w:shd w:val="clear" w:color="auto" w:fill="FFFFFF"/>
        </w:rPr>
        <w:t>, </w:t>
      </w:r>
      <w:r w:rsidRPr="00AE3179">
        <w:rPr>
          <w:i/>
          <w:iCs/>
          <w:color w:val="222222"/>
          <w:sz w:val="24"/>
          <w:szCs w:val="24"/>
          <w:shd w:val="clear" w:color="auto" w:fill="FFFFFF"/>
        </w:rPr>
        <w:t>11</w:t>
      </w:r>
      <w:r w:rsidRPr="00AE3179">
        <w:rPr>
          <w:color w:val="222222"/>
          <w:sz w:val="24"/>
          <w:szCs w:val="24"/>
          <w:shd w:val="clear" w:color="auto" w:fill="FFFFFF"/>
        </w:rPr>
        <w:t>(1), p.e2036.</w:t>
      </w:r>
      <w:r w:rsidR="00FF63E5">
        <w:rPr>
          <w:color w:val="222222"/>
          <w:sz w:val="24"/>
          <w:szCs w:val="24"/>
          <w:shd w:val="clear" w:color="auto" w:fill="FFFFFF"/>
        </w:rPr>
        <w:t xml:space="preserve"> </w:t>
      </w:r>
      <w:hyperlink r:id="rId18" w:history="1">
        <w:r w:rsidR="00FF63E5" w:rsidRPr="008871FC">
          <w:rPr>
            <w:rStyle w:val="Hyperlink"/>
            <w:sz w:val="24"/>
            <w:szCs w:val="24"/>
            <w:shd w:val="clear" w:color="auto" w:fill="FFFFFF"/>
          </w:rPr>
          <w:t>https://doi.org/10.1002/nop2.2036</w:t>
        </w:r>
      </w:hyperlink>
      <w:r w:rsidR="00FF63E5">
        <w:rPr>
          <w:color w:val="222222"/>
          <w:sz w:val="24"/>
          <w:szCs w:val="24"/>
          <w:shd w:val="clear" w:color="auto" w:fill="FFFFFF"/>
        </w:rPr>
        <w:t xml:space="preserve"> </w:t>
      </w:r>
    </w:p>
    <w:p w14:paraId="6BF70349" w14:textId="698ACCE9"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Ahani, E., Zhang, Y., Wang, F., Yang, J., Zhou, L. and Tang, L., </w:t>
      </w:r>
      <w:r w:rsidR="00E50ED2">
        <w:rPr>
          <w:rFonts w:eastAsia="Times New Roman"/>
          <w:sz w:val="24"/>
          <w:szCs w:val="24"/>
          <w:highlight w:val="white"/>
        </w:rPr>
        <w:t>(2024).</w:t>
      </w:r>
      <w:r w:rsidRPr="00AE3179">
        <w:rPr>
          <w:rFonts w:eastAsia="Times New Roman"/>
          <w:sz w:val="24"/>
          <w:szCs w:val="24"/>
          <w:highlight w:val="white"/>
        </w:rPr>
        <w:t xml:space="preserve"> An overview of technological advancements in the application of structural health monitoring on glass elements. </w:t>
      </w:r>
      <w:r w:rsidRPr="00AE3179">
        <w:rPr>
          <w:rFonts w:eastAsia="Times New Roman"/>
          <w:i/>
          <w:iCs/>
          <w:sz w:val="24"/>
          <w:szCs w:val="24"/>
        </w:rPr>
        <w:t>Measurement Science and Technology</w:t>
      </w:r>
      <w:r w:rsidRPr="00AE3179">
        <w:rPr>
          <w:rFonts w:eastAsia="Times New Roman"/>
          <w:sz w:val="24"/>
          <w:szCs w:val="24"/>
        </w:rPr>
        <w:t xml:space="preserve">, </w:t>
      </w:r>
      <w:r w:rsidRPr="00AE3179">
        <w:rPr>
          <w:rFonts w:eastAsia="Times New Roman"/>
          <w:i/>
          <w:iCs/>
          <w:sz w:val="24"/>
          <w:szCs w:val="24"/>
        </w:rPr>
        <w:t>35</w:t>
      </w:r>
      <w:r w:rsidRPr="00AE3179">
        <w:rPr>
          <w:rFonts w:eastAsia="Times New Roman"/>
          <w:sz w:val="24"/>
          <w:szCs w:val="24"/>
        </w:rPr>
        <w:t>(5), p.055008.</w:t>
      </w:r>
      <w:r w:rsidR="004630D6">
        <w:rPr>
          <w:rFonts w:eastAsia="Times New Roman"/>
          <w:sz w:val="24"/>
          <w:szCs w:val="24"/>
        </w:rPr>
        <w:t xml:space="preserve"> </w:t>
      </w:r>
      <w:r w:rsidR="004630D6" w:rsidRPr="004630D6">
        <w:rPr>
          <w:rFonts w:eastAsia="Times New Roman"/>
          <w:sz w:val="24"/>
          <w:szCs w:val="24"/>
        </w:rPr>
        <w:t>10.1088/1361-6501/ad25db</w:t>
      </w:r>
    </w:p>
    <w:p w14:paraId="7E45FB21" w14:textId="1A265AEB"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Alhassan, Y., Moore, M., Duda, K.A., Graf, F.E., Todd, S., Lewis, J.M., Feasey, N. and Taegtmeyer, M., </w:t>
      </w:r>
      <w:r w:rsidR="00E50ED2">
        <w:rPr>
          <w:rFonts w:eastAsia="Times New Roman"/>
          <w:color w:val="222222"/>
          <w:sz w:val="24"/>
          <w:szCs w:val="24"/>
          <w:shd w:val="clear" w:color="auto" w:fill="FFFFFF"/>
          <w:lang w:val="en-IN"/>
        </w:rPr>
        <w:t>(2025).</w:t>
      </w:r>
      <w:r w:rsidRPr="00AE3179">
        <w:rPr>
          <w:rFonts w:eastAsia="Times New Roman"/>
          <w:color w:val="222222"/>
          <w:sz w:val="24"/>
          <w:szCs w:val="24"/>
          <w:shd w:val="clear" w:color="auto" w:fill="FFFFFF"/>
          <w:lang w:val="en-IN"/>
        </w:rPr>
        <w:t xml:space="preserve"> Health system drivers of antimicrobial resistance: a qualitative exploration of implications for infection prevention and control in hospitals and long-term care facilities in Merseyside. </w:t>
      </w:r>
      <w:r w:rsidRPr="00AE3179">
        <w:rPr>
          <w:rFonts w:eastAsia="Times New Roman"/>
          <w:i/>
          <w:iCs/>
          <w:color w:val="222222"/>
          <w:sz w:val="24"/>
          <w:szCs w:val="24"/>
          <w:shd w:val="clear" w:color="auto" w:fill="FFFFFF"/>
          <w:lang w:val="en-IN"/>
        </w:rPr>
        <w:t>Journal of Hospital Infection</w:t>
      </w:r>
      <w:r w:rsidRPr="00AE3179">
        <w:rPr>
          <w:rFonts w:eastAsia="Times New Roman"/>
          <w:color w:val="222222"/>
          <w:sz w:val="24"/>
          <w:szCs w:val="24"/>
          <w:shd w:val="clear" w:color="auto" w:fill="FFFFFF"/>
          <w:lang w:val="en-IN"/>
        </w:rPr>
        <w:t>.</w:t>
      </w:r>
      <w:r w:rsidR="006A6D83">
        <w:rPr>
          <w:rFonts w:eastAsia="Times New Roman"/>
          <w:color w:val="222222"/>
          <w:sz w:val="24"/>
          <w:szCs w:val="24"/>
          <w:shd w:val="clear" w:color="auto" w:fill="FFFFFF"/>
          <w:lang w:val="en-IN"/>
        </w:rPr>
        <w:t xml:space="preserve"> </w:t>
      </w:r>
      <w:hyperlink r:id="rId19" w:history="1">
        <w:r w:rsidR="006A6D83" w:rsidRPr="008871FC">
          <w:rPr>
            <w:rStyle w:val="Hyperlink"/>
            <w:rFonts w:eastAsia="Times New Roman"/>
            <w:sz w:val="24"/>
            <w:szCs w:val="24"/>
            <w:shd w:val="clear" w:color="auto" w:fill="FFFFFF"/>
            <w:lang w:val="en-IN"/>
          </w:rPr>
          <w:t>https://doi.org/10.1016/j.jhin.2025.08.004</w:t>
        </w:r>
      </w:hyperlink>
      <w:r w:rsidR="006A6D83">
        <w:rPr>
          <w:rFonts w:eastAsia="Times New Roman"/>
          <w:color w:val="222222"/>
          <w:sz w:val="24"/>
          <w:szCs w:val="24"/>
          <w:shd w:val="clear" w:color="auto" w:fill="FFFFFF"/>
          <w:lang w:val="en-IN"/>
        </w:rPr>
        <w:t xml:space="preserve"> </w:t>
      </w:r>
    </w:p>
    <w:p w14:paraId="5DC02BAE" w14:textId="3720483C"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rPr>
        <w:t xml:space="preserve">Alsulimani, A., Akhter, N., Jameela, F., Ashgar, R.I., Jawed, A., Hassani, M.A. and Dar, S.A., </w:t>
      </w:r>
      <w:r w:rsidR="00E50ED2">
        <w:rPr>
          <w:rFonts w:eastAsia="Times New Roman"/>
          <w:sz w:val="24"/>
          <w:szCs w:val="24"/>
        </w:rPr>
        <w:t>(2024).</w:t>
      </w:r>
      <w:r w:rsidRPr="00AE3179">
        <w:rPr>
          <w:rFonts w:eastAsia="Times New Roman"/>
          <w:sz w:val="24"/>
          <w:szCs w:val="24"/>
        </w:rPr>
        <w:t xml:space="preserve"> The impact of artificial intelligence on microbial diagnosis. Microorganisms, 12(6), p.1051.</w:t>
      </w:r>
      <w:r w:rsidR="00DA50C9">
        <w:rPr>
          <w:rFonts w:eastAsia="Times New Roman"/>
          <w:sz w:val="24"/>
          <w:szCs w:val="24"/>
        </w:rPr>
        <w:t xml:space="preserve"> </w:t>
      </w:r>
      <w:hyperlink r:id="rId20" w:history="1">
        <w:r w:rsidR="00DA50C9" w:rsidRPr="008871FC">
          <w:rPr>
            <w:rStyle w:val="Hyperlink"/>
            <w:rFonts w:eastAsia="Times New Roman"/>
            <w:sz w:val="24"/>
            <w:szCs w:val="24"/>
          </w:rPr>
          <w:t>https://doi.org/10.3390/microorganisms12061051</w:t>
        </w:r>
      </w:hyperlink>
      <w:r w:rsidR="00DA50C9">
        <w:rPr>
          <w:rFonts w:eastAsia="Times New Roman"/>
          <w:sz w:val="24"/>
          <w:szCs w:val="24"/>
        </w:rPr>
        <w:t xml:space="preserve"> </w:t>
      </w:r>
    </w:p>
    <w:p w14:paraId="30589471" w14:textId="752BDFB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rPr>
        <w:t xml:space="preserve">Arora, A., Wright, A., Cheng, T.K.M., Khwaja, Z. and Seah, M., </w:t>
      </w:r>
      <w:r w:rsidR="00E50ED2">
        <w:rPr>
          <w:rFonts w:eastAsia="Times New Roman"/>
          <w:sz w:val="24"/>
          <w:szCs w:val="24"/>
        </w:rPr>
        <w:t>(2021).</w:t>
      </w:r>
      <w:r w:rsidRPr="00AE3179">
        <w:rPr>
          <w:rFonts w:eastAsia="Times New Roman"/>
          <w:sz w:val="24"/>
          <w:szCs w:val="24"/>
        </w:rPr>
        <w:t xml:space="preserve"> Innovation pathways in the NHS: an introductory review. Therapeutic innovation &amp; regulatory science, 55(5), pp.1045-1058.</w:t>
      </w:r>
      <w:r w:rsidR="008A1670">
        <w:rPr>
          <w:rFonts w:eastAsia="Times New Roman"/>
          <w:sz w:val="24"/>
          <w:szCs w:val="24"/>
        </w:rPr>
        <w:t xml:space="preserve"> </w:t>
      </w:r>
      <w:hyperlink r:id="rId21" w:history="1">
        <w:r w:rsidR="008A1670" w:rsidRPr="008871FC">
          <w:rPr>
            <w:rStyle w:val="Hyperlink"/>
            <w:rFonts w:ascii="Helvetica" w:hAnsi="Helvetica" w:cs="Helvetica"/>
            <w:shd w:val="clear" w:color="auto" w:fill="FFFFFF"/>
          </w:rPr>
          <w:t>https://doi.org/10.1007/s43441-021-00304-w</w:t>
        </w:r>
      </w:hyperlink>
      <w:r w:rsidR="008A1670">
        <w:rPr>
          <w:rFonts w:ascii="Helvetica" w:hAnsi="Helvetica" w:cs="Helvetica"/>
          <w:color w:val="222222"/>
          <w:shd w:val="clear" w:color="auto" w:fill="FFFFFF"/>
        </w:rPr>
        <w:t xml:space="preserve"> </w:t>
      </w:r>
    </w:p>
    <w:p w14:paraId="514391E9" w14:textId="5C0E3FA2"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Ashiru-Oredope, D., Casale, E., Harvey, E., Umoh, E., Vasandani, S., Reilly, J. and Hopkins, S., </w:t>
      </w:r>
      <w:r w:rsidR="00E50ED2">
        <w:rPr>
          <w:rFonts w:eastAsia="Times New Roman"/>
          <w:color w:val="222222"/>
          <w:sz w:val="24"/>
          <w:szCs w:val="24"/>
          <w:shd w:val="clear" w:color="auto" w:fill="FFFFFF"/>
          <w:lang w:val="en-IN"/>
        </w:rPr>
        <w:t>(2022).</w:t>
      </w:r>
      <w:r w:rsidRPr="00AE3179">
        <w:rPr>
          <w:rFonts w:eastAsia="Times New Roman"/>
          <w:color w:val="222222"/>
          <w:sz w:val="24"/>
          <w:szCs w:val="24"/>
          <w:shd w:val="clear" w:color="auto" w:fill="FFFFFF"/>
          <w:lang w:val="en-IN"/>
        </w:rPr>
        <w:t xml:space="preserve"> Knowledge and attitudes about antibiotics and antibiotic resistance of 2404 UK healthcare workers. </w:t>
      </w:r>
      <w:r w:rsidRPr="00AE3179">
        <w:rPr>
          <w:rFonts w:eastAsia="Times New Roman"/>
          <w:i/>
          <w:iCs/>
          <w:color w:val="222222"/>
          <w:sz w:val="24"/>
          <w:szCs w:val="24"/>
          <w:shd w:val="clear" w:color="auto" w:fill="FFFFFF"/>
          <w:lang w:val="en-IN"/>
        </w:rPr>
        <w:t>Antibiotics</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11</w:t>
      </w:r>
      <w:r w:rsidRPr="00AE3179">
        <w:rPr>
          <w:rFonts w:eastAsia="Times New Roman"/>
          <w:color w:val="222222"/>
          <w:sz w:val="24"/>
          <w:szCs w:val="24"/>
          <w:shd w:val="clear" w:color="auto" w:fill="FFFFFF"/>
          <w:lang w:val="en-IN"/>
        </w:rPr>
        <w:t>(8), p.1133.</w:t>
      </w:r>
      <w:r w:rsidR="001245C9">
        <w:rPr>
          <w:rFonts w:eastAsia="Times New Roman"/>
          <w:color w:val="222222"/>
          <w:sz w:val="24"/>
          <w:szCs w:val="24"/>
          <w:shd w:val="clear" w:color="auto" w:fill="FFFFFF"/>
          <w:lang w:val="en-IN"/>
        </w:rPr>
        <w:t xml:space="preserve"> </w:t>
      </w:r>
      <w:hyperlink r:id="rId22" w:history="1">
        <w:r w:rsidR="001245C9" w:rsidRPr="008871FC">
          <w:rPr>
            <w:rStyle w:val="Hyperlink"/>
            <w:rFonts w:eastAsia="Times New Roman"/>
            <w:sz w:val="24"/>
            <w:szCs w:val="24"/>
            <w:shd w:val="clear" w:color="auto" w:fill="FFFFFF"/>
            <w:lang w:val="en-IN"/>
          </w:rPr>
          <w:t>https://doi.org/10.3390/antibiotics11081133</w:t>
        </w:r>
      </w:hyperlink>
      <w:r w:rsidR="001245C9">
        <w:rPr>
          <w:rFonts w:eastAsia="Times New Roman"/>
          <w:color w:val="222222"/>
          <w:sz w:val="24"/>
          <w:szCs w:val="24"/>
          <w:shd w:val="clear" w:color="auto" w:fill="FFFFFF"/>
          <w:lang w:val="en-IN"/>
        </w:rPr>
        <w:t xml:space="preserve"> </w:t>
      </w:r>
    </w:p>
    <w:p w14:paraId="28416FD6" w14:textId="314CB473"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Bilal, M., Shabbir, M.A., Iqbal, W., Ullah, S., Asim, M., Arslan, M., Shaukat, F., Li, Z., Xia, S. and Xiaobo, Z., </w:t>
      </w:r>
      <w:r w:rsidR="00E50ED2">
        <w:rPr>
          <w:rFonts w:eastAsia="Times New Roman"/>
          <w:sz w:val="24"/>
          <w:szCs w:val="24"/>
          <w:highlight w:val="white"/>
        </w:rPr>
        <w:t>(2025).</w:t>
      </w:r>
      <w:r w:rsidRPr="00AE3179">
        <w:rPr>
          <w:rFonts w:eastAsia="Times New Roman"/>
          <w:sz w:val="24"/>
          <w:szCs w:val="24"/>
          <w:highlight w:val="white"/>
        </w:rPr>
        <w:t xml:space="preserve"> Innovative Advances in Colorimetric Sensor Array Technology for Food Safety and Quality Assessment: An Updated Comprehensive Review. </w:t>
      </w:r>
      <w:r w:rsidRPr="00AE3179">
        <w:rPr>
          <w:rFonts w:eastAsia="Times New Roman"/>
          <w:i/>
          <w:iCs/>
          <w:sz w:val="24"/>
          <w:szCs w:val="24"/>
        </w:rPr>
        <w:t>Food Reviews International</w:t>
      </w:r>
      <w:r w:rsidRPr="00AE3179">
        <w:rPr>
          <w:rFonts w:eastAsia="Times New Roman"/>
          <w:sz w:val="24"/>
          <w:szCs w:val="24"/>
        </w:rPr>
        <w:t>, pp.1-26.</w:t>
      </w:r>
      <w:r w:rsidR="00160A5A">
        <w:rPr>
          <w:rFonts w:eastAsia="Times New Roman"/>
          <w:sz w:val="24"/>
          <w:szCs w:val="24"/>
        </w:rPr>
        <w:t xml:space="preserve"> </w:t>
      </w:r>
      <w:hyperlink r:id="rId23" w:history="1">
        <w:r w:rsidR="00160A5A" w:rsidRPr="008871FC">
          <w:rPr>
            <w:rStyle w:val="Hyperlink"/>
            <w:rFonts w:eastAsia="Times New Roman"/>
            <w:sz w:val="24"/>
            <w:szCs w:val="24"/>
          </w:rPr>
          <w:t>https://doi.org/10.1080/87559129.2025.2526677</w:t>
        </w:r>
      </w:hyperlink>
      <w:r w:rsidR="00160A5A">
        <w:rPr>
          <w:rFonts w:eastAsia="Times New Roman"/>
          <w:sz w:val="24"/>
          <w:szCs w:val="24"/>
        </w:rPr>
        <w:t xml:space="preserve"> </w:t>
      </w:r>
    </w:p>
    <w:p w14:paraId="716C3690" w14:textId="3FB53C4C"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Braun, V. and Clarke, V., </w:t>
      </w:r>
      <w:r w:rsidR="00E50ED2">
        <w:rPr>
          <w:sz w:val="24"/>
          <w:szCs w:val="24"/>
          <w:highlight w:val="white"/>
        </w:rPr>
        <w:t>(2023).</w:t>
      </w:r>
      <w:r w:rsidRPr="00AE3179">
        <w:rPr>
          <w:sz w:val="24"/>
          <w:szCs w:val="24"/>
          <w:highlight w:val="white"/>
        </w:rPr>
        <w:t xml:space="preserve"> Toward good practice in thematic analysis: Avoiding common problems and be (com) ing a knowing researcher. </w:t>
      </w:r>
      <w:r w:rsidRPr="00AE3179">
        <w:rPr>
          <w:i/>
          <w:iCs/>
          <w:sz w:val="24"/>
          <w:szCs w:val="24"/>
          <w:highlight w:val="white"/>
        </w:rPr>
        <w:t xml:space="preserve">International </w:t>
      </w:r>
      <w:r w:rsidRPr="00AE3179">
        <w:rPr>
          <w:i/>
          <w:iCs/>
          <w:sz w:val="24"/>
          <w:szCs w:val="24"/>
          <w:highlight w:val="white"/>
        </w:rPr>
        <w:lastRenderedPageBreak/>
        <w:t>journal of transgender health</w:t>
      </w:r>
      <w:r w:rsidRPr="00AE3179">
        <w:rPr>
          <w:sz w:val="24"/>
          <w:szCs w:val="24"/>
          <w:highlight w:val="white"/>
        </w:rPr>
        <w:t xml:space="preserve">, </w:t>
      </w:r>
      <w:r w:rsidRPr="00AE3179">
        <w:rPr>
          <w:i/>
          <w:iCs/>
          <w:sz w:val="24"/>
          <w:szCs w:val="24"/>
          <w:highlight w:val="white"/>
        </w:rPr>
        <w:t>24</w:t>
      </w:r>
      <w:r w:rsidRPr="00AE3179">
        <w:rPr>
          <w:sz w:val="24"/>
          <w:szCs w:val="24"/>
          <w:highlight w:val="white"/>
        </w:rPr>
        <w:t>(1), pp.1-6.</w:t>
      </w:r>
      <w:r w:rsidR="00994710">
        <w:rPr>
          <w:sz w:val="24"/>
          <w:szCs w:val="24"/>
          <w:highlight w:val="white"/>
        </w:rPr>
        <w:t xml:space="preserve"> </w:t>
      </w:r>
      <w:hyperlink r:id="rId24" w:history="1">
        <w:r w:rsidR="00994710" w:rsidRPr="008871FC">
          <w:rPr>
            <w:rStyle w:val="Hyperlink"/>
            <w:sz w:val="24"/>
            <w:szCs w:val="24"/>
          </w:rPr>
          <w:t>https://doi.org/10.1080/26895269.2022.2129597</w:t>
        </w:r>
      </w:hyperlink>
      <w:r w:rsidR="00994710">
        <w:rPr>
          <w:sz w:val="24"/>
          <w:szCs w:val="24"/>
        </w:rPr>
        <w:t xml:space="preserve"> </w:t>
      </w:r>
    </w:p>
    <w:p w14:paraId="5F7619A3" w14:textId="68471B5E"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Chahardehi, A.M. and Ghasemi, A.H., </w:t>
      </w:r>
      <w:r w:rsidR="00E50ED2">
        <w:rPr>
          <w:sz w:val="24"/>
          <w:szCs w:val="24"/>
          <w:shd w:val="clear" w:color="auto" w:fill="FFFFFF"/>
        </w:rPr>
        <w:t>(2023).</w:t>
      </w:r>
      <w:r w:rsidRPr="00AE3179">
        <w:rPr>
          <w:sz w:val="24"/>
          <w:szCs w:val="24"/>
          <w:shd w:val="clear" w:color="auto" w:fill="FFFFFF"/>
        </w:rPr>
        <w:t xml:space="preserve"> Improving management of hospital-acquired infections in the healthcare setting using antimicrobial coating. </w:t>
      </w:r>
      <w:r w:rsidRPr="00AE3179">
        <w:rPr>
          <w:i/>
          <w:iCs/>
          <w:sz w:val="24"/>
          <w:szCs w:val="24"/>
          <w:shd w:val="clear" w:color="auto" w:fill="FFFFFF"/>
        </w:rPr>
        <w:t>Life Sciences Student Journal</w:t>
      </w:r>
      <w:r w:rsidRPr="00AE3179">
        <w:rPr>
          <w:sz w:val="24"/>
          <w:szCs w:val="24"/>
          <w:shd w:val="clear" w:color="auto" w:fill="FFFFFF"/>
        </w:rPr>
        <w:t>, </w:t>
      </w:r>
      <w:r w:rsidRPr="00AE3179">
        <w:rPr>
          <w:i/>
          <w:iCs/>
          <w:sz w:val="24"/>
          <w:szCs w:val="24"/>
          <w:shd w:val="clear" w:color="auto" w:fill="FFFFFF"/>
        </w:rPr>
        <w:t>1</w:t>
      </w:r>
      <w:r w:rsidRPr="00AE3179">
        <w:rPr>
          <w:sz w:val="24"/>
          <w:szCs w:val="24"/>
          <w:shd w:val="clear" w:color="auto" w:fill="FFFFFF"/>
        </w:rPr>
        <w:t>(1), pp.23-39.</w:t>
      </w:r>
      <w:r w:rsidR="00994710">
        <w:rPr>
          <w:sz w:val="24"/>
          <w:szCs w:val="24"/>
          <w:shd w:val="clear" w:color="auto" w:fill="FFFFFF"/>
        </w:rPr>
        <w:t xml:space="preserve"> </w:t>
      </w:r>
      <w:hyperlink r:id="rId25" w:history="1">
        <w:r w:rsidR="00994710" w:rsidRPr="008871FC">
          <w:rPr>
            <w:rStyle w:val="Hyperlink"/>
            <w:sz w:val="24"/>
            <w:szCs w:val="24"/>
            <w:shd w:val="clear" w:color="auto" w:fill="FFFFFF"/>
          </w:rPr>
          <w:t>https://doi.org/10.22034/LSSJ.2023.1.56</w:t>
        </w:r>
      </w:hyperlink>
      <w:r w:rsidR="00994710">
        <w:rPr>
          <w:sz w:val="24"/>
          <w:szCs w:val="24"/>
          <w:shd w:val="clear" w:color="auto" w:fill="FFFFFF"/>
        </w:rPr>
        <w:t xml:space="preserve"> </w:t>
      </w:r>
    </w:p>
    <w:p w14:paraId="50C26EA3" w14:textId="3FC5ADB7"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Chakraborty, S., Bashir, Y., Sirotiya, V., Ahirwar, A., Das, S. and Vinayak, V., </w:t>
      </w:r>
      <w:r w:rsidR="00E50ED2">
        <w:rPr>
          <w:rFonts w:eastAsia="Times New Roman"/>
          <w:sz w:val="24"/>
          <w:szCs w:val="24"/>
          <w:highlight w:val="white"/>
        </w:rPr>
        <w:t>(2023).</w:t>
      </w:r>
      <w:r w:rsidRPr="00AE3179">
        <w:rPr>
          <w:rFonts w:eastAsia="Times New Roman"/>
          <w:sz w:val="24"/>
          <w:szCs w:val="24"/>
          <w:highlight w:val="white"/>
        </w:rPr>
        <w:t xml:space="preserve"> Role of bacterial quorum sensing and quenching mechanism in the efficient operation of microbial electrochemical technologies: a state-of-the-art review. </w:t>
      </w:r>
      <w:r w:rsidRPr="00AE3179">
        <w:rPr>
          <w:rFonts w:eastAsia="Times New Roman"/>
          <w:i/>
          <w:iCs/>
          <w:sz w:val="24"/>
          <w:szCs w:val="24"/>
        </w:rPr>
        <w:t>Heliyon</w:t>
      </w:r>
      <w:r w:rsidRPr="00AE3179">
        <w:rPr>
          <w:rFonts w:eastAsia="Times New Roman"/>
          <w:sz w:val="24"/>
          <w:szCs w:val="24"/>
        </w:rPr>
        <w:t xml:space="preserve">, </w:t>
      </w:r>
      <w:r w:rsidRPr="00AE3179">
        <w:rPr>
          <w:rFonts w:eastAsia="Times New Roman"/>
          <w:i/>
          <w:iCs/>
          <w:sz w:val="24"/>
          <w:szCs w:val="24"/>
        </w:rPr>
        <w:t>9</w:t>
      </w:r>
      <w:r w:rsidRPr="00AE3179">
        <w:rPr>
          <w:rFonts w:eastAsia="Times New Roman"/>
          <w:sz w:val="24"/>
          <w:szCs w:val="24"/>
        </w:rPr>
        <w:t>(5).</w:t>
      </w:r>
      <w:r w:rsidR="00994710">
        <w:rPr>
          <w:rFonts w:eastAsia="Times New Roman"/>
          <w:sz w:val="24"/>
          <w:szCs w:val="24"/>
        </w:rPr>
        <w:t xml:space="preserve"> </w:t>
      </w:r>
      <w:hyperlink r:id="rId26" w:history="1">
        <w:r w:rsidR="00994710" w:rsidRPr="008871FC">
          <w:rPr>
            <w:rStyle w:val="Hyperlink"/>
            <w:rFonts w:eastAsia="Times New Roman"/>
            <w:sz w:val="24"/>
            <w:szCs w:val="24"/>
          </w:rPr>
          <w:t>https://doi.org/10.1016/j.heliyon.2023.e16205</w:t>
        </w:r>
      </w:hyperlink>
      <w:r w:rsidR="00994710">
        <w:rPr>
          <w:rFonts w:eastAsia="Times New Roman"/>
          <w:sz w:val="24"/>
          <w:szCs w:val="24"/>
        </w:rPr>
        <w:t xml:space="preserve"> </w:t>
      </w:r>
    </w:p>
    <w:p w14:paraId="4E1B36AF" w14:textId="597BC473"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Chen, P., </w:t>
      </w:r>
      <w:r w:rsidR="00E50ED2">
        <w:rPr>
          <w:rFonts w:eastAsia="Times New Roman"/>
          <w:sz w:val="24"/>
          <w:szCs w:val="24"/>
          <w:highlight w:val="white"/>
        </w:rPr>
        <w:t>(2025).</w:t>
      </w:r>
      <w:r w:rsidRPr="00AE3179">
        <w:rPr>
          <w:rFonts w:eastAsia="Times New Roman"/>
          <w:sz w:val="24"/>
          <w:szCs w:val="24"/>
          <w:highlight w:val="white"/>
        </w:rPr>
        <w:t xml:space="preserve"> Advancements and future outlook of safety monitoring, inspection and assessment technologies for oil and gas pipeline networks. </w:t>
      </w:r>
      <w:r w:rsidRPr="00AE3179">
        <w:rPr>
          <w:rFonts w:eastAsia="Times New Roman"/>
          <w:i/>
          <w:iCs/>
          <w:sz w:val="24"/>
          <w:szCs w:val="24"/>
        </w:rPr>
        <w:t>Journal of Pipeline Science and Engineering</w:t>
      </w:r>
      <w:r w:rsidRPr="00AE3179">
        <w:rPr>
          <w:rFonts w:eastAsia="Times New Roman"/>
          <w:sz w:val="24"/>
          <w:szCs w:val="24"/>
        </w:rPr>
        <w:t>, p.100267.</w:t>
      </w:r>
      <w:r w:rsidR="00407C7B">
        <w:rPr>
          <w:rFonts w:eastAsia="Times New Roman"/>
          <w:sz w:val="24"/>
          <w:szCs w:val="24"/>
        </w:rPr>
        <w:t xml:space="preserve"> </w:t>
      </w:r>
      <w:hyperlink r:id="rId27" w:history="1">
        <w:r w:rsidR="00407C7B" w:rsidRPr="008871FC">
          <w:rPr>
            <w:rStyle w:val="Hyperlink"/>
            <w:rFonts w:eastAsia="Times New Roman"/>
            <w:sz w:val="24"/>
            <w:szCs w:val="24"/>
          </w:rPr>
          <w:t>https://doi.org/10.1016/j.jpse.2025.100267</w:t>
        </w:r>
      </w:hyperlink>
      <w:r w:rsidR="00407C7B">
        <w:rPr>
          <w:rFonts w:eastAsia="Times New Roman"/>
          <w:sz w:val="24"/>
          <w:szCs w:val="24"/>
        </w:rPr>
        <w:t xml:space="preserve"> </w:t>
      </w:r>
    </w:p>
    <w:p w14:paraId="050DBEC1" w14:textId="4702336B"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Cocker, D., Birgand, G., Zhu, N., Rodriguez-Manzano, J., Ahmad, R., Jambo, K., Levin, A.S. and Holmes, A., </w:t>
      </w:r>
      <w:r w:rsidR="00E50ED2">
        <w:rPr>
          <w:rFonts w:eastAsia="Times New Roman"/>
          <w:sz w:val="24"/>
          <w:szCs w:val="24"/>
          <w:highlight w:val="white"/>
        </w:rPr>
        <w:t>(2024).</w:t>
      </w:r>
      <w:r w:rsidRPr="00AE3179">
        <w:rPr>
          <w:rFonts w:eastAsia="Times New Roman"/>
          <w:sz w:val="24"/>
          <w:szCs w:val="24"/>
          <w:highlight w:val="white"/>
        </w:rPr>
        <w:t xml:space="preserve"> Healthcare as a driver, reservoir and amplifier of antimicrobial resistance: opportunities for interventions. </w:t>
      </w:r>
      <w:r w:rsidRPr="00AE3179">
        <w:rPr>
          <w:rFonts w:eastAsia="Times New Roman"/>
          <w:i/>
          <w:iCs/>
          <w:sz w:val="24"/>
          <w:szCs w:val="24"/>
        </w:rPr>
        <w:t>Nature Reviews Microbiology</w:t>
      </w:r>
      <w:r w:rsidRPr="00AE3179">
        <w:rPr>
          <w:rFonts w:eastAsia="Times New Roman"/>
          <w:sz w:val="24"/>
          <w:szCs w:val="24"/>
        </w:rPr>
        <w:t xml:space="preserve">, </w:t>
      </w:r>
      <w:r w:rsidRPr="00AE3179">
        <w:rPr>
          <w:rFonts w:eastAsia="Times New Roman"/>
          <w:i/>
          <w:iCs/>
          <w:sz w:val="24"/>
          <w:szCs w:val="24"/>
        </w:rPr>
        <w:t>22</w:t>
      </w:r>
      <w:r w:rsidRPr="00AE3179">
        <w:rPr>
          <w:rFonts w:eastAsia="Times New Roman"/>
          <w:sz w:val="24"/>
          <w:szCs w:val="24"/>
        </w:rPr>
        <w:t>(10), pp.636-649.</w:t>
      </w:r>
      <w:r w:rsidR="002C6A21">
        <w:rPr>
          <w:rFonts w:eastAsia="Times New Roman"/>
          <w:sz w:val="24"/>
          <w:szCs w:val="24"/>
        </w:rPr>
        <w:t xml:space="preserve"> </w:t>
      </w:r>
      <w:hyperlink r:id="rId28" w:history="1">
        <w:r w:rsidR="002C6A21" w:rsidRPr="008871FC">
          <w:rPr>
            <w:rStyle w:val="Hyperlink"/>
            <w:rFonts w:eastAsia="Times New Roman"/>
            <w:sz w:val="24"/>
            <w:szCs w:val="24"/>
          </w:rPr>
          <w:t>https://doi.org/10.1038/s41579-024-01076-4</w:t>
        </w:r>
      </w:hyperlink>
      <w:r w:rsidR="002C6A21">
        <w:rPr>
          <w:rFonts w:eastAsia="Times New Roman"/>
          <w:sz w:val="24"/>
          <w:szCs w:val="24"/>
        </w:rPr>
        <w:t xml:space="preserve"> </w:t>
      </w:r>
    </w:p>
    <w:p w14:paraId="069BBBA4" w14:textId="3DBB37EE"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Contaldo, M., D’Ambrosio, F., Ferraro, G.A., Di Stasio, D., Di Palo, M.P., Serpico, R. and Simeone, M., </w:t>
      </w:r>
      <w:r w:rsidR="00E50ED2">
        <w:rPr>
          <w:sz w:val="24"/>
          <w:szCs w:val="24"/>
          <w:shd w:val="clear" w:color="auto" w:fill="FFFFFF"/>
        </w:rPr>
        <w:t>(2023).</w:t>
      </w:r>
      <w:r w:rsidRPr="00AE3179">
        <w:rPr>
          <w:sz w:val="24"/>
          <w:szCs w:val="24"/>
          <w:shd w:val="clear" w:color="auto" w:fill="FFFFFF"/>
        </w:rPr>
        <w:t xml:space="preserve"> Antibiotics in dentistry: A narrative review of the evidence beyond the myth. </w:t>
      </w:r>
      <w:r w:rsidRPr="00AE3179">
        <w:rPr>
          <w:i/>
          <w:iCs/>
          <w:sz w:val="24"/>
          <w:szCs w:val="24"/>
          <w:shd w:val="clear" w:color="auto" w:fill="FFFFFF"/>
        </w:rPr>
        <w:t>International Journal of Environmental Research and Public Health</w:t>
      </w:r>
      <w:r w:rsidRPr="00AE3179">
        <w:rPr>
          <w:sz w:val="24"/>
          <w:szCs w:val="24"/>
          <w:shd w:val="clear" w:color="auto" w:fill="FFFFFF"/>
        </w:rPr>
        <w:t>, </w:t>
      </w:r>
      <w:r w:rsidRPr="00AE3179">
        <w:rPr>
          <w:i/>
          <w:iCs/>
          <w:sz w:val="24"/>
          <w:szCs w:val="24"/>
          <w:shd w:val="clear" w:color="auto" w:fill="FFFFFF"/>
        </w:rPr>
        <w:t>20</w:t>
      </w:r>
      <w:r w:rsidRPr="00AE3179">
        <w:rPr>
          <w:sz w:val="24"/>
          <w:szCs w:val="24"/>
          <w:shd w:val="clear" w:color="auto" w:fill="FFFFFF"/>
        </w:rPr>
        <w:t>(11), p.6025.</w:t>
      </w:r>
      <w:r w:rsidR="008A0892">
        <w:rPr>
          <w:sz w:val="24"/>
          <w:szCs w:val="24"/>
          <w:shd w:val="clear" w:color="auto" w:fill="FFFFFF"/>
        </w:rPr>
        <w:t xml:space="preserve"> </w:t>
      </w:r>
      <w:hyperlink r:id="rId29" w:history="1">
        <w:r w:rsidR="008A0892" w:rsidRPr="008871FC">
          <w:rPr>
            <w:rStyle w:val="Hyperlink"/>
            <w:sz w:val="24"/>
            <w:szCs w:val="24"/>
            <w:shd w:val="clear" w:color="auto" w:fill="FFFFFF"/>
          </w:rPr>
          <w:t>https://doi.org/10.3390/ijerph20116025</w:t>
        </w:r>
      </w:hyperlink>
      <w:r w:rsidR="008A0892">
        <w:rPr>
          <w:sz w:val="24"/>
          <w:szCs w:val="24"/>
          <w:shd w:val="clear" w:color="auto" w:fill="FFFFFF"/>
        </w:rPr>
        <w:t xml:space="preserve"> </w:t>
      </w:r>
    </w:p>
    <w:p w14:paraId="1F7A46D7" w14:textId="2CF37FBC"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Cristina, M.L., Spagnolo, A.M., Giribone, L., Demartini, A. and Sartini, M., </w:t>
      </w:r>
      <w:r w:rsidR="00E50ED2">
        <w:rPr>
          <w:rFonts w:eastAsia="Times New Roman"/>
          <w:color w:val="222222"/>
          <w:sz w:val="24"/>
          <w:szCs w:val="24"/>
          <w:shd w:val="clear" w:color="auto" w:fill="FFFFFF"/>
          <w:lang w:val="en-IN"/>
        </w:rPr>
        <w:t>(2021).</w:t>
      </w:r>
      <w:r w:rsidRPr="00AE3179">
        <w:rPr>
          <w:rFonts w:eastAsia="Times New Roman"/>
          <w:color w:val="222222"/>
          <w:sz w:val="24"/>
          <w:szCs w:val="24"/>
          <w:shd w:val="clear" w:color="auto" w:fill="FFFFFF"/>
          <w:lang w:val="en-IN"/>
        </w:rPr>
        <w:t xml:space="preserve"> Epidemiology and prevention of healthcare-associated infections in geriatric patients: a narrative review. </w:t>
      </w:r>
      <w:r w:rsidRPr="00AE3179">
        <w:rPr>
          <w:rFonts w:eastAsia="Times New Roman"/>
          <w:i/>
          <w:iCs/>
          <w:color w:val="222222"/>
          <w:sz w:val="24"/>
          <w:szCs w:val="24"/>
          <w:shd w:val="clear" w:color="auto" w:fill="FFFFFF"/>
          <w:lang w:val="en-IN"/>
        </w:rPr>
        <w:t>International journal of environmental research and public health</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18</w:t>
      </w:r>
      <w:r w:rsidRPr="00AE3179">
        <w:rPr>
          <w:rFonts w:eastAsia="Times New Roman"/>
          <w:color w:val="222222"/>
          <w:sz w:val="24"/>
          <w:szCs w:val="24"/>
          <w:shd w:val="clear" w:color="auto" w:fill="FFFFFF"/>
          <w:lang w:val="en-IN"/>
        </w:rPr>
        <w:t>(10), p.5333.</w:t>
      </w:r>
      <w:r w:rsidR="00F172E3">
        <w:rPr>
          <w:rFonts w:eastAsia="Times New Roman"/>
          <w:color w:val="222222"/>
          <w:sz w:val="24"/>
          <w:szCs w:val="24"/>
          <w:shd w:val="clear" w:color="auto" w:fill="FFFFFF"/>
          <w:lang w:val="en-IN"/>
        </w:rPr>
        <w:t xml:space="preserve"> </w:t>
      </w:r>
      <w:hyperlink r:id="rId30" w:history="1">
        <w:r w:rsidR="00F172E3" w:rsidRPr="008871FC">
          <w:rPr>
            <w:rStyle w:val="Hyperlink"/>
            <w:rFonts w:eastAsia="Times New Roman"/>
            <w:sz w:val="24"/>
            <w:szCs w:val="24"/>
            <w:shd w:val="clear" w:color="auto" w:fill="FFFFFF"/>
            <w:lang w:val="en-IN"/>
          </w:rPr>
          <w:t>https://doi.org/10.3390/ijerph18105333</w:t>
        </w:r>
      </w:hyperlink>
      <w:r w:rsidR="00F172E3">
        <w:rPr>
          <w:rFonts w:eastAsia="Times New Roman"/>
          <w:color w:val="222222"/>
          <w:sz w:val="24"/>
          <w:szCs w:val="24"/>
          <w:shd w:val="clear" w:color="auto" w:fill="FFFFFF"/>
          <w:lang w:val="en-IN"/>
        </w:rPr>
        <w:t xml:space="preserve"> </w:t>
      </w:r>
    </w:p>
    <w:p w14:paraId="30FC6BCA" w14:textId="00D14D53"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CS, S., Kini, V., Singh, M., Mukhopadhyay, C., Nag, P. and Sadani, K., </w:t>
      </w:r>
      <w:r w:rsidR="00E50ED2">
        <w:rPr>
          <w:sz w:val="24"/>
          <w:szCs w:val="24"/>
          <w:shd w:val="clear" w:color="auto" w:fill="FFFFFF"/>
        </w:rPr>
        <w:t>(2024).</w:t>
      </w:r>
      <w:r w:rsidRPr="00AE3179">
        <w:rPr>
          <w:sz w:val="24"/>
          <w:szCs w:val="24"/>
          <w:shd w:val="clear" w:color="auto" w:fill="FFFFFF"/>
        </w:rPr>
        <w:t xml:space="preserve"> Disposable electrochemical biosensors for the detection of bacteria in the light of antimicrobial resistance. </w:t>
      </w:r>
      <w:r w:rsidRPr="00AE3179">
        <w:rPr>
          <w:i/>
          <w:iCs/>
          <w:sz w:val="24"/>
          <w:szCs w:val="24"/>
          <w:shd w:val="clear" w:color="auto" w:fill="FFFFFF"/>
        </w:rPr>
        <w:t>Biotechnology and Bioengineering</w:t>
      </w:r>
      <w:r w:rsidRPr="00AE3179">
        <w:rPr>
          <w:sz w:val="24"/>
          <w:szCs w:val="24"/>
          <w:shd w:val="clear" w:color="auto" w:fill="FFFFFF"/>
        </w:rPr>
        <w:t>, </w:t>
      </w:r>
      <w:r w:rsidRPr="00AE3179">
        <w:rPr>
          <w:i/>
          <w:iCs/>
          <w:sz w:val="24"/>
          <w:szCs w:val="24"/>
          <w:shd w:val="clear" w:color="auto" w:fill="FFFFFF"/>
        </w:rPr>
        <w:t>121</w:t>
      </w:r>
      <w:r w:rsidRPr="00AE3179">
        <w:rPr>
          <w:sz w:val="24"/>
          <w:szCs w:val="24"/>
          <w:shd w:val="clear" w:color="auto" w:fill="FFFFFF"/>
        </w:rPr>
        <w:t>(9), pp.2549-2584.</w:t>
      </w:r>
      <w:r w:rsidR="002F231C">
        <w:rPr>
          <w:sz w:val="24"/>
          <w:szCs w:val="24"/>
          <w:shd w:val="clear" w:color="auto" w:fill="FFFFFF"/>
        </w:rPr>
        <w:t xml:space="preserve"> </w:t>
      </w:r>
      <w:hyperlink r:id="rId31" w:history="1">
        <w:r w:rsidR="002F231C" w:rsidRPr="008871FC">
          <w:rPr>
            <w:rStyle w:val="Hyperlink"/>
            <w:sz w:val="24"/>
            <w:szCs w:val="24"/>
            <w:shd w:val="clear" w:color="auto" w:fill="FFFFFF"/>
          </w:rPr>
          <w:t>https://doi.org/10.1002/bit.28735</w:t>
        </w:r>
      </w:hyperlink>
      <w:r w:rsidR="002F231C">
        <w:rPr>
          <w:sz w:val="24"/>
          <w:szCs w:val="24"/>
          <w:shd w:val="clear" w:color="auto" w:fill="FFFFFF"/>
        </w:rPr>
        <w:t xml:space="preserve"> </w:t>
      </w:r>
    </w:p>
    <w:p w14:paraId="5EBFFB5F" w14:textId="370EB095"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lastRenderedPageBreak/>
        <w:t xml:space="preserve">D’Aquila, P., De Rose, E., Sena, G., Scorza, A., Cretella, B., Passarino, G. and Bellizzi, D., </w:t>
      </w:r>
      <w:r w:rsidR="00E50ED2">
        <w:rPr>
          <w:sz w:val="24"/>
          <w:szCs w:val="24"/>
          <w:highlight w:val="white"/>
        </w:rPr>
        <w:t>(2024).</w:t>
      </w:r>
      <w:r w:rsidRPr="00AE3179">
        <w:rPr>
          <w:sz w:val="24"/>
          <w:szCs w:val="24"/>
          <w:highlight w:val="white"/>
        </w:rPr>
        <w:t xml:space="preserve"> Quorum quenching approaches against bacterial-biofilm-induced antibiotic resistance. </w:t>
      </w:r>
      <w:r w:rsidRPr="00AE3179">
        <w:rPr>
          <w:i/>
          <w:iCs/>
          <w:sz w:val="24"/>
          <w:szCs w:val="24"/>
          <w:highlight w:val="white"/>
        </w:rPr>
        <w:t>Antibiotics</w:t>
      </w:r>
      <w:r w:rsidRPr="00AE3179">
        <w:rPr>
          <w:sz w:val="24"/>
          <w:szCs w:val="24"/>
          <w:highlight w:val="white"/>
        </w:rPr>
        <w:t xml:space="preserve">, </w:t>
      </w:r>
      <w:r w:rsidRPr="00AE3179">
        <w:rPr>
          <w:i/>
          <w:iCs/>
          <w:sz w:val="24"/>
          <w:szCs w:val="24"/>
          <w:highlight w:val="white"/>
        </w:rPr>
        <w:t>13</w:t>
      </w:r>
      <w:r w:rsidRPr="00AE3179">
        <w:rPr>
          <w:sz w:val="24"/>
          <w:szCs w:val="24"/>
          <w:highlight w:val="white"/>
        </w:rPr>
        <w:t>(7), p.619.</w:t>
      </w:r>
      <w:r w:rsidR="007A4FC4">
        <w:rPr>
          <w:sz w:val="24"/>
          <w:szCs w:val="24"/>
          <w:highlight w:val="white"/>
        </w:rPr>
        <w:t xml:space="preserve"> </w:t>
      </w:r>
      <w:hyperlink r:id="rId32" w:history="1">
        <w:r w:rsidR="007A4FC4" w:rsidRPr="008871FC">
          <w:rPr>
            <w:rStyle w:val="Hyperlink"/>
            <w:sz w:val="24"/>
            <w:szCs w:val="24"/>
          </w:rPr>
          <w:t>https://doi.org/10.3390/antibiotics13070619</w:t>
        </w:r>
      </w:hyperlink>
      <w:r w:rsidR="007A4FC4">
        <w:rPr>
          <w:sz w:val="24"/>
          <w:szCs w:val="24"/>
        </w:rPr>
        <w:t xml:space="preserve"> </w:t>
      </w:r>
    </w:p>
    <w:p w14:paraId="061B674C" w14:textId="423EC0D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Dadi, N.C.T., Radochová, B., Vargová, J. and Bujdáková, H., </w:t>
      </w:r>
      <w:r w:rsidR="00E50ED2">
        <w:rPr>
          <w:rFonts w:eastAsia="Times New Roman"/>
          <w:sz w:val="24"/>
          <w:szCs w:val="24"/>
          <w:highlight w:val="white"/>
        </w:rPr>
        <w:t>(2021).</w:t>
      </w:r>
      <w:r w:rsidRPr="00AE3179">
        <w:rPr>
          <w:rFonts w:eastAsia="Times New Roman"/>
          <w:sz w:val="24"/>
          <w:szCs w:val="24"/>
          <w:highlight w:val="white"/>
        </w:rPr>
        <w:t xml:space="preserve"> Impact of healthcare-associated infections connected to medical devices—An update. </w:t>
      </w:r>
      <w:r w:rsidRPr="00AE3179">
        <w:rPr>
          <w:rFonts w:eastAsia="Times New Roman"/>
          <w:i/>
          <w:iCs/>
          <w:sz w:val="24"/>
          <w:szCs w:val="24"/>
        </w:rPr>
        <w:t>Microorganisms</w:t>
      </w:r>
      <w:r w:rsidRPr="00AE3179">
        <w:rPr>
          <w:rFonts w:eastAsia="Times New Roman"/>
          <w:sz w:val="24"/>
          <w:szCs w:val="24"/>
        </w:rPr>
        <w:t xml:space="preserve">, </w:t>
      </w:r>
      <w:r w:rsidRPr="00AE3179">
        <w:rPr>
          <w:rFonts w:eastAsia="Times New Roman"/>
          <w:i/>
          <w:iCs/>
          <w:sz w:val="24"/>
          <w:szCs w:val="24"/>
        </w:rPr>
        <w:t>9</w:t>
      </w:r>
      <w:r w:rsidRPr="00AE3179">
        <w:rPr>
          <w:rFonts w:eastAsia="Times New Roman"/>
          <w:sz w:val="24"/>
          <w:szCs w:val="24"/>
        </w:rPr>
        <w:t>(11), p.2332.</w:t>
      </w:r>
      <w:r w:rsidR="0008627E">
        <w:rPr>
          <w:rFonts w:eastAsia="Times New Roman"/>
          <w:sz w:val="24"/>
          <w:szCs w:val="24"/>
        </w:rPr>
        <w:t xml:space="preserve"> </w:t>
      </w:r>
      <w:hyperlink r:id="rId33" w:history="1">
        <w:r w:rsidR="0008627E" w:rsidRPr="008871FC">
          <w:rPr>
            <w:rStyle w:val="Hyperlink"/>
            <w:rFonts w:eastAsia="Times New Roman"/>
            <w:sz w:val="24"/>
            <w:szCs w:val="24"/>
          </w:rPr>
          <w:t>https://doi.org/10.3390/microorganisms9112332</w:t>
        </w:r>
      </w:hyperlink>
      <w:r w:rsidR="0008627E">
        <w:rPr>
          <w:rFonts w:eastAsia="Times New Roman"/>
          <w:sz w:val="24"/>
          <w:szCs w:val="24"/>
        </w:rPr>
        <w:t xml:space="preserve"> </w:t>
      </w:r>
    </w:p>
    <w:p w14:paraId="645684C8" w14:textId="75976D81"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Deo, R., Lakra, U., Ojha, M., Nigam, V.K. and Sharma, S.R., </w:t>
      </w:r>
      <w:r w:rsidR="00E50ED2">
        <w:rPr>
          <w:rFonts w:eastAsia="Times New Roman"/>
          <w:color w:val="222222"/>
          <w:sz w:val="24"/>
          <w:szCs w:val="24"/>
          <w:shd w:val="clear" w:color="auto" w:fill="FFFFFF"/>
          <w:lang w:val="en-IN"/>
        </w:rPr>
        <w:t>(2025).</w:t>
      </w:r>
      <w:r w:rsidRPr="00AE3179">
        <w:rPr>
          <w:rFonts w:eastAsia="Times New Roman"/>
          <w:color w:val="222222"/>
          <w:sz w:val="24"/>
          <w:szCs w:val="24"/>
          <w:shd w:val="clear" w:color="auto" w:fill="FFFFFF"/>
          <w:lang w:val="en-IN"/>
        </w:rPr>
        <w:t xml:space="preserve"> Exopolysaccharides in microbial interactions: signalling, quorum sensing, and community dynamics. </w:t>
      </w:r>
      <w:r w:rsidRPr="00AE3179">
        <w:rPr>
          <w:rFonts w:eastAsia="Times New Roman"/>
          <w:i/>
          <w:iCs/>
          <w:color w:val="222222"/>
          <w:sz w:val="24"/>
          <w:szCs w:val="24"/>
          <w:shd w:val="clear" w:color="auto" w:fill="FFFFFF"/>
          <w:lang w:val="en-IN"/>
        </w:rPr>
        <w:t>Natural Product Research</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39</w:t>
      </w:r>
      <w:r w:rsidRPr="00AE3179">
        <w:rPr>
          <w:rFonts w:eastAsia="Times New Roman"/>
          <w:color w:val="222222"/>
          <w:sz w:val="24"/>
          <w:szCs w:val="24"/>
          <w:shd w:val="clear" w:color="auto" w:fill="FFFFFF"/>
          <w:lang w:val="en-IN"/>
        </w:rPr>
        <w:t>(11), pp.3224-3239.</w:t>
      </w:r>
      <w:r w:rsidR="0066450F">
        <w:rPr>
          <w:rFonts w:eastAsia="Times New Roman"/>
          <w:color w:val="222222"/>
          <w:sz w:val="24"/>
          <w:szCs w:val="24"/>
          <w:shd w:val="clear" w:color="auto" w:fill="FFFFFF"/>
          <w:lang w:val="en-IN"/>
        </w:rPr>
        <w:t xml:space="preserve"> </w:t>
      </w:r>
      <w:hyperlink r:id="rId34" w:history="1">
        <w:r w:rsidR="0066450F" w:rsidRPr="008871FC">
          <w:rPr>
            <w:rStyle w:val="Hyperlink"/>
            <w:rFonts w:eastAsia="Times New Roman"/>
            <w:sz w:val="24"/>
            <w:szCs w:val="24"/>
            <w:shd w:val="clear" w:color="auto" w:fill="FFFFFF"/>
            <w:lang w:val="en-IN"/>
          </w:rPr>
          <w:t>https://doi.org/10.1080/14786419.2024.2405867</w:t>
        </w:r>
      </w:hyperlink>
      <w:r w:rsidR="0066450F">
        <w:rPr>
          <w:rFonts w:eastAsia="Times New Roman"/>
          <w:color w:val="222222"/>
          <w:sz w:val="24"/>
          <w:szCs w:val="24"/>
          <w:shd w:val="clear" w:color="auto" w:fill="FFFFFF"/>
          <w:lang w:val="en-IN"/>
        </w:rPr>
        <w:t xml:space="preserve"> </w:t>
      </w:r>
    </w:p>
    <w:p w14:paraId="6630D302" w14:textId="1C84FCBE"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Depasquale, C., Arnold, A., Cunningham, S., Kerr, A., Jacob, S.A., Boyter, A., Boyd, M., Power, A. and Addison, B., </w:t>
      </w:r>
      <w:r w:rsidR="00E50ED2">
        <w:rPr>
          <w:color w:val="222222"/>
          <w:sz w:val="24"/>
          <w:szCs w:val="24"/>
          <w:shd w:val="clear" w:color="auto" w:fill="FFFFFF"/>
        </w:rPr>
        <w:t>(2025).</w:t>
      </w:r>
      <w:r w:rsidRPr="00AE3179">
        <w:rPr>
          <w:color w:val="222222"/>
          <w:sz w:val="24"/>
          <w:szCs w:val="24"/>
          <w:shd w:val="clear" w:color="auto" w:fill="FFFFFF"/>
        </w:rPr>
        <w:t xml:space="preserve"> An exploration into student pharmacists’ experiences of practice-based interprofessional education during experiential learning placements. </w:t>
      </w:r>
      <w:r w:rsidRPr="00AE3179">
        <w:rPr>
          <w:i/>
          <w:iCs/>
          <w:color w:val="222222"/>
          <w:sz w:val="24"/>
          <w:szCs w:val="24"/>
          <w:shd w:val="clear" w:color="auto" w:fill="FFFFFF"/>
        </w:rPr>
        <w:t>American journal of pharmaceutical education</w:t>
      </w:r>
      <w:r w:rsidRPr="00AE3179">
        <w:rPr>
          <w:color w:val="222222"/>
          <w:sz w:val="24"/>
          <w:szCs w:val="24"/>
          <w:shd w:val="clear" w:color="auto" w:fill="FFFFFF"/>
        </w:rPr>
        <w:t>, </w:t>
      </w:r>
      <w:r w:rsidRPr="00AE3179">
        <w:rPr>
          <w:i/>
          <w:iCs/>
          <w:color w:val="222222"/>
          <w:sz w:val="24"/>
          <w:szCs w:val="24"/>
          <w:shd w:val="clear" w:color="auto" w:fill="FFFFFF"/>
        </w:rPr>
        <w:t>89</w:t>
      </w:r>
      <w:r w:rsidRPr="00AE3179">
        <w:rPr>
          <w:color w:val="222222"/>
          <w:sz w:val="24"/>
          <w:szCs w:val="24"/>
          <w:shd w:val="clear" w:color="auto" w:fill="FFFFFF"/>
        </w:rPr>
        <w:t>(6), p.101418.</w:t>
      </w:r>
      <w:r w:rsidR="00265C80">
        <w:rPr>
          <w:color w:val="222222"/>
          <w:sz w:val="24"/>
          <w:szCs w:val="24"/>
          <w:shd w:val="clear" w:color="auto" w:fill="FFFFFF"/>
        </w:rPr>
        <w:t xml:space="preserve"> </w:t>
      </w:r>
      <w:hyperlink r:id="rId35" w:history="1">
        <w:r w:rsidR="00265C80" w:rsidRPr="008871FC">
          <w:rPr>
            <w:rStyle w:val="Hyperlink"/>
            <w:sz w:val="24"/>
            <w:szCs w:val="24"/>
            <w:shd w:val="clear" w:color="auto" w:fill="FFFFFF"/>
          </w:rPr>
          <w:t>https://doi.org/10.1016/j.ajpe.2025.101418</w:t>
        </w:r>
      </w:hyperlink>
      <w:r w:rsidR="00265C80">
        <w:rPr>
          <w:color w:val="222222"/>
          <w:sz w:val="24"/>
          <w:szCs w:val="24"/>
          <w:shd w:val="clear" w:color="auto" w:fill="FFFFFF"/>
        </w:rPr>
        <w:t xml:space="preserve"> </w:t>
      </w:r>
    </w:p>
    <w:p w14:paraId="7A1BD235" w14:textId="68BA5B8F"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Desvars-Larrive, A., Vogl, A.E., Puspitarani, G.A., Yang, L., Joachim, A. and Käsbohrer, A., </w:t>
      </w:r>
      <w:r w:rsidR="00E50ED2">
        <w:rPr>
          <w:rFonts w:eastAsia="Times New Roman"/>
          <w:sz w:val="24"/>
          <w:szCs w:val="24"/>
          <w:highlight w:val="white"/>
        </w:rPr>
        <w:t>(2024).</w:t>
      </w:r>
      <w:r w:rsidRPr="00AE3179">
        <w:rPr>
          <w:rFonts w:eastAsia="Times New Roman"/>
          <w:sz w:val="24"/>
          <w:szCs w:val="24"/>
          <w:highlight w:val="white"/>
        </w:rPr>
        <w:t xml:space="preserve"> A One Health framework for exploring zoonotic interactions demonstrated through a case study. </w:t>
      </w:r>
      <w:r w:rsidRPr="00AE3179">
        <w:rPr>
          <w:rFonts w:eastAsia="Times New Roman"/>
          <w:i/>
          <w:iCs/>
          <w:sz w:val="24"/>
          <w:szCs w:val="24"/>
        </w:rPr>
        <w:t>Nature communications</w:t>
      </w:r>
      <w:r w:rsidRPr="00AE3179">
        <w:rPr>
          <w:rFonts w:eastAsia="Times New Roman"/>
          <w:sz w:val="24"/>
          <w:szCs w:val="24"/>
        </w:rPr>
        <w:t xml:space="preserve">, </w:t>
      </w:r>
      <w:r w:rsidRPr="00AE3179">
        <w:rPr>
          <w:rFonts w:eastAsia="Times New Roman"/>
          <w:i/>
          <w:iCs/>
          <w:sz w:val="24"/>
          <w:szCs w:val="24"/>
        </w:rPr>
        <w:t>15</w:t>
      </w:r>
      <w:r w:rsidRPr="00AE3179">
        <w:rPr>
          <w:rFonts w:eastAsia="Times New Roman"/>
          <w:sz w:val="24"/>
          <w:szCs w:val="24"/>
        </w:rPr>
        <w:t>(1), p.5650.</w:t>
      </w:r>
      <w:r w:rsidR="00221BA0">
        <w:rPr>
          <w:rFonts w:eastAsia="Times New Roman"/>
          <w:sz w:val="24"/>
          <w:szCs w:val="24"/>
        </w:rPr>
        <w:t xml:space="preserve"> </w:t>
      </w:r>
      <w:hyperlink r:id="rId36" w:history="1">
        <w:r w:rsidR="00221BA0" w:rsidRPr="008871FC">
          <w:rPr>
            <w:rStyle w:val="Hyperlink"/>
            <w:rFonts w:ascii="Segoe UI" w:hAnsi="Segoe UI" w:cs="Segoe UI"/>
            <w:shd w:val="clear" w:color="auto" w:fill="FFFFFF"/>
          </w:rPr>
          <w:t>https://doi.org/10.1038/s41467-024-49967-7</w:t>
        </w:r>
      </w:hyperlink>
      <w:r w:rsidR="00221BA0">
        <w:rPr>
          <w:rFonts w:ascii="Segoe UI" w:hAnsi="Segoe UI" w:cs="Segoe UI"/>
          <w:color w:val="222222"/>
          <w:shd w:val="clear" w:color="auto" w:fill="FFFFFF"/>
        </w:rPr>
        <w:t xml:space="preserve"> </w:t>
      </w:r>
    </w:p>
    <w:p w14:paraId="185C3D55" w14:textId="758A6BE9"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Dheensa, S., Feder, G., Mallen, C. and Gregory, A., </w:t>
      </w:r>
      <w:r w:rsidR="00E50ED2">
        <w:rPr>
          <w:color w:val="222222"/>
          <w:sz w:val="24"/>
          <w:szCs w:val="24"/>
          <w:shd w:val="clear" w:color="auto" w:fill="FFFFFF"/>
        </w:rPr>
        <w:t>(2025).</w:t>
      </w:r>
      <w:r w:rsidRPr="00AE3179">
        <w:rPr>
          <w:color w:val="222222"/>
          <w:sz w:val="24"/>
          <w:szCs w:val="24"/>
          <w:shd w:val="clear" w:color="auto" w:fill="FFFFFF"/>
        </w:rPr>
        <w:t xml:space="preserve"> Experiences of supporting primary and community healthcare workers affected by domestic abuse in the United Kingdom: A cross-sectional survey. </w:t>
      </w:r>
      <w:r w:rsidRPr="00AE3179">
        <w:rPr>
          <w:i/>
          <w:iCs/>
          <w:color w:val="222222"/>
          <w:sz w:val="24"/>
          <w:szCs w:val="24"/>
          <w:shd w:val="clear" w:color="auto" w:fill="FFFFFF"/>
        </w:rPr>
        <w:t>European Journal of General Practice</w:t>
      </w:r>
      <w:r w:rsidRPr="00AE3179">
        <w:rPr>
          <w:color w:val="222222"/>
          <w:sz w:val="24"/>
          <w:szCs w:val="24"/>
          <w:shd w:val="clear" w:color="auto" w:fill="FFFFFF"/>
        </w:rPr>
        <w:t>, </w:t>
      </w:r>
      <w:r w:rsidRPr="00AE3179">
        <w:rPr>
          <w:i/>
          <w:iCs/>
          <w:color w:val="222222"/>
          <w:sz w:val="24"/>
          <w:szCs w:val="24"/>
          <w:shd w:val="clear" w:color="auto" w:fill="FFFFFF"/>
        </w:rPr>
        <w:t>31</w:t>
      </w:r>
      <w:r w:rsidRPr="00AE3179">
        <w:rPr>
          <w:color w:val="222222"/>
          <w:sz w:val="24"/>
          <w:szCs w:val="24"/>
          <w:shd w:val="clear" w:color="auto" w:fill="FFFFFF"/>
        </w:rPr>
        <w:t>(1), p.2571600.</w:t>
      </w:r>
      <w:r w:rsidR="00D934ED">
        <w:rPr>
          <w:color w:val="222222"/>
          <w:sz w:val="24"/>
          <w:szCs w:val="24"/>
          <w:shd w:val="clear" w:color="auto" w:fill="FFFFFF"/>
        </w:rPr>
        <w:t xml:space="preserve"> </w:t>
      </w:r>
      <w:hyperlink r:id="rId37" w:history="1">
        <w:r w:rsidR="00D934ED" w:rsidRPr="008871FC">
          <w:rPr>
            <w:rStyle w:val="Hyperlink"/>
            <w:sz w:val="24"/>
            <w:szCs w:val="24"/>
            <w:shd w:val="clear" w:color="auto" w:fill="FFFFFF"/>
          </w:rPr>
          <w:t>https://doi.org/10.1080/13814788.2025.2571600</w:t>
        </w:r>
      </w:hyperlink>
      <w:r w:rsidR="00D934ED">
        <w:rPr>
          <w:color w:val="222222"/>
          <w:sz w:val="24"/>
          <w:szCs w:val="24"/>
          <w:shd w:val="clear" w:color="auto" w:fill="FFFFFF"/>
        </w:rPr>
        <w:t xml:space="preserve"> </w:t>
      </w:r>
    </w:p>
    <w:p w14:paraId="25A9A5F2" w14:textId="343B7A8E"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Dixon-Woods, M., Summers, C., Morgan, M. and Patel, K., </w:t>
      </w:r>
      <w:r w:rsidR="00E50ED2">
        <w:rPr>
          <w:color w:val="222222"/>
          <w:sz w:val="24"/>
          <w:szCs w:val="24"/>
          <w:shd w:val="clear" w:color="auto" w:fill="FFFFFF"/>
        </w:rPr>
        <w:t>(2024).</w:t>
      </w:r>
      <w:r w:rsidRPr="00AE3179">
        <w:rPr>
          <w:color w:val="222222"/>
          <w:sz w:val="24"/>
          <w:szCs w:val="24"/>
          <w:shd w:val="clear" w:color="auto" w:fill="FFFFFF"/>
        </w:rPr>
        <w:t xml:space="preserve"> The future of the NHS depends on its workforce. </w:t>
      </w:r>
      <w:r w:rsidRPr="00AE3179">
        <w:rPr>
          <w:i/>
          <w:iCs/>
          <w:color w:val="222222"/>
          <w:sz w:val="24"/>
          <w:szCs w:val="24"/>
          <w:shd w:val="clear" w:color="auto" w:fill="FFFFFF"/>
        </w:rPr>
        <w:t>bmj</w:t>
      </w:r>
      <w:r w:rsidRPr="00AE3179">
        <w:rPr>
          <w:color w:val="222222"/>
          <w:sz w:val="24"/>
          <w:szCs w:val="24"/>
          <w:shd w:val="clear" w:color="auto" w:fill="FFFFFF"/>
        </w:rPr>
        <w:t>, </w:t>
      </w:r>
      <w:r w:rsidRPr="00AE3179">
        <w:rPr>
          <w:i/>
          <w:iCs/>
          <w:color w:val="222222"/>
          <w:sz w:val="24"/>
          <w:szCs w:val="24"/>
          <w:shd w:val="clear" w:color="auto" w:fill="FFFFFF"/>
        </w:rPr>
        <w:t>384</w:t>
      </w:r>
      <w:r w:rsidRPr="00AE3179">
        <w:rPr>
          <w:color w:val="222222"/>
          <w:sz w:val="24"/>
          <w:szCs w:val="24"/>
          <w:shd w:val="clear" w:color="auto" w:fill="FFFFFF"/>
        </w:rPr>
        <w:t>.</w:t>
      </w:r>
      <w:r w:rsidR="008A60F3">
        <w:rPr>
          <w:color w:val="222222"/>
          <w:sz w:val="24"/>
          <w:szCs w:val="24"/>
          <w:shd w:val="clear" w:color="auto" w:fill="FFFFFF"/>
        </w:rPr>
        <w:t xml:space="preserve"> </w:t>
      </w:r>
      <w:hyperlink r:id="rId38" w:history="1">
        <w:r w:rsidR="008A60F3" w:rsidRPr="008871FC">
          <w:rPr>
            <w:rStyle w:val="Hyperlink"/>
            <w:sz w:val="24"/>
            <w:szCs w:val="24"/>
            <w:shd w:val="clear" w:color="auto" w:fill="FFFFFF"/>
          </w:rPr>
          <w:t>https://doi.org/10.1136/bmj-2024-079474</w:t>
        </w:r>
      </w:hyperlink>
      <w:r w:rsidR="008A60F3">
        <w:rPr>
          <w:color w:val="222222"/>
          <w:sz w:val="24"/>
          <w:szCs w:val="24"/>
          <w:shd w:val="clear" w:color="auto" w:fill="FFFFFF"/>
        </w:rPr>
        <w:t xml:space="preserve"> </w:t>
      </w:r>
    </w:p>
    <w:p w14:paraId="784FF400" w14:textId="56A2699C"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Drolet, M.J., Rose-Derouin, E., Leblanc, J.C., Ruest, M. and Williams-Jones, B., </w:t>
      </w:r>
      <w:r w:rsidR="00E50ED2">
        <w:rPr>
          <w:sz w:val="24"/>
          <w:szCs w:val="24"/>
          <w:highlight w:val="white"/>
        </w:rPr>
        <w:t>(2023).</w:t>
      </w:r>
      <w:r w:rsidRPr="00AE3179">
        <w:rPr>
          <w:sz w:val="24"/>
          <w:szCs w:val="24"/>
          <w:highlight w:val="white"/>
        </w:rPr>
        <w:t xml:space="preserve"> Ethical issues in research: Perceptions of researchers, research ethics board members and research ethics experts. </w:t>
      </w:r>
      <w:r w:rsidRPr="00AE3179">
        <w:rPr>
          <w:i/>
          <w:iCs/>
          <w:sz w:val="24"/>
          <w:szCs w:val="24"/>
          <w:highlight w:val="white"/>
        </w:rPr>
        <w:t>Journal of Academic Ethics</w:t>
      </w:r>
      <w:r w:rsidRPr="00AE3179">
        <w:rPr>
          <w:sz w:val="24"/>
          <w:szCs w:val="24"/>
          <w:highlight w:val="white"/>
        </w:rPr>
        <w:t xml:space="preserve">, </w:t>
      </w:r>
      <w:r w:rsidRPr="00AE3179">
        <w:rPr>
          <w:i/>
          <w:iCs/>
          <w:sz w:val="24"/>
          <w:szCs w:val="24"/>
          <w:highlight w:val="white"/>
        </w:rPr>
        <w:t>21</w:t>
      </w:r>
      <w:r w:rsidRPr="00AE3179">
        <w:rPr>
          <w:sz w:val="24"/>
          <w:szCs w:val="24"/>
          <w:highlight w:val="white"/>
        </w:rPr>
        <w:t>(2), pp.269-292.</w:t>
      </w:r>
      <w:r w:rsidR="008A60F3">
        <w:rPr>
          <w:sz w:val="24"/>
          <w:szCs w:val="24"/>
          <w:highlight w:val="white"/>
        </w:rPr>
        <w:t xml:space="preserve"> </w:t>
      </w:r>
      <w:hyperlink r:id="rId39" w:history="1">
        <w:r w:rsidR="008A60F3" w:rsidRPr="008871FC">
          <w:rPr>
            <w:rStyle w:val="Hyperlink"/>
            <w:rFonts w:ascii="Helvetica" w:hAnsi="Helvetica" w:cs="Helvetica"/>
            <w:shd w:val="clear" w:color="auto" w:fill="FFFFFF"/>
          </w:rPr>
          <w:t>https://doi.org/10.1007/s10805-022-09455-3</w:t>
        </w:r>
      </w:hyperlink>
      <w:r w:rsidR="008A60F3">
        <w:rPr>
          <w:rFonts w:ascii="Helvetica" w:hAnsi="Helvetica" w:cs="Helvetica"/>
          <w:color w:val="222222"/>
          <w:shd w:val="clear" w:color="auto" w:fill="FFFFFF"/>
        </w:rPr>
        <w:t xml:space="preserve"> </w:t>
      </w:r>
    </w:p>
    <w:p w14:paraId="2E50A1F5" w14:textId="45840598"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lastRenderedPageBreak/>
        <w:t xml:space="preserve">Dubern, J.F., Halliday, N., Cámara, M., Winzer, K., Barrett, D.A., Hardie, K.R. and Williams, P., </w:t>
      </w:r>
      <w:r w:rsidR="00E50ED2">
        <w:rPr>
          <w:rFonts w:eastAsia="Times New Roman"/>
          <w:sz w:val="24"/>
          <w:szCs w:val="24"/>
          <w:highlight w:val="white"/>
        </w:rPr>
        <w:t>(2023).</w:t>
      </w:r>
      <w:r w:rsidRPr="00AE3179">
        <w:rPr>
          <w:rFonts w:eastAsia="Times New Roman"/>
          <w:sz w:val="24"/>
          <w:szCs w:val="24"/>
          <w:highlight w:val="white"/>
        </w:rPr>
        <w:t xml:space="preserve"> Growth rate and nutrient limitation as key drivers of extracellular quorum sensing signal molecule accumulation in Pseudomonas aeruginosa. </w:t>
      </w:r>
      <w:r w:rsidRPr="00AE3179">
        <w:rPr>
          <w:rFonts w:eastAsia="Times New Roman"/>
          <w:i/>
          <w:iCs/>
          <w:sz w:val="24"/>
          <w:szCs w:val="24"/>
        </w:rPr>
        <w:t>Microbiology</w:t>
      </w:r>
      <w:r w:rsidRPr="00AE3179">
        <w:rPr>
          <w:rFonts w:eastAsia="Times New Roman"/>
          <w:sz w:val="24"/>
          <w:szCs w:val="24"/>
        </w:rPr>
        <w:t xml:space="preserve">, </w:t>
      </w:r>
      <w:r w:rsidRPr="00AE3179">
        <w:rPr>
          <w:rFonts w:eastAsia="Times New Roman"/>
          <w:i/>
          <w:iCs/>
          <w:sz w:val="24"/>
          <w:szCs w:val="24"/>
        </w:rPr>
        <w:t>169</w:t>
      </w:r>
      <w:r w:rsidRPr="00AE3179">
        <w:rPr>
          <w:rFonts w:eastAsia="Times New Roman"/>
          <w:sz w:val="24"/>
          <w:szCs w:val="24"/>
        </w:rPr>
        <w:t>(4), p.001316.</w:t>
      </w:r>
      <w:r w:rsidR="00BE04EE">
        <w:rPr>
          <w:rFonts w:eastAsia="Times New Roman"/>
          <w:sz w:val="24"/>
          <w:szCs w:val="24"/>
        </w:rPr>
        <w:t xml:space="preserve"> </w:t>
      </w:r>
      <w:hyperlink r:id="rId40" w:history="1">
        <w:r w:rsidR="00BE04EE" w:rsidRPr="008871FC">
          <w:rPr>
            <w:rStyle w:val="Hyperlink"/>
            <w:rFonts w:eastAsia="Times New Roman"/>
            <w:sz w:val="24"/>
            <w:szCs w:val="24"/>
          </w:rPr>
          <w:t>https://doi.org/10.1099/mic.0.001316</w:t>
        </w:r>
      </w:hyperlink>
      <w:r w:rsidR="00BE04EE">
        <w:rPr>
          <w:rFonts w:eastAsia="Times New Roman"/>
          <w:sz w:val="24"/>
          <w:szCs w:val="24"/>
        </w:rPr>
        <w:t xml:space="preserve"> </w:t>
      </w:r>
    </w:p>
    <w:p w14:paraId="6661F484" w14:textId="0EF83BCA"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Eaton, G., Wong, G., Tierney, S., Roberts, N., Williams, V. and Mahtani, K.R., </w:t>
      </w:r>
      <w:r w:rsidR="00E50ED2">
        <w:rPr>
          <w:color w:val="222222"/>
          <w:sz w:val="24"/>
          <w:szCs w:val="24"/>
          <w:shd w:val="clear" w:color="auto" w:fill="FFFFFF"/>
        </w:rPr>
        <w:t>(2021).</w:t>
      </w:r>
      <w:r w:rsidRPr="00AE3179">
        <w:rPr>
          <w:color w:val="222222"/>
          <w:sz w:val="24"/>
          <w:szCs w:val="24"/>
          <w:shd w:val="clear" w:color="auto" w:fill="FFFFFF"/>
        </w:rPr>
        <w:t xml:space="preserve"> Understanding the role of the paramedic in primary care: a realist review. </w:t>
      </w:r>
      <w:r w:rsidRPr="00AE3179">
        <w:rPr>
          <w:i/>
          <w:iCs/>
          <w:color w:val="222222"/>
          <w:sz w:val="24"/>
          <w:szCs w:val="24"/>
          <w:shd w:val="clear" w:color="auto" w:fill="FFFFFF"/>
        </w:rPr>
        <w:t>BMC medicine</w:t>
      </w:r>
      <w:r w:rsidRPr="00AE3179">
        <w:rPr>
          <w:color w:val="222222"/>
          <w:sz w:val="24"/>
          <w:szCs w:val="24"/>
          <w:shd w:val="clear" w:color="auto" w:fill="FFFFFF"/>
        </w:rPr>
        <w:t>, </w:t>
      </w:r>
      <w:r w:rsidRPr="00AE3179">
        <w:rPr>
          <w:i/>
          <w:iCs/>
          <w:color w:val="222222"/>
          <w:sz w:val="24"/>
          <w:szCs w:val="24"/>
          <w:shd w:val="clear" w:color="auto" w:fill="FFFFFF"/>
        </w:rPr>
        <w:t>19</w:t>
      </w:r>
      <w:r w:rsidRPr="00AE3179">
        <w:rPr>
          <w:color w:val="222222"/>
          <w:sz w:val="24"/>
          <w:szCs w:val="24"/>
          <w:shd w:val="clear" w:color="auto" w:fill="FFFFFF"/>
        </w:rPr>
        <w:t>(1), p.145.</w:t>
      </w:r>
      <w:r w:rsidR="000A3B3C">
        <w:rPr>
          <w:color w:val="222222"/>
          <w:sz w:val="24"/>
          <w:szCs w:val="24"/>
          <w:shd w:val="clear" w:color="auto" w:fill="FFFFFF"/>
        </w:rPr>
        <w:t xml:space="preserve"> </w:t>
      </w:r>
      <w:hyperlink r:id="rId41" w:history="1">
        <w:r w:rsidR="000A3B3C" w:rsidRPr="008871FC">
          <w:rPr>
            <w:rStyle w:val="Hyperlink"/>
            <w:rFonts w:ascii="Helvetica" w:hAnsi="Helvetica" w:cs="Helvetica"/>
            <w:shd w:val="clear" w:color="auto" w:fill="FFFFFF"/>
          </w:rPr>
          <w:t>https://doi.org/10.1186/s12916-021-02019-z</w:t>
        </w:r>
      </w:hyperlink>
      <w:r w:rsidR="000A3B3C">
        <w:rPr>
          <w:rFonts w:ascii="Helvetica" w:hAnsi="Helvetica" w:cs="Helvetica"/>
          <w:color w:val="222222"/>
          <w:shd w:val="clear" w:color="auto" w:fill="FFFFFF"/>
        </w:rPr>
        <w:t xml:space="preserve"> </w:t>
      </w:r>
    </w:p>
    <w:p w14:paraId="56EE54DA" w14:textId="4D198E32"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Elbehiry, A., Marzouk, E., Abalkhail, A., El-Garawany, Y., Anagreyyah, S., Alnafea, Y., Almuzaini, A.M., Alwarhi, W., Rawway, M. and Draz, A., </w:t>
      </w:r>
      <w:r w:rsidR="00E50ED2">
        <w:rPr>
          <w:rFonts w:eastAsia="Times New Roman"/>
          <w:sz w:val="24"/>
          <w:szCs w:val="24"/>
          <w:highlight w:val="white"/>
        </w:rPr>
        <w:t>(2022).</w:t>
      </w:r>
      <w:r w:rsidRPr="00AE3179">
        <w:rPr>
          <w:rFonts w:eastAsia="Times New Roman"/>
          <w:sz w:val="24"/>
          <w:szCs w:val="24"/>
          <w:highlight w:val="white"/>
        </w:rPr>
        <w:t xml:space="preserve"> The development of technology to prevent, diagnose, and manage antimicrobial resistance in healthcare-associated infections. </w:t>
      </w:r>
      <w:r w:rsidRPr="00AE3179">
        <w:rPr>
          <w:rFonts w:eastAsia="Times New Roman"/>
          <w:i/>
          <w:iCs/>
          <w:sz w:val="24"/>
          <w:szCs w:val="24"/>
        </w:rPr>
        <w:t>Vaccines</w:t>
      </w:r>
      <w:r w:rsidRPr="00AE3179">
        <w:rPr>
          <w:rFonts w:eastAsia="Times New Roman"/>
          <w:sz w:val="24"/>
          <w:szCs w:val="24"/>
        </w:rPr>
        <w:t xml:space="preserve">, </w:t>
      </w:r>
      <w:r w:rsidRPr="00AE3179">
        <w:rPr>
          <w:rFonts w:eastAsia="Times New Roman"/>
          <w:i/>
          <w:iCs/>
          <w:sz w:val="24"/>
          <w:szCs w:val="24"/>
        </w:rPr>
        <w:t>10</w:t>
      </w:r>
      <w:r w:rsidRPr="00AE3179">
        <w:rPr>
          <w:rFonts w:eastAsia="Times New Roman"/>
          <w:sz w:val="24"/>
          <w:szCs w:val="24"/>
        </w:rPr>
        <w:t>(12), p.2100.</w:t>
      </w:r>
      <w:r w:rsidR="004263F0">
        <w:rPr>
          <w:rFonts w:eastAsia="Times New Roman"/>
          <w:sz w:val="24"/>
          <w:szCs w:val="24"/>
        </w:rPr>
        <w:t xml:space="preserve"> </w:t>
      </w:r>
      <w:hyperlink r:id="rId42" w:history="1">
        <w:r w:rsidR="004263F0" w:rsidRPr="008871FC">
          <w:rPr>
            <w:rStyle w:val="Hyperlink"/>
            <w:rFonts w:eastAsia="Times New Roman"/>
            <w:sz w:val="24"/>
            <w:szCs w:val="24"/>
          </w:rPr>
          <w:t>https://doi.org/10.3390/vaccines10122100</w:t>
        </w:r>
      </w:hyperlink>
      <w:r w:rsidR="004263F0">
        <w:rPr>
          <w:rFonts w:eastAsia="Times New Roman"/>
          <w:sz w:val="24"/>
          <w:szCs w:val="24"/>
        </w:rPr>
        <w:t xml:space="preserve"> </w:t>
      </w:r>
    </w:p>
    <w:p w14:paraId="103A146D" w14:textId="296C27C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Erkihun, M., Asmare, Z., Endalamew, K., Getie, B., Kiros, T. and Berhan, A., </w:t>
      </w:r>
      <w:r w:rsidR="00E50ED2">
        <w:rPr>
          <w:rFonts w:eastAsia="Times New Roman"/>
          <w:sz w:val="24"/>
          <w:szCs w:val="24"/>
          <w:highlight w:val="white"/>
        </w:rPr>
        <w:t>(2024).</w:t>
      </w:r>
      <w:r w:rsidRPr="00AE3179">
        <w:rPr>
          <w:rFonts w:eastAsia="Times New Roman"/>
          <w:sz w:val="24"/>
          <w:szCs w:val="24"/>
          <w:highlight w:val="white"/>
        </w:rPr>
        <w:t xml:space="preserve"> Medical scope of biofilm and quorum sensing during biofilm formation: Systematic review. </w:t>
      </w:r>
      <w:r w:rsidRPr="00AE3179">
        <w:rPr>
          <w:rFonts w:eastAsia="Times New Roman"/>
          <w:i/>
          <w:iCs/>
          <w:sz w:val="24"/>
          <w:szCs w:val="24"/>
        </w:rPr>
        <w:t>Bacteria</w:t>
      </w:r>
      <w:r w:rsidRPr="00AE3179">
        <w:rPr>
          <w:rFonts w:eastAsia="Times New Roman"/>
          <w:sz w:val="24"/>
          <w:szCs w:val="24"/>
        </w:rPr>
        <w:t xml:space="preserve">, </w:t>
      </w:r>
      <w:r w:rsidRPr="00AE3179">
        <w:rPr>
          <w:rFonts w:eastAsia="Times New Roman"/>
          <w:i/>
          <w:iCs/>
          <w:sz w:val="24"/>
          <w:szCs w:val="24"/>
        </w:rPr>
        <w:t>3</w:t>
      </w:r>
      <w:r w:rsidRPr="00AE3179">
        <w:rPr>
          <w:rFonts w:eastAsia="Times New Roman"/>
          <w:sz w:val="24"/>
          <w:szCs w:val="24"/>
        </w:rPr>
        <w:t>(3), pp.118-135.</w:t>
      </w:r>
      <w:r w:rsidR="00B468F4">
        <w:rPr>
          <w:rFonts w:eastAsia="Times New Roman"/>
          <w:sz w:val="24"/>
          <w:szCs w:val="24"/>
        </w:rPr>
        <w:t xml:space="preserve"> </w:t>
      </w:r>
      <w:hyperlink r:id="rId43" w:history="1">
        <w:r w:rsidR="00B468F4" w:rsidRPr="008871FC">
          <w:rPr>
            <w:rStyle w:val="Hyperlink"/>
            <w:rFonts w:eastAsia="Times New Roman"/>
            <w:sz w:val="24"/>
            <w:szCs w:val="24"/>
          </w:rPr>
          <w:t>https://doi.org/10.3390/bacteria3030008</w:t>
        </w:r>
      </w:hyperlink>
      <w:r w:rsidR="00B468F4">
        <w:rPr>
          <w:rFonts w:eastAsia="Times New Roman"/>
          <w:sz w:val="24"/>
          <w:szCs w:val="24"/>
        </w:rPr>
        <w:t xml:space="preserve"> </w:t>
      </w:r>
    </w:p>
    <w:p w14:paraId="1F2E5C49" w14:textId="79A374D5"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Evans, N., </w:t>
      </w:r>
      <w:r w:rsidR="00E50ED2">
        <w:rPr>
          <w:color w:val="222222"/>
          <w:sz w:val="24"/>
          <w:szCs w:val="24"/>
          <w:shd w:val="clear" w:color="auto" w:fill="FFFFFF"/>
        </w:rPr>
        <w:t>(2025).</w:t>
      </w:r>
      <w:r w:rsidRPr="00AE3179">
        <w:rPr>
          <w:color w:val="222222"/>
          <w:sz w:val="24"/>
          <w:szCs w:val="24"/>
          <w:shd w:val="clear" w:color="auto" w:fill="FFFFFF"/>
        </w:rPr>
        <w:t xml:space="preserve"> How social care placements offer invaluable experience: A new strategy for adult social care will make it a place for nursing students to complete their placements. </w:t>
      </w:r>
      <w:r w:rsidRPr="00AE3179">
        <w:rPr>
          <w:i/>
          <w:iCs/>
          <w:color w:val="222222"/>
          <w:sz w:val="24"/>
          <w:szCs w:val="24"/>
          <w:shd w:val="clear" w:color="auto" w:fill="FFFFFF"/>
        </w:rPr>
        <w:t>Learning Disability Practice</w:t>
      </w:r>
      <w:r w:rsidRPr="00AE3179">
        <w:rPr>
          <w:color w:val="222222"/>
          <w:sz w:val="24"/>
          <w:szCs w:val="24"/>
          <w:shd w:val="clear" w:color="auto" w:fill="FFFFFF"/>
        </w:rPr>
        <w:t>, </w:t>
      </w:r>
      <w:r w:rsidRPr="00AE3179">
        <w:rPr>
          <w:i/>
          <w:iCs/>
          <w:color w:val="222222"/>
          <w:sz w:val="24"/>
          <w:szCs w:val="24"/>
          <w:shd w:val="clear" w:color="auto" w:fill="FFFFFF"/>
        </w:rPr>
        <w:t>28</w:t>
      </w:r>
      <w:r w:rsidRPr="00AE3179">
        <w:rPr>
          <w:color w:val="222222"/>
          <w:sz w:val="24"/>
          <w:szCs w:val="24"/>
          <w:shd w:val="clear" w:color="auto" w:fill="FFFFFF"/>
        </w:rPr>
        <w:t>(5).</w:t>
      </w:r>
      <w:r w:rsidR="00B52CD8">
        <w:rPr>
          <w:color w:val="222222"/>
          <w:sz w:val="24"/>
          <w:szCs w:val="24"/>
          <w:shd w:val="clear" w:color="auto" w:fill="FFFFFF"/>
        </w:rPr>
        <w:t xml:space="preserve"> </w:t>
      </w:r>
      <w:r w:rsidR="00B52CD8" w:rsidRPr="00B52CD8">
        <w:rPr>
          <w:color w:val="222222"/>
          <w:sz w:val="24"/>
          <w:szCs w:val="24"/>
          <w:shd w:val="clear" w:color="auto" w:fill="FFFFFF"/>
        </w:rPr>
        <w:t>10.7748/ldp.28.5.13.s5</w:t>
      </w:r>
      <w:r w:rsidR="00B52CD8">
        <w:rPr>
          <w:color w:val="222222"/>
          <w:sz w:val="24"/>
          <w:szCs w:val="24"/>
          <w:shd w:val="clear" w:color="auto" w:fill="FFFFFF"/>
        </w:rPr>
        <w:t xml:space="preserve"> </w:t>
      </w:r>
    </w:p>
    <w:p w14:paraId="50972952" w14:textId="415A074C"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Ghai, R.R., Wallace, R.M., Kile, J.C., Shoemaker, T.R., Vieira, A.R., Negron, M.E., Shadomy, S.V., Sinclair, J.R., Goryoka, G.W., Salyer, S.J. and Barton Behravesh, C., </w:t>
      </w:r>
      <w:r w:rsidR="00E50ED2">
        <w:rPr>
          <w:rFonts w:eastAsia="Times New Roman"/>
          <w:sz w:val="24"/>
          <w:szCs w:val="24"/>
          <w:highlight w:val="white"/>
        </w:rPr>
        <w:t>(2022).</w:t>
      </w:r>
      <w:r w:rsidRPr="00AE3179">
        <w:rPr>
          <w:rFonts w:eastAsia="Times New Roman"/>
          <w:sz w:val="24"/>
          <w:szCs w:val="24"/>
          <w:highlight w:val="white"/>
        </w:rPr>
        <w:t xml:space="preserve"> A generalizable one health framework for the control of zoonotic diseases. </w:t>
      </w:r>
      <w:r w:rsidRPr="00AE3179">
        <w:rPr>
          <w:rFonts w:eastAsia="Times New Roman"/>
          <w:i/>
          <w:iCs/>
          <w:sz w:val="24"/>
          <w:szCs w:val="24"/>
        </w:rPr>
        <w:t>Scientific reports</w:t>
      </w:r>
      <w:r w:rsidRPr="00AE3179">
        <w:rPr>
          <w:rFonts w:eastAsia="Times New Roman"/>
          <w:sz w:val="24"/>
          <w:szCs w:val="24"/>
        </w:rPr>
        <w:t xml:space="preserve">, </w:t>
      </w:r>
      <w:r w:rsidRPr="00AE3179">
        <w:rPr>
          <w:rFonts w:eastAsia="Times New Roman"/>
          <w:i/>
          <w:iCs/>
          <w:sz w:val="24"/>
          <w:szCs w:val="24"/>
        </w:rPr>
        <w:t>12</w:t>
      </w:r>
      <w:r w:rsidRPr="00AE3179">
        <w:rPr>
          <w:rFonts w:eastAsia="Times New Roman"/>
          <w:sz w:val="24"/>
          <w:szCs w:val="24"/>
        </w:rPr>
        <w:t>(1), p.8588.</w:t>
      </w:r>
      <w:r w:rsidR="00B52CD8">
        <w:rPr>
          <w:rFonts w:eastAsia="Times New Roman"/>
          <w:sz w:val="24"/>
          <w:szCs w:val="24"/>
        </w:rPr>
        <w:t xml:space="preserve"> </w:t>
      </w:r>
      <w:hyperlink r:id="rId44" w:history="1">
        <w:r w:rsidR="00B52CD8" w:rsidRPr="008871FC">
          <w:rPr>
            <w:rStyle w:val="Hyperlink"/>
            <w:rFonts w:ascii="Segoe UI" w:hAnsi="Segoe UI" w:cs="Segoe UI"/>
            <w:shd w:val="clear" w:color="auto" w:fill="FFFFFF"/>
          </w:rPr>
          <w:t>https://doi.org/10.1038/s41598-022-12619-1</w:t>
        </w:r>
      </w:hyperlink>
      <w:r w:rsidR="00B52CD8">
        <w:rPr>
          <w:rFonts w:ascii="Segoe UI" w:hAnsi="Segoe UI" w:cs="Segoe UI"/>
          <w:color w:val="222222"/>
          <w:shd w:val="clear" w:color="auto" w:fill="FFFFFF"/>
        </w:rPr>
        <w:t xml:space="preserve"> </w:t>
      </w:r>
    </w:p>
    <w:p w14:paraId="52190F98" w14:textId="12A99EAC"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Gibson, J., Francetic, I., Spooner, S., Checkland, K. and Sutton, M., </w:t>
      </w:r>
      <w:r w:rsidR="00E50ED2">
        <w:rPr>
          <w:color w:val="222222"/>
          <w:sz w:val="24"/>
          <w:szCs w:val="24"/>
          <w:shd w:val="clear" w:color="auto" w:fill="FFFFFF"/>
        </w:rPr>
        <w:t>(2022).</w:t>
      </w:r>
      <w:r w:rsidRPr="00AE3179">
        <w:rPr>
          <w:color w:val="222222"/>
          <w:sz w:val="24"/>
          <w:szCs w:val="24"/>
          <w:shd w:val="clear" w:color="auto" w:fill="FFFFFF"/>
        </w:rPr>
        <w:t xml:space="preserve"> Primary care workforce composition and population, professional, and system outcomes: a retrospective cross-sectional analysis. </w:t>
      </w:r>
      <w:r w:rsidRPr="00AE3179">
        <w:rPr>
          <w:i/>
          <w:iCs/>
          <w:color w:val="222222"/>
          <w:sz w:val="24"/>
          <w:szCs w:val="24"/>
          <w:shd w:val="clear" w:color="auto" w:fill="FFFFFF"/>
        </w:rPr>
        <w:t>British Journal of General Practice</w:t>
      </w:r>
      <w:r w:rsidRPr="00AE3179">
        <w:rPr>
          <w:color w:val="222222"/>
          <w:sz w:val="24"/>
          <w:szCs w:val="24"/>
          <w:shd w:val="clear" w:color="auto" w:fill="FFFFFF"/>
        </w:rPr>
        <w:t>.</w:t>
      </w:r>
      <w:r w:rsidR="00554408">
        <w:rPr>
          <w:color w:val="222222"/>
          <w:sz w:val="24"/>
          <w:szCs w:val="24"/>
          <w:shd w:val="clear" w:color="auto" w:fill="FFFFFF"/>
        </w:rPr>
        <w:t xml:space="preserve"> </w:t>
      </w:r>
      <w:hyperlink r:id="rId45" w:history="1">
        <w:r w:rsidR="00554408" w:rsidRPr="008871FC">
          <w:rPr>
            <w:rStyle w:val="Hyperlink"/>
            <w:sz w:val="24"/>
            <w:szCs w:val="24"/>
            <w:shd w:val="clear" w:color="auto" w:fill="FFFFFF"/>
          </w:rPr>
          <w:t>https://doi.org/10.3399/BJGP.2021.0593</w:t>
        </w:r>
      </w:hyperlink>
      <w:r w:rsidR="00554408">
        <w:rPr>
          <w:color w:val="222222"/>
          <w:sz w:val="24"/>
          <w:szCs w:val="24"/>
          <w:shd w:val="clear" w:color="auto" w:fill="FFFFFF"/>
        </w:rPr>
        <w:t xml:space="preserve"> </w:t>
      </w:r>
    </w:p>
    <w:p w14:paraId="26782E22" w14:textId="6FCAB70C"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Grari, O., Ezrari, S., El Yandouzi, I., Benaissa, E., Lahlou, Y.B., Lahmer, M., Saddari, A., Elouennass, M. and Maleb, A., </w:t>
      </w:r>
      <w:r w:rsidR="00E50ED2">
        <w:rPr>
          <w:rFonts w:eastAsia="Times New Roman"/>
          <w:sz w:val="24"/>
          <w:szCs w:val="24"/>
          <w:highlight w:val="white"/>
        </w:rPr>
        <w:t>(2025).</w:t>
      </w:r>
      <w:r w:rsidRPr="00AE3179">
        <w:rPr>
          <w:rFonts w:eastAsia="Times New Roman"/>
          <w:sz w:val="24"/>
          <w:szCs w:val="24"/>
          <w:highlight w:val="white"/>
        </w:rPr>
        <w:t xml:space="preserve"> A comprehensive review on biofilm-associated infections: Mechanisms, diagnostic challenges, and innovative </w:t>
      </w:r>
      <w:r w:rsidRPr="00AE3179">
        <w:rPr>
          <w:rFonts w:eastAsia="Times New Roman"/>
          <w:sz w:val="24"/>
          <w:szCs w:val="24"/>
          <w:highlight w:val="white"/>
        </w:rPr>
        <w:lastRenderedPageBreak/>
        <w:t xml:space="preserve">therapeutic strategies. </w:t>
      </w:r>
      <w:r w:rsidRPr="00AE3179">
        <w:rPr>
          <w:rFonts w:eastAsia="Times New Roman"/>
          <w:i/>
          <w:iCs/>
          <w:sz w:val="24"/>
          <w:szCs w:val="24"/>
        </w:rPr>
        <w:t>The Microbe</w:t>
      </w:r>
      <w:r w:rsidRPr="00AE3179">
        <w:rPr>
          <w:rFonts w:eastAsia="Times New Roman"/>
          <w:sz w:val="24"/>
          <w:szCs w:val="24"/>
        </w:rPr>
        <w:t xml:space="preserve">, </w:t>
      </w:r>
      <w:r w:rsidRPr="00AE3179">
        <w:rPr>
          <w:rFonts w:eastAsia="Times New Roman"/>
          <w:i/>
          <w:iCs/>
          <w:sz w:val="24"/>
          <w:szCs w:val="24"/>
        </w:rPr>
        <w:t>8</w:t>
      </w:r>
      <w:r w:rsidRPr="00AE3179">
        <w:rPr>
          <w:rFonts w:eastAsia="Times New Roman"/>
          <w:sz w:val="24"/>
          <w:szCs w:val="24"/>
        </w:rPr>
        <w:t>, p.100436.</w:t>
      </w:r>
      <w:r w:rsidR="00474978">
        <w:rPr>
          <w:rFonts w:eastAsia="Times New Roman"/>
          <w:sz w:val="24"/>
          <w:szCs w:val="24"/>
        </w:rPr>
        <w:t xml:space="preserve"> </w:t>
      </w:r>
      <w:hyperlink r:id="rId46" w:history="1">
        <w:r w:rsidR="00474978" w:rsidRPr="008871FC">
          <w:rPr>
            <w:rStyle w:val="Hyperlink"/>
            <w:rFonts w:eastAsia="Times New Roman"/>
            <w:sz w:val="24"/>
            <w:szCs w:val="24"/>
          </w:rPr>
          <w:t>https://doi.org/10.1016/j.microb.2025.100436</w:t>
        </w:r>
      </w:hyperlink>
      <w:r w:rsidR="00474978">
        <w:rPr>
          <w:rFonts w:eastAsia="Times New Roman"/>
          <w:sz w:val="24"/>
          <w:szCs w:val="24"/>
        </w:rPr>
        <w:t xml:space="preserve"> </w:t>
      </w:r>
    </w:p>
    <w:p w14:paraId="6B8EA81D" w14:textId="70DCEE44"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Guest, J.F., Fuller, G.W. and Griffiths, B., </w:t>
      </w:r>
      <w:r w:rsidR="00E50ED2">
        <w:rPr>
          <w:color w:val="222222"/>
          <w:sz w:val="24"/>
          <w:szCs w:val="24"/>
          <w:shd w:val="clear" w:color="auto" w:fill="FFFFFF"/>
        </w:rPr>
        <w:t>(2023).</w:t>
      </w:r>
      <w:r w:rsidRPr="00AE3179">
        <w:rPr>
          <w:color w:val="222222"/>
          <w:sz w:val="24"/>
          <w:szCs w:val="24"/>
          <w:shd w:val="clear" w:color="auto" w:fill="FFFFFF"/>
        </w:rPr>
        <w:t xml:space="preserve"> Cohort study to characterise surgical site infections after open surgery in the UK’s National Health Service. </w:t>
      </w:r>
      <w:r w:rsidRPr="00AE3179">
        <w:rPr>
          <w:i/>
          <w:iCs/>
          <w:color w:val="222222"/>
          <w:sz w:val="24"/>
          <w:szCs w:val="24"/>
          <w:shd w:val="clear" w:color="auto" w:fill="FFFFFF"/>
        </w:rPr>
        <w:t>BMJ open</w:t>
      </w:r>
      <w:r w:rsidRPr="00AE3179">
        <w:rPr>
          <w:color w:val="222222"/>
          <w:sz w:val="24"/>
          <w:szCs w:val="24"/>
          <w:shd w:val="clear" w:color="auto" w:fill="FFFFFF"/>
        </w:rPr>
        <w:t>, </w:t>
      </w:r>
      <w:r w:rsidRPr="00AE3179">
        <w:rPr>
          <w:i/>
          <w:iCs/>
          <w:color w:val="222222"/>
          <w:sz w:val="24"/>
          <w:szCs w:val="24"/>
          <w:shd w:val="clear" w:color="auto" w:fill="FFFFFF"/>
        </w:rPr>
        <w:t>13</w:t>
      </w:r>
      <w:r w:rsidRPr="00AE3179">
        <w:rPr>
          <w:color w:val="222222"/>
          <w:sz w:val="24"/>
          <w:szCs w:val="24"/>
          <w:shd w:val="clear" w:color="auto" w:fill="FFFFFF"/>
        </w:rPr>
        <w:t>(12), p.e076735.</w:t>
      </w:r>
      <w:r w:rsidR="00051820">
        <w:rPr>
          <w:color w:val="222222"/>
          <w:sz w:val="24"/>
          <w:szCs w:val="24"/>
          <w:shd w:val="clear" w:color="auto" w:fill="FFFFFF"/>
        </w:rPr>
        <w:t xml:space="preserve"> </w:t>
      </w:r>
      <w:r w:rsidR="00051820">
        <w:t xml:space="preserve">doi:10.1136/ bmjopen-2023-076735 </w:t>
      </w:r>
    </w:p>
    <w:p w14:paraId="5AD4519A" w14:textId="061D2C4C"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Haque, M., Islam, S., Sheikh, M.A., Dhingra, S., Uwambaye, P., Labricciosa, F.M., Iskandar, K., Charan, J., Abukabda, A.B. and Jahan, D., </w:t>
      </w:r>
      <w:r w:rsidR="00E50ED2">
        <w:rPr>
          <w:sz w:val="24"/>
          <w:szCs w:val="24"/>
          <w:highlight w:val="white"/>
        </w:rPr>
        <w:t>(2021).</w:t>
      </w:r>
      <w:r w:rsidRPr="00AE3179">
        <w:rPr>
          <w:sz w:val="24"/>
          <w:szCs w:val="24"/>
          <w:highlight w:val="white"/>
        </w:rPr>
        <w:t xml:space="preserve"> Quorum sensing: a new prospect for the management of antimicrobial-resistant infectious diseases. </w:t>
      </w:r>
      <w:r w:rsidRPr="00AE3179">
        <w:rPr>
          <w:i/>
          <w:iCs/>
          <w:sz w:val="24"/>
          <w:szCs w:val="24"/>
          <w:highlight w:val="white"/>
        </w:rPr>
        <w:t>Expert review of anti-infective therapy</w:t>
      </w:r>
      <w:r w:rsidRPr="00AE3179">
        <w:rPr>
          <w:sz w:val="24"/>
          <w:szCs w:val="24"/>
          <w:highlight w:val="white"/>
        </w:rPr>
        <w:t xml:space="preserve">, </w:t>
      </w:r>
      <w:r w:rsidRPr="00AE3179">
        <w:rPr>
          <w:i/>
          <w:iCs/>
          <w:sz w:val="24"/>
          <w:szCs w:val="24"/>
          <w:highlight w:val="white"/>
        </w:rPr>
        <w:t>19</w:t>
      </w:r>
      <w:r w:rsidRPr="00AE3179">
        <w:rPr>
          <w:sz w:val="24"/>
          <w:szCs w:val="24"/>
          <w:highlight w:val="white"/>
        </w:rPr>
        <w:t>(5), pp.571-586.</w:t>
      </w:r>
      <w:r w:rsidR="00DB68C2">
        <w:rPr>
          <w:sz w:val="24"/>
          <w:szCs w:val="24"/>
          <w:highlight w:val="white"/>
        </w:rPr>
        <w:t xml:space="preserve"> </w:t>
      </w:r>
      <w:hyperlink r:id="rId47" w:history="1">
        <w:r w:rsidR="00DB68C2" w:rsidRPr="008871FC">
          <w:rPr>
            <w:rStyle w:val="Hyperlink"/>
            <w:sz w:val="24"/>
            <w:szCs w:val="24"/>
          </w:rPr>
          <w:t>https://doi.org/10.1080/14787210.2021.1843427</w:t>
        </w:r>
      </w:hyperlink>
      <w:r w:rsidR="00DB68C2">
        <w:rPr>
          <w:sz w:val="24"/>
          <w:szCs w:val="24"/>
        </w:rPr>
        <w:t xml:space="preserve"> </w:t>
      </w:r>
    </w:p>
    <w:p w14:paraId="1E4B5E88" w14:textId="6EED8D74"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Hibbert, T.M., Whiteley, M., Renshaw, S.A., Neill, D.R. and Fothergill, J.L., </w:t>
      </w:r>
      <w:r w:rsidR="00E50ED2">
        <w:rPr>
          <w:rFonts w:eastAsia="Times New Roman"/>
          <w:color w:val="222222"/>
          <w:sz w:val="24"/>
          <w:szCs w:val="24"/>
          <w:shd w:val="clear" w:color="auto" w:fill="FFFFFF"/>
          <w:lang w:val="en-IN"/>
        </w:rPr>
        <w:t>(2024).</w:t>
      </w:r>
      <w:r w:rsidRPr="00AE3179">
        <w:rPr>
          <w:rFonts w:eastAsia="Times New Roman"/>
          <w:color w:val="222222"/>
          <w:sz w:val="24"/>
          <w:szCs w:val="24"/>
          <w:shd w:val="clear" w:color="auto" w:fill="FFFFFF"/>
          <w:lang w:val="en-IN"/>
        </w:rPr>
        <w:t xml:space="preserve"> Emerging strategies to target virulence in Pseudomonas aeruginosa respiratory infections. </w:t>
      </w:r>
      <w:r w:rsidRPr="00AE3179">
        <w:rPr>
          <w:rFonts w:eastAsia="Times New Roman"/>
          <w:i/>
          <w:iCs/>
          <w:color w:val="222222"/>
          <w:sz w:val="24"/>
          <w:szCs w:val="24"/>
          <w:shd w:val="clear" w:color="auto" w:fill="FFFFFF"/>
          <w:lang w:val="en-IN"/>
        </w:rPr>
        <w:t>Critical reviews in microbiology</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50</w:t>
      </w:r>
      <w:r w:rsidRPr="00AE3179">
        <w:rPr>
          <w:rFonts w:eastAsia="Times New Roman"/>
          <w:color w:val="222222"/>
          <w:sz w:val="24"/>
          <w:szCs w:val="24"/>
          <w:shd w:val="clear" w:color="auto" w:fill="FFFFFF"/>
          <w:lang w:val="en-IN"/>
        </w:rPr>
        <w:t>(6), pp.1037-1052.</w:t>
      </w:r>
      <w:r w:rsidR="00DB3618">
        <w:rPr>
          <w:rFonts w:eastAsia="Times New Roman"/>
          <w:color w:val="222222"/>
          <w:sz w:val="24"/>
          <w:szCs w:val="24"/>
          <w:shd w:val="clear" w:color="auto" w:fill="FFFFFF"/>
          <w:lang w:val="en-IN"/>
        </w:rPr>
        <w:t xml:space="preserve"> </w:t>
      </w:r>
      <w:hyperlink r:id="rId48" w:history="1">
        <w:r w:rsidR="00DB3618" w:rsidRPr="008871FC">
          <w:rPr>
            <w:rStyle w:val="Hyperlink"/>
            <w:rFonts w:eastAsia="Times New Roman"/>
            <w:sz w:val="24"/>
            <w:szCs w:val="24"/>
            <w:shd w:val="clear" w:color="auto" w:fill="FFFFFF"/>
            <w:lang w:val="en-IN"/>
          </w:rPr>
          <w:t>https://doi.org/10.1080/1040841X.2023.2285995</w:t>
        </w:r>
      </w:hyperlink>
      <w:r w:rsidR="00DB3618">
        <w:rPr>
          <w:rFonts w:eastAsia="Times New Roman"/>
          <w:color w:val="222222"/>
          <w:sz w:val="24"/>
          <w:szCs w:val="24"/>
          <w:shd w:val="clear" w:color="auto" w:fill="FFFFFF"/>
          <w:lang w:val="en-IN"/>
        </w:rPr>
        <w:t xml:space="preserve"> </w:t>
      </w:r>
    </w:p>
    <w:p w14:paraId="4C765C3A" w14:textId="22C24D6A"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Ho, C.S., Wong, C.T., Aung, T.T., Lakshminarayanan, R., Mehta, J.S., Rauz, S., McNally, A., Kintses, B., Peacock, S.J., de la Fuente-Nunez, C. and Hancock, R.E., </w:t>
      </w:r>
      <w:r w:rsidR="00E50ED2">
        <w:rPr>
          <w:rFonts w:eastAsia="Times New Roman"/>
          <w:sz w:val="24"/>
          <w:szCs w:val="24"/>
          <w:highlight w:val="white"/>
        </w:rPr>
        <w:t>(2025).</w:t>
      </w:r>
      <w:r w:rsidRPr="00AE3179">
        <w:rPr>
          <w:rFonts w:eastAsia="Times New Roman"/>
          <w:sz w:val="24"/>
          <w:szCs w:val="24"/>
          <w:highlight w:val="white"/>
        </w:rPr>
        <w:t xml:space="preserve"> Antimicrobial resistance: a concise update. </w:t>
      </w:r>
      <w:r w:rsidRPr="00AE3179">
        <w:rPr>
          <w:rFonts w:eastAsia="Times New Roman"/>
          <w:i/>
          <w:iCs/>
          <w:sz w:val="24"/>
          <w:szCs w:val="24"/>
        </w:rPr>
        <w:t>The Lancet Microbe</w:t>
      </w:r>
      <w:r w:rsidRPr="00AE3179">
        <w:rPr>
          <w:rFonts w:eastAsia="Times New Roman"/>
          <w:sz w:val="24"/>
          <w:szCs w:val="24"/>
        </w:rPr>
        <w:t xml:space="preserve">, </w:t>
      </w:r>
      <w:r w:rsidRPr="00AE3179">
        <w:rPr>
          <w:rFonts w:eastAsia="Times New Roman"/>
          <w:i/>
          <w:iCs/>
          <w:sz w:val="24"/>
          <w:szCs w:val="24"/>
        </w:rPr>
        <w:t>6</w:t>
      </w:r>
      <w:r w:rsidRPr="00AE3179">
        <w:rPr>
          <w:rFonts w:eastAsia="Times New Roman"/>
          <w:sz w:val="24"/>
          <w:szCs w:val="24"/>
        </w:rPr>
        <w:t>(1).</w:t>
      </w:r>
      <w:r w:rsidR="00C93C2F">
        <w:rPr>
          <w:rFonts w:eastAsia="Times New Roman"/>
          <w:sz w:val="24"/>
          <w:szCs w:val="24"/>
        </w:rPr>
        <w:t xml:space="preserve"> </w:t>
      </w:r>
      <w:hyperlink r:id="rId49" w:history="1">
        <w:r w:rsidR="00C93C2F" w:rsidRPr="008871FC">
          <w:rPr>
            <w:rStyle w:val="Hyperlink"/>
            <w:rFonts w:eastAsia="Times New Roman"/>
            <w:sz w:val="24"/>
            <w:szCs w:val="24"/>
          </w:rPr>
          <w:t>https://doi.org/10.1016/j.lanmic.2024.07.010</w:t>
        </w:r>
      </w:hyperlink>
      <w:r w:rsidR="00C93C2F">
        <w:rPr>
          <w:rFonts w:eastAsia="Times New Roman"/>
          <w:sz w:val="24"/>
          <w:szCs w:val="24"/>
        </w:rPr>
        <w:t xml:space="preserve"> </w:t>
      </w:r>
    </w:p>
    <w:p w14:paraId="73BCE838" w14:textId="63C394DF" w:rsidR="00FD3D71" w:rsidRPr="00AE3179" w:rsidRDefault="00FD3D71" w:rsidP="00AE3179">
      <w:pPr>
        <w:pStyle w:val="ListParagraph"/>
        <w:numPr>
          <w:ilvl w:val="0"/>
          <w:numId w:val="8"/>
        </w:numPr>
        <w:spacing w:line="360" w:lineRule="auto"/>
        <w:jc w:val="both"/>
        <w:rPr>
          <w:sz w:val="24"/>
          <w:szCs w:val="24"/>
        </w:rPr>
      </w:pPr>
      <w:r w:rsidRPr="00AE3179">
        <w:rPr>
          <w:color w:val="222222"/>
          <w:sz w:val="24"/>
          <w:szCs w:val="24"/>
          <w:shd w:val="clear" w:color="auto" w:fill="FFFFFF"/>
        </w:rPr>
        <w:t xml:space="preserve">Hodge, P., </w:t>
      </w:r>
      <w:r w:rsidR="00E50ED2">
        <w:rPr>
          <w:color w:val="222222"/>
          <w:sz w:val="24"/>
          <w:szCs w:val="24"/>
          <w:shd w:val="clear" w:color="auto" w:fill="FFFFFF"/>
        </w:rPr>
        <w:t>(2022).</w:t>
      </w:r>
      <w:r w:rsidRPr="00AE3179">
        <w:rPr>
          <w:color w:val="222222"/>
          <w:sz w:val="24"/>
          <w:szCs w:val="24"/>
          <w:shd w:val="clear" w:color="auto" w:fill="FFFFFF"/>
        </w:rPr>
        <w:t xml:space="preserve"> Social care settings. </w:t>
      </w:r>
      <w:r w:rsidRPr="00AE3179">
        <w:rPr>
          <w:i/>
          <w:iCs/>
          <w:color w:val="222222"/>
          <w:sz w:val="24"/>
          <w:szCs w:val="24"/>
          <w:shd w:val="clear" w:color="auto" w:fill="FFFFFF"/>
        </w:rPr>
        <w:t>PRACTICE-BASED LEARNING</w:t>
      </w:r>
      <w:r w:rsidRPr="00AE3179">
        <w:rPr>
          <w:color w:val="222222"/>
          <w:sz w:val="24"/>
          <w:szCs w:val="24"/>
          <w:shd w:val="clear" w:color="auto" w:fill="FFFFFF"/>
        </w:rPr>
        <w:t>, p.48.</w:t>
      </w:r>
      <w:r w:rsidR="00DB190B">
        <w:rPr>
          <w:color w:val="222222"/>
          <w:sz w:val="24"/>
          <w:szCs w:val="24"/>
          <w:shd w:val="clear" w:color="auto" w:fill="FFFFFF"/>
        </w:rPr>
        <w:t xml:space="preserve"> </w:t>
      </w:r>
      <w:hyperlink r:id="rId50" w:anchor="page=61" w:history="1">
        <w:r w:rsidR="00DB190B" w:rsidRPr="008871FC">
          <w:rPr>
            <w:rStyle w:val="Hyperlink"/>
            <w:sz w:val="24"/>
            <w:szCs w:val="24"/>
            <w:shd w:val="clear" w:color="auto" w:fill="FFFFFF"/>
          </w:rPr>
          <w:t>https://www.torrossa.com/en/resources/an/5282243#page=61</w:t>
        </w:r>
      </w:hyperlink>
      <w:r w:rsidR="00DB190B">
        <w:rPr>
          <w:color w:val="222222"/>
          <w:sz w:val="24"/>
          <w:szCs w:val="24"/>
          <w:shd w:val="clear" w:color="auto" w:fill="FFFFFF"/>
        </w:rPr>
        <w:t xml:space="preserve"> </w:t>
      </w:r>
    </w:p>
    <w:p w14:paraId="3125B3AA" w14:textId="7E043A74"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Hussain, R., Stenhouse, G., Ismail Ahmed, A., Dallman, T.J., Nair, S., Bird, M., Berger, D., Batisti Biffignandi, G., Baker, K.S., Godbole, G. and Chattaway, M.A., </w:t>
      </w:r>
      <w:r w:rsidR="00E50ED2">
        <w:rPr>
          <w:sz w:val="24"/>
          <w:szCs w:val="24"/>
          <w:shd w:val="clear" w:color="auto" w:fill="FFFFFF"/>
        </w:rPr>
        <w:t>(2025).</w:t>
      </w:r>
      <w:r w:rsidRPr="00AE3179">
        <w:rPr>
          <w:sz w:val="24"/>
          <w:szCs w:val="24"/>
          <w:shd w:val="clear" w:color="auto" w:fill="FFFFFF"/>
        </w:rPr>
        <w:t xml:space="preserve"> Heterogeneous Salmonella typhi transmission within a household: genomic insights from a chronic carrier. </w:t>
      </w:r>
      <w:r w:rsidRPr="00AE3179">
        <w:rPr>
          <w:i/>
          <w:iCs/>
          <w:sz w:val="24"/>
          <w:szCs w:val="24"/>
          <w:shd w:val="clear" w:color="auto" w:fill="FFFFFF"/>
        </w:rPr>
        <w:t>Journal of Medical Microbiology</w:t>
      </w:r>
      <w:r w:rsidRPr="00AE3179">
        <w:rPr>
          <w:sz w:val="24"/>
          <w:szCs w:val="24"/>
          <w:shd w:val="clear" w:color="auto" w:fill="FFFFFF"/>
        </w:rPr>
        <w:t>, </w:t>
      </w:r>
      <w:r w:rsidRPr="00AE3179">
        <w:rPr>
          <w:i/>
          <w:iCs/>
          <w:sz w:val="24"/>
          <w:szCs w:val="24"/>
          <w:shd w:val="clear" w:color="auto" w:fill="FFFFFF"/>
        </w:rPr>
        <w:t>74</w:t>
      </w:r>
      <w:r w:rsidRPr="00AE3179">
        <w:rPr>
          <w:sz w:val="24"/>
          <w:szCs w:val="24"/>
          <w:shd w:val="clear" w:color="auto" w:fill="FFFFFF"/>
        </w:rPr>
        <w:t>(9), p.002070.</w:t>
      </w:r>
      <w:r w:rsidR="00DB190B">
        <w:rPr>
          <w:sz w:val="24"/>
          <w:szCs w:val="24"/>
          <w:shd w:val="clear" w:color="auto" w:fill="FFFFFF"/>
        </w:rPr>
        <w:t xml:space="preserve"> </w:t>
      </w:r>
      <w:hyperlink r:id="rId51" w:history="1">
        <w:r w:rsidR="00DB190B" w:rsidRPr="008871FC">
          <w:rPr>
            <w:rStyle w:val="Hyperlink"/>
            <w:sz w:val="24"/>
            <w:szCs w:val="24"/>
            <w:shd w:val="clear" w:color="auto" w:fill="FFFFFF"/>
          </w:rPr>
          <w:t>https://doi.org/10.1099/jmm.0.002070</w:t>
        </w:r>
      </w:hyperlink>
      <w:r w:rsidR="00DB190B">
        <w:rPr>
          <w:sz w:val="24"/>
          <w:szCs w:val="24"/>
          <w:shd w:val="clear" w:color="auto" w:fill="FFFFFF"/>
        </w:rPr>
        <w:t xml:space="preserve"> </w:t>
      </w:r>
    </w:p>
    <w:p w14:paraId="0E6A5C66" w14:textId="154BE5D0"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Jacobowski, A.C., Boleti, A.P.A., Cruz, M.V., Santos, K.F.D.P., de Andrade, L.R.M., Frihling, B.E.F., Migliolo, L., Paiva, P.M.G., Teodoro, P.E., Teodoro, L.P.R. and Macedo, M.L.R., </w:t>
      </w:r>
      <w:r w:rsidR="00E50ED2">
        <w:rPr>
          <w:sz w:val="24"/>
          <w:szCs w:val="24"/>
          <w:highlight w:val="white"/>
        </w:rPr>
        <w:t>(2025).</w:t>
      </w:r>
      <w:r w:rsidRPr="00AE3179">
        <w:rPr>
          <w:sz w:val="24"/>
          <w:szCs w:val="24"/>
          <w:highlight w:val="white"/>
        </w:rPr>
        <w:t xml:space="preserve"> Combating Antimicrobial Resistance: Innovative Strategies Using Peptides, Nanotechnology, Phages, Quorum Sensing Interference, and CRISPR-Cas Systems. </w:t>
      </w:r>
      <w:r w:rsidRPr="00AE3179">
        <w:rPr>
          <w:i/>
          <w:iCs/>
          <w:sz w:val="24"/>
          <w:szCs w:val="24"/>
          <w:highlight w:val="white"/>
        </w:rPr>
        <w:t>Pharmaceuticals</w:t>
      </w:r>
      <w:r w:rsidRPr="00AE3179">
        <w:rPr>
          <w:sz w:val="24"/>
          <w:szCs w:val="24"/>
          <w:highlight w:val="white"/>
        </w:rPr>
        <w:t xml:space="preserve">, </w:t>
      </w:r>
      <w:r w:rsidRPr="00AE3179">
        <w:rPr>
          <w:i/>
          <w:iCs/>
          <w:sz w:val="24"/>
          <w:szCs w:val="24"/>
          <w:highlight w:val="white"/>
        </w:rPr>
        <w:t>18</w:t>
      </w:r>
      <w:r w:rsidRPr="00AE3179">
        <w:rPr>
          <w:sz w:val="24"/>
          <w:szCs w:val="24"/>
          <w:highlight w:val="white"/>
        </w:rPr>
        <w:t>(8), p.1119.</w:t>
      </w:r>
      <w:r w:rsidR="00DB190B">
        <w:rPr>
          <w:sz w:val="24"/>
          <w:szCs w:val="24"/>
          <w:highlight w:val="white"/>
        </w:rPr>
        <w:t xml:space="preserve"> </w:t>
      </w:r>
      <w:hyperlink r:id="rId52" w:history="1">
        <w:r w:rsidR="00DB190B" w:rsidRPr="008871FC">
          <w:rPr>
            <w:rStyle w:val="Hyperlink"/>
            <w:sz w:val="24"/>
            <w:szCs w:val="24"/>
          </w:rPr>
          <w:t>https://doi.org/10.3390/ph18081119</w:t>
        </w:r>
      </w:hyperlink>
      <w:r w:rsidR="00DB190B">
        <w:rPr>
          <w:sz w:val="24"/>
          <w:szCs w:val="24"/>
        </w:rPr>
        <w:t xml:space="preserve"> </w:t>
      </w:r>
    </w:p>
    <w:p w14:paraId="21676E27" w14:textId="27420600"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rPr>
        <w:lastRenderedPageBreak/>
        <w:t xml:space="preserve">Jadhav, V., Pardeshi, S., More, B., Merugu, R. and Mayegowda, S.B., </w:t>
      </w:r>
      <w:r w:rsidR="00E50ED2">
        <w:rPr>
          <w:rFonts w:eastAsia="Times New Roman"/>
          <w:sz w:val="24"/>
          <w:szCs w:val="24"/>
        </w:rPr>
        <w:t>(2026).</w:t>
      </w:r>
      <w:r w:rsidRPr="00AE3179">
        <w:rPr>
          <w:rFonts w:eastAsia="Times New Roman"/>
          <w:sz w:val="24"/>
          <w:szCs w:val="24"/>
        </w:rPr>
        <w:t xml:space="preserve"> Quorum quenching for biocontrol of plant diseases. In Harnessing quorum quenching for disease management (pp. 201-224). Academic Press.</w:t>
      </w:r>
      <w:r w:rsidR="00DB190B">
        <w:rPr>
          <w:rFonts w:eastAsia="Times New Roman"/>
          <w:sz w:val="24"/>
          <w:szCs w:val="24"/>
        </w:rPr>
        <w:t xml:space="preserve"> </w:t>
      </w:r>
      <w:hyperlink r:id="rId53" w:history="1">
        <w:r w:rsidR="00DB190B" w:rsidRPr="008871FC">
          <w:rPr>
            <w:rStyle w:val="Hyperlink"/>
            <w:rFonts w:eastAsia="Times New Roman"/>
            <w:sz w:val="24"/>
            <w:szCs w:val="24"/>
          </w:rPr>
          <w:t>https://doi.org/10.1016/B978-0-443-34178-6.00007-5</w:t>
        </w:r>
      </w:hyperlink>
      <w:r w:rsidR="00DB190B">
        <w:rPr>
          <w:rFonts w:eastAsia="Times New Roman"/>
          <w:sz w:val="24"/>
          <w:szCs w:val="24"/>
        </w:rPr>
        <w:t xml:space="preserve"> </w:t>
      </w:r>
    </w:p>
    <w:p w14:paraId="17F99162" w14:textId="693E1F41"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Johnson, E. and Sylvia, M.L., </w:t>
      </w:r>
      <w:r w:rsidR="00E50ED2">
        <w:rPr>
          <w:sz w:val="24"/>
          <w:szCs w:val="24"/>
          <w:highlight w:val="white"/>
        </w:rPr>
        <w:t>(2023).</w:t>
      </w:r>
      <w:r w:rsidRPr="00AE3179">
        <w:rPr>
          <w:sz w:val="24"/>
          <w:szCs w:val="24"/>
          <w:highlight w:val="white"/>
        </w:rPr>
        <w:t xml:space="preserve"> Secondary data collection. </w:t>
      </w:r>
      <w:r w:rsidRPr="00AE3179">
        <w:rPr>
          <w:i/>
          <w:iCs/>
          <w:sz w:val="24"/>
          <w:szCs w:val="24"/>
          <w:highlight w:val="white"/>
        </w:rPr>
        <w:t>Clinical Analytics and Data Management for the DNP,</w:t>
      </w:r>
      <w:r w:rsidRPr="00AE3179">
        <w:rPr>
          <w:sz w:val="24"/>
          <w:szCs w:val="24"/>
          <w:highlight w:val="white"/>
        </w:rPr>
        <w:t>, pp.41-69.</w:t>
      </w:r>
      <w:r w:rsidR="00DB190B">
        <w:rPr>
          <w:sz w:val="24"/>
          <w:szCs w:val="24"/>
          <w:highlight w:val="white"/>
        </w:rPr>
        <w:t xml:space="preserve"> </w:t>
      </w:r>
      <w:hyperlink r:id="rId54" w:history="1">
        <w:r w:rsidR="00DB190B" w:rsidRPr="008871FC">
          <w:rPr>
            <w:rStyle w:val="Hyperlink"/>
            <w:sz w:val="24"/>
            <w:szCs w:val="24"/>
          </w:rPr>
          <w:t>https://doi.org/10.1891/9780826129741</w:t>
        </w:r>
      </w:hyperlink>
      <w:r w:rsidR="00DB190B">
        <w:rPr>
          <w:sz w:val="24"/>
          <w:szCs w:val="24"/>
        </w:rPr>
        <w:t xml:space="preserve"> </w:t>
      </w:r>
    </w:p>
    <w:p w14:paraId="5C4B0D74" w14:textId="427932C0"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Jones, O.T., Matin, R.N., Van der Schaar, M., Bhayankaram, K.P., Ranmuthu, C.K.I., Islam, M.S., Behiyat, D., Boscott, R., Calanzani, N., Emery, J. and Williams, H.C., </w:t>
      </w:r>
      <w:r w:rsidR="00E50ED2">
        <w:rPr>
          <w:color w:val="222222"/>
          <w:sz w:val="24"/>
          <w:szCs w:val="24"/>
          <w:shd w:val="clear" w:color="auto" w:fill="FFFFFF"/>
        </w:rPr>
        <w:t>(2022).</w:t>
      </w:r>
      <w:r w:rsidRPr="00AE3179">
        <w:rPr>
          <w:color w:val="222222"/>
          <w:sz w:val="24"/>
          <w:szCs w:val="24"/>
          <w:shd w:val="clear" w:color="auto" w:fill="FFFFFF"/>
        </w:rPr>
        <w:t xml:space="preserve"> Artificial intelligence and machine learning algorithms for early detection of skin cancer in community and primary care settings: a systematic review. </w:t>
      </w:r>
      <w:r w:rsidRPr="00AE3179">
        <w:rPr>
          <w:i/>
          <w:iCs/>
          <w:color w:val="222222"/>
          <w:sz w:val="24"/>
          <w:szCs w:val="24"/>
          <w:shd w:val="clear" w:color="auto" w:fill="FFFFFF"/>
        </w:rPr>
        <w:t>The Lancet Digital Health</w:t>
      </w:r>
      <w:r w:rsidRPr="00AE3179">
        <w:rPr>
          <w:color w:val="222222"/>
          <w:sz w:val="24"/>
          <w:szCs w:val="24"/>
          <w:shd w:val="clear" w:color="auto" w:fill="FFFFFF"/>
        </w:rPr>
        <w:t>, </w:t>
      </w:r>
      <w:r w:rsidRPr="00AE3179">
        <w:rPr>
          <w:i/>
          <w:iCs/>
          <w:color w:val="222222"/>
          <w:sz w:val="24"/>
          <w:szCs w:val="24"/>
          <w:shd w:val="clear" w:color="auto" w:fill="FFFFFF"/>
        </w:rPr>
        <w:t>4</w:t>
      </w:r>
      <w:r w:rsidRPr="00AE3179">
        <w:rPr>
          <w:color w:val="222222"/>
          <w:sz w:val="24"/>
          <w:szCs w:val="24"/>
          <w:shd w:val="clear" w:color="auto" w:fill="FFFFFF"/>
        </w:rPr>
        <w:t>(6), pp.e466-e476.</w:t>
      </w:r>
      <w:r w:rsidR="00DB190B">
        <w:rPr>
          <w:color w:val="222222"/>
          <w:sz w:val="24"/>
          <w:szCs w:val="24"/>
          <w:shd w:val="clear" w:color="auto" w:fill="FFFFFF"/>
        </w:rPr>
        <w:t xml:space="preserve"> </w:t>
      </w:r>
      <w:hyperlink r:id="rId55" w:history="1">
        <w:r w:rsidR="00DB190B" w:rsidRPr="008871FC">
          <w:rPr>
            <w:rStyle w:val="Hyperlink"/>
            <w:sz w:val="24"/>
            <w:szCs w:val="24"/>
            <w:shd w:val="clear" w:color="auto" w:fill="FFFFFF"/>
          </w:rPr>
          <w:t>https://www.thelancet.com/action/showPdf?pii=S2589-7500%2822%2900023-1</w:t>
        </w:r>
      </w:hyperlink>
      <w:r w:rsidR="00DB190B">
        <w:rPr>
          <w:color w:val="222222"/>
          <w:sz w:val="24"/>
          <w:szCs w:val="24"/>
          <w:shd w:val="clear" w:color="auto" w:fill="FFFFFF"/>
        </w:rPr>
        <w:t xml:space="preserve"> </w:t>
      </w:r>
    </w:p>
    <w:p w14:paraId="46500577" w14:textId="147E83AE"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Jose, A., Gizdavic-Nikolaidis, M. and Swift, S., </w:t>
      </w:r>
      <w:r w:rsidR="00E50ED2">
        <w:rPr>
          <w:sz w:val="24"/>
          <w:szCs w:val="24"/>
          <w:shd w:val="clear" w:color="auto" w:fill="FFFFFF"/>
        </w:rPr>
        <w:t>(2023).</w:t>
      </w:r>
      <w:r w:rsidRPr="00AE3179">
        <w:rPr>
          <w:sz w:val="24"/>
          <w:szCs w:val="24"/>
          <w:shd w:val="clear" w:color="auto" w:fill="FFFFFF"/>
        </w:rPr>
        <w:t xml:space="preserve"> Antimicrobial coatings: reviewing options for healthcare applications. </w:t>
      </w:r>
      <w:r w:rsidRPr="00AE3179">
        <w:rPr>
          <w:i/>
          <w:iCs/>
          <w:sz w:val="24"/>
          <w:szCs w:val="24"/>
          <w:shd w:val="clear" w:color="auto" w:fill="FFFFFF"/>
        </w:rPr>
        <w:t>Applied Microbiology</w:t>
      </w:r>
      <w:r w:rsidRPr="00AE3179">
        <w:rPr>
          <w:sz w:val="24"/>
          <w:szCs w:val="24"/>
          <w:shd w:val="clear" w:color="auto" w:fill="FFFFFF"/>
        </w:rPr>
        <w:t>, </w:t>
      </w:r>
      <w:r w:rsidRPr="00AE3179">
        <w:rPr>
          <w:i/>
          <w:iCs/>
          <w:sz w:val="24"/>
          <w:szCs w:val="24"/>
          <w:shd w:val="clear" w:color="auto" w:fill="FFFFFF"/>
        </w:rPr>
        <w:t>3</w:t>
      </w:r>
      <w:r w:rsidRPr="00AE3179">
        <w:rPr>
          <w:sz w:val="24"/>
          <w:szCs w:val="24"/>
          <w:shd w:val="clear" w:color="auto" w:fill="FFFFFF"/>
        </w:rPr>
        <w:t>(1), pp.145-174.</w:t>
      </w:r>
      <w:r w:rsidR="00DB190B">
        <w:rPr>
          <w:sz w:val="24"/>
          <w:szCs w:val="24"/>
          <w:shd w:val="clear" w:color="auto" w:fill="FFFFFF"/>
        </w:rPr>
        <w:t xml:space="preserve"> </w:t>
      </w:r>
      <w:hyperlink r:id="rId56" w:history="1">
        <w:r w:rsidR="00DB190B" w:rsidRPr="008871FC">
          <w:rPr>
            <w:rStyle w:val="Hyperlink"/>
            <w:sz w:val="24"/>
            <w:szCs w:val="24"/>
            <w:shd w:val="clear" w:color="auto" w:fill="FFFFFF"/>
          </w:rPr>
          <w:t>https://doi.org/10.3390/applmicrobiol3010012</w:t>
        </w:r>
      </w:hyperlink>
      <w:r w:rsidR="00DB190B">
        <w:rPr>
          <w:sz w:val="24"/>
          <w:szCs w:val="24"/>
          <w:shd w:val="clear" w:color="auto" w:fill="FFFFFF"/>
        </w:rPr>
        <w:t xml:space="preserve"> </w:t>
      </w:r>
    </w:p>
    <w:p w14:paraId="06EE7668" w14:textId="274F768D"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rPr>
        <w:t xml:space="preserve">Juszczuk-Kubiak, E., </w:t>
      </w:r>
      <w:r w:rsidR="00E50ED2">
        <w:rPr>
          <w:rFonts w:eastAsia="Times New Roman"/>
          <w:sz w:val="24"/>
          <w:szCs w:val="24"/>
        </w:rPr>
        <w:t>(2024).</w:t>
      </w:r>
      <w:r w:rsidRPr="00AE3179">
        <w:rPr>
          <w:rFonts w:eastAsia="Times New Roman"/>
          <w:sz w:val="24"/>
          <w:szCs w:val="24"/>
        </w:rPr>
        <w:t xml:space="preserve"> Molecular aspects of the functioning of pathogenic bacteria biofilm based on quorum sensing (QS) signal-response system and innovative non-antibiotic strategies for their elimination. International Journal of Molecular Sciences, 25(5), p.2655.</w:t>
      </w:r>
      <w:r w:rsidR="00DB190B">
        <w:rPr>
          <w:rFonts w:eastAsia="Times New Roman"/>
          <w:sz w:val="24"/>
          <w:szCs w:val="24"/>
        </w:rPr>
        <w:t xml:space="preserve"> </w:t>
      </w:r>
      <w:hyperlink r:id="rId57" w:history="1">
        <w:r w:rsidR="00DB190B" w:rsidRPr="008871FC">
          <w:rPr>
            <w:rStyle w:val="Hyperlink"/>
            <w:rFonts w:eastAsia="Times New Roman"/>
            <w:sz w:val="24"/>
            <w:szCs w:val="24"/>
          </w:rPr>
          <w:t>https://doi.org/10.3390/ijms25052655</w:t>
        </w:r>
      </w:hyperlink>
      <w:r w:rsidR="00DB190B">
        <w:rPr>
          <w:rFonts w:eastAsia="Times New Roman"/>
          <w:sz w:val="24"/>
          <w:szCs w:val="24"/>
        </w:rPr>
        <w:t xml:space="preserve"> </w:t>
      </w:r>
    </w:p>
    <w:p w14:paraId="054134E6" w14:textId="0FA595C7"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Keemink, J.R., Sharp, R.J., Dargan, A.K. and Forder, J.E., </w:t>
      </w:r>
      <w:r w:rsidR="00E50ED2">
        <w:rPr>
          <w:color w:val="222222"/>
          <w:sz w:val="24"/>
          <w:szCs w:val="24"/>
          <w:shd w:val="clear" w:color="auto" w:fill="FFFFFF"/>
        </w:rPr>
        <w:t>(2022).</w:t>
      </w:r>
      <w:r w:rsidRPr="00AE3179">
        <w:rPr>
          <w:color w:val="222222"/>
          <w:sz w:val="24"/>
          <w:szCs w:val="24"/>
          <w:shd w:val="clear" w:color="auto" w:fill="FFFFFF"/>
        </w:rPr>
        <w:t xml:space="preserve"> Reflections on the use of synchronous online focus groups in social care research. </w:t>
      </w:r>
      <w:r w:rsidRPr="00AE3179">
        <w:rPr>
          <w:i/>
          <w:iCs/>
          <w:color w:val="222222"/>
          <w:sz w:val="24"/>
          <w:szCs w:val="24"/>
          <w:shd w:val="clear" w:color="auto" w:fill="FFFFFF"/>
        </w:rPr>
        <w:t>International Journal of Qualitative Methods</w:t>
      </w:r>
      <w:r w:rsidRPr="00AE3179">
        <w:rPr>
          <w:color w:val="222222"/>
          <w:sz w:val="24"/>
          <w:szCs w:val="24"/>
          <w:shd w:val="clear" w:color="auto" w:fill="FFFFFF"/>
        </w:rPr>
        <w:t>, </w:t>
      </w:r>
      <w:r w:rsidRPr="00AE3179">
        <w:rPr>
          <w:i/>
          <w:iCs/>
          <w:color w:val="222222"/>
          <w:sz w:val="24"/>
          <w:szCs w:val="24"/>
          <w:shd w:val="clear" w:color="auto" w:fill="FFFFFF"/>
        </w:rPr>
        <w:t>21</w:t>
      </w:r>
      <w:r w:rsidRPr="00AE3179">
        <w:rPr>
          <w:color w:val="222222"/>
          <w:sz w:val="24"/>
          <w:szCs w:val="24"/>
          <w:shd w:val="clear" w:color="auto" w:fill="FFFFFF"/>
        </w:rPr>
        <w:t>, p.16094069221095314.</w:t>
      </w:r>
      <w:r w:rsidR="00DB190B">
        <w:rPr>
          <w:color w:val="222222"/>
          <w:sz w:val="24"/>
          <w:szCs w:val="24"/>
          <w:shd w:val="clear" w:color="auto" w:fill="FFFFFF"/>
        </w:rPr>
        <w:t xml:space="preserve"> </w:t>
      </w:r>
      <w:hyperlink r:id="rId58" w:history="1">
        <w:r w:rsidR="00DB190B" w:rsidRPr="008871FC">
          <w:rPr>
            <w:rStyle w:val="Hyperlink"/>
            <w:sz w:val="24"/>
            <w:szCs w:val="24"/>
            <w:shd w:val="clear" w:color="auto" w:fill="FFFFFF"/>
          </w:rPr>
          <w:t>https://doi.org/10.1177/16094069221095314</w:t>
        </w:r>
      </w:hyperlink>
      <w:r w:rsidR="00DB190B">
        <w:rPr>
          <w:color w:val="222222"/>
          <w:sz w:val="24"/>
          <w:szCs w:val="24"/>
          <w:shd w:val="clear" w:color="auto" w:fill="FFFFFF"/>
        </w:rPr>
        <w:t xml:space="preserve"> </w:t>
      </w:r>
    </w:p>
    <w:p w14:paraId="3197091D" w14:textId="0980277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Kidanemariam, A. and Cho, S., </w:t>
      </w:r>
      <w:r w:rsidR="00E50ED2">
        <w:rPr>
          <w:rFonts w:eastAsia="Times New Roman"/>
          <w:sz w:val="24"/>
          <w:szCs w:val="24"/>
          <w:highlight w:val="white"/>
        </w:rPr>
        <w:t>(2025).</w:t>
      </w:r>
      <w:r w:rsidRPr="00AE3179">
        <w:rPr>
          <w:rFonts w:eastAsia="Times New Roman"/>
          <w:sz w:val="24"/>
          <w:szCs w:val="24"/>
          <w:highlight w:val="white"/>
        </w:rPr>
        <w:t xml:space="preserve"> Recent Advances in Metal–Organic Framework-Based Nanozymes for Intelligent Microbial Biosensing: A Comprehensive Review of Biomedical and Environmental Applications. </w:t>
      </w:r>
      <w:r w:rsidRPr="00AE3179">
        <w:rPr>
          <w:rFonts w:eastAsia="Times New Roman"/>
          <w:i/>
          <w:iCs/>
          <w:sz w:val="24"/>
          <w:szCs w:val="24"/>
        </w:rPr>
        <w:t>Biosensors</w:t>
      </w:r>
      <w:r w:rsidRPr="00AE3179">
        <w:rPr>
          <w:rFonts w:eastAsia="Times New Roman"/>
          <w:sz w:val="24"/>
          <w:szCs w:val="24"/>
        </w:rPr>
        <w:t xml:space="preserve">, </w:t>
      </w:r>
      <w:r w:rsidRPr="00AE3179">
        <w:rPr>
          <w:rFonts w:eastAsia="Times New Roman"/>
          <w:i/>
          <w:iCs/>
          <w:sz w:val="24"/>
          <w:szCs w:val="24"/>
        </w:rPr>
        <w:t>15</w:t>
      </w:r>
      <w:r w:rsidRPr="00AE3179">
        <w:rPr>
          <w:rFonts w:eastAsia="Times New Roman"/>
          <w:sz w:val="24"/>
          <w:szCs w:val="24"/>
        </w:rPr>
        <w:t>(7), p.437.</w:t>
      </w:r>
      <w:r w:rsidR="003571FC">
        <w:rPr>
          <w:rFonts w:eastAsia="Times New Roman"/>
          <w:sz w:val="24"/>
          <w:szCs w:val="24"/>
        </w:rPr>
        <w:t xml:space="preserve"> </w:t>
      </w:r>
      <w:hyperlink r:id="rId59" w:history="1">
        <w:r w:rsidR="003571FC" w:rsidRPr="008871FC">
          <w:rPr>
            <w:rStyle w:val="Hyperlink"/>
            <w:rFonts w:eastAsia="Times New Roman"/>
            <w:sz w:val="24"/>
            <w:szCs w:val="24"/>
          </w:rPr>
          <w:t>https://doi.org/10.3390/bios15070437</w:t>
        </w:r>
      </w:hyperlink>
      <w:r w:rsidR="003571FC">
        <w:rPr>
          <w:rFonts w:eastAsia="Times New Roman"/>
          <w:sz w:val="24"/>
          <w:szCs w:val="24"/>
        </w:rPr>
        <w:t xml:space="preserve"> </w:t>
      </w:r>
    </w:p>
    <w:p w14:paraId="0A4561CC" w14:textId="450F9C2F"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Kumar, S., Balaya, R.D.A., Kanekar, S., Raju, R., Prasad, T.S.K. and Kandasamy, R.K., </w:t>
      </w:r>
      <w:r w:rsidR="00E50ED2">
        <w:rPr>
          <w:rFonts w:eastAsia="Times New Roman"/>
          <w:color w:val="222222"/>
          <w:sz w:val="24"/>
          <w:szCs w:val="24"/>
          <w:shd w:val="clear" w:color="auto" w:fill="FFFFFF"/>
          <w:lang w:val="en-IN"/>
        </w:rPr>
        <w:t>(2023).</w:t>
      </w:r>
      <w:r w:rsidRPr="00AE3179">
        <w:rPr>
          <w:rFonts w:eastAsia="Times New Roman"/>
          <w:color w:val="222222"/>
          <w:sz w:val="24"/>
          <w:szCs w:val="24"/>
          <w:shd w:val="clear" w:color="auto" w:fill="FFFFFF"/>
          <w:lang w:val="en-IN"/>
        </w:rPr>
        <w:t xml:space="preserve"> Computational tools for exploring peptide-membrane interactions in </w:t>
      </w:r>
      <w:r w:rsidRPr="00AE3179">
        <w:rPr>
          <w:rFonts w:eastAsia="Times New Roman"/>
          <w:color w:val="222222"/>
          <w:sz w:val="24"/>
          <w:szCs w:val="24"/>
          <w:shd w:val="clear" w:color="auto" w:fill="FFFFFF"/>
          <w:lang w:val="en-IN"/>
        </w:rPr>
        <w:lastRenderedPageBreak/>
        <w:t xml:space="preserve">gram-positive bacteria. </w:t>
      </w:r>
      <w:r w:rsidRPr="00AE3179">
        <w:rPr>
          <w:rFonts w:eastAsia="Times New Roman"/>
          <w:i/>
          <w:iCs/>
          <w:color w:val="222222"/>
          <w:sz w:val="24"/>
          <w:szCs w:val="24"/>
          <w:shd w:val="clear" w:color="auto" w:fill="FFFFFF"/>
          <w:lang w:val="en-IN"/>
        </w:rPr>
        <w:t>Computational and Structural Biotechnology Journal</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21</w:t>
      </w:r>
      <w:r w:rsidRPr="00AE3179">
        <w:rPr>
          <w:rFonts w:eastAsia="Times New Roman"/>
          <w:color w:val="222222"/>
          <w:sz w:val="24"/>
          <w:szCs w:val="24"/>
          <w:shd w:val="clear" w:color="auto" w:fill="FFFFFF"/>
          <w:lang w:val="en-IN"/>
        </w:rPr>
        <w:t>, pp.1995-2008.</w:t>
      </w:r>
      <w:r w:rsidR="001B5B5E">
        <w:rPr>
          <w:rFonts w:eastAsia="Times New Roman"/>
          <w:color w:val="222222"/>
          <w:sz w:val="24"/>
          <w:szCs w:val="24"/>
          <w:shd w:val="clear" w:color="auto" w:fill="FFFFFF"/>
          <w:lang w:val="en-IN"/>
        </w:rPr>
        <w:t xml:space="preserve"> </w:t>
      </w:r>
      <w:hyperlink r:id="rId60" w:history="1">
        <w:r w:rsidR="001B5B5E" w:rsidRPr="008871FC">
          <w:rPr>
            <w:rStyle w:val="Hyperlink"/>
            <w:rFonts w:eastAsia="Times New Roman"/>
            <w:sz w:val="24"/>
            <w:szCs w:val="24"/>
            <w:shd w:val="clear" w:color="auto" w:fill="FFFFFF"/>
            <w:lang w:val="en-IN"/>
          </w:rPr>
          <w:t>https://doi.org/10.1016/j.csbj.2023.02.051</w:t>
        </w:r>
      </w:hyperlink>
      <w:r w:rsidR="001B5B5E">
        <w:rPr>
          <w:rFonts w:eastAsia="Times New Roman"/>
          <w:color w:val="222222"/>
          <w:sz w:val="24"/>
          <w:szCs w:val="24"/>
          <w:shd w:val="clear" w:color="auto" w:fill="FFFFFF"/>
          <w:lang w:val="en-IN"/>
        </w:rPr>
        <w:t xml:space="preserve"> </w:t>
      </w:r>
    </w:p>
    <w:p w14:paraId="22C594CB" w14:textId="40A5E455"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Lam, T.T., Dang, D.A., Tran, H.H., Do, D.V., Le, H., Negin, J., Jan, S., Marks, G.B., Nguyen, T.A., Fox, G.J. and Beardsley, J., </w:t>
      </w:r>
      <w:r w:rsidR="00E50ED2">
        <w:rPr>
          <w:rFonts w:eastAsia="Times New Roman"/>
          <w:color w:val="222222"/>
          <w:sz w:val="24"/>
          <w:szCs w:val="24"/>
          <w:shd w:val="clear" w:color="auto" w:fill="FFFFFF"/>
          <w:lang w:val="en-IN"/>
        </w:rPr>
        <w:t>(2021).</w:t>
      </w:r>
      <w:r w:rsidRPr="00AE3179">
        <w:rPr>
          <w:rFonts w:eastAsia="Times New Roman"/>
          <w:color w:val="222222"/>
          <w:sz w:val="24"/>
          <w:szCs w:val="24"/>
          <w:shd w:val="clear" w:color="auto" w:fill="FFFFFF"/>
          <w:lang w:val="en-IN"/>
        </w:rPr>
        <w:t xml:space="preserve"> What are the most effective community-based antimicrobial stewardship interventions in low-and middle-income countries? A narrative review. </w:t>
      </w:r>
      <w:r w:rsidRPr="00AE3179">
        <w:rPr>
          <w:rFonts w:eastAsia="Times New Roman"/>
          <w:i/>
          <w:iCs/>
          <w:color w:val="222222"/>
          <w:sz w:val="24"/>
          <w:szCs w:val="24"/>
          <w:shd w:val="clear" w:color="auto" w:fill="FFFFFF"/>
          <w:lang w:val="en-IN"/>
        </w:rPr>
        <w:t>Journal of Antimicrobial Chemotherapy</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76</w:t>
      </w:r>
      <w:r w:rsidRPr="00AE3179">
        <w:rPr>
          <w:rFonts w:eastAsia="Times New Roman"/>
          <w:color w:val="222222"/>
          <w:sz w:val="24"/>
          <w:szCs w:val="24"/>
          <w:shd w:val="clear" w:color="auto" w:fill="FFFFFF"/>
          <w:lang w:val="en-IN"/>
        </w:rPr>
        <w:t>(5), pp.1117-1129.</w:t>
      </w:r>
      <w:r w:rsidR="001B5B5E">
        <w:rPr>
          <w:rFonts w:eastAsia="Times New Roman"/>
          <w:color w:val="222222"/>
          <w:sz w:val="24"/>
          <w:szCs w:val="24"/>
          <w:shd w:val="clear" w:color="auto" w:fill="FFFFFF"/>
          <w:lang w:val="en-IN"/>
        </w:rPr>
        <w:t xml:space="preserve"> </w:t>
      </w:r>
      <w:hyperlink r:id="rId61" w:history="1">
        <w:r w:rsidR="001B5B5E" w:rsidRPr="008871FC">
          <w:rPr>
            <w:rStyle w:val="Hyperlink"/>
            <w:rFonts w:eastAsia="Times New Roman"/>
            <w:sz w:val="24"/>
            <w:szCs w:val="24"/>
            <w:shd w:val="clear" w:color="auto" w:fill="FFFFFF"/>
            <w:lang w:val="en-IN"/>
          </w:rPr>
          <w:t>https://doi.org/10.1093/jac/dkaa556</w:t>
        </w:r>
      </w:hyperlink>
      <w:r w:rsidR="001B5B5E">
        <w:rPr>
          <w:rFonts w:eastAsia="Times New Roman"/>
          <w:color w:val="222222"/>
          <w:sz w:val="24"/>
          <w:szCs w:val="24"/>
          <w:shd w:val="clear" w:color="auto" w:fill="FFFFFF"/>
          <w:lang w:val="en-IN"/>
        </w:rPr>
        <w:t xml:space="preserve"> </w:t>
      </w:r>
    </w:p>
    <w:p w14:paraId="10EA06BE" w14:textId="6A6206D6"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Laxminarayan, R., Impalli, I., Rangarajan, R., Cohn, J., Ramjeet, K., Trainor, B.W., Strathdee, S., Sumpradit, N., Berman, D., Wertheim, H. and Outterson, K., </w:t>
      </w:r>
      <w:r w:rsidR="00E50ED2">
        <w:rPr>
          <w:sz w:val="24"/>
          <w:szCs w:val="24"/>
          <w:shd w:val="clear" w:color="auto" w:fill="FFFFFF"/>
        </w:rPr>
        <w:t>(2024).</w:t>
      </w:r>
      <w:r w:rsidRPr="00AE3179">
        <w:rPr>
          <w:sz w:val="24"/>
          <w:szCs w:val="24"/>
          <w:shd w:val="clear" w:color="auto" w:fill="FFFFFF"/>
        </w:rPr>
        <w:t xml:space="preserve"> Expanding antibiotic, vaccine, and diagnostics development and access to tackle antimicrobial resistance. </w:t>
      </w:r>
      <w:r w:rsidRPr="00AE3179">
        <w:rPr>
          <w:i/>
          <w:iCs/>
          <w:sz w:val="24"/>
          <w:szCs w:val="24"/>
          <w:shd w:val="clear" w:color="auto" w:fill="FFFFFF"/>
        </w:rPr>
        <w:t>The Lancet</w:t>
      </w:r>
      <w:r w:rsidRPr="00AE3179">
        <w:rPr>
          <w:sz w:val="24"/>
          <w:szCs w:val="24"/>
          <w:shd w:val="clear" w:color="auto" w:fill="FFFFFF"/>
        </w:rPr>
        <w:t>, </w:t>
      </w:r>
      <w:r w:rsidRPr="00AE3179">
        <w:rPr>
          <w:i/>
          <w:iCs/>
          <w:sz w:val="24"/>
          <w:szCs w:val="24"/>
          <w:shd w:val="clear" w:color="auto" w:fill="FFFFFF"/>
        </w:rPr>
        <w:t>403</w:t>
      </w:r>
      <w:r w:rsidRPr="00AE3179">
        <w:rPr>
          <w:sz w:val="24"/>
          <w:szCs w:val="24"/>
          <w:shd w:val="clear" w:color="auto" w:fill="FFFFFF"/>
        </w:rPr>
        <w:t>(10443), pp.2534-2550.</w:t>
      </w:r>
      <w:r w:rsidR="001B5B5E">
        <w:rPr>
          <w:sz w:val="24"/>
          <w:szCs w:val="24"/>
          <w:shd w:val="clear" w:color="auto" w:fill="FFFFFF"/>
        </w:rPr>
        <w:t xml:space="preserve"> </w:t>
      </w:r>
      <w:hyperlink r:id="rId62" w:history="1">
        <w:r w:rsidR="001B5B5E" w:rsidRPr="008871FC">
          <w:rPr>
            <w:rStyle w:val="Hyperlink"/>
            <w:sz w:val="24"/>
            <w:szCs w:val="24"/>
            <w:shd w:val="clear" w:color="auto" w:fill="FFFFFF"/>
          </w:rPr>
          <w:t>https://doi.org/10.1016/s0140-6736(24)00878-x</w:t>
        </w:r>
      </w:hyperlink>
      <w:r w:rsidR="001B5B5E">
        <w:rPr>
          <w:sz w:val="24"/>
          <w:szCs w:val="24"/>
          <w:shd w:val="clear" w:color="auto" w:fill="FFFFFF"/>
        </w:rPr>
        <w:t xml:space="preserve"> </w:t>
      </w:r>
    </w:p>
    <w:p w14:paraId="7D115613" w14:textId="269703EC"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Lefevre, M., Hampson, M. and Goldsmith, C., </w:t>
      </w:r>
      <w:r w:rsidR="00E50ED2">
        <w:rPr>
          <w:color w:val="222222"/>
          <w:sz w:val="24"/>
          <w:szCs w:val="24"/>
          <w:shd w:val="clear" w:color="auto" w:fill="FFFFFF"/>
        </w:rPr>
        <w:t>(2023).</w:t>
      </w:r>
      <w:r w:rsidRPr="00AE3179">
        <w:rPr>
          <w:color w:val="222222"/>
          <w:sz w:val="24"/>
          <w:szCs w:val="24"/>
          <w:shd w:val="clear" w:color="auto" w:fill="FFFFFF"/>
        </w:rPr>
        <w:t xml:space="preserve"> Towards a synthesised directional map of the stages of innovation in children’s social care. </w:t>
      </w:r>
      <w:r w:rsidRPr="00AE3179">
        <w:rPr>
          <w:i/>
          <w:iCs/>
          <w:color w:val="222222"/>
          <w:sz w:val="24"/>
          <w:szCs w:val="24"/>
          <w:shd w:val="clear" w:color="auto" w:fill="FFFFFF"/>
        </w:rPr>
        <w:t>The British Journal of Social Work</w:t>
      </w:r>
      <w:r w:rsidRPr="00AE3179">
        <w:rPr>
          <w:color w:val="222222"/>
          <w:sz w:val="24"/>
          <w:szCs w:val="24"/>
          <w:shd w:val="clear" w:color="auto" w:fill="FFFFFF"/>
        </w:rPr>
        <w:t>, </w:t>
      </w:r>
      <w:r w:rsidRPr="00AE3179">
        <w:rPr>
          <w:i/>
          <w:iCs/>
          <w:color w:val="222222"/>
          <w:sz w:val="24"/>
          <w:szCs w:val="24"/>
          <w:shd w:val="clear" w:color="auto" w:fill="FFFFFF"/>
        </w:rPr>
        <w:t>53</w:t>
      </w:r>
      <w:r w:rsidRPr="00AE3179">
        <w:rPr>
          <w:color w:val="222222"/>
          <w:sz w:val="24"/>
          <w:szCs w:val="24"/>
          <w:shd w:val="clear" w:color="auto" w:fill="FFFFFF"/>
        </w:rPr>
        <w:t>(5), pp.2478-2498.</w:t>
      </w:r>
      <w:r w:rsidR="001B5B5E">
        <w:rPr>
          <w:color w:val="222222"/>
          <w:sz w:val="24"/>
          <w:szCs w:val="24"/>
          <w:shd w:val="clear" w:color="auto" w:fill="FFFFFF"/>
        </w:rPr>
        <w:t xml:space="preserve"> </w:t>
      </w:r>
      <w:hyperlink r:id="rId63" w:history="1">
        <w:r w:rsidR="001B5B5E" w:rsidRPr="008871FC">
          <w:rPr>
            <w:rStyle w:val="Hyperlink"/>
            <w:sz w:val="24"/>
            <w:szCs w:val="24"/>
            <w:shd w:val="clear" w:color="auto" w:fill="FFFFFF"/>
          </w:rPr>
          <w:t>https://doi.org/10.1093/bjsw/bcac183</w:t>
        </w:r>
      </w:hyperlink>
      <w:r w:rsidR="001B5B5E">
        <w:rPr>
          <w:color w:val="222222"/>
          <w:sz w:val="24"/>
          <w:szCs w:val="24"/>
          <w:shd w:val="clear" w:color="auto" w:fill="FFFFFF"/>
        </w:rPr>
        <w:t xml:space="preserve"> </w:t>
      </w:r>
    </w:p>
    <w:p w14:paraId="1D2019CE" w14:textId="17F53790"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Lefosse, G., Rasero, L., Bellandi, T. and Sousa, P., </w:t>
      </w:r>
      <w:r w:rsidR="00E50ED2">
        <w:rPr>
          <w:rFonts w:eastAsia="Times New Roman"/>
          <w:sz w:val="24"/>
          <w:szCs w:val="24"/>
          <w:highlight w:val="white"/>
        </w:rPr>
        <w:t>(2022).</w:t>
      </w:r>
      <w:r w:rsidRPr="00AE3179">
        <w:rPr>
          <w:rFonts w:eastAsia="Times New Roman"/>
          <w:sz w:val="24"/>
          <w:szCs w:val="24"/>
          <w:highlight w:val="white"/>
        </w:rPr>
        <w:t xml:space="preserve"> Healthcare-related infections within nursing homes (NHS): A qualitative study of care practices based on a systemic approach. </w:t>
      </w:r>
      <w:r w:rsidRPr="00AE3179">
        <w:rPr>
          <w:rFonts w:eastAsia="Times New Roman"/>
          <w:i/>
          <w:iCs/>
          <w:sz w:val="24"/>
          <w:szCs w:val="24"/>
        </w:rPr>
        <w:t>Journal of Patient Safety and Risk Management</w:t>
      </w:r>
      <w:r w:rsidRPr="00AE3179">
        <w:rPr>
          <w:rFonts w:eastAsia="Times New Roman"/>
          <w:sz w:val="24"/>
          <w:szCs w:val="24"/>
        </w:rPr>
        <w:t xml:space="preserve">, </w:t>
      </w:r>
      <w:r w:rsidRPr="00AE3179">
        <w:rPr>
          <w:rFonts w:eastAsia="Times New Roman"/>
          <w:i/>
          <w:iCs/>
          <w:sz w:val="24"/>
          <w:szCs w:val="24"/>
        </w:rPr>
        <w:t>27</w:t>
      </w:r>
      <w:r w:rsidRPr="00AE3179">
        <w:rPr>
          <w:rFonts w:eastAsia="Times New Roman"/>
          <w:sz w:val="24"/>
          <w:szCs w:val="24"/>
        </w:rPr>
        <w:t>(2), pp.66-75.</w:t>
      </w:r>
      <w:r w:rsidR="001B5B5E">
        <w:rPr>
          <w:rFonts w:eastAsia="Times New Roman"/>
          <w:sz w:val="24"/>
          <w:szCs w:val="24"/>
        </w:rPr>
        <w:t xml:space="preserve"> </w:t>
      </w:r>
      <w:hyperlink r:id="rId64" w:history="1">
        <w:r w:rsidR="001B5B5E" w:rsidRPr="008871FC">
          <w:rPr>
            <w:rStyle w:val="Hyperlink"/>
            <w:rFonts w:eastAsia="Times New Roman"/>
            <w:sz w:val="24"/>
            <w:szCs w:val="24"/>
          </w:rPr>
          <w:t>https://doi.org/10.1177/25160435221081105</w:t>
        </w:r>
      </w:hyperlink>
      <w:r w:rsidR="001B5B5E">
        <w:rPr>
          <w:rFonts w:eastAsia="Times New Roman"/>
          <w:sz w:val="24"/>
          <w:szCs w:val="24"/>
        </w:rPr>
        <w:t xml:space="preserve"> </w:t>
      </w:r>
    </w:p>
    <w:p w14:paraId="738AB3E6" w14:textId="57B44B43"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Leistikow, K.R., May, D.S., Suh, W.S., Vargas Asensio, G., Schaenzer, A.J., Currie, C.R. and Hristova, K.R., </w:t>
      </w:r>
      <w:r w:rsidR="00E50ED2">
        <w:rPr>
          <w:rFonts w:eastAsia="Times New Roman"/>
          <w:sz w:val="24"/>
          <w:szCs w:val="24"/>
          <w:highlight w:val="white"/>
        </w:rPr>
        <w:t>(2024).</w:t>
      </w:r>
      <w:r w:rsidRPr="00AE3179">
        <w:rPr>
          <w:rFonts w:eastAsia="Times New Roman"/>
          <w:sz w:val="24"/>
          <w:szCs w:val="24"/>
          <w:highlight w:val="white"/>
        </w:rPr>
        <w:t xml:space="preserve"> Bacillus subtilis-derived peptides disrupt quorum sensing and biofilm assembly in multidrug-resistant Staphylococcus aureus. </w:t>
      </w:r>
      <w:r w:rsidRPr="00AE3179">
        <w:rPr>
          <w:rFonts w:eastAsia="Times New Roman"/>
          <w:i/>
          <w:iCs/>
          <w:sz w:val="24"/>
          <w:szCs w:val="24"/>
        </w:rPr>
        <w:t>Msystems</w:t>
      </w:r>
      <w:r w:rsidRPr="00AE3179">
        <w:rPr>
          <w:rFonts w:eastAsia="Times New Roman"/>
          <w:sz w:val="24"/>
          <w:szCs w:val="24"/>
        </w:rPr>
        <w:t xml:space="preserve">, </w:t>
      </w:r>
      <w:r w:rsidRPr="00AE3179">
        <w:rPr>
          <w:rFonts w:eastAsia="Times New Roman"/>
          <w:i/>
          <w:iCs/>
          <w:sz w:val="24"/>
          <w:szCs w:val="24"/>
        </w:rPr>
        <w:t>9</w:t>
      </w:r>
      <w:r w:rsidRPr="00AE3179">
        <w:rPr>
          <w:rFonts w:eastAsia="Times New Roman"/>
          <w:sz w:val="24"/>
          <w:szCs w:val="24"/>
        </w:rPr>
        <w:t>(8), pp.e00712-24.</w:t>
      </w:r>
      <w:r w:rsidR="001B5B5E">
        <w:rPr>
          <w:rFonts w:eastAsia="Times New Roman"/>
          <w:sz w:val="24"/>
          <w:szCs w:val="24"/>
        </w:rPr>
        <w:t xml:space="preserve"> </w:t>
      </w:r>
      <w:hyperlink r:id="rId65" w:history="1">
        <w:r w:rsidR="001B5B5E" w:rsidRPr="008871FC">
          <w:rPr>
            <w:rStyle w:val="Hyperlink"/>
            <w:rFonts w:eastAsia="Times New Roman"/>
            <w:sz w:val="24"/>
            <w:szCs w:val="24"/>
          </w:rPr>
          <w:t>https://doi.org/10.1128/msystems.00712-24</w:t>
        </w:r>
      </w:hyperlink>
      <w:r w:rsidR="001B5B5E">
        <w:rPr>
          <w:rFonts w:eastAsia="Times New Roman"/>
          <w:sz w:val="24"/>
          <w:szCs w:val="24"/>
        </w:rPr>
        <w:t xml:space="preserve"> </w:t>
      </w:r>
    </w:p>
    <w:p w14:paraId="2B246402" w14:textId="127DAEDC"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Li, P., Yin, R., Cheng, J. and Lin, J., </w:t>
      </w:r>
      <w:r w:rsidR="00E50ED2">
        <w:rPr>
          <w:rFonts w:eastAsia="Times New Roman"/>
          <w:color w:val="222222"/>
          <w:sz w:val="24"/>
          <w:szCs w:val="24"/>
          <w:shd w:val="clear" w:color="auto" w:fill="FFFFFF"/>
          <w:lang w:val="en-IN"/>
        </w:rPr>
        <w:t>(2023).</w:t>
      </w:r>
      <w:r w:rsidRPr="00AE3179">
        <w:rPr>
          <w:rFonts w:eastAsia="Times New Roman"/>
          <w:color w:val="222222"/>
          <w:sz w:val="24"/>
          <w:szCs w:val="24"/>
          <w:shd w:val="clear" w:color="auto" w:fill="FFFFFF"/>
          <w:lang w:val="en-IN"/>
        </w:rPr>
        <w:t xml:space="preserve"> Bacterial biofilm formation on biomaterials and approaches to its treatment and prevention. </w:t>
      </w:r>
      <w:r w:rsidRPr="00AE3179">
        <w:rPr>
          <w:rFonts w:eastAsia="Times New Roman"/>
          <w:i/>
          <w:iCs/>
          <w:color w:val="222222"/>
          <w:sz w:val="24"/>
          <w:szCs w:val="24"/>
          <w:shd w:val="clear" w:color="auto" w:fill="FFFFFF"/>
          <w:lang w:val="en-IN"/>
        </w:rPr>
        <w:t>International journal of molecular sciences</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24</w:t>
      </w:r>
      <w:r w:rsidRPr="00AE3179">
        <w:rPr>
          <w:rFonts w:eastAsia="Times New Roman"/>
          <w:color w:val="222222"/>
          <w:sz w:val="24"/>
          <w:szCs w:val="24"/>
          <w:shd w:val="clear" w:color="auto" w:fill="FFFFFF"/>
          <w:lang w:val="en-IN"/>
        </w:rPr>
        <w:t>(14), p.11680.</w:t>
      </w:r>
      <w:r w:rsidR="000620C5">
        <w:rPr>
          <w:rFonts w:eastAsia="Times New Roman"/>
          <w:color w:val="222222"/>
          <w:sz w:val="24"/>
          <w:szCs w:val="24"/>
          <w:shd w:val="clear" w:color="auto" w:fill="FFFFFF"/>
          <w:lang w:val="en-IN"/>
        </w:rPr>
        <w:t xml:space="preserve"> </w:t>
      </w:r>
      <w:hyperlink r:id="rId66" w:history="1">
        <w:r w:rsidR="000620C5" w:rsidRPr="008871FC">
          <w:rPr>
            <w:rStyle w:val="Hyperlink"/>
            <w:rFonts w:eastAsia="Times New Roman"/>
            <w:sz w:val="24"/>
            <w:szCs w:val="24"/>
            <w:shd w:val="clear" w:color="auto" w:fill="FFFFFF"/>
            <w:lang w:val="en-IN"/>
          </w:rPr>
          <w:t>https://doi.org/10.3390/ijms241411680</w:t>
        </w:r>
      </w:hyperlink>
      <w:r w:rsidR="000620C5">
        <w:rPr>
          <w:rFonts w:eastAsia="Times New Roman"/>
          <w:color w:val="222222"/>
          <w:sz w:val="24"/>
          <w:szCs w:val="24"/>
          <w:shd w:val="clear" w:color="auto" w:fill="FFFFFF"/>
          <w:lang w:val="en-IN"/>
        </w:rPr>
        <w:t xml:space="preserve"> </w:t>
      </w:r>
    </w:p>
    <w:p w14:paraId="2E1D7878" w14:textId="5F5B4180"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Liu, H.Y., Prentice, E.L. and Webber, M.A., </w:t>
      </w:r>
      <w:r w:rsidR="00E50ED2">
        <w:rPr>
          <w:sz w:val="24"/>
          <w:szCs w:val="24"/>
          <w:highlight w:val="white"/>
        </w:rPr>
        <w:t>(2024).</w:t>
      </w:r>
      <w:r w:rsidRPr="00AE3179">
        <w:rPr>
          <w:sz w:val="24"/>
          <w:szCs w:val="24"/>
          <w:highlight w:val="white"/>
        </w:rPr>
        <w:t xml:space="preserve"> Mechanisms of antimicrobial resistance in biofilms. </w:t>
      </w:r>
      <w:r w:rsidRPr="00AE3179">
        <w:rPr>
          <w:i/>
          <w:iCs/>
          <w:sz w:val="24"/>
          <w:szCs w:val="24"/>
          <w:highlight w:val="white"/>
        </w:rPr>
        <w:t>npj Antimicrobials and Resistance</w:t>
      </w:r>
      <w:r w:rsidRPr="00AE3179">
        <w:rPr>
          <w:sz w:val="24"/>
          <w:szCs w:val="24"/>
          <w:highlight w:val="white"/>
        </w:rPr>
        <w:t xml:space="preserve">, </w:t>
      </w:r>
      <w:r w:rsidRPr="00AE3179">
        <w:rPr>
          <w:i/>
          <w:iCs/>
          <w:sz w:val="24"/>
          <w:szCs w:val="24"/>
          <w:highlight w:val="white"/>
        </w:rPr>
        <w:t>2</w:t>
      </w:r>
      <w:r w:rsidRPr="00AE3179">
        <w:rPr>
          <w:sz w:val="24"/>
          <w:szCs w:val="24"/>
          <w:highlight w:val="white"/>
        </w:rPr>
        <w:t>(1), p.27.</w:t>
      </w:r>
      <w:r w:rsidR="000620C5">
        <w:rPr>
          <w:sz w:val="24"/>
          <w:szCs w:val="24"/>
          <w:highlight w:val="white"/>
        </w:rPr>
        <w:t xml:space="preserve"> </w:t>
      </w:r>
      <w:hyperlink r:id="rId67" w:history="1">
        <w:r w:rsidR="000620C5" w:rsidRPr="008871FC">
          <w:rPr>
            <w:rStyle w:val="Hyperlink"/>
            <w:rFonts w:ascii="Segoe UI" w:hAnsi="Segoe UI" w:cs="Segoe UI"/>
            <w:shd w:val="clear" w:color="auto" w:fill="FFFFFF"/>
          </w:rPr>
          <w:t>https://doi.org/10.1038/s44259-024-00046-3</w:t>
        </w:r>
      </w:hyperlink>
      <w:r w:rsidR="000620C5">
        <w:rPr>
          <w:rFonts w:ascii="Segoe UI" w:hAnsi="Segoe UI" w:cs="Segoe UI"/>
          <w:color w:val="222222"/>
          <w:shd w:val="clear" w:color="auto" w:fill="FFFFFF"/>
        </w:rPr>
        <w:t xml:space="preserve"> </w:t>
      </w:r>
    </w:p>
    <w:p w14:paraId="3BA361F8" w14:textId="2D0796C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lastRenderedPageBreak/>
        <w:t xml:space="preserve">Liu, M., Zhang, X. and Yang, C., </w:t>
      </w:r>
      <w:r w:rsidR="00E50ED2">
        <w:rPr>
          <w:rFonts w:eastAsia="Times New Roman"/>
          <w:sz w:val="24"/>
          <w:szCs w:val="24"/>
          <w:highlight w:val="white"/>
        </w:rPr>
        <w:t>(2025).</w:t>
      </w:r>
      <w:r w:rsidRPr="00AE3179">
        <w:rPr>
          <w:rFonts w:eastAsia="Times New Roman"/>
          <w:sz w:val="24"/>
          <w:szCs w:val="24"/>
          <w:highlight w:val="white"/>
        </w:rPr>
        <w:t xml:space="preserve"> Cu-containing stainless steel target quorum sensing to interfere with bacterial motility. </w:t>
      </w:r>
      <w:r w:rsidRPr="00AE3179">
        <w:rPr>
          <w:rFonts w:eastAsia="Times New Roman"/>
          <w:i/>
          <w:iCs/>
          <w:sz w:val="24"/>
          <w:szCs w:val="24"/>
        </w:rPr>
        <w:t>Water Research</w:t>
      </w:r>
      <w:r w:rsidRPr="00AE3179">
        <w:rPr>
          <w:rFonts w:eastAsia="Times New Roman"/>
          <w:sz w:val="24"/>
          <w:szCs w:val="24"/>
        </w:rPr>
        <w:t xml:space="preserve">, </w:t>
      </w:r>
      <w:r w:rsidRPr="00AE3179">
        <w:rPr>
          <w:rFonts w:eastAsia="Times New Roman"/>
          <w:i/>
          <w:iCs/>
          <w:sz w:val="24"/>
          <w:szCs w:val="24"/>
        </w:rPr>
        <w:t>274</w:t>
      </w:r>
      <w:r w:rsidRPr="00AE3179">
        <w:rPr>
          <w:rFonts w:eastAsia="Times New Roman"/>
          <w:sz w:val="24"/>
          <w:szCs w:val="24"/>
        </w:rPr>
        <w:t>, p.123044.</w:t>
      </w:r>
      <w:r w:rsidR="00191975">
        <w:rPr>
          <w:rFonts w:eastAsia="Times New Roman"/>
          <w:sz w:val="24"/>
          <w:szCs w:val="24"/>
        </w:rPr>
        <w:t xml:space="preserve"> </w:t>
      </w:r>
      <w:hyperlink r:id="rId68" w:history="1">
        <w:r w:rsidR="00191975" w:rsidRPr="008871FC">
          <w:rPr>
            <w:rStyle w:val="Hyperlink"/>
            <w:rFonts w:eastAsia="Times New Roman"/>
            <w:sz w:val="24"/>
            <w:szCs w:val="24"/>
          </w:rPr>
          <w:t>https://doi.org/10.1016/j.watres.2024.123044</w:t>
        </w:r>
      </w:hyperlink>
      <w:r w:rsidR="00191975">
        <w:rPr>
          <w:rFonts w:eastAsia="Times New Roman"/>
          <w:sz w:val="24"/>
          <w:szCs w:val="24"/>
        </w:rPr>
        <w:t xml:space="preserve"> </w:t>
      </w:r>
    </w:p>
    <w:p w14:paraId="05F240C9" w14:textId="46FB88BB"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Llewelyn, M.J., Price, N., Ratnaraja, N., Atkins, B., Partridge, D. and Jeffery, K., </w:t>
      </w:r>
      <w:r w:rsidR="00E50ED2">
        <w:rPr>
          <w:rFonts w:eastAsia="Times New Roman"/>
          <w:sz w:val="24"/>
          <w:szCs w:val="24"/>
          <w:highlight w:val="white"/>
        </w:rPr>
        <w:t>(2022).</w:t>
      </w:r>
      <w:r w:rsidRPr="00AE3179">
        <w:rPr>
          <w:rFonts w:eastAsia="Times New Roman"/>
          <w:sz w:val="24"/>
          <w:szCs w:val="24"/>
          <w:highlight w:val="white"/>
        </w:rPr>
        <w:t xml:space="preserve"> Where now for infection services in the NHS? How lessons from the pandemic should drive long-overdue integration of microbiology and infectious diseases. </w:t>
      </w:r>
      <w:r w:rsidRPr="00AE3179">
        <w:rPr>
          <w:rFonts w:eastAsia="Times New Roman"/>
          <w:i/>
          <w:iCs/>
          <w:sz w:val="24"/>
          <w:szCs w:val="24"/>
        </w:rPr>
        <w:t>Clinical Medicine</w:t>
      </w:r>
      <w:r w:rsidRPr="00AE3179">
        <w:rPr>
          <w:rFonts w:eastAsia="Times New Roman"/>
          <w:sz w:val="24"/>
          <w:szCs w:val="24"/>
        </w:rPr>
        <w:t xml:space="preserve">, </w:t>
      </w:r>
      <w:r w:rsidRPr="00AE3179">
        <w:rPr>
          <w:rFonts w:eastAsia="Times New Roman"/>
          <w:i/>
          <w:iCs/>
          <w:sz w:val="24"/>
          <w:szCs w:val="24"/>
        </w:rPr>
        <w:t>22</w:t>
      </w:r>
      <w:r w:rsidRPr="00AE3179">
        <w:rPr>
          <w:rFonts w:eastAsia="Times New Roman"/>
          <w:sz w:val="24"/>
          <w:szCs w:val="24"/>
        </w:rPr>
        <w:t>(6), pp.586-589.</w:t>
      </w:r>
      <w:r w:rsidR="00191975">
        <w:rPr>
          <w:rFonts w:eastAsia="Times New Roman"/>
          <w:sz w:val="24"/>
          <w:szCs w:val="24"/>
        </w:rPr>
        <w:t xml:space="preserve"> </w:t>
      </w:r>
      <w:hyperlink r:id="rId69" w:history="1">
        <w:r w:rsidR="00191975" w:rsidRPr="008871FC">
          <w:rPr>
            <w:rStyle w:val="Hyperlink"/>
            <w:rFonts w:eastAsia="Times New Roman"/>
            <w:sz w:val="24"/>
            <w:szCs w:val="24"/>
          </w:rPr>
          <w:t>https://doi.org/10.7861/clinmed.2022-0251</w:t>
        </w:r>
      </w:hyperlink>
      <w:r w:rsidR="00191975">
        <w:rPr>
          <w:rFonts w:eastAsia="Times New Roman"/>
          <w:sz w:val="24"/>
          <w:szCs w:val="24"/>
        </w:rPr>
        <w:t xml:space="preserve"> </w:t>
      </w:r>
    </w:p>
    <w:p w14:paraId="39AC22C1" w14:textId="3A9E754C"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Maillard, J.Y. and Centeleghe, I., </w:t>
      </w:r>
      <w:r w:rsidR="00E50ED2">
        <w:rPr>
          <w:sz w:val="24"/>
          <w:szCs w:val="24"/>
          <w:highlight w:val="white"/>
        </w:rPr>
        <w:t>(2023).</w:t>
      </w:r>
      <w:r w:rsidRPr="00AE3179">
        <w:rPr>
          <w:sz w:val="24"/>
          <w:szCs w:val="24"/>
          <w:highlight w:val="white"/>
        </w:rPr>
        <w:t xml:space="preserve"> How biofilm changes our understanding of cleaning and disinfection. </w:t>
      </w:r>
      <w:r w:rsidRPr="00AE3179">
        <w:rPr>
          <w:i/>
          <w:iCs/>
          <w:sz w:val="24"/>
          <w:szCs w:val="24"/>
          <w:highlight w:val="white"/>
        </w:rPr>
        <w:t>Antimicrobial Resistance &amp; Infection Control</w:t>
      </w:r>
      <w:r w:rsidRPr="00AE3179">
        <w:rPr>
          <w:sz w:val="24"/>
          <w:szCs w:val="24"/>
          <w:highlight w:val="white"/>
        </w:rPr>
        <w:t xml:space="preserve">, </w:t>
      </w:r>
      <w:r w:rsidRPr="00AE3179">
        <w:rPr>
          <w:i/>
          <w:iCs/>
          <w:sz w:val="24"/>
          <w:szCs w:val="24"/>
          <w:highlight w:val="white"/>
        </w:rPr>
        <w:t>12</w:t>
      </w:r>
      <w:r w:rsidRPr="00AE3179">
        <w:rPr>
          <w:sz w:val="24"/>
          <w:szCs w:val="24"/>
          <w:highlight w:val="white"/>
        </w:rPr>
        <w:t>(1), p.95.</w:t>
      </w:r>
      <w:r w:rsidR="00B11F36">
        <w:rPr>
          <w:sz w:val="24"/>
          <w:szCs w:val="24"/>
          <w:highlight w:val="white"/>
        </w:rPr>
        <w:t xml:space="preserve"> </w:t>
      </w:r>
      <w:hyperlink r:id="rId70" w:history="1">
        <w:r w:rsidR="00B11F36" w:rsidRPr="008871FC">
          <w:rPr>
            <w:rStyle w:val="Hyperlink"/>
            <w:rFonts w:ascii="Helvetica" w:hAnsi="Helvetica" w:cs="Helvetica"/>
            <w:shd w:val="clear" w:color="auto" w:fill="FFFFFF"/>
          </w:rPr>
          <w:t>https://doi.org/10.1186/s13756-023-01290-4</w:t>
        </w:r>
      </w:hyperlink>
      <w:r w:rsidR="00B11F36">
        <w:rPr>
          <w:rFonts w:ascii="Helvetica" w:hAnsi="Helvetica" w:cs="Helvetica"/>
          <w:color w:val="222222"/>
          <w:shd w:val="clear" w:color="auto" w:fill="FFFFFF"/>
        </w:rPr>
        <w:t xml:space="preserve"> </w:t>
      </w:r>
    </w:p>
    <w:p w14:paraId="1BBE27BF" w14:textId="3F9DE610"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Mazhar, S.A., Anjum, R., Anwar, A.I. and Khan, A.A., </w:t>
      </w:r>
      <w:r w:rsidR="00E50ED2">
        <w:rPr>
          <w:sz w:val="24"/>
          <w:szCs w:val="24"/>
          <w:highlight w:val="white"/>
        </w:rPr>
        <w:t>(2021).</w:t>
      </w:r>
      <w:r w:rsidRPr="00AE3179">
        <w:rPr>
          <w:sz w:val="24"/>
          <w:szCs w:val="24"/>
          <w:highlight w:val="white"/>
        </w:rPr>
        <w:t xml:space="preserve"> Methods of data collection: A fundamental tool of research. </w:t>
      </w:r>
      <w:r w:rsidRPr="00AE3179">
        <w:rPr>
          <w:i/>
          <w:iCs/>
          <w:sz w:val="24"/>
          <w:szCs w:val="24"/>
          <w:highlight w:val="white"/>
        </w:rPr>
        <w:t>Journal of Integrated Community Health</w:t>
      </w:r>
      <w:r w:rsidRPr="00AE3179">
        <w:rPr>
          <w:sz w:val="24"/>
          <w:szCs w:val="24"/>
          <w:highlight w:val="white"/>
        </w:rPr>
        <w:t xml:space="preserve">, </w:t>
      </w:r>
      <w:r w:rsidRPr="00AE3179">
        <w:rPr>
          <w:i/>
          <w:iCs/>
          <w:sz w:val="24"/>
          <w:szCs w:val="24"/>
          <w:highlight w:val="white"/>
        </w:rPr>
        <w:t>10</w:t>
      </w:r>
      <w:r w:rsidRPr="00AE3179">
        <w:rPr>
          <w:sz w:val="24"/>
          <w:szCs w:val="24"/>
          <w:highlight w:val="white"/>
        </w:rPr>
        <w:t>(1), pp.6-10.</w:t>
      </w:r>
      <w:r w:rsidR="00B11F36">
        <w:rPr>
          <w:sz w:val="24"/>
          <w:szCs w:val="24"/>
          <w:highlight w:val="white"/>
        </w:rPr>
        <w:t xml:space="preserve"> </w:t>
      </w:r>
      <w:hyperlink r:id="rId71" w:history="1">
        <w:r w:rsidR="00B11F36" w:rsidRPr="008871FC">
          <w:rPr>
            <w:rStyle w:val="Hyperlink"/>
            <w:sz w:val="24"/>
            <w:szCs w:val="24"/>
          </w:rPr>
          <w:t>https://doi.org/10.24321/2319.9113.202101</w:t>
        </w:r>
      </w:hyperlink>
      <w:r w:rsidR="00B11F36">
        <w:rPr>
          <w:sz w:val="24"/>
          <w:szCs w:val="24"/>
        </w:rPr>
        <w:t xml:space="preserve"> </w:t>
      </w:r>
    </w:p>
    <w:p w14:paraId="690797DC" w14:textId="2FCD62D9"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McTaggart, E., Megiddo, I., Bowers, J. and Kleczkowski, A., </w:t>
      </w:r>
      <w:r w:rsidR="00E50ED2">
        <w:rPr>
          <w:rFonts w:eastAsia="Times New Roman"/>
          <w:sz w:val="24"/>
          <w:szCs w:val="24"/>
          <w:highlight w:val="white"/>
        </w:rPr>
        <w:t>(2025).</w:t>
      </w:r>
      <w:r w:rsidRPr="00AE3179">
        <w:rPr>
          <w:rFonts w:eastAsia="Times New Roman"/>
          <w:sz w:val="24"/>
          <w:szCs w:val="24"/>
          <w:highlight w:val="white"/>
        </w:rPr>
        <w:t xml:space="preserve"> Sickness absence rates in NHS England staff during the COVID-19 pandemic: Insights from multivariate regression and time series modelling. </w:t>
      </w:r>
      <w:r w:rsidRPr="00AE3179">
        <w:rPr>
          <w:rFonts w:eastAsia="Times New Roman"/>
          <w:i/>
          <w:iCs/>
          <w:sz w:val="24"/>
          <w:szCs w:val="24"/>
        </w:rPr>
        <w:t>Plos one</w:t>
      </w:r>
      <w:r w:rsidRPr="00AE3179">
        <w:rPr>
          <w:rFonts w:eastAsia="Times New Roman"/>
          <w:sz w:val="24"/>
          <w:szCs w:val="24"/>
        </w:rPr>
        <w:t xml:space="preserve">, </w:t>
      </w:r>
      <w:r w:rsidRPr="00AE3179">
        <w:rPr>
          <w:rFonts w:eastAsia="Times New Roman"/>
          <w:i/>
          <w:iCs/>
          <w:sz w:val="24"/>
          <w:szCs w:val="24"/>
        </w:rPr>
        <w:t>20</w:t>
      </w:r>
      <w:r w:rsidRPr="00AE3179">
        <w:rPr>
          <w:rFonts w:eastAsia="Times New Roman"/>
          <w:sz w:val="24"/>
          <w:szCs w:val="24"/>
        </w:rPr>
        <w:t>(7), p.e0323035.</w:t>
      </w:r>
      <w:r w:rsidR="00B11F36">
        <w:rPr>
          <w:rFonts w:eastAsia="Times New Roman"/>
          <w:sz w:val="24"/>
          <w:szCs w:val="24"/>
        </w:rPr>
        <w:t xml:space="preserve"> </w:t>
      </w:r>
      <w:hyperlink r:id="rId72" w:history="1">
        <w:r w:rsidR="00B11F36" w:rsidRPr="008871FC">
          <w:rPr>
            <w:rStyle w:val="Hyperlink"/>
            <w:rFonts w:eastAsia="Times New Roman"/>
            <w:sz w:val="24"/>
            <w:szCs w:val="24"/>
          </w:rPr>
          <w:t>https://doi.org/10.1371/journal.pone.0323035</w:t>
        </w:r>
      </w:hyperlink>
      <w:r w:rsidR="00B11F36">
        <w:rPr>
          <w:rFonts w:eastAsia="Times New Roman"/>
          <w:sz w:val="24"/>
          <w:szCs w:val="24"/>
        </w:rPr>
        <w:t xml:space="preserve"> </w:t>
      </w:r>
    </w:p>
    <w:p w14:paraId="6359CC14" w14:textId="711EB385"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Mendes, D., Wood, R., Seif, M. and Collings, S.L., </w:t>
      </w:r>
      <w:r w:rsidR="00E50ED2">
        <w:rPr>
          <w:color w:val="222222"/>
          <w:sz w:val="24"/>
          <w:szCs w:val="24"/>
          <w:shd w:val="clear" w:color="auto" w:fill="FFFFFF"/>
        </w:rPr>
        <w:t>(2024).</w:t>
      </w:r>
      <w:r w:rsidRPr="00AE3179">
        <w:rPr>
          <w:color w:val="222222"/>
          <w:sz w:val="24"/>
          <w:szCs w:val="24"/>
          <w:shd w:val="clear" w:color="auto" w:fill="FFFFFF"/>
        </w:rPr>
        <w:t xml:space="preserve"> Social care data in the UK; current landscape, challenges, and future recommendations. </w:t>
      </w:r>
      <w:r w:rsidRPr="00AE3179">
        <w:rPr>
          <w:i/>
          <w:iCs/>
          <w:color w:val="222222"/>
          <w:sz w:val="24"/>
          <w:szCs w:val="24"/>
          <w:shd w:val="clear" w:color="auto" w:fill="FFFFFF"/>
        </w:rPr>
        <w:t>Expert Review of Pharmacoeconomics &amp; Outcomes Research</w:t>
      </w:r>
      <w:r w:rsidRPr="00AE3179">
        <w:rPr>
          <w:color w:val="222222"/>
          <w:sz w:val="24"/>
          <w:szCs w:val="24"/>
          <w:shd w:val="clear" w:color="auto" w:fill="FFFFFF"/>
        </w:rPr>
        <w:t>, </w:t>
      </w:r>
      <w:r w:rsidRPr="00AE3179">
        <w:rPr>
          <w:i/>
          <w:iCs/>
          <w:color w:val="222222"/>
          <w:sz w:val="24"/>
          <w:szCs w:val="24"/>
          <w:shd w:val="clear" w:color="auto" w:fill="FFFFFF"/>
        </w:rPr>
        <w:t>24</w:t>
      </w:r>
      <w:r w:rsidRPr="00AE3179">
        <w:rPr>
          <w:color w:val="222222"/>
          <w:sz w:val="24"/>
          <w:szCs w:val="24"/>
          <w:shd w:val="clear" w:color="auto" w:fill="FFFFFF"/>
        </w:rPr>
        <w:t>(2), pp.303-314.</w:t>
      </w:r>
      <w:r w:rsidR="00B11F36">
        <w:rPr>
          <w:color w:val="222222"/>
          <w:sz w:val="24"/>
          <w:szCs w:val="24"/>
          <w:shd w:val="clear" w:color="auto" w:fill="FFFFFF"/>
        </w:rPr>
        <w:t xml:space="preserve"> </w:t>
      </w:r>
      <w:hyperlink r:id="rId73" w:history="1">
        <w:r w:rsidR="00B11F36" w:rsidRPr="008871FC">
          <w:rPr>
            <w:rStyle w:val="Hyperlink"/>
            <w:sz w:val="24"/>
            <w:szCs w:val="24"/>
            <w:shd w:val="clear" w:color="auto" w:fill="FFFFFF"/>
          </w:rPr>
          <w:t>https://doi.org/10.1080/14737167.2023.2274843</w:t>
        </w:r>
      </w:hyperlink>
      <w:r w:rsidR="00B11F36">
        <w:rPr>
          <w:color w:val="222222"/>
          <w:sz w:val="24"/>
          <w:szCs w:val="24"/>
          <w:shd w:val="clear" w:color="auto" w:fill="FFFFFF"/>
        </w:rPr>
        <w:t xml:space="preserve"> </w:t>
      </w:r>
    </w:p>
    <w:p w14:paraId="06F71075" w14:textId="4A00B257"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Miller, R., Glasby, J. and Dickinson, H., </w:t>
      </w:r>
      <w:r w:rsidR="00E50ED2">
        <w:rPr>
          <w:color w:val="222222"/>
          <w:sz w:val="24"/>
          <w:szCs w:val="24"/>
          <w:shd w:val="clear" w:color="auto" w:fill="FFFFFF"/>
        </w:rPr>
        <w:t>(2021).</w:t>
      </w:r>
      <w:r w:rsidRPr="00AE3179">
        <w:rPr>
          <w:color w:val="222222"/>
          <w:sz w:val="24"/>
          <w:szCs w:val="24"/>
          <w:shd w:val="clear" w:color="auto" w:fill="FFFFFF"/>
        </w:rPr>
        <w:t xml:space="preserve"> Integrated health and social care in England: ten years on. </w:t>
      </w:r>
      <w:r w:rsidRPr="00AE3179">
        <w:rPr>
          <w:i/>
          <w:iCs/>
          <w:color w:val="222222"/>
          <w:sz w:val="24"/>
          <w:szCs w:val="24"/>
          <w:shd w:val="clear" w:color="auto" w:fill="FFFFFF"/>
        </w:rPr>
        <w:t>International journal of integrated care</w:t>
      </w:r>
      <w:r w:rsidRPr="00AE3179">
        <w:rPr>
          <w:color w:val="222222"/>
          <w:sz w:val="24"/>
          <w:szCs w:val="24"/>
          <w:shd w:val="clear" w:color="auto" w:fill="FFFFFF"/>
        </w:rPr>
        <w:t>, </w:t>
      </w:r>
      <w:r w:rsidRPr="00AE3179">
        <w:rPr>
          <w:i/>
          <w:iCs/>
          <w:color w:val="222222"/>
          <w:sz w:val="24"/>
          <w:szCs w:val="24"/>
          <w:shd w:val="clear" w:color="auto" w:fill="FFFFFF"/>
        </w:rPr>
        <w:t>21</w:t>
      </w:r>
      <w:r w:rsidRPr="00AE3179">
        <w:rPr>
          <w:color w:val="222222"/>
          <w:sz w:val="24"/>
          <w:szCs w:val="24"/>
          <w:shd w:val="clear" w:color="auto" w:fill="FFFFFF"/>
        </w:rPr>
        <w:t>(4), p.6.</w:t>
      </w:r>
      <w:r w:rsidR="00B11F36">
        <w:rPr>
          <w:color w:val="222222"/>
          <w:sz w:val="24"/>
          <w:szCs w:val="24"/>
          <w:shd w:val="clear" w:color="auto" w:fill="FFFFFF"/>
        </w:rPr>
        <w:t xml:space="preserve"> </w:t>
      </w:r>
      <w:hyperlink r:id="rId74" w:history="1">
        <w:r w:rsidR="00B11F36" w:rsidRPr="008871FC">
          <w:rPr>
            <w:rStyle w:val="Hyperlink"/>
            <w:sz w:val="24"/>
            <w:szCs w:val="24"/>
            <w:shd w:val="clear" w:color="auto" w:fill="FFFFFF"/>
          </w:rPr>
          <w:t>https://doi.org/10.5334/ijic.5666</w:t>
        </w:r>
      </w:hyperlink>
      <w:r w:rsidR="00B11F36">
        <w:rPr>
          <w:color w:val="222222"/>
          <w:sz w:val="24"/>
          <w:szCs w:val="24"/>
          <w:shd w:val="clear" w:color="auto" w:fill="FFFFFF"/>
        </w:rPr>
        <w:t xml:space="preserve"> </w:t>
      </w:r>
    </w:p>
    <w:p w14:paraId="4F3F0F47" w14:textId="3221FFBD"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Minervini, G., Franco, R., Marrapodi, M.M., Di Blasio, M., Isola, G. and Cicciu, M., </w:t>
      </w:r>
      <w:r w:rsidR="00E50ED2">
        <w:rPr>
          <w:sz w:val="24"/>
          <w:szCs w:val="24"/>
          <w:highlight w:val="white"/>
        </w:rPr>
        <w:t>(2023).</w:t>
      </w:r>
      <w:r w:rsidRPr="00AE3179">
        <w:rPr>
          <w:sz w:val="24"/>
          <w:szCs w:val="24"/>
          <w:highlight w:val="white"/>
        </w:rPr>
        <w:t xml:space="preserve"> Conservative treatment of temporomandibular joint condylar fractures: A systematic review conducted according to PRISMA guidelines and the Cochrane Handbook for Systematic Reviews of Interventions. </w:t>
      </w:r>
      <w:r w:rsidRPr="00AE3179">
        <w:rPr>
          <w:i/>
          <w:iCs/>
          <w:sz w:val="24"/>
          <w:szCs w:val="24"/>
          <w:highlight w:val="white"/>
        </w:rPr>
        <w:t>Journal of Oral Rehabilitation</w:t>
      </w:r>
      <w:r w:rsidRPr="00AE3179">
        <w:rPr>
          <w:sz w:val="24"/>
          <w:szCs w:val="24"/>
          <w:highlight w:val="white"/>
        </w:rPr>
        <w:t xml:space="preserve">, </w:t>
      </w:r>
      <w:r w:rsidRPr="00AE3179">
        <w:rPr>
          <w:i/>
          <w:iCs/>
          <w:sz w:val="24"/>
          <w:szCs w:val="24"/>
          <w:highlight w:val="white"/>
        </w:rPr>
        <w:t>50</w:t>
      </w:r>
      <w:r w:rsidRPr="00AE3179">
        <w:rPr>
          <w:sz w:val="24"/>
          <w:szCs w:val="24"/>
          <w:highlight w:val="white"/>
        </w:rPr>
        <w:t>(9), pp.886-893.</w:t>
      </w:r>
      <w:r w:rsidR="00B11F36">
        <w:rPr>
          <w:sz w:val="24"/>
          <w:szCs w:val="24"/>
          <w:highlight w:val="white"/>
        </w:rPr>
        <w:t xml:space="preserve"> </w:t>
      </w:r>
      <w:hyperlink r:id="rId75" w:history="1">
        <w:r w:rsidR="00B11F36" w:rsidRPr="008871FC">
          <w:rPr>
            <w:rStyle w:val="Hyperlink"/>
            <w:sz w:val="24"/>
            <w:szCs w:val="24"/>
          </w:rPr>
          <w:t>https://doi.org/10.1111/joor.13497</w:t>
        </w:r>
      </w:hyperlink>
      <w:r w:rsidR="00B11F36">
        <w:rPr>
          <w:sz w:val="24"/>
          <w:szCs w:val="24"/>
        </w:rPr>
        <w:t xml:space="preserve"> </w:t>
      </w:r>
    </w:p>
    <w:p w14:paraId="4139E82A" w14:textId="3AE6564F"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lastRenderedPageBreak/>
        <w:t xml:space="preserve">Mitra, A., </w:t>
      </w:r>
      <w:r w:rsidR="00E50ED2">
        <w:rPr>
          <w:rFonts w:eastAsia="Times New Roman"/>
          <w:sz w:val="24"/>
          <w:szCs w:val="24"/>
          <w:highlight w:val="white"/>
        </w:rPr>
        <w:t>(2024).</w:t>
      </w:r>
      <w:r w:rsidRPr="00AE3179">
        <w:rPr>
          <w:rFonts w:eastAsia="Times New Roman"/>
          <w:sz w:val="24"/>
          <w:szCs w:val="24"/>
          <w:highlight w:val="white"/>
        </w:rPr>
        <w:t xml:space="preserve"> Combatting biofilm-mediated infections in clinical settings by targeting quorum sensing. </w:t>
      </w:r>
      <w:r w:rsidRPr="00AE3179">
        <w:rPr>
          <w:rFonts w:eastAsia="Times New Roman"/>
          <w:i/>
          <w:iCs/>
          <w:sz w:val="24"/>
          <w:szCs w:val="24"/>
        </w:rPr>
        <w:t>The Cell Surface</w:t>
      </w:r>
      <w:r w:rsidRPr="00AE3179">
        <w:rPr>
          <w:rFonts w:eastAsia="Times New Roman"/>
          <w:sz w:val="24"/>
          <w:szCs w:val="24"/>
        </w:rPr>
        <w:t xml:space="preserve">, </w:t>
      </w:r>
      <w:r w:rsidRPr="00AE3179">
        <w:rPr>
          <w:rFonts w:eastAsia="Times New Roman"/>
          <w:i/>
          <w:iCs/>
          <w:sz w:val="24"/>
          <w:szCs w:val="24"/>
        </w:rPr>
        <w:t>12</w:t>
      </w:r>
      <w:r w:rsidRPr="00AE3179">
        <w:rPr>
          <w:rFonts w:eastAsia="Times New Roman"/>
          <w:sz w:val="24"/>
          <w:szCs w:val="24"/>
        </w:rPr>
        <w:t>, p.100133.</w:t>
      </w:r>
      <w:r w:rsidR="00B11F36">
        <w:rPr>
          <w:rFonts w:eastAsia="Times New Roman"/>
          <w:sz w:val="24"/>
          <w:szCs w:val="24"/>
        </w:rPr>
        <w:t xml:space="preserve"> </w:t>
      </w:r>
      <w:hyperlink r:id="rId76" w:history="1">
        <w:r w:rsidR="00B11F36" w:rsidRPr="008871FC">
          <w:rPr>
            <w:rStyle w:val="Hyperlink"/>
            <w:rFonts w:eastAsia="Times New Roman"/>
            <w:sz w:val="24"/>
            <w:szCs w:val="24"/>
          </w:rPr>
          <w:t>https://doi.org/10.1016/j.tcsw.2024.100133</w:t>
        </w:r>
      </w:hyperlink>
      <w:r w:rsidR="00B11F36">
        <w:rPr>
          <w:rFonts w:eastAsia="Times New Roman"/>
          <w:sz w:val="24"/>
          <w:szCs w:val="24"/>
        </w:rPr>
        <w:t xml:space="preserve"> </w:t>
      </w:r>
    </w:p>
    <w:p w14:paraId="658C7723" w14:textId="0C04A0D4"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Moore, C., Unwin, P., Evans, N. and Howie, F., </w:t>
      </w:r>
      <w:r w:rsidR="00E50ED2">
        <w:rPr>
          <w:color w:val="222222"/>
          <w:sz w:val="24"/>
          <w:szCs w:val="24"/>
          <w:shd w:val="clear" w:color="auto" w:fill="FFFFFF"/>
        </w:rPr>
        <w:t>(2022).</w:t>
      </w:r>
      <w:r w:rsidRPr="00AE3179">
        <w:rPr>
          <w:color w:val="222222"/>
          <w:sz w:val="24"/>
          <w:szCs w:val="24"/>
          <w:shd w:val="clear" w:color="auto" w:fill="FFFFFF"/>
        </w:rPr>
        <w:t xml:space="preserve"> Social prescribing: Exploring general practitioners' and healthcare professionals' perceptions of, and engagement with, the NHS model. </w:t>
      </w:r>
      <w:r w:rsidRPr="00AE3179">
        <w:rPr>
          <w:i/>
          <w:iCs/>
          <w:color w:val="222222"/>
          <w:sz w:val="24"/>
          <w:szCs w:val="24"/>
          <w:shd w:val="clear" w:color="auto" w:fill="FFFFFF"/>
        </w:rPr>
        <w:t>Health &amp; Social Care in the Community</w:t>
      </w:r>
      <w:r w:rsidRPr="00AE3179">
        <w:rPr>
          <w:color w:val="222222"/>
          <w:sz w:val="24"/>
          <w:szCs w:val="24"/>
          <w:shd w:val="clear" w:color="auto" w:fill="FFFFFF"/>
        </w:rPr>
        <w:t>, </w:t>
      </w:r>
      <w:r w:rsidRPr="00AE3179">
        <w:rPr>
          <w:i/>
          <w:iCs/>
          <w:color w:val="222222"/>
          <w:sz w:val="24"/>
          <w:szCs w:val="24"/>
          <w:shd w:val="clear" w:color="auto" w:fill="FFFFFF"/>
        </w:rPr>
        <w:t>30</w:t>
      </w:r>
      <w:r w:rsidRPr="00AE3179">
        <w:rPr>
          <w:color w:val="222222"/>
          <w:sz w:val="24"/>
          <w:szCs w:val="24"/>
          <w:shd w:val="clear" w:color="auto" w:fill="FFFFFF"/>
        </w:rPr>
        <w:t>(6), pp.e5176-e5185.</w:t>
      </w:r>
      <w:r w:rsidR="00B11F36">
        <w:rPr>
          <w:color w:val="222222"/>
          <w:sz w:val="24"/>
          <w:szCs w:val="24"/>
          <w:shd w:val="clear" w:color="auto" w:fill="FFFFFF"/>
        </w:rPr>
        <w:t xml:space="preserve"> </w:t>
      </w:r>
      <w:hyperlink r:id="rId77" w:history="1">
        <w:r w:rsidR="00B11F36" w:rsidRPr="008871FC">
          <w:rPr>
            <w:rStyle w:val="Hyperlink"/>
            <w:sz w:val="24"/>
            <w:szCs w:val="24"/>
            <w:shd w:val="clear" w:color="auto" w:fill="FFFFFF"/>
          </w:rPr>
          <w:t>https://doi.org/10.1111/hsc.13935</w:t>
        </w:r>
      </w:hyperlink>
      <w:r w:rsidR="00B11F36">
        <w:rPr>
          <w:color w:val="222222"/>
          <w:sz w:val="24"/>
          <w:szCs w:val="24"/>
          <w:shd w:val="clear" w:color="auto" w:fill="FFFFFF"/>
        </w:rPr>
        <w:t xml:space="preserve"> </w:t>
      </w:r>
    </w:p>
    <w:p w14:paraId="58C3586C" w14:textId="59ADEF6C"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Murugaiyan, J., Kumar, P.A., Rao, G.S., Iskandar, K., Hawser, S., Hays, J.P., Mohsen, Y., Adukkadukkam, S., Awuah, W.A., Jose, R.A.M. and Sylvia, N., </w:t>
      </w:r>
      <w:r w:rsidR="00E50ED2">
        <w:rPr>
          <w:sz w:val="24"/>
          <w:szCs w:val="24"/>
          <w:shd w:val="clear" w:color="auto" w:fill="FFFFFF"/>
        </w:rPr>
        <w:t>(2022).</w:t>
      </w:r>
      <w:r w:rsidRPr="00AE3179">
        <w:rPr>
          <w:sz w:val="24"/>
          <w:szCs w:val="24"/>
          <w:shd w:val="clear" w:color="auto" w:fill="FFFFFF"/>
        </w:rPr>
        <w:t xml:space="preserve"> Progress in alternative strategies to combat antimicrobial resistance: focus on antibiotics. </w:t>
      </w:r>
      <w:r w:rsidRPr="00AE3179">
        <w:rPr>
          <w:i/>
          <w:iCs/>
          <w:sz w:val="24"/>
          <w:szCs w:val="24"/>
          <w:shd w:val="clear" w:color="auto" w:fill="FFFFFF"/>
        </w:rPr>
        <w:t>Antibiotics</w:t>
      </w:r>
      <w:r w:rsidRPr="00AE3179">
        <w:rPr>
          <w:sz w:val="24"/>
          <w:szCs w:val="24"/>
          <w:shd w:val="clear" w:color="auto" w:fill="FFFFFF"/>
        </w:rPr>
        <w:t>, </w:t>
      </w:r>
      <w:r w:rsidRPr="00AE3179">
        <w:rPr>
          <w:i/>
          <w:iCs/>
          <w:sz w:val="24"/>
          <w:szCs w:val="24"/>
          <w:shd w:val="clear" w:color="auto" w:fill="FFFFFF"/>
        </w:rPr>
        <w:t>11</w:t>
      </w:r>
      <w:r w:rsidRPr="00AE3179">
        <w:rPr>
          <w:sz w:val="24"/>
          <w:szCs w:val="24"/>
          <w:shd w:val="clear" w:color="auto" w:fill="FFFFFF"/>
        </w:rPr>
        <w:t>(2), p.200.</w:t>
      </w:r>
      <w:r w:rsidR="00B11F36">
        <w:rPr>
          <w:sz w:val="24"/>
          <w:szCs w:val="24"/>
          <w:shd w:val="clear" w:color="auto" w:fill="FFFFFF"/>
        </w:rPr>
        <w:t xml:space="preserve"> </w:t>
      </w:r>
      <w:hyperlink r:id="rId78" w:history="1">
        <w:r w:rsidR="00B11F36" w:rsidRPr="008871FC">
          <w:rPr>
            <w:rStyle w:val="Hyperlink"/>
            <w:sz w:val="24"/>
            <w:szCs w:val="24"/>
            <w:shd w:val="clear" w:color="auto" w:fill="FFFFFF"/>
          </w:rPr>
          <w:t>https://doi.org/10.3390/antibiotics11020200</w:t>
        </w:r>
      </w:hyperlink>
      <w:r w:rsidR="00B11F36">
        <w:rPr>
          <w:sz w:val="24"/>
          <w:szCs w:val="24"/>
          <w:shd w:val="clear" w:color="auto" w:fill="FFFFFF"/>
        </w:rPr>
        <w:t xml:space="preserve"> </w:t>
      </w:r>
    </w:p>
    <w:p w14:paraId="592417DA" w14:textId="1E9043AD"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Mwanja, H., Waswa, J.P., Kiggundu, R., Mackline, H., Bulwadda, D., Byonanebye, D.M., Kambugu, A. and Kakooza, F., </w:t>
      </w:r>
      <w:r w:rsidR="00E50ED2">
        <w:rPr>
          <w:rFonts w:eastAsia="Times New Roman"/>
          <w:color w:val="222222"/>
          <w:sz w:val="24"/>
          <w:szCs w:val="24"/>
          <w:shd w:val="clear" w:color="auto" w:fill="FFFFFF"/>
          <w:lang w:val="en-IN"/>
        </w:rPr>
        <w:t>(2024).</w:t>
      </w:r>
      <w:r w:rsidRPr="00AE3179">
        <w:rPr>
          <w:rFonts w:eastAsia="Times New Roman"/>
          <w:color w:val="222222"/>
          <w:sz w:val="24"/>
          <w:szCs w:val="24"/>
          <w:shd w:val="clear" w:color="auto" w:fill="FFFFFF"/>
          <w:lang w:val="en-IN"/>
        </w:rPr>
        <w:t xml:space="preserve"> Utility of syndromic surveillance for the surveillance of healthcare-associated infections in resource-limited settings: a narrative review. </w:t>
      </w:r>
      <w:r w:rsidRPr="00AE3179">
        <w:rPr>
          <w:rFonts w:eastAsia="Times New Roman"/>
          <w:i/>
          <w:iCs/>
          <w:color w:val="222222"/>
          <w:sz w:val="24"/>
          <w:szCs w:val="24"/>
          <w:shd w:val="clear" w:color="auto" w:fill="FFFFFF"/>
          <w:lang w:val="en-IN"/>
        </w:rPr>
        <w:t>Frontiers in Microbiology</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15</w:t>
      </w:r>
      <w:r w:rsidRPr="00AE3179">
        <w:rPr>
          <w:rFonts w:eastAsia="Times New Roman"/>
          <w:color w:val="222222"/>
          <w:sz w:val="24"/>
          <w:szCs w:val="24"/>
          <w:shd w:val="clear" w:color="auto" w:fill="FFFFFF"/>
          <w:lang w:val="en-IN"/>
        </w:rPr>
        <w:t>, p.1493511.</w:t>
      </w:r>
      <w:r w:rsidR="00B11F36">
        <w:rPr>
          <w:rFonts w:eastAsia="Times New Roman"/>
          <w:color w:val="222222"/>
          <w:sz w:val="24"/>
          <w:szCs w:val="24"/>
          <w:shd w:val="clear" w:color="auto" w:fill="FFFFFF"/>
          <w:lang w:val="en-IN"/>
        </w:rPr>
        <w:t xml:space="preserve"> </w:t>
      </w:r>
      <w:hyperlink r:id="rId79" w:history="1">
        <w:r w:rsidR="00B11F36" w:rsidRPr="008871FC">
          <w:rPr>
            <w:rStyle w:val="Hyperlink"/>
            <w:rFonts w:eastAsia="Times New Roman"/>
            <w:sz w:val="24"/>
            <w:szCs w:val="24"/>
            <w:shd w:val="clear" w:color="auto" w:fill="FFFFFF"/>
            <w:lang w:val="en-IN"/>
          </w:rPr>
          <w:t>https://doi.org/10.3389/fmicb.2024.1493511</w:t>
        </w:r>
      </w:hyperlink>
      <w:r w:rsidR="00B11F36">
        <w:rPr>
          <w:rFonts w:eastAsia="Times New Roman"/>
          <w:color w:val="222222"/>
          <w:sz w:val="24"/>
          <w:szCs w:val="24"/>
          <w:shd w:val="clear" w:color="auto" w:fill="FFFFFF"/>
          <w:lang w:val="en-IN"/>
        </w:rPr>
        <w:t xml:space="preserve"> </w:t>
      </w:r>
    </w:p>
    <w:p w14:paraId="58B3E042" w14:textId="61709239"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Nachiyar, C.V., Sunkar, S., Nellore, J., Renugadevi, K., Namasivayam, S.K.R., Bavanilatha, M., Prakash, P., Prabavathy, D. and Sudha, S., </w:t>
      </w:r>
      <w:r w:rsidR="00E50ED2">
        <w:rPr>
          <w:sz w:val="24"/>
          <w:szCs w:val="24"/>
          <w:highlight w:val="white"/>
        </w:rPr>
        <w:t>(2025).</w:t>
      </w:r>
      <w:r w:rsidRPr="00AE3179">
        <w:rPr>
          <w:sz w:val="24"/>
          <w:szCs w:val="24"/>
          <w:highlight w:val="white"/>
        </w:rPr>
        <w:t xml:space="preserve"> Microbial disease resistance mechanisms with special reference to quorum sensing and quorum quenching: a review. </w:t>
      </w:r>
      <w:r w:rsidRPr="00AE3179">
        <w:rPr>
          <w:i/>
          <w:iCs/>
          <w:sz w:val="24"/>
          <w:szCs w:val="24"/>
          <w:highlight w:val="white"/>
        </w:rPr>
        <w:t>Discover Biotechnology</w:t>
      </w:r>
      <w:r w:rsidRPr="00AE3179">
        <w:rPr>
          <w:sz w:val="24"/>
          <w:szCs w:val="24"/>
          <w:highlight w:val="white"/>
        </w:rPr>
        <w:t xml:space="preserve">, </w:t>
      </w:r>
      <w:r w:rsidRPr="00AE3179">
        <w:rPr>
          <w:i/>
          <w:iCs/>
          <w:sz w:val="24"/>
          <w:szCs w:val="24"/>
          <w:highlight w:val="white"/>
        </w:rPr>
        <w:t>2</w:t>
      </w:r>
      <w:r w:rsidRPr="00AE3179">
        <w:rPr>
          <w:sz w:val="24"/>
          <w:szCs w:val="24"/>
          <w:highlight w:val="white"/>
        </w:rPr>
        <w:t>(1), p.9.</w:t>
      </w:r>
      <w:r w:rsidR="00B11F36">
        <w:rPr>
          <w:sz w:val="24"/>
          <w:szCs w:val="24"/>
          <w:highlight w:val="white"/>
        </w:rPr>
        <w:t xml:space="preserve"> </w:t>
      </w:r>
      <w:hyperlink r:id="rId80" w:history="1">
        <w:r w:rsidR="00B11F36" w:rsidRPr="008871FC">
          <w:rPr>
            <w:rStyle w:val="Hyperlink"/>
            <w:rFonts w:ascii="Helvetica" w:hAnsi="Helvetica" w:cs="Helvetica"/>
            <w:shd w:val="clear" w:color="auto" w:fill="FFFFFF"/>
          </w:rPr>
          <w:t>https://doi.org/10.1007/s44340-025-00017-y</w:t>
        </w:r>
      </w:hyperlink>
      <w:r w:rsidR="00B11F36">
        <w:rPr>
          <w:rFonts w:ascii="Helvetica" w:hAnsi="Helvetica" w:cs="Helvetica"/>
          <w:color w:val="222222"/>
          <w:shd w:val="clear" w:color="auto" w:fill="FFFFFF"/>
        </w:rPr>
        <w:t xml:space="preserve"> </w:t>
      </w:r>
    </w:p>
    <w:p w14:paraId="07AF2A8F" w14:textId="7B80EE08"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Naga, N.G., El-Badan, D.E., Ghanem, K.M. and Shaaban, M.I., </w:t>
      </w:r>
      <w:r w:rsidR="00E50ED2">
        <w:rPr>
          <w:sz w:val="24"/>
          <w:szCs w:val="24"/>
          <w:highlight w:val="white"/>
        </w:rPr>
        <w:t>(2023).</w:t>
      </w:r>
      <w:r w:rsidRPr="00AE3179">
        <w:rPr>
          <w:sz w:val="24"/>
          <w:szCs w:val="24"/>
          <w:highlight w:val="white"/>
        </w:rPr>
        <w:t xml:space="preserve"> It is the time for quorum sensing inhibition as alternative strategy of antimicrobial therapy. </w:t>
      </w:r>
      <w:r w:rsidRPr="00AE3179">
        <w:rPr>
          <w:i/>
          <w:iCs/>
          <w:sz w:val="24"/>
          <w:szCs w:val="24"/>
          <w:highlight w:val="white"/>
        </w:rPr>
        <w:t>Cell Communication and Signaling</w:t>
      </w:r>
      <w:r w:rsidRPr="00AE3179">
        <w:rPr>
          <w:sz w:val="24"/>
          <w:szCs w:val="24"/>
          <w:highlight w:val="white"/>
        </w:rPr>
        <w:t xml:space="preserve">, </w:t>
      </w:r>
      <w:r w:rsidRPr="00AE3179">
        <w:rPr>
          <w:i/>
          <w:iCs/>
          <w:sz w:val="24"/>
          <w:szCs w:val="24"/>
          <w:highlight w:val="white"/>
        </w:rPr>
        <w:t>21</w:t>
      </w:r>
      <w:r w:rsidRPr="00AE3179">
        <w:rPr>
          <w:sz w:val="24"/>
          <w:szCs w:val="24"/>
          <w:highlight w:val="white"/>
        </w:rPr>
        <w:t>(1), pp.1-14.</w:t>
      </w:r>
      <w:r w:rsidR="00B11F36">
        <w:rPr>
          <w:sz w:val="24"/>
          <w:szCs w:val="24"/>
          <w:highlight w:val="white"/>
        </w:rPr>
        <w:t xml:space="preserve"> </w:t>
      </w:r>
      <w:hyperlink r:id="rId81" w:history="1">
        <w:r w:rsidR="00B11F36" w:rsidRPr="008871FC">
          <w:rPr>
            <w:rStyle w:val="Hyperlink"/>
            <w:rFonts w:ascii="Helvetica" w:hAnsi="Helvetica" w:cs="Helvetica"/>
            <w:shd w:val="clear" w:color="auto" w:fill="FFFFFF"/>
          </w:rPr>
          <w:t>https://doi.org/10.1186/s12964-023-01154-9</w:t>
        </w:r>
      </w:hyperlink>
      <w:r w:rsidR="00B11F36">
        <w:rPr>
          <w:rFonts w:ascii="Helvetica" w:hAnsi="Helvetica" w:cs="Helvetica"/>
          <w:color w:val="222222"/>
          <w:shd w:val="clear" w:color="auto" w:fill="FFFFFF"/>
        </w:rPr>
        <w:t xml:space="preserve"> </w:t>
      </w:r>
    </w:p>
    <w:p w14:paraId="6600569C" w14:textId="4F8FCDCE"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Oliveira, M., Antunes, W., Mota, S., Madureira-Carvalho, Á., Dinis-Oliveira, R.J. and Dias da Silva, D., </w:t>
      </w:r>
      <w:r w:rsidR="00E50ED2">
        <w:rPr>
          <w:rFonts w:eastAsia="Times New Roman"/>
          <w:color w:val="222222"/>
          <w:sz w:val="24"/>
          <w:szCs w:val="24"/>
          <w:shd w:val="clear" w:color="auto" w:fill="FFFFFF"/>
          <w:lang w:val="en-IN"/>
        </w:rPr>
        <w:t>(2024).</w:t>
      </w:r>
      <w:r w:rsidRPr="00AE3179">
        <w:rPr>
          <w:rFonts w:eastAsia="Times New Roman"/>
          <w:color w:val="222222"/>
          <w:sz w:val="24"/>
          <w:szCs w:val="24"/>
          <w:shd w:val="clear" w:color="auto" w:fill="FFFFFF"/>
          <w:lang w:val="en-IN"/>
        </w:rPr>
        <w:t xml:space="preserve"> An overview of the recent advances in antimicrobial resistance. </w:t>
      </w:r>
      <w:r w:rsidRPr="00AE3179">
        <w:rPr>
          <w:rFonts w:eastAsia="Times New Roman"/>
          <w:i/>
          <w:iCs/>
          <w:color w:val="222222"/>
          <w:sz w:val="24"/>
          <w:szCs w:val="24"/>
          <w:shd w:val="clear" w:color="auto" w:fill="FFFFFF"/>
          <w:lang w:val="en-IN"/>
        </w:rPr>
        <w:t>Microorganisms</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12</w:t>
      </w:r>
      <w:r w:rsidRPr="00AE3179">
        <w:rPr>
          <w:rFonts w:eastAsia="Times New Roman"/>
          <w:color w:val="222222"/>
          <w:sz w:val="24"/>
          <w:szCs w:val="24"/>
          <w:shd w:val="clear" w:color="auto" w:fill="FFFFFF"/>
          <w:lang w:val="en-IN"/>
        </w:rPr>
        <w:t>(9), p.1920.</w:t>
      </w:r>
      <w:r w:rsidR="00B11F36">
        <w:rPr>
          <w:rFonts w:eastAsia="Times New Roman"/>
          <w:color w:val="222222"/>
          <w:sz w:val="24"/>
          <w:szCs w:val="24"/>
          <w:shd w:val="clear" w:color="auto" w:fill="FFFFFF"/>
          <w:lang w:val="en-IN"/>
        </w:rPr>
        <w:t xml:space="preserve"> </w:t>
      </w:r>
      <w:hyperlink r:id="rId82" w:history="1">
        <w:r w:rsidR="00B11F36" w:rsidRPr="008871FC">
          <w:rPr>
            <w:rStyle w:val="Hyperlink"/>
            <w:rFonts w:eastAsia="Times New Roman"/>
            <w:sz w:val="24"/>
            <w:szCs w:val="24"/>
            <w:shd w:val="clear" w:color="auto" w:fill="FFFFFF"/>
            <w:lang w:val="en-IN"/>
          </w:rPr>
          <w:t>https://doi.org/10.3390/microorganisms12091920</w:t>
        </w:r>
      </w:hyperlink>
      <w:r w:rsidR="00B11F36">
        <w:rPr>
          <w:rFonts w:eastAsia="Times New Roman"/>
          <w:color w:val="222222"/>
          <w:sz w:val="24"/>
          <w:szCs w:val="24"/>
          <w:shd w:val="clear" w:color="auto" w:fill="FFFFFF"/>
          <w:lang w:val="en-IN"/>
        </w:rPr>
        <w:t xml:space="preserve"> </w:t>
      </w:r>
    </w:p>
    <w:p w14:paraId="36079463" w14:textId="7B5B4697"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Omwenga, E.O. and Awuor, S.O., </w:t>
      </w:r>
      <w:r w:rsidR="00E50ED2">
        <w:rPr>
          <w:rFonts w:eastAsia="Times New Roman"/>
          <w:sz w:val="24"/>
          <w:szCs w:val="24"/>
          <w:highlight w:val="white"/>
        </w:rPr>
        <w:t>(2024).</w:t>
      </w:r>
      <w:r w:rsidRPr="00AE3179">
        <w:rPr>
          <w:rFonts w:eastAsia="Times New Roman"/>
          <w:sz w:val="24"/>
          <w:szCs w:val="24"/>
          <w:highlight w:val="white"/>
        </w:rPr>
        <w:t xml:space="preserve"> The bacterial biofilms: formation, impacts, and possible management targets in the healthcare system. </w:t>
      </w:r>
      <w:r w:rsidRPr="00AE3179">
        <w:rPr>
          <w:rFonts w:eastAsia="Times New Roman"/>
          <w:i/>
          <w:iCs/>
          <w:sz w:val="24"/>
          <w:szCs w:val="24"/>
        </w:rPr>
        <w:t xml:space="preserve">Canadian </w:t>
      </w:r>
      <w:r w:rsidRPr="00AE3179">
        <w:rPr>
          <w:rFonts w:eastAsia="Times New Roman"/>
          <w:i/>
          <w:iCs/>
          <w:sz w:val="24"/>
          <w:szCs w:val="24"/>
        </w:rPr>
        <w:lastRenderedPageBreak/>
        <w:t>Journal of Infectious Diseases and Medical Microbiology</w:t>
      </w:r>
      <w:r w:rsidRPr="00AE3179">
        <w:rPr>
          <w:rFonts w:eastAsia="Times New Roman"/>
          <w:sz w:val="24"/>
          <w:szCs w:val="24"/>
        </w:rPr>
        <w:t xml:space="preserve">, </w:t>
      </w:r>
      <w:r w:rsidRPr="00AE3179">
        <w:rPr>
          <w:rFonts w:eastAsia="Times New Roman"/>
          <w:i/>
          <w:iCs/>
          <w:sz w:val="24"/>
          <w:szCs w:val="24"/>
        </w:rPr>
        <w:t>2024</w:t>
      </w:r>
      <w:r w:rsidRPr="00AE3179">
        <w:rPr>
          <w:rFonts w:eastAsia="Times New Roman"/>
          <w:sz w:val="24"/>
          <w:szCs w:val="24"/>
        </w:rPr>
        <w:t>(1), p.1542576.</w:t>
      </w:r>
      <w:r w:rsidR="00B11F36">
        <w:rPr>
          <w:rFonts w:eastAsia="Times New Roman"/>
          <w:sz w:val="24"/>
          <w:szCs w:val="24"/>
        </w:rPr>
        <w:t xml:space="preserve"> </w:t>
      </w:r>
      <w:hyperlink r:id="rId83" w:history="1">
        <w:r w:rsidR="00B11F36" w:rsidRPr="008871FC">
          <w:rPr>
            <w:rStyle w:val="Hyperlink"/>
            <w:rFonts w:eastAsia="Times New Roman"/>
            <w:sz w:val="24"/>
            <w:szCs w:val="24"/>
          </w:rPr>
          <w:t>https://doi.org/10.1155/cjid/1542576</w:t>
        </w:r>
      </w:hyperlink>
      <w:r w:rsidR="00B11F36">
        <w:rPr>
          <w:rFonts w:eastAsia="Times New Roman"/>
          <w:sz w:val="24"/>
          <w:szCs w:val="24"/>
        </w:rPr>
        <w:t xml:space="preserve"> </w:t>
      </w:r>
    </w:p>
    <w:p w14:paraId="5BD45B27" w14:textId="28706304"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Phillips, C., Deacon, L. and Burrows, D., </w:t>
      </w:r>
      <w:r w:rsidR="00E50ED2">
        <w:rPr>
          <w:color w:val="222222"/>
          <w:sz w:val="24"/>
          <w:szCs w:val="24"/>
          <w:shd w:val="clear" w:color="auto" w:fill="FFFFFF"/>
        </w:rPr>
        <w:t>(2024).</w:t>
      </w:r>
      <w:r w:rsidRPr="00AE3179">
        <w:rPr>
          <w:color w:val="222222"/>
          <w:sz w:val="24"/>
          <w:szCs w:val="24"/>
          <w:shd w:val="clear" w:color="auto" w:fill="FFFFFF"/>
        </w:rPr>
        <w:t xml:space="preserve"> Social work in NHS hospitals: Opportunities and challenges.</w:t>
      </w:r>
      <w:r w:rsidR="00891E48">
        <w:rPr>
          <w:color w:val="222222"/>
          <w:sz w:val="24"/>
          <w:szCs w:val="24"/>
          <w:shd w:val="clear" w:color="auto" w:fill="FFFFFF"/>
        </w:rPr>
        <w:t xml:space="preserve"> </w:t>
      </w:r>
      <w:hyperlink r:id="rId84" w:history="1">
        <w:r w:rsidR="00891E48" w:rsidRPr="008871FC">
          <w:rPr>
            <w:rStyle w:val="Hyperlink"/>
            <w:sz w:val="24"/>
            <w:szCs w:val="24"/>
            <w:shd w:val="clear" w:color="auto" w:fill="FFFFFF"/>
          </w:rPr>
          <w:t>https://sure.sunderland.ac.uk/id/eprint/18143/1/181354%20Social%20work%20in%20NHS%20hospitals.pdf</w:t>
        </w:r>
      </w:hyperlink>
      <w:r w:rsidR="00891E48">
        <w:rPr>
          <w:color w:val="222222"/>
          <w:sz w:val="24"/>
          <w:szCs w:val="24"/>
          <w:shd w:val="clear" w:color="auto" w:fill="FFFFFF"/>
        </w:rPr>
        <w:t xml:space="preserve"> </w:t>
      </w:r>
    </w:p>
    <w:p w14:paraId="7CB9C20D" w14:textId="0E99BA59"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Pryce-Miller, M., Bliss, E., Airey, A., Garvey, A. and Pennington, C.R., </w:t>
      </w:r>
      <w:r w:rsidR="00E50ED2">
        <w:rPr>
          <w:color w:val="222222"/>
          <w:sz w:val="24"/>
          <w:szCs w:val="24"/>
          <w:shd w:val="clear" w:color="auto" w:fill="FFFFFF"/>
        </w:rPr>
        <w:t>(2023).</w:t>
      </w:r>
      <w:r w:rsidRPr="00AE3179">
        <w:rPr>
          <w:color w:val="222222"/>
          <w:sz w:val="24"/>
          <w:szCs w:val="24"/>
          <w:shd w:val="clear" w:color="auto" w:fill="FFFFFF"/>
        </w:rPr>
        <w:t xml:space="preserve"> The lived experiences of racial bias for black, Asian and minority ethnic students in practice: a hermeneutic phenomenological study. </w:t>
      </w:r>
      <w:r w:rsidRPr="00AE3179">
        <w:rPr>
          <w:i/>
          <w:iCs/>
          <w:color w:val="222222"/>
          <w:sz w:val="24"/>
          <w:szCs w:val="24"/>
          <w:shd w:val="clear" w:color="auto" w:fill="FFFFFF"/>
        </w:rPr>
        <w:t>Nurse Education in Practice</w:t>
      </w:r>
      <w:r w:rsidRPr="00AE3179">
        <w:rPr>
          <w:color w:val="222222"/>
          <w:sz w:val="24"/>
          <w:szCs w:val="24"/>
          <w:shd w:val="clear" w:color="auto" w:fill="FFFFFF"/>
        </w:rPr>
        <w:t>, </w:t>
      </w:r>
      <w:r w:rsidRPr="00AE3179">
        <w:rPr>
          <w:i/>
          <w:iCs/>
          <w:color w:val="222222"/>
          <w:sz w:val="24"/>
          <w:szCs w:val="24"/>
          <w:shd w:val="clear" w:color="auto" w:fill="FFFFFF"/>
        </w:rPr>
        <w:t>66</w:t>
      </w:r>
      <w:r w:rsidRPr="00AE3179">
        <w:rPr>
          <w:color w:val="222222"/>
          <w:sz w:val="24"/>
          <w:szCs w:val="24"/>
          <w:shd w:val="clear" w:color="auto" w:fill="FFFFFF"/>
        </w:rPr>
        <w:t>, p.103532.</w:t>
      </w:r>
      <w:r w:rsidR="00891E48">
        <w:rPr>
          <w:color w:val="222222"/>
          <w:sz w:val="24"/>
          <w:szCs w:val="24"/>
          <w:shd w:val="clear" w:color="auto" w:fill="FFFFFF"/>
        </w:rPr>
        <w:t xml:space="preserve"> </w:t>
      </w:r>
      <w:hyperlink r:id="rId85" w:history="1">
        <w:r w:rsidR="00891E48" w:rsidRPr="008871FC">
          <w:rPr>
            <w:rStyle w:val="Hyperlink"/>
            <w:sz w:val="24"/>
            <w:szCs w:val="24"/>
            <w:shd w:val="clear" w:color="auto" w:fill="FFFFFF"/>
          </w:rPr>
          <w:t>https://doi.org/10.1016/j.nepr.2022.103532</w:t>
        </w:r>
      </w:hyperlink>
      <w:r w:rsidR="00891E48">
        <w:rPr>
          <w:color w:val="222222"/>
          <w:sz w:val="24"/>
          <w:szCs w:val="24"/>
          <w:shd w:val="clear" w:color="auto" w:fill="FFFFFF"/>
        </w:rPr>
        <w:t xml:space="preserve"> </w:t>
      </w:r>
    </w:p>
    <w:p w14:paraId="7D567996" w14:textId="34DA8164"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Puri, B., Vaishya, R. and Vaish, A., </w:t>
      </w:r>
      <w:r w:rsidR="00E50ED2">
        <w:rPr>
          <w:rFonts w:eastAsia="Times New Roman"/>
          <w:color w:val="222222"/>
          <w:sz w:val="24"/>
          <w:szCs w:val="24"/>
          <w:shd w:val="clear" w:color="auto" w:fill="FFFFFF"/>
          <w:lang w:val="en-IN"/>
        </w:rPr>
        <w:t>(2025).</w:t>
      </w:r>
      <w:r w:rsidRPr="00AE3179">
        <w:rPr>
          <w:rFonts w:eastAsia="Times New Roman"/>
          <w:color w:val="222222"/>
          <w:sz w:val="24"/>
          <w:szCs w:val="24"/>
          <w:shd w:val="clear" w:color="auto" w:fill="FFFFFF"/>
          <w:lang w:val="en-IN"/>
        </w:rPr>
        <w:t xml:space="preserve"> Antimicrobial resistance: Current challenges and future directions. </w:t>
      </w:r>
      <w:r w:rsidRPr="00AE3179">
        <w:rPr>
          <w:rFonts w:eastAsia="Times New Roman"/>
          <w:i/>
          <w:iCs/>
          <w:color w:val="222222"/>
          <w:sz w:val="24"/>
          <w:szCs w:val="24"/>
          <w:shd w:val="clear" w:color="auto" w:fill="FFFFFF"/>
          <w:lang w:val="en-IN"/>
        </w:rPr>
        <w:t>Medical Journal Armed Forces India</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81</w:t>
      </w:r>
      <w:r w:rsidRPr="00AE3179">
        <w:rPr>
          <w:rFonts w:eastAsia="Times New Roman"/>
          <w:color w:val="222222"/>
          <w:sz w:val="24"/>
          <w:szCs w:val="24"/>
          <w:shd w:val="clear" w:color="auto" w:fill="FFFFFF"/>
          <w:lang w:val="en-IN"/>
        </w:rPr>
        <w:t>(3), pp.247-258.</w:t>
      </w:r>
      <w:r w:rsidR="00891E48">
        <w:rPr>
          <w:rFonts w:eastAsia="Times New Roman"/>
          <w:color w:val="222222"/>
          <w:sz w:val="24"/>
          <w:szCs w:val="24"/>
          <w:shd w:val="clear" w:color="auto" w:fill="FFFFFF"/>
          <w:lang w:val="en-IN"/>
        </w:rPr>
        <w:t xml:space="preserve"> </w:t>
      </w:r>
      <w:hyperlink r:id="rId86" w:history="1">
        <w:r w:rsidR="00891E48" w:rsidRPr="008871FC">
          <w:rPr>
            <w:rStyle w:val="Hyperlink"/>
            <w:rFonts w:eastAsia="Times New Roman"/>
            <w:sz w:val="24"/>
            <w:szCs w:val="24"/>
            <w:shd w:val="clear" w:color="auto" w:fill="FFFFFF"/>
            <w:lang w:val="en-IN"/>
          </w:rPr>
          <w:t>https://doi.org/10.1016/j.mjafi.2024.07.006</w:t>
        </w:r>
      </w:hyperlink>
      <w:r w:rsidR="00891E48">
        <w:rPr>
          <w:rFonts w:eastAsia="Times New Roman"/>
          <w:color w:val="222222"/>
          <w:sz w:val="24"/>
          <w:szCs w:val="24"/>
          <w:shd w:val="clear" w:color="auto" w:fill="FFFFFF"/>
          <w:lang w:val="en-IN"/>
        </w:rPr>
        <w:t xml:space="preserve"> </w:t>
      </w:r>
    </w:p>
    <w:p w14:paraId="79835BE9" w14:textId="7B291511"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Qin, S., Xiao, W., Zhou, C., Pu, Q., Deng, X., Lan, L., Liang, H., Song, X. and Wu, M., </w:t>
      </w:r>
      <w:r w:rsidR="00E50ED2">
        <w:rPr>
          <w:rFonts w:eastAsia="Times New Roman"/>
          <w:color w:val="222222"/>
          <w:sz w:val="24"/>
          <w:szCs w:val="24"/>
          <w:shd w:val="clear" w:color="auto" w:fill="FFFFFF"/>
          <w:lang w:val="en-IN"/>
        </w:rPr>
        <w:t>(2022).</w:t>
      </w:r>
      <w:r w:rsidRPr="00AE3179">
        <w:rPr>
          <w:rFonts w:eastAsia="Times New Roman"/>
          <w:color w:val="222222"/>
          <w:sz w:val="24"/>
          <w:szCs w:val="24"/>
          <w:shd w:val="clear" w:color="auto" w:fill="FFFFFF"/>
          <w:lang w:val="en-IN"/>
        </w:rPr>
        <w:t xml:space="preserve"> Pseudomonas aeruginosa: pathogenesis, virulence factors, antibiotic resistance, interaction with host, technology advances and emerging therapeutics. </w:t>
      </w:r>
      <w:r w:rsidRPr="00AE3179">
        <w:rPr>
          <w:rFonts w:eastAsia="Times New Roman"/>
          <w:i/>
          <w:iCs/>
          <w:color w:val="222222"/>
          <w:sz w:val="24"/>
          <w:szCs w:val="24"/>
          <w:shd w:val="clear" w:color="auto" w:fill="FFFFFF"/>
          <w:lang w:val="en-IN"/>
        </w:rPr>
        <w:t>Signal transduction and targeted therapy</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7</w:t>
      </w:r>
      <w:r w:rsidRPr="00AE3179">
        <w:rPr>
          <w:rFonts w:eastAsia="Times New Roman"/>
          <w:color w:val="222222"/>
          <w:sz w:val="24"/>
          <w:szCs w:val="24"/>
          <w:shd w:val="clear" w:color="auto" w:fill="FFFFFF"/>
          <w:lang w:val="en-IN"/>
        </w:rPr>
        <w:t>(1), p.199.</w:t>
      </w:r>
      <w:r w:rsidR="00ED5A68">
        <w:rPr>
          <w:rFonts w:eastAsia="Times New Roman"/>
          <w:color w:val="222222"/>
          <w:sz w:val="24"/>
          <w:szCs w:val="24"/>
          <w:shd w:val="clear" w:color="auto" w:fill="FFFFFF"/>
          <w:lang w:val="en-IN"/>
        </w:rPr>
        <w:t xml:space="preserve"> </w:t>
      </w:r>
      <w:hyperlink r:id="rId87" w:history="1">
        <w:r w:rsidR="00ED5A68" w:rsidRPr="008871FC">
          <w:rPr>
            <w:rStyle w:val="Hyperlink"/>
            <w:rFonts w:ascii="Segoe UI" w:hAnsi="Segoe UI" w:cs="Segoe UI"/>
            <w:shd w:val="clear" w:color="auto" w:fill="FFFFFF"/>
          </w:rPr>
          <w:t>https://doi.org/10.1038/s41392-022-01056-1</w:t>
        </w:r>
      </w:hyperlink>
      <w:r w:rsidR="00ED5A68">
        <w:rPr>
          <w:rFonts w:ascii="Segoe UI" w:hAnsi="Segoe UI" w:cs="Segoe UI"/>
          <w:color w:val="222222"/>
          <w:shd w:val="clear" w:color="auto" w:fill="FFFFFF"/>
        </w:rPr>
        <w:t xml:space="preserve"> </w:t>
      </w:r>
    </w:p>
    <w:p w14:paraId="3F69F38E" w14:textId="0CC031B0"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Ramsey, L., Albutt, A., Perfetto, K., Quinton, N., Baker, J., Louch, G. and O’Hara, J., </w:t>
      </w:r>
      <w:r w:rsidR="00E50ED2">
        <w:rPr>
          <w:color w:val="222222"/>
          <w:sz w:val="24"/>
          <w:szCs w:val="24"/>
          <w:shd w:val="clear" w:color="auto" w:fill="FFFFFF"/>
        </w:rPr>
        <w:t>(2022).</w:t>
      </w:r>
      <w:r w:rsidRPr="00AE3179">
        <w:rPr>
          <w:color w:val="222222"/>
          <w:sz w:val="24"/>
          <w:szCs w:val="24"/>
          <w:shd w:val="clear" w:color="auto" w:fill="FFFFFF"/>
        </w:rPr>
        <w:t xml:space="preserve"> Systemic safety inequities for people with learning disabilities: a qualitative integrative analysis of the experiences of English health and social care for people with learning disabilities, their families and carers. </w:t>
      </w:r>
      <w:r w:rsidRPr="00AE3179">
        <w:rPr>
          <w:i/>
          <w:iCs/>
          <w:color w:val="222222"/>
          <w:sz w:val="24"/>
          <w:szCs w:val="24"/>
          <w:shd w:val="clear" w:color="auto" w:fill="FFFFFF"/>
        </w:rPr>
        <w:t>International Journal for Equity in Health</w:t>
      </w:r>
      <w:r w:rsidRPr="00AE3179">
        <w:rPr>
          <w:color w:val="222222"/>
          <w:sz w:val="24"/>
          <w:szCs w:val="24"/>
          <w:shd w:val="clear" w:color="auto" w:fill="FFFFFF"/>
        </w:rPr>
        <w:t>, </w:t>
      </w:r>
      <w:r w:rsidRPr="00AE3179">
        <w:rPr>
          <w:i/>
          <w:iCs/>
          <w:color w:val="222222"/>
          <w:sz w:val="24"/>
          <w:szCs w:val="24"/>
          <w:shd w:val="clear" w:color="auto" w:fill="FFFFFF"/>
        </w:rPr>
        <w:t>21</w:t>
      </w:r>
      <w:r w:rsidRPr="00AE3179">
        <w:rPr>
          <w:color w:val="222222"/>
          <w:sz w:val="24"/>
          <w:szCs w:val="24"/>
          <w:shd w:val="clear" w:color="auto" w:fill="FFFFFF"/>
        </w:rPr>
        <w:t>(1), p.13.</w:t>
      </w:r>
      <w:r w:rsidR="00A52E62">
        <w:rPr>
          <w:color w:val="222222"/>
          <w:sz w:val="24"/>
          <w:szCs w:val="24"/>
          <w:shd w:val="clear" w:color="auto" w:fill="FFFFFF"/>
        </w:rPr>
        <w:t xml:space="preserve"> </w:t>
      </w:r>
      <w:hyperlink r:id="rId88" w:history="1">
        <w:r w:rsidR="00A52E62" w:rsidRPr="008871FC">
          <w:rPr>
            <w:rStyle w:val="Hyperlink"/>
            <w:rFonts w:ascii="Helvetica" w:hAnsi="Helvetica" w:cs="Helvetica"/>
            <w:shd w:val="clear" w:color="auto" w:fill="FFFFFF"/>
          </w:rPr>
          <w:t>https://doi.org/10.1186/s12939-021-01612-1</w:t>
        </w:r>
      </w:hyperlink>
      <w:r w:rsidR="00A52E62">
        <w:rPr>
          <w:rFonts w:ascii="Helvetica" w:hAnsi="Helvetica" w:cs="Helvetica"/>
          <w:color w:val="222222"/>
          <w:shd w:val="clear" w:color="auto" w:fill="FFFFFF"/>
        </w:rPr>
        <w:t xml:space="preserve"> </w:t>
      </w:r>
    </w:p>
    <w:p w14:paraId="5EB15671" w14:textId="2CFB1D7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Rizzo, D.M., Lichtveld, M., Mazet, J.A., Togami, E. and Miller, S.A., </w:t>
      </w:r>
      <w:r w:rsidR="00E50ED2">
        <w:rPr>
          <w:rFonts w:eastAsia="Times New Roman"/>
          <w:sz w:val="24"/>
          <w:szCs w:val="24"/>
          <w:highlight w:val="white"/>
        </w:rPr>
        <w:t>(2021).</w:t>
      </w:r>
      <w:r w:rsidRPr="00AE3179">
        <w:rPr>
          <w:rFonts w:eastAsia="Times New Roman"/>
          <w:sz w:val="24"/>
          <w:szCs w:val="24"/>
          <w:highlight w:val="white"/>
        </w:rPr>
        <w:t xml:space="preserve"> Plant health and its effects on food safety and security in a One Health framework: four case studies. </w:t>
      </w:r>
      <w:r w:rsidRPr="00AE3179">
        <w:rPr>
          <w:rFonts w:eastAsia="Times New Roman"/>
          <w:i/>
          <w:iCs/>
          <w:sz w:val="24"/>
          <w:szCs w:val="24"/>
        </w:rPr>
        <w:t>One health outlook</w:t>
      </w:r>
      <w:r w:rsidRPr="00AE3179">
        <w:rPr>
          <w:rFonts w:eastAsia="Times New Roman"/>
          <w:sz w:val="24"/>
          <w:szCs w:val="24"/>
        </w:rPr>
        <w:t xml:space="preserve">, </w:t>
      </w:r>
      <w:r w:rsidRPr="00AE3179">
        <w:rPr>
          <w:rFonts w:eastAsia="Times New Roman"/>
          <w:i/>
          <w:iCs/>
          <w:sz w:val="24"/>
          <w:szCs w:val="24"/>
        </w:rPr>
        <w:t>3</w:t>
      </w:r>
      <w:r w:rsidRPr="00AE3179">
        <w:rPr>
          <w:rFonts w:eastAsia="Times New Roman"/>
          <w:sz w:val="24"/>
          <w:szCs w:val="24"/>
        </w:rPr>
        <w:t>(1), p.6.</w:t>
      </w:r>
      <w:r w:rsidR="00B26F07">
        <w:rPr>
          <w:rFonts w:eastAsia="Times New Roman"/>
          <w:sz w:val="24"/>
          <w:szCs w:val="24"/>
        </w:rPr>
        <w:t xml:space="preserve"> </w:t>
      </w:r>
      <w:hyperlink r:id="rId89" w:history="1">
        <w:r w:rsidR="00B26F07" w:rsidRPr="008871FC">
          <w:rPr>
            <w:rStyle w:val="Hyperlink"/>
            <w:rFonts w:ascii="Helvetica" w:hAnsi="Helvetica" w:cs="Helvetica"/>
            <w:shd w:val="clear" w:color="auto" w:fill="FFFFFF"/>
          </w:rPr>
          <w:t>https://doi.org/10.1186/s42522-021-00038-7</w:t>
        </w:r>
      </w:hyperlink>
      <w:r w:rsidR="00B26F07">
        <w:rPr>
          <w:rFonts w:ascii="Helvetica" w:hAnsi="Helvetica" w:cs="Helvetica"/>
          <w:color w:val="222222"/>
          <w:shd w:val="clear" w:color="auto" w:fill="FFFFFF"/>
        </w:rPr>
        <w:t xml:space="preserve"> </w:t>
      </w:r>
    </w:p>
    <w:p w14:paraId="544E0E4F" w14:textId="4ED838A8"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Salam, M.A., Al-Amin, M.Y., Salam, M.T., Pawar, J.S., Akhter, N., Rabaan, A.A. and Alqumber, M.A., 2023, July. Antimicrobial resistance: a growing serious threat for global public health. In </w:t>
      </w:r>
      <w:r w:rsidRPr="00AE3179">
        <w:rPr>
          <w:rFonts w:eastAsia="Times New Roman"/>
          <w:i/>
          <w:iCs/>
          <w:color w:val="222222"/>
          <w:sz w:val="24"/>
          <w:szCs w:val="24"/>
          <w:shd w:val="clear" w:color="auto" w:fill="FFFFFF"/>
          <w:lang w:val="en-IN"/>
        </w:rPr>
        <w:t>Healthcare</w:t>
      </w:r>
      <w:r w:rsidRPr="00AE3179">
        <w:rPr>
          <w:rFonts w:eastAsia="Times New Roman"/>
          <w:color w:val="222222"/>
          <w:sz w:val="24"/>
          <w:szCs w:val="24"/>
          <w:shd w:val="clear" w:color="auto" w:fill="FFFFFF"/>
          <w:lang w:val="en-IN"/>
        </w:rPr>
        <w:t xml:space="preserve"> (Vol. 11, No. 13, p. 1946). MDPI.</w:t>
      </w:r>
      <w:r w:rsidR="00883AE0">
        <w:rPr>
          <w:rFonts w:eastAsia="Times New Roman"/>
          <w:color w:val="222222"/>
          <w:sz w:val="24"/>
          <w:szCs w:val="24"/>
          <w:shd w:val="clear" w:color="auto" w:fill="FFFFFF"/>
          <w:lang w:val="en-IN"/>
        </w:rPr>
        <w:t xml:space="preserve"> </w:t>
      </w:r>
      <w:hyperlink r:id="rId90" w:history="1">
        <w:r w:rsidR="00883AE0" w:rsidRPr="008871FC">
          <w:rPr>
            <w:rStyle w:val="Hyperlink"/>
            <w:rFonts w:eastAsia="Times New Roman"/>
            <w:sz w:val="24"/>
            <w:szCs w:val="24"/>
            <w:shd w:val="clear" w:color="auto" w:fill="FFFFFF"/>
            <w:lang w:val="en-IN"/>
          </w:rPr>
          <w:t>https://doi.org/10.3390/healthcare11131946</w:t>
        </w:r>
      </w:hyperlink>
      <w:r w:rsidR="00883AE0">
        <w:rPr>
          <w:rFonts w:eastAsia="Times New Roman"/>
          <w:color w:val="222222"/>
          <w:sz w:val="24"/>
          <w:szCs w:val="24"/>
          <w:shd w:val="clear" w:color="auto" w:fill="FFFFFF"/>
          <w:lang w:val="en-IN"/>
        </w:rPr>
        <w:t xml:space="preserve"> </w:t>
      </w:r>
    </w:p>
    <w:p w14:paraId="5187BDB2" w14:textId="393FF67B"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lastRenderedPageBreak/>
        <w:t xml:space="preserve">Saliya, C.A., </w:t>
      </w:r>
      <w:r w:rsidR="00E50ED2">
        <w:rPr>
          <w:sz w:val="24"/>
          <w:szCs w:val="24"/>
          <w:highlight w:val="white"/>
        </w:rPr>
        <w:t>(2023).</w:t>
      </w:r>
      <w:r w:rsidRPr="00AE3179">
        <w:rPr>
          <w:sz w:val="24"/>
          <w:szCs w:val="24"/>
          <w:highlight w:val="white"/>
        </w:rPr>
        <w:t xml:space="preserve"> Research Philosophy: Paradigms, world views, perspectives, and theories. In </w:t>
      </w:r>
      <w:r w:rsidRPr="00AE3179">
        <w:rPr>
          <w:i/>
          <w:iCs/>
          <w:sz w:val="24"/>
          <w:szCs w:val="24"/>
          <w:highlight w:val="white"/>
        </w:rPr>
        <w:t>Social research methodology and publishing results: A guide to non-native English speakers</w:t>
      </w:r>
      <w:r w:rsidRPr="00AE3179">
        <w:rPr>
          <w:sz w:val="24"/>
          <w:szCs w:val="24"/>
          <w:highlight w:val="white"/>
        </w:rPr>
        <w:t xml:space="preserve"> (pp. 35-51). IGI Global.</w:t>
      </w:r>
      <w:r w:rsidR="00883AE0">
        <w:rPr>
          <w:sz w:val="24"/>
          <w:szCs w:val="24"/>
          <w:highlight w:val="white"/>
        </w:rPr>
        <w:t xml:space="preserve"> </w:t>
      </w:r>
      <w:r w:rsidR="00883AE0" w:rsidRPr="00883AE0">
        <w:rPr>
          <w:sz w:val="24"/>
          <w:szCs w:val="24"/>
        </w:rPr>
        <w:t>10.4018/978-1-6684-6859-3.ch004</w:t>
      </w:r>
    </w:p>
    <w:p w14:paraId="5F853D10" w14:textId="04A5757C"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Sandhu, S., Lian, T., Drake, C., Moffatt, S., Wildman, J. and Wildman, J., </w:t>
      </w:r>
      <w:r w:rsidR="00E50ED2">
        <w:rPr>
          <w:color w:val="222222"/>
          <w:sz w:val="24"/>
          <w:szCs w:val="24"/>
          <w:shd w:val="clear" w:color="auto" w:fill="FFFFFF"/>
        </w:rPr>
        <w:t>(2022).</w:t>
      </w:r>
      <w:r w:rsidRPr="00AE3179">
        <w:rPr>
          <w:color w:val="222222"/>
          <w:sz w:val="24"/>
          <w:szCs w:val="24"/>
          <w:shd w:val="clear" w:color="auto" w:fill="FFFFFF"/>
        </w:rPr>
        <w:t xml:space="preserve"> Intervention components of link worker social prescribing programmes: a scoping review. </w:t>
      </w:r>
      <w:r w:rsidRPr="00AE3179">
        <w:rPr>
          <w:i/>
          <w:iCs/>
          <w:color w:val="222222"/>
          <w:sz w:val="24"/>
          <w:szCs w:val="24"/>
          <w:shd w:val="clear" w:color="auto" w:fill="FFFFFF"/>
        </w:rPr>
        <w:t>Health &amp; social care in the community</w:t>
      </w:r>
      <w:r w:rsidRPr="00AE3179">
        <w:rPr>
          <w:color w:val="222222"/>
          <w:sz w:val="24"/>
          <w:szCs w:val="24"/>
          <w:shd w:val="clear" w:color="auto" w:fill="FFFFFF"/>
        </w:rPr>
        <w:t>, </w:t>
      </w:r>
      <w:r w:rsidRPr="00AE3179">
        <w:rPr>
          <w:i/>
          <w:iCs/>
          <w:color w:val="222222"/>
          <w:sz w:val="24"/>
          <w:szCs w:val="24"/>
          <w:shd w:val="clear" w:color="auto" w:fill="FFFFFF"/>
        </w:rPr>
        <w:t>30</w:t>
      </w:r>
      <w:r w:rsidRPr="00AE3179">
        <w:rPr>
          <w:color w:val="222222"/>
          <w:sz w:val="24"/>
          <w:szCs w:val="24"/>
          <w:shd w:val="clear" w:color="auto" w:fill="FFFFFF"/>
        </w:rPr>
        <w:t>(6), pp.e3761-e3774.</w:t>
      </w:r>
      <w:r w:rsidR="00883AE0">
        <w:rPr>
          <w:color w:val="222222"/>
          <w:sz w:val="24"/>
          <w:szCs w:val="24"/>
          <w:shd w:val="clear" w:color="auto" w:fill="FFFFFF"/>
        </w:rPr>
        <w:t xml:space="preserve"> </w:t>
      </w:r>
      <w:hyperlink r:id="rId91" w:history="1">
        <w:r w:rsidR="00883AE0" w:rsidRPr="008871FC">
          <w:rPr>
            <w:rStyle w:val="Hyperlink"/>
            <w:sz w:val="24"/>
            <w:szCs w:val="24"/>
            <w:shd w:val="clear" w:color="auto" w:fill="FFFFFF"/>
          </w:rPr>
          <w:t>https://doi.org/10.1111/hsc.14056</w:t>
        </w:r>
      </w:hyperlink>
      <w:r w:rsidR="00883AE0">
        <w:rPr>
          <w:color w:val="222222"/>
          <w:sz w:val="24"/>
          <w:szCs w:val="24"/>
          <w:shd w:val="clear" w:color="auto" w:fill="FFFFFF"/>
        </w:rPr>
        <w:t xml:space="preserve"> </w:t>
      </w:r>
    </w:p>
    <w:p w14:paraId="15848221" w14:textId="6C047380"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Sandhu, S., Sharma, A., Cholera, R. and Bettger, J.P., </w:t>
      </w:r>
      <w:r w:rsidR="00E50ED2">
        <w:rPr>
          <w:color w:val="222222"/>
          <w:sz w:val="24"/>
          <w:szCs w:val="24"/>
          <w:shd w:val="clear" w:color="auto" w:fill="FFFFFF"/>
        </w:rPr>
        <w:t>(2021).</w:t>
      </w:r>
      <w:r w:rsidRPr="00AE3179">
        <w:rPr>
          <w:color w:val="222222"/>
          <w:sz w:val="24"/>
          <w:szCs w:val="24"/>
          <w:shd w:val="clear" w:color="auto" w:fill="FFFFFF"/>
        </w:rPr>
        <w:t xml:space="preserve"> Integrated health and social care in the United States: a decade of policy progress. </w:t>
      </w:r>
      <w:r w:rsidRPr="00AE3179">
        <w:rPr>
          <w:i/>
          <w:iCs/>
          <w:color w:val="222222"/>
          <w:sz w:val="24"/>
          <w:szCs w:val="24"/>
          <w:shd w:val="clear" w:color="auto" w:fill="FFFFFF"/>
        </w:rPr>
        <w:t>International Journal of Integrated Care</w:t>
      </w:r>
      <w:r w:rsidRPr="00AE3179">
        <w:rPr>
          <w:color w:val="222222"/>
          <w:sz w:val="24"/>
          <w:szCs w:val="24"/>
          <w:shd w:val="clear" w:color="auto" w:fill="FFFFFF"/>
        </w:rPr>
        <w:t>, </w:t>
      </w:r>
      <w:r w:rsidRPr="00AE3179">
        <w:rPr>
          <w:i/>
          <w:iCs/>
          <w:color w:val="222222"/>
          <w:sz w:val="24"/>
          <w:szCs w:val="24"/>
          <w:shd w:val="clear" w:color="auto" w:fill="FFFFFF"/>
        </w:rPr>
        <w:t>21</w:t>
      </w:r>
      <w:r w:rsidRPr="00AE3179">
        <w:rPr>
          <w:color w:val="222222"/>
          <w:sz w:val="24"/>
          <w:szCs w:val="24"/>
          <w:shd w:val="clear" w:color="auto" w:fill="FFFFFF"/>
        </w:rPr>
        <w:t>(4), p.9.</w:t>
      </w:r>
      <w:r w:rsidR="00072FED">
        <w:rPr>
          <w:color w:val="222222"/>
          <w:sz w:val="24"/>
          <w:szCs w:val="24"/>
          <w:shd w:val="clear" w:color="auto" w:fill="FFFFFF"/>
        </w:rPr>
        <w:t xml:space="preserve"> </w:t>
      </w:r>
      <w:hyperlink r:id="rId92" w:history="1">
        <w:r w:rsidR="00072FED" w:rsidRPr="008871FC">
          <w:rPr>
            <w:rStyle w:val="Hyperlink"/>
            <w:sz w:val="24"/>
            <w:szCs w:val="24"/>
            <w:shd w:val="clear" w:color="auto" w:fill="FFFFFF"/>
          </w:rPr>
          <w:t>https://doi.org/10.5334/ijic.5687</w:t>
        </w:r>
      </w:hyperlink>
      <w:r w:rsidR="00072FED">
        <w:rPr>
          <w:color w:val="222222"/>
          <w:sz w:val="24"/>
          <w:szCs w:val="24"/>
          <w:shd w:val="clear" w:color="auto" w:fill="FFFFFF"/>
        </w:rPr>
        <w:t xml:space="preserve"> </w:t>
      </w:r>
    </w:p>
    <w:p w14:paraId="1780F45F" w14:textId="01975D91"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Sauer, K., Stoodley, P., Goeres, D.M., Hall-Stoodley, L., Burmølle, M., Stewart, P.S. and Bjarnsholt, T., </w:t>
      </w:r>
      <w:r w:rsidR="00E50ED2">
        <w:rPr>
          <w:rFonts w:eastAsia="Times New Roman"/>
          <w:sz w:val="24"/>
          <w:szCs w:val="24"/>
          <w:highlight w:val="white"/>
        </w:rPr>
        <w:t>(2022).</w:t>
      </w:r>
      <w:r w:rsidRPr="00AE3179">
        <w:rPr>
          <w:rFonts w:eastAsia="Times New Roman"/>
          <w:sz w:val="24"/>
          <w:szCs w:val="24"/>
          <w:highlight w:val="white"/>
        </w:rPr>
        <w:t xml:space="preserve"> The biofilm life cycle: expanding the conceptual model of biofilm formation. </w:t>
      </w:r>
      <w:r w:rsidRPr="00AE3179">
        <w:rPr>
          <w:rFonts w:eastAsia="Times New Roman"/>
          <w:i/>
          <w:iCs/>
          <w:sz w:val="24"/>
          <w:szCs w:val="24"/>
        </w:rPr>
        <w:t>Nature Reviews Microbiology</w:t>
      </w:r>
      <w:r w:rsidRPr="00AE3179">
        <w:rPr>
          <w:rFonts w:eastAsia="Times New Roman"/>
          <w:sz w:val="24"/>
          <w:szCs w:val="24"/>
        </w:rPr>
        <w:t xml:space="preserve">, </w:t>
      </w:r>
      <w:r w:rsidRPr="00AE3179">
        <w:rPr>
          <w:rFonts w:eastAsia="Times New Roman"/>
          <w:i/>
          <w:iCs/>
          <w:sz w:val="24"/>
          <w:szCs w:val="24"/>
        </w:rPr>
        <w:t>20</w:t>
      </w:r>
      <w:r w:rsidRPr="00AE3179">
        <w:rPr>
          <w:rFonts w:eastAsia="Times New Roman"/>
          <w:sz w:val="24"/>
          <w:szCs w:val="24"/>
        </w:rPr>
        <w:t>(10), pp.608-620.</w:t>
      </w:r>
      <w:r w:rsidR="00072FED">
        <w:rPr>
          <w:rFonts w:eastAsia="Times New Roman"/>
          <w:sz w:val="24"/>
          <w:szCs w:val="24"/>
        </w:rPr>
        <w:t xml:space="preserve"> </w:t>
      </w:r>
      <w:hyperlink r:id="rId93" w:history="1">
        <w:r w:rsidR="00072FED" w:rsidRPr="008871FC">
          <w:rPr>
            <w:rStyle w:val="Hyperlink"/>
            <w:rFonts w:ascii="Segoe UI" w:hAnsi="Segoe UI" w:cs="Segoe UI"/>
            <w:shd w:val="clear" w:color="auto" w:fill="FFFFFF"/>
          </w:rPr>
          <w:t>https://doi.org/10.1038/s41579-022-00767-0</w:t>
        </w:r>
      </w:hyperlink>
      <w:r w:rsidR="00072FED">
        <w:rPr>
          <w:rFonts w:ascii="Segoe UI" w:hAnsi="Segoe UI" w:cs="Segoe UI"/>
          <w:color w:val="222222"/>
          <w:shd w:val="clear" w:color="auto" w:fill="FFFFFF"/>
        </w:rPr>
        <w:t xml:space="preserve"> </w:t>
      </w:r>
    </w:p>
    <w:p w14:paraId="492BA5D2" w14:textId="4EB70720"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Sharma, A., Singh, A., Dar, M.A., Kaur, R.J., Charan, J., Iskandar, K., Haque, M., Murti, K., Ravichandiran, V. and Dhingra, S., </w:t>
      </w:r>
      <w:r w:rsidR="00E50ED2">
        <w:rPr>
          <w:rFonts w:eastAsia="Times New Roman"/>
          <w:color w:val="222222"/>
          <w:sz w:val="24"/>
          <w:szCs w:val="24"/>
          <w:shd w:val="clear" w:color="auto" w:fill="FFFFFF"/>
          <w:lang w:val="en-IN"/>
        </w:rPr>
        <w:t>(2022).</w:t>
      </w:r>
      <w:r w:rsidRPr="00AE3179">
        <w:rPr>
          <w:rFonts w:eastAsia="Times New Roman"/>
          <w:color w:val="222222"/>
          <w:sz w:val="24"/>
          <w:szCs w:val="24"/>
          <w:shd w:val="clear" w:color="auto" w:fill="FFFFFF"/>
          <w:lang w:val="en-IN"/>
        </w:rPr>
        <w:t xml:space="preserve"> Menace of antimicrobial resistance in LMICs: Current surveillance practices and control measures to tackle hostility. </w:t>
      </w:r>
      <w:r w:rsidRPr="00AE3179">
        <w:rPr>
          <w:rFonts w:eastAsia="Times New Roman"/>
          <w:i/>
          <w:iCs/>
          <w:color w:val="222222"/>
          <w:sz w:val="24"/>
          <w:szCs w:val="24"/>
          <w:shd w:val="clear" w:color="auto" w:fill="FFFFFF"/>
          <w:lang w:val="en-IN"/>
        </w:rPr>
        <w:t>Journal of Infection and Public Health</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15</w:t>
      </w:r>
      <w:r w:rsidRPr="00AE3179">
        <w:rPr>
          <w:rFonts w:eastAsia="Times New Roman"/>
          <w:color w:val="222222"/>
          <w:sz w:val="24"/>
          <w:szCs w:val="24"/>
          <w:shd w:val="clear" w:color="auto" w:fill="FFFFFF"/>
          <w:lang w:val="en-IN"/>
        </w:rPr>
        <w:t>(2), pp.172-181.</w:t>
      </w:r>
      <w:r w:rsidR="00857C88">
        <w:rPr>
          <w:rFonts w:eastAsia="Times New Roman"/>
          <w:color w:val="222222"/>
          <w:sz w:val="24"/>
          <w:szCs w:val="24"/>
          <w:shd w:val="clear" w:color="auto" w:fill="FFFFFF"/>
          <w:lang w:val="en-IN"/>
        </w:rPr>
        <w:t xml:space="preserve"> </w:t>
      </w:r>
      <w:hyperlink r:id="rId94" w:history="1">
        <w:r w:rsidR="00857C88" w:rsidRPr="008871FC">
          <w:rPr>
            <w:rStyle w:val="Hyperlink"/>
            <w:rFonts w:eastAsia="Times New Roman"/>
            <w:sz w:val="24"/>
            <w:szCs w:val="24"/>
            <w:shd w:val="clear" w:color="auto" w:fill="FFFFFF"/>
            <w:lang w:val="en-IN"/>
          </w:rPr>
          <w:t>https://doi.org/10.1016/j.jiph.2021.12.008</w:t>
        </w:r>
      </w:hyperlink>
      <w:r w:rsidR="00857C88">
        <w:rPr>
          <w:rFonts w:eastAsia="Times New Roman"/>
          <w:color w:val="222222"/>
          <w:sz w:val="24"/>
          <w:szCs w:val="24"/>
          <w:shd w:val="clear" w:color="auto" w:fill="FFFFFF"/>
          <w:lang w:val="en-IN"/>
        </w:rPr>
        <w:t xml:space="preserve"> </w:t>
      </w:r>
    </w:p>
    <w:p w14:paraId="2A8543CE" w14:textId="495A7E48"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Sharma, L.R., Bidari, S., Bidari, D., Neupane, S. and Sapkota, R., </w:t>
      </w:r>
      <w:r w:rsidR="00E50ED2">
        <w:rPr>
          <w:sz w:val="24"/>
          <w:szCs w:val="24"/>
          <w:highlight w:val="white"/>
        </w:rPr>
        <w:t>(2023).</w:t>
      </w:r>
      <w:r w:rsidRPr="00AE3179">
        <w:rPr>
          <w:sz w:val="24"/>
          <w:szCs w:val="24"/>
          <w:highlight w:val="white"/>
        </w:rPr>
        <w:t xml:space="preserve"> Exploring the mixed methods research design: types, purposes, strengths, challenges, and criticisms. </w:t>
      </w:r>
      <w:r w:rsidRPr="00AE3179">
        <w:rPr>
          <w:i/>
          <w:iCs/>
          <w:sz w:val="24"/>
          <w:szCs w:val="24"/>
          <w:highlight w:val="white"/>
        </w:rPr>
        <w:t>Global Academic Journal of Linguistics and Literature</w:t>
      </w:r>
      <w:r w:rsidRPr="00AE3179">
        <w:rPr>
          <w:sz w:val="24"/>
          <w:szCs w:val="24"/>
          <w:highlight w:val="white"/>
        </w:rPr>
        <w:t xml:space="preserve">, </w:t>
      </w:r>
      <w:r w:rsidRPr="00AE3179">
        <w:rPr>
          <w:i/>
          <w:iCs/>
          <w:sz w:val="24"/>
          <w:szCs w:val="24"/>
          <w:highlight w:val="white"/>
        </w:rPr>
        <w:t>5</w:t>
      </w:r>
      <w:r w:rsidRPr="00AE3179">
        <w:rPr>
          <w:sz w:val="24"/>
          <w:szCs w:val="24"/>
          <w:highlight w:val="white"/>
        </w:rPr>
        <w:t>(1), pp.3-12.</w:t>
      </w:r>
      <w:r w:rsidR="00D514C8">
        <w:rPr>
          <w:sz w:val="24"/>
          <w:szCs w:val="24"/>
          <w:highlight w:val="white"/>
        </w:rPr>
        <w:t xml:space="preserve"> </w:t>
      </w:r>
      <w:r w:rsidR="00D514C8" w:rsidRPr="00D514C8">
        <w:rPr>
          <w:sz w:val="24"/>
          <w:szCs w:val="24"/>
        </w:rPr>
        <w:t>10.36348/gajll.2023.v05i01.002</w:t>
      </w:r>
      <w:r w:rsidR="00D514C8">
        <w:rPr>
          <w:sz w:val="24"/>
          <w:szCs w:val="24"/>
        </w:rPr>
        <w:t xml:space="preserve"> </w:t>
      </w:r>
    </w:p>
    <w:p w14:paraId="5586F97F" w14:textId="24D98364"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Sharma, S., Mohler, J., Mahajan, S.D., Schwartz, S.A., Bruggemann, L. and Aalinkeel, R., </w:t>
      </w:r>
      <w:r w:rsidR="00E50ED2">
        <w:rPr>
          <w:sz w:val="24"/>
          <w:szCs w:val="24"/>
          <w:highlight w:val="white"/>
        </w:rPr>
        <w:t>(2023).</w:t>
      </w:r>
      <w:r w:rsidRPr="00AE3179">
        <w:rPr>
          <w:sz w:val="24"/>
          <w:szCs w:val="24"/>
          <w:highlight w:val="white"/>
        </w:rPr>
        <w:t xml:space="preserve"> Microbial biofilm: a review on formation, infection, antibiotic resistance, control measures, and innovative treatment. </w:t>
      </w:r>
      <w:r w:rsidRPr="00AE3179">
        <w:rPr>
          <w:i/>
          <w:iCs/>
          <w:sz w:val="24"/>
          <w:szCs w:val="24"/>
          <w:highlight w:val="white"/>
        </w:rPr>
        <w:t>Microorganisms</w:t>
      </w:r>
      <w:r w:rsidRPr="00AE3179">
        <w:rPr>
          <w:sz w:val="24"/>
          <w:szCs w:val="24"/>
          <w:highlight w:val="white"/>
        </w:rPr>
        <w:t xml:space="preserve">, </w:t>
      </w:r>
      <w:r w:rsidRPr="00AE3179">
        <w:rPr>
          <w:i/>
          <w:iCs/>
          <w:sz w:val="24"/>
          <w:szCs w:val="24"/>
          <w:highlight w:val="white"/>
        </w:rPr>
        <w:t>11</w:t>
      </w:r>
      <w:r w:rsidRPr="00AE3179">
        <w:rPr>
          <w:sz w:val="24"/>
          <w:szCs w:val="24"/>
          <w:highlight w:val="white"/>
        </w:rPr>
        <w:t>(6), p.1614.</w:t>
      </w:r>
      <w:r w:rsidR="00D514C8">
        <w:rPr>
          <w:sz w:val="24"/>
          <w:szCs w:val="24"/>
          <w:highlight w:val="white"/>
        </w:rPr>
        <w:t xml:space="preserve"> </w:t>
      </w:r>
      <w:hyperlink r:id="rId95" w:history="1">
        <w:r w:rsidR="00D514C8" w:rsidRPr="008871FC">
          <w:rPr>
            <w:rStyle w:val="Hyperlink"/>
            <w:sz w:val="24"/>
            <w:szCs w:val="24"/>
          </w:rPr>
          <w:t>https://doi.org/10.3390/microorganisms11061614</w:t>
        </w:r>
      </w:hyperlink>
      <w:r w:rsidR="00D514C8">
        <w:rPr>
          <w:sz w:val="24"/>
          <w:szCs w:val="24"/>
        </w:rPr>
        <w:t xml:space="preserve"> </w:t>
      </w:r>
    </w:p>
    <w:p w14:paraId="361E57CD" w14:textId="4FAB4BF2"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Shen, Y., Gao, S., Fan, Q., Zuo, J., Wang, Y., Yi, L. and Wang, Y., </w:t>
      </w:r>
      <w:r w:rsidR="00E50ED2">
        <w:rPr>
          <w:rFonts w:eastAsia="Times New Roman"/>
          <w:sz w:val="24"/>
          <w:szCs w:val="24"/>
          <w:highlight w:val="white"/>
        </w:rPr>
        <w:t>(2023).</w:t>
      </w:r>
      <w:r w:rsidRPr="00AE3179">
        <w:rPr>
          <w:rFonts w:eastAsia="Times New Roman"/>
          <w:sz w:val="24"/>
          <w:szCs w:val="24"/>
          <w:highlight w:val="white"/>
        </w:rPr>
        <w:t xml:space="preserve"> New antibacterial targets: Regulation of quorum sensing and secretory systems in </w:t>
      </w:r>
      <w:r w:rsidRPr="00AE3179">
        <w:rPr>
          <w:rFonts w:eastAsia="Times New Roman"/>
          <w:sz w:val="24"/>
          <w:szCs w:val="24"/>
          <w:highlight w:val="white"/>
        </w:rPr>
        <w:lastRenderedPageBreak/>
        <w:t xml:space="preserve">zoonotic bacteria. </w:t>
      </w:r>
      <w:r w:rsidRPr="00AE3179">
        <w:rPr>
          <w:rFonts w:eastAsia="Times New Roman"/>
          <w:i/>
          <w:iCs/>
          <w:sz w:val="24"/>
          <w:szCs w:val="24"/>
        </w:rPr>
        <w:t>Microbiological Research</w:t>
      </w:r>
      <w:r w:rsidRPr="00AE3179">
        <w:rPr>
          <w:rFonts w:eastAsia="Times New Roman"/>
          <w:sz w:val="24"/>
          <w:szCs w:val="24"/>
        </w:rPr>
        <w:t xml:space="preserve">, </w:t>
      </w:r>
      <w:r w:rsidRPr="00AE3179">
        <w:rPr>
          <w:rFonts w:eastAsia="Times New Roman"/>
          <w:i/>
          <w:iCs/>
          <w:sz w:val="24"/>
          <w:szCs w:val="24"/>
        </w:rPr>
        <w:t>274</w:t>
      </w:r>
      <w:r w:rsidRPr="00AE3179">
        <w:rPr>
          <w:rFonts w:eastAsia="Times New Roman"/>
          <w:sz w:val="24"/>
          <w:szCs w:val="24"/>
        </w:rPr>
        <w:t>, p.127436.</w:t>
      </w:r>
      <w:r w:rsidR="004D21C2">
        <w:rPr>
          <w:rFonts w:eastAsia="Times New Roman"/>
          <w:sz w:val="24"/>
          <w:szCs w:val="24"/>
        </w:rPr>
        <w:t xml:space="preserve"> </w:t>
      </w:r>
      <w:hyperlink r:id="rId96" w:history="1">
        <w:r w:rsidR="004D21C2" w:rsidRPr="008871FC">
          <w:rPr>
            <w:rStyle w:val="Hyperlink"/>
            <w:rFonts w:eastAsia="Times New Roman"/>
            <w:sz w:val="24"/>
            <w:szCs w:val="24"/>
          </w:rPr>
          <w:t>https://doi.org/10.1016/j.micres.2023.127436</w:t>
        </w:r>
      </w:hyperlink>
      <w:r w:rsidR="004D21C2">
        <w:rPr>
          <w:rFonts w:eastAsia="Times New Roman"/>
          <w:sz w:val="24"/>
          <w:szCs w:val="24"/>
        </w:rPr>
        <w:t xml:space="preserve"> </w:t>
      </w:r>
    </w:p>
    <w:p w14:paraId="451B2512" w14:textId="740883A7"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Shore, C.B., Maben, J., Mold, F., Winkley, K., Cook, A. and Stenner, K., </w:t>
      </w:r>
      <w:r w:rsidR="00E50ED2">
        <w:rPr>
          <w:color w:val="222222"/>
          <w:sz w:val="24"/>
          <w:szCs w:val="24"/>
          <w:shd w:val="clear" w:color="auto" w:fill="FFFFFF"/>
        </w:rPr>
        <w:t>(2022).</w:t>
      </w:r>
      <w:r w:rsidRPr="00AE3179">
        <w:rPr>
          <w:color w:val="222222"/>
          <w:sz w:val="24"/>
          <w:szCs w:val="24"/>
          <w:shd w:val="clear" w:color="auto" w:fill="FFFFFF"/>
        </w:rPr>
        <w:t xml:space="preserve"> Delegation of medication administration from registered nurses to non-registered support workers in community care settings: A systematic review with critical interpretive synthesis. </w:t>
      </w:r>
      <w:r w:rsidRPr="00AE3179">
        <w:rPr>
          <w:i/>
          <w:iCs/>
          <w:color w:val="222222"/>
          <w:sz w:val="24"/>
          <w:szCs w:val="24"/>
          <w:shd w:val="clear" w:color="auto" w:fill="FFFFFF"/>
        </w:rPr>
        <w:t>International Journal of Nursing Studies</w:t>
      </w:r>
      <w:r w:rsidRPr="00AE3179">
        <w:rPr>
          <w:color w:val="222222"/>
          <w:sz w:val="24"/>
          <w:szCs w:val="24"/>
          <w:shd w:val="clear" w:color="auto" w:fill="FFFFFF"/>
        </w:rPr>
        <w:t>, </w:t>
      </w:r>
      <w:r w:rsidRPr="00AE3179">
        <w:rPr>
          <w:i/>
          <w:iCs/>
          <w:color w:val="222222"/>
          <w:sz w:val="24"/>
          <w:szCs w:val="24"/>
          <w:shd w:val="clear" w:color="auto" w:fill="FFFFFF"/>
        </w:rPr>
        <w:t>126</w:t>
      </w:r>
      <w:r w:rsidRPr="00AE3179">
        <w:rPr>
          <w:color w:val="222222"/>
          <w:sz w:val="24"/>
          <w:szCs w:val="24"/>
          <w:shd w:val="clear" w:color="auto" w:fill="FFFFFF"/>
        </w:rPr>
        <w:t>, p.104121.</w:t>
      </w:r>
      <w:r w:rsidR="004D21C2">
        <w:rPr>
          <w:color w:val="222222"/>
          <w:sz w:val="24"/>
          <w:szCs w:val="24"/>
          <w:shd w:val="clear" w:color="auto" w:fill="FFFFFF"/>
        </w:rPr>
        <w:t xml:space="preserve"> </w:t>
      </w:r>
      <w:hyperlink r:id="rId97" w:history="1">
        <w:r w:rsidR="004D21C2" w:rsidRPr="008871FC">
          <w:rPr>
            <w:rStyle w:val="Hyperlink"/>
            <w:sz w:val="24"/>
            <w:szCs w:val="24"/>
            <w:shd w:val="clear" w:color="auto" w:fill="FFFFFF"/>
          </w:rPr>
          <w:t>https://doi.org/10.1016/j.ijnurstu.2021.104121</w:t>
        </w:r>
      </w:hyperlink>
      <w:r w:rsidR="004D21C2">
        <w:rPr>
          <w:color w:val="222222"/>
          <w:sz w:val="24"/>
          <w:szCs w:val="24"/>
          <w:shd w:val="clear" w:color="auto" w:fill="FFFFFF"/>
        </w:rPr>
        <w:t xml:space="preserve"> </w:t>
      </w:r>
    </w:p>
    <w:p w14:paraId="3D69F5F6" w14:textId="2AF85D05"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Singh, A., Padmesh, S., Dwivedi, M. and Kostova, I., </w:t>
      </w:r>
      <w:r w:rsidR="00E50ED2">
        <w:rPr>
          <w:rFonts w:eastAsia="Times New Roman"/>
          <w:color w:val="222222"/>
          <w:sz w:val="24"/>
          <w:szCs w:val="24"/>
          <w:shd w:val="clear" w:color="auto" w:fill="FFFFFF"/>
          <w:lang w:val="en-IN"/>
        </w:rPr>
        <w:t>(2022).</w:t>
      </w:r>
      <w:r w:rsidRPr="00AE3179">
        <w:rPr>
          <w:rFonts w:eastAsia="Times New Roman"/>
          <w:color w:val="222222"/>
          <w:sz w:val="24"/>
          <w:szCs w:val="24"/>
          <w:shd w:val="clear" w:color="auto" w:fill="FFFFFF"/>
          <w:lang w:val="en-IN"/>
        </w:rPr>
        <w:t xml:space="preserve"> How good are bacteriophages as an alternative therapy to mitigate biofilms of nosocomial infections. </w:t>
      </w:r>
      <w:r w:rsidRPr="00AE3179">
        <w:rPr>
          <w:rFonts w:eastAsia="Times New Roman"/>
          <w:i/>
          <w:iCs/>
          <w:color w:val="222222"/>
          <w:sz w:val="24"/>
          <w:szCs w:val="24"/>
          <w:shd w:val="clear" w:color="auto" w:fill="FFFFFF"/>
          <w:lang w:val="en-IN"/>
        </w:rPr>
        <w:t>Infection and Drug Resistance</w:t>
      </w:r>
      <w:r w:rsidRPr="00AE3179">
        <w:rPr>
          <w:rFonts w:eastAsia="Times New Roman"/>
          <w:color w:val="222222"/>
          <w:sz w:val="24"/>
          <w:szCs w:val="24"/>
          <w:shd w:val="clear" w:color="auto" w:fill="FFFFFF"/>
          <w:lang w:val="en-IN"/>
        </w:rPr>
        <w:t>, pp.503-532.</w:t>
      </w:r>
      <w:r w:rsidR="004D21C2">
        <w:rPr>
          <w:rFonts w:eastAsia="Times New Roman"/>
          <w:color w:val="222222"/>
          <w:sz w:val="24"/>
          <w:szCs w:val="24"/>
          <w:shd w:val="clear" w:color="auto" w:fill="FFFFFF"/>
          <w:lang w:val="en-IN"/>
        </w:rPr>
        <w:t xml:space="preserve"> </w:t>
      </w:r>
      <w:hyperlink r:id="rId98" w:history="1">
        <w:r w:rsidR="004D21C2" w:rsidRPr="008871FC">
          <w:rPr>
            <w:rStyle w:val="Hyperlink"/>
            <w:rFonts w:eastAsia="Times New Roman"/>
            <w:sz w:val="24"/>
            <w:szCs w:val="24"/>
            <w:shd w:val="clear" w:color="auto" w:fill="FFFFFF"/>
            <w:lang w:val="en-IN"/>
          </w:rPr>
          <w:t>https://doi.org/10.2147/IDR.S348700</w:t>
        </w:r>
      </w:hyperlink>
      <w:r w:rsidR="004D21C2">
        <w:rPr>
          <w:rFonts w:eastAsia="Times New Roman"/>
          <w:color w:val="222222"/>
          <w:sz w:val="24"/>
          <w:szCs w:val="24"/>
          <w:shd w:val="clear" w:color="auto" w:fill="FFFFFF"/>
          <w:lang w:val="en-IN"/>
        </w:rPr>
        <w:t xml:space="preserve"> </w:t>
      </w:r>
    </w:p>
    <w:p w14:paraId="250DB0B7" w14:textId="2927AE80"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Spaltro, G., Whitman, M. and Richards, R., </w:t>
      </w:r>
      <w:r w:rsidR="00E50ED2">
        <w:rPr>
          <w:rFonts w:eastAsia="Times New Roman"/>
          <w:color w:val="222222"/>
          <w:sz w:val="24"/>
          <w:szCs w:val="24"/>
          <w:shd w:val="clear" w:color="auto" w:fill="FFFFFF"/>
          <w:lang w:val="en-IN"/>
        </w:rPr>
        <w:t>(2025).</w:t>
      </w:r>
      <w:r w:rsidRPr="00AE3179">
        <w:rPr>
          <w:rFonts w:eastAsia="Times New Roman"/>
          <w:color w:val="222222"/>
          <w:sz w:val="24"/>
          <w:szCs w:val="24"/>
          <w:shd w:val="clear" w:color="auto" w:fill="FFFFFF"/>
          <w:lang w:val="en-IN"/>
        </w:rPr>
        <w:t xml:space="preserve"> A Remotely Delivered Weight Management Service to Support Existing Obesity Services in the UK National Health Service: Preliminary Findings From an Early-Stage Service Evaluation. </w:t>
      </w:r>
      <w:r w:rsidRPr="00AE3179">
        <w:rPr>
          <w:rFonts w:eastAsia="Times New Roman"/>
          <w:i/>
          <w:iCs/>
          <w:color w:val="222222"/>
          <w:sz w:val="24"/>
          <w:szCs w:val="24"/>
          <w:shd w:val="clear" w:color="auto" w:fill="FFFFFF"/>
          <w:lang w:val="en-IN"/>
        </w:rPr>
        <w:t>JMIR formative research</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9</w:t>
      </w:r>
      <w:r w:rsidRPr="00AE3179">
        <w:rPr>
          <w:rFonts w:eastAsia="Times New Roman"/>
          <w:color w:val="222222"/>
          <w:sz w:val="24"/>
          <w:szCs w:val="24"/>
          <w:shd w:val="clear" w:color="auto" w:fill="FFFFFF"/>
          <w:lang w:val="en-IN"/>
        </w:rPr>
        <w:t>, p.e71914.</w:t>
      </w:r>
      <w:r w:rsidR="004D21C2">
        <w:rPr>
          <w:rFonts w:eastAsia="Times New Roman"/>
          <w:color w:val="222222"/>
          <w:sz w:val="24"/>
          <w:szCs w:val="24"/>
          <w:shd w:val="clear" w:color="auto" w:fill="FFFFFF"/>
          <w:lang w:val="en-IN"/>
        </w:rPr>
        <w:t xml:space="preserve"> </w:t>
      </w:r>
      <w:hyperlink r:id="rId99" w:history="1">
        <w:r w:rsidR="004D21C2" w:rsidRPr="008871FC">
          <w:rPr>
            <w:rStyle w:val="Hyperlink"/>
            <w:rFonts w:eastAsia="Times New Roman"/>
            <w:sz w:val="24"/>
            <w:szCs w:val="24"/>
            <w:shd w:val="clear" w:color="auto" w:fill="FFFFFF"/>
            <w:lang w:val="en-IN"/>
          </w:rPr>
          <w:t>https://doi.org/10.2196/71914</w:t>
        </w:r>
      </w:hyperlink>
      <w:r w:rsidR="004D21C2">
        <w:rPr>
          <w:rFonts w:eastAsia="Times New Roman"/>
          <w:color w:val="222222"/>
          <w:sz w:val="24"/>
          <w:szCs w:val="24"/>
          <w:shd w:val="clear" w:color="auto" w:fill="FFFFFF"/>
          <w:lang w:val="en-IN"/>
        </w:rPr>
        <w:t xml:space="preserve"> </w:t>
      </w:r>
    </w:p>
    <w:p w14:paraId="194127DC" w14:textId="7F6D2569"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Szabó, S., Feier, B., Capatina, D., Tertis, M., Cristea, C. and Popa, A., </w:t>
      </w:r>
      <w:r w:rsidR="00E50ED2">
        <w:rPr>
          <w:rFonts w:eastAsia="Times New Roman"/>
          <w:sz w:val="24"/>
          <w:szCs w:val="24"/>
          <w:highlight w:val="white"/>
        </w:rPr>
        <w:t>(2022).</w:t>
      </w:r>
      <w:r w:rsidRPr="00AE3179">
        <w:rPr>
          <w:rFonts w:eastAsia="Times New Roman"/>
          <w:sz w:val="24"/>
          <w:szCs w:val="24"/>
          <w:highlight w:val="white"/>
        </w:rPr>
        <w:t xml:space="preserve"> An overview of healthcare associated infections and their detection methods caused by pathogen bacteria in Romania and Europe. </w:t>
      </w:r>
      <w:r w:rsidRPr="00AE3179">
        <w:rPr>
          <w:rFonts w:eastAsia="Times New Roman"/>
          <w:i/>
          <w:iCs/>
          <w:sz w:val="24"/>
          <w:szCs w:val="24"/>
        </w:rPr>
        <w:t>Journal of clinical medicine</w:t>
      </w:r>
      <w:r w:rsidRPr="00AE3179">
        <w:rPr>
          <w:rFonts w:eastAsia="Times New Roman"/>
          <w:sz w:val="24"/>
          <w:szCs w:val="24"/>
        </w:rPr>
        <w:t xml:space="preserve">, </w:t>
      </w:r>
      <w:r w:rsidRPr="00AE3179">
        <w:rPr>
          <w:rFonts w:eastAsia="Times New Roman"/>
          <w:i/>
          <w:iCs/>
          <w:sz w:val="24"/>
          <w:szCs w:val="24"/>
        </w:rPr>
        <w:t>11</w:t>
      </w:r>
      <w:r w:rsidRPr="00AE3179">
        <w:rPr>
          <w:rFonts w:eastAsia="Times New Roman"/>
          <w:sz w:val="24"/>
          <w:szCs w:val="24"/>
        </w:rPr>
        <w:t>(11), p.3204.</w:t>
      </w:r>
      <w:r w:rsidR="004D21C2">
        <w:rPr>
          <w:rFonts w:eastAsia="Times New Roman"/>
          <w:sz w:val="24"/>
          <w:szCs w:val="24"/>
        </w:rPr>
        <w:t xml:space="preserve"> </w:t>
      </w:r>
      <w:hyperlink r:id="rId100" w:history="1">
        <w:r w:rsidR="004D21C2" w:rsidRPr="008871FC">
          <w:rPr>
            <w:rStyle w:val="Hyperlink"/>
            <w:rFonts w:eastAsia="Times New Roman"/>
            <w:sz w:val="24"/>
            <w:szCs w:val="24"/>
          </w:rPr>
          <w:t>https://doi.org/10.1016/j.ijantimicag.2025.107535</w:t>
        </w:r>
      </w:hyperlink>
      <w:r w:rsidR="004D21C2">
        <w:rPr>
          <w:rFonts w:eastAsia="Times New Roman"/>
          <w:sz w:val="24"/>
          <w:szCs w:val="24"/>
        </w:rPr>
        <w:t xml:space="preserve"> </w:t>
      </w:r>
    </w:p>
    <w:p w14:paraId="73A2F26B" w14:textId="5C0821C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Taie, A., Gheorghe, M., Amos, J., Morton, A., Gordon, J., Jenkins, N.C., Padgett, T.E., Hollinghurst, J. and Taylor, G., </w:t>
      </w:r>
      <w:r w:rsidR="00E50ED2">
        <w:rPr>
          <w:rFonts w:eastAsia="Times New Roman"/>
          <w:sz w:val="24"/>
          <w:szCs w:val="24"/>
          <w:highlight w:val="white"/>
        </w:rPr>
        <w:t>(2025).</w:t>
      </w:r>
      <w:r w:rsidRPr="00AE3179">
        <w:rPr>
          <w:rFonts w:eastAsia="Times New Roman"/>
          <w:sz w:val="24"/>
          <w:szCs w:val="24"/>
          <w:highlight w:val="white"/>
        </w:rPr>
        <w:t xml:space="preserve"> Antimicrobial resistance trends, predictors, and burden in England: a retrospective study using the Clinical Practice Research Datalink from 2015-</w:t>
      </w:r>
      <w:r w:rsidR="00E50ED2">
        <w:rPr>
          <w:rFonts w:eastAsia="Times New Roman"/>
          <w:sz w:val="24"/>
          <w:szCs w:val="24"/>
          <w:highlight w:val="white"/>
        </w:rPr>
        <w:t>(2021).</w:t>
      </w:r>
      <w:r w:rsidRPr="00AE3179">
        <w:rPr>
          <w:rFonts w:eastAsia="Times New Roman"/>
          <w:sz w:val="24"/>
          <w:szCs w:val="24"/>
          <w:highlight w:val="white"/>
        </w:rPr>
        <w:t xml:space="preserve"> </w:t>
      </w:r>
      <w:r w:rsidRPr="00AE3179">
        <w:rPr>
          <w:rFonts w:eastAsia="Times New Roman"/>
          <w:i/>
          <w:iCs/>
          <w:sz w:val="24"/>
          <w:szCs w:val="24"/>
        </w:rPr>
        <w:t>International Journal of Antimicrobial Agents</w:t>
      </w:r>
      <w:r w:rsidRPr="00AE3179">
        <w:rPr>
          <w:rFonts w:eastAsia="Times New Roman"/>
          <w:sz w:val="24"/>
          <w:szCs w:val="24"/>
        </w:rPr>
        <w:t>, p.107535.</w:t>
      </w:r>
      <w:r w:rsidR="004D21C2">
        <w:rPr>
          <w:rFonts w:eastAsia="Times New Roman"/>
          <w:sz w:val="24"/>
          <w:szCs w:val="24"/>
        </w:rPr>
        <w:t xml:space="preserve"> </w:t>
      </w:r>
      <w:hyperlink r:id="rId101" w:history="1">
        <w:r w:rsidR="004D21C2" w:rsidRPr="008871FC">
          <w:rPr>
            <w:rStyle w:val="Hyperlink"/>
            <w:rFonts w:eastAsia="Times New Roman"/>
            <w:sz w:val="24"/>
            <w:szCs w:val="24"/>
          </w:rPr>
          <w:t>https://doi.org/10.1016/j.ijantimicag.2025.107535</w:t>
        </w:r>
      </w:hyperlink>
      <w:r w:rsidR="004D21C2">
        <w:rPr>
          <w:rFonts w:eastAsia="Times New Roman"/>
          <w:sz w:val="24"/>
          <w:szCs w:val="24"/>
        </w:rPr>
        <w:t xml:space="preserve"> </w:t>
      </w:r>
    </w:p>
    <w:p w14:paraId="4D3AE85C" w14:textId="045926F3"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Tang, K.W.K., Millar, B.C. and Moore, J.E., </w:t>
      </w:r>
      <w:r w:rsidR="00E50ED2">
        <w:rPr>
          <w:rFonts w:eastAsia="Times New Roman"/>
          <w:sz w:val="24"/>
          <w:szCs w:val="24"/>
          <w:highlight w:val="white"/>
        </w:rPr>
        <w:t>(2023).</w:t>
      </w:r>
      <w:r w:rsidRPr="00AE3179">
        <w:rPr>
          <w:rFonts w:eastAsia="Times New Roman"/>
          <w:sz w:val="24"/>
          <w:szCs w:val="24"/>
          <w:highlight w:val="white"/>
        </w:rPr>
        <w:t xml:space="preserve"> Antimicrobial resistance (AMR). </w:t>
      </w:r>
      <w:r w:rsidRPr="00AE3179">
        <w:rPr>
          <w:rFonts w:eastAsia="Times New Roman"/>
          <w:i/>
          <w:iCs/>
          <w:sz w:val="24"/>
          <w:szCs w:val="24"/>
        </w:rPr>
        <w:t>British journal of biomedical science</w:t>
      </w:r>
      <w:r w:rsidRPr="00AE3179">
        <w:rPr>
          <w:rFonts w:eastAsia="Times New Roman"/>
          <w:sz w:val="24"/>
          <w:szCs w:val="24"/>
        </w:rPr>
        <w:t xml:space="preserve">, </w:t>
      </w:r>
      <w:r w:rsidRPr="00AE3179">
        <w:rPr>
          <w:rFonts w:eastAsia="Times New Roman"/>
          <w:i/>
          <w:iCs/>
          <w:sz w:val="24"/>
          <w:szCs w:val="24"/>
        </w:rPr>
        <w:t>80</w:t>
      </w:r>
      <w:r w:rsidRPr="00AE3179">
        <w:rPr>
          <w:rFonts w:eastAsia="Times New Roman"/>
          <w:sz w:val="24"/>
          <w:szCs w:val="24"/>
        </w:rPr>
        <w:t>, p.11387.</w:t>
      </w:r>
      <w:r w:rsidR="004D21C2">
        <w:rPr>
          <w:rFonts w:eastAsia="Times New Roman"/>
          <w:sz w:val="24"/>
          <w:szCs w:val="24"/>
        </w:rPr>
        <w:t xml:space="preserve"> </w:t>
      </w:r>
      <w:hyperlink r:id="rId102" w:history="1">
        <w:r w:rsidR="004D21C2" w:rsidRPr="008871FC">
          <w:rPr>
            <w:rStyle w:val="Hyperlink"/>
            <w:rFonts w:eastAsia="Times New Roman"/>
            <w:sz w:val="24"/>
            <w:szCs w:val="24"/>
          </w:rPr>
          <w:t>https://doi.org/10.3389/bjbs.2023.11387</w:t>
        </w:r>
      </w:hyperlink>
      <w:r w:rsidR="004D21C2">
        <w:rPr>
          <w:rFonts w:eastAsia="Times New Roman"/>
          <w:sz w:val="24"/>
          <w:szCs w:val="24"/>
        </w:rPr>
        <w:t xml:space="preserve"> </w:t>
      </w:r>
    </w:p>
    <w:p w14:paraId="67F0E411" w14:textId="4BBCFFA1"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Tarin-Pello, A., Suay-Garcia, B. and Perez-Gracia, M.T., </w:t>
      </w:r>
      <w:r w:rsidR="00E50ED2">
        <w:rPr>
          <w:rFonts w:eastAsia="Times New Roman"/>
          <w:color w:val="222222"/>
          <w:sz w:val="24"/>
          <w:szCs w:val="24"/>
          <w:shd w:val="clear" w:color="auto" w:fill="FFFFFF"/>
          <w:lang w:val="en-IN"/>
        </w:rPr>
        <w:t>(2022).</w:t>
      </w:r>
      <w:r w:rsidRPr="00AE3179">
        <w:rPr>
          <w:rFonts w:eastAsia="Times New Roman"/>
          <w:color w:val="222222"/>
          <w:sz w:val="24"/>
          <w:szCs w:val="24"/>
          <w:shd w:val="clear" w:color="auto" w:fill="FFFFFF"/>
          <w:lang w:val="en-IN"/>
        </w:rPr>
        <w:t xml:space="preserve"> Antibiotic resistant bacteria: current situation and treatment options to accelerate the development of a new antimicrobial arsenal. </w:t>
      </w:r>
      <w:r w:rsidRPr="00AE3179">
        <w:rPr>
          <w:rFonts w:eastAsia="Times New Roman"/>
          <w:i/>
          <w:iCs/>
          <w:color w:val="222222"/>
          <w:sz w:val="24"/>
          <w:szCs w:val="24"/>
          <w:shd w:val="clear" w:color="auto" w:fill="FFFFFF"/>
          <w:lang w:val="en-IN"/>
        </w:rPr>
        <w:t>Expert review of anti-infective therapy</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20</w:t>
      </w:r>
      <w:r w:rsidRPr="00AE3179">
        <w:rPr>
          <w:rFonts w:eastAsia="Times New Roman"/>
          <w:color w:val="222222"/>
          <w:sz w:val="24"/>
          <w:szCs w:val="24"/>
          <w:shd w:val="clear" w:color="auto" w:fill="FFFFFF"/>
          <w:lang w:val="en-IN"/>
        </w:rPr>
        <w:t>(8), pp.1095-1108.</w:t>
      </w:r>
      <w:r w:rsidR="00AD1E6F">
        <w:rPr>
          <w:rFonts w:eastAsia="Times New Roman"/>
          <w:color w:val="222222"/>
          <w:sz w:val="24"/>
          <w:szCs w:val="24"/>
          <w:shd w:val="clear" w:color="auto" w:fill="FFFFFF"/>
          <w:lang w:val="en-IN"/>
        </w:rPr>
        <w:t xml:space="preserve"> </w:t>
      </w:r>
      <w:hyperlink r:id="rId103" w:history="1">
        <w:r w:rsidR="00AD1E6F" w:rsidRPr="008871FC">
          <w:rPr>
            <w:rStyle w:val="Hyperlink"/>
            <w:rFonts w:eastAsia="Times New Roman"/>
            <w:sz w:val="24"/>
            <w:szCs w:val="24"/>
            <w:shd w:val="clear" w:color="auto" w:fill="FFFFFF"/>
            <w:lang w:val="en-IN"/>
          </w:rPr>
          <w:t>https://doi.org/10.1080/14787210.2022.2078308</w:t>
        </w:r>
      </w:hyperlink>
      <w:r w:rsidR="00AD1E6F">
        <w:rPr>
          <w:rFonts w:eastAsia="Times New Roman"/>
          <w:color w:val="222222"/>
          <w:sz w:val="24"/>
          <w:szCs w:val="24"/>
          <w:shd w:val="clear" w:color="auto" w:fill="FFFFFF"/>
          <w:lang w:val="en-IN"/>
        </w:rPr>
        <w:t xml:space="preserve"> </w:t>
      </w:r>
    </w:p>
    <w:p w14:paraId="1F6A476E" w14:textId="05083BEB"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lastRenderedPageBreak/>
        <w:t xml:space="preserve">Thomas, R.E. and Thomas, B.C., </w:t>
      </w:r>
      <w:r w:rsidR="00E50ED2">
        <w:rPr>
          <w:rFonts w:eastAsia="Times New Roman"/>
          <w:color w:val="222222"/>
          <w:sz w:val="24"/>
          <w:szCs w:val="24"/>
          <w:shd w:val="clear" w:color="auto" w:fill="FFFFFF"/>
          <w:lang w:val="en-IN"/>
        </w:rPr>
        <w:t>(2021).</w:t>
      </w:r>
      <w:r w:rsidRPr="00AE3179">
        <w:rPr>
          <w:rFonts w:eastAsia="Times New Roman"/>
          <w:color w:val="222222"/>
          <w:sz w:val="24"/>
          <w:szCs w:val="24"/>
          <w:shd w:val="clear" w:color="auto" w:fill="FFFFFF"/>
          <w:lang w:val="en-IN"/>
        </w:rPr>
        <w:t xml:space="preserve"> Reducing biofilm infections in burn patients’ wounds and biofilms on surfaces in hospitals, medical facilities and medical equipment to improve burn care: a systematic review. </w:t>
      </w:r>
      <w:r w:rsidRPr="00AE3179">
        <w:rPr>
          <w:rFonts w:eastAsia="Times New Roman"/>
          <w:i/>
          <w:iCs/>
          <w:color w:val="222222"/>
          <w:sz w:val="24"/>
          <w:szCs w:val="24"/>
          <w:shd w:val="clear" w:color="auto" w:fill="FFFFFF"/>
          <w:lang w:val="en-IN"/>
        </w:rPr>
        <w:t>International journal of environmental research and public health</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18</w:t>
      </w:r>
      <w:r w:rsidRPr="00AE3179">
        <w:rPr>
          <w:rFonts w:eastAsia="Times New Roman"/>
          <w:color w:val="222222"/>
          <w:sz w:val="24"/>
          <w:szCs w:val="24"/>
          <w:shd w:val="clear" w:color="auto" w:fill="FFFFFF"/>
          <w:lang w:val="en-IN"/>
        </w:rPr>
        <w:t>(24), p.13195.</w:t>
      </w:r>
      <w:r w:rsidR="00AD1E6F">
        <w:rPr>
          <w:rFonts w:eastAsia="Times New Roman"/>
          <w:color w:val="222222"/>
          <w:sz w:val="24"/>
          <w:szCs w:val="24"/>
          <w:shd w:val="clear" w:color="auto" w:fill="FFFFFF"/>
          <w:lang w:val="en-IN"/>
        </w:rPr>
        <w:t xml:space="preserve"> </w:t>
      </w:r>
      <w:hyperlink r:id="rId104" w:history="1">
        <w:r w:rsidR="00AD1E6F" w:rsidRPr="008871FC">
          <w:rPr>
            <w:rStyle w:val="Hyperlink"/>
            <w:rFonts w:eastAsia="Times New Roman"/>
            <w:sz w:val="24"/>
            <w:szCs w:val="24"/>
            <w:shd w:val="clear" w:color="auto" w:fill="FFFFFF"/>
            <w:lang w:val="en-IN"/>
          </w:rPr>
          <w:t>https://doi.org/10.3390/ijerph182413195</w:t>
        </w:r>
      </w:hyperlink>
      <w:r w:rsidR="00AD1E6F">
        <w:rPr>
          <w:rFonts w:eastAsia="Times New Roman"/>
          <w:color w:val="222222"/>
          <w:sz w:val="24"/>
          <w:szCs w:val="24"/>
          <w:shd w:val="clear" w:color="auto" w:fill="FFFFFF"/>
          <w:lang w:val="en-IN"/>
        </w:rPr>
        <w:t xml:space="preserve"> </w:t>
      </w:r>
    </w:p>
    <w:p w14:paraId="4B4305FA" w14:textId="482D331F"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Tiwari, P., Thakkar, S. and Dufossé, L., </w:t>
      </w:r>
      <w:r w:rsidR="00E50ED2">
        <w:rPr>
          <w:sz w:val="24"/>
          <w:szCs w:val="24"/>
          <w:shd w:val="clear" w:color="auto" w:fill="FFFFFF"/>
        </w:rPr>
        <w:t>(2025).</w:t>
      </w:r>
      <w:r w:rsidRPr="00AE3179">
        <w:rPr>
          <w:sz w:val="24"/>
          <w:szCs w:val="24"/>
          <w:shd w:val="clear" w:color="auto" w:fill="FFFFFF"/>
        </w:rPr>
        <w:t xml:space="preserve"> Antimicrobials from endophytes as novel therapeutics to counter drug-resistant pathogens. </w:t>
      </w:r>
      <w:r w:rsidRPr="00AE3179">
        <w:rPr>
          <w:i/>
          <w:iCs/>
          <w:sz w:val="24"/>
          <w:szCs w:val="24"/>
          <w:shd w:val="clear" w:color="auto" w:fill="FFFFFF"/>
        </w:rPr>
        <w:t>Critical Reviews in Biotechnology</w:t>
      </w:r>
      <w:r w:rsidRPr="00AE3179">
        <w:rPr>
          <w:sz w:val="24"/>
          <w:szCs w:val="24"/>
          <w:shd w:val="clear" w:color="auto" w:fill="FFFFFF"/>
        </w:rPr>
        <w:t>, </w:t>
      </w:r>
      <w:r w:rsidRPr="00AE3179">
        <w:rPr>
          <w:i/>
          <w:iCs/>
          <w:sz w:val="24"/>
          <w:szCs w:val="24"/>
          <w:shd w:val="clear" w:color="auto" w:fill="FFFFFF"/>
        </w:rPr>
        <w:t>45</w:t>
      </w:r>
      <w:r w:rsidRPr="00AE3179">
        <w:rPr>
          <w:sz w:val="24"/>
          <w:szCs w:val="24"/>
          <w:shd w:val="clear" w:color="auto" w:fill="FFFFFF"/>
        </w:rPr>
        <w:t>(1), pp.164-190.</w:t>
      </w:r>
      <w:r w:rsidR="008E2D14">
        <w:rPr>
          <w:sz w:val="24"/>
          <w:szCs w:val="24"/>
          <w:shd w:val="clear" w:color="auto" w:fill="FFFFFF"/>
        </w:rPr>
        <w:t xml:space="preserve"> </w:t>
      </w:r>
      <w:hyperlink r:id="rId105" w:history="1">
        <w:r w:rsidR="008E2D14" w:rsidRPr="008871FC">
          <w:rPr>
            <w:rStyle w:val="Hyperlink"/>
            <w:sz w:val="24"/>
            <w:szCs w:val="24"/>
            <w:shd w:val="clear" w:color="auto" w:fill="FFFFFF"/>
          </w:rPr>
          <w:t>https://doi.org/10.1080/07388551.2024.2342979</w:t>
        </w:r>
      </w:hyperlink>
      <w:r w:rsidR="008E2D14">
        <w:rPr>
          <w:sz w:val="24"/>
          <w:szCs w:val="24"/>
          <w:shd w:val="clear" w:color="auto" w:fill="FFFFFF"/>
        </w:rPr>
        <w:t xml:space="preserve"> </w:t>
      </w:r>
    </w:p>
    <w:p w14:paraId="65491871" w14:textId="08F817D8"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Tripathi, S., Purchase, D., Govarthanan, M., Chandra, R. and Yadav, S., </w:t>
      </w:r>
      <w:r w:rsidR="00E50ED2">
        <w:rPr>
          <w:rFonts w:eastAsia="Times New Roman"/>
          <w:sz w:val="24"/>
          <w:szCs w:val="24"/>
          <w:highlight w:val="white"/>
        </w:rPr>
        <w:t>(2023).</w:t>
      </w:r>
      <w:r w:rsidRPr="00AE3179">
        <w:rPr>
          <w:rFonts w:eastAsia="Times New Roman"/>
          <w:sz w:val="24"/>
          <w:szCs w:val="24"/>
          <w:highlight w:val="white"/>
        </w:rPr>
        <w:t xml:space="preserve"> Regulatory and innovative mechanisms of bacterial quorum sensing–mediated pathogenicity: a review. </w:t>
      </w:r>
      <w:r w:rsidRPr="00AE3179">
        <w:rPr>
          <w:rFonts w:eastAsia="Times New Roman"/>
          <w:i/>
          <w:iCs/>
          <w:sz w:val="24"/>
          <w:szCs w:val="24"/>
        </w:rPr>
        <w:t>Environmental Monitoring and Assessment</w:t>
      </w:r>
      <w:r w:rsidRPr="00AE3179">
        <w:rPr>
          <w:rFonts w:eastAsia="Times New Roman"/>
          <w:sz w:val="24"/>
          <w:szCs w:val="24"/>
        </w:rPr>
        <w:t xml:space="preserve">, </w:t>
      </w:r>
      <w:r w:rsidRPr="00AE3179">
        <w:rPr>
          <w:rFonts w:eastAsia="Times New Roman"/>
          <w:i/>
          <w:iCs/>
          <w:sz w:val="24"/>
          <w:szCs w:val="24"/>
        </w:rPr>
        <w:t>195</w:t>
      </w:r>
      <w:r w:rsidRPr="00AE3179">
        <w:rPr>
          <w:rFonts w:eastAsia="Times New Roman"/>
          <w:sz w:val="24"/>
          <w:szCs w:val="24"/>
        </w:rPr>
        <w:t>(1), p.75.</w:t>
      </w:r>
      <w:r w:rsidR="00CF5E5B">
        <w:rPr>
          <w:rFonts w:eastAsia="Times New Roman"/>
          <w:sz w:val="24"/>
          <w:szCs w:val="24"/>
        </w:rPr>
        <w:t xml:space="preserve"> </w:t>
      </w:r>
      <w:hyperlink r:id="rId106" w:history="1">
        <w:r w:rsidR="00CF5E5B" w:rsidRPr="008871FC">
          <w:rPr>
            <w:rStyle w:val="Hyperlink"/>
            <w:rFonts w:ascii="Helvetica" w:hAnsi="Helvetica" w:cs="Helvetica"/>
            <w:shd w:val="clear" w:color="auto" w:fill="FFFFFF"/>
          </w:rPr>
          <w:t>https://doi.org/10.1007/s10661-022-10564-0</w:t>
        </w:r>
      </w:hyperlink>
      <w:r w:rsidR="00CF5E5B">
        <w:rPr>
          <w:rFonts w:ascii="Helvetica" w:hAnsi="Helvetica" w:cs="Helvetica"/>
          <w:color w:val="222222"/>
          <w:shd w:val="clear" w:color="auto" w:fill="FFFFFF"/>
        </w:rPr>
        <w:t xml:space="preserve"> </w:t>
      </w:r>
    </w:p>
    <w:p w14:paraId="403B91F9" w14:textId="77AF4566"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Tu, Y., Li, H., Huo, J., Gou, L., Wen, X., Yu, X., Zhang, X., Zeng, J. and Li, Y., </w:t>
      </w:r>
      <w:r w:rsidR="00E50ED2">
        <w:rPr>
          <w:rFonts w:eastAsia="Times New Roman"/>
          <w:color w:val="222222"/>
          <w:sz w:val="24"/>
          <w:szCs w:val="24"/>
          <w:shd w:val="clear" w:color="auto" w:fill="FFFFFF"/>
          <w:lang w:val="en-IN"/>
        </w:rPr>
        <w:t>(2025).</w:t>
      </w:r>
      <w:r w:rsidRPr="00AE3179">
        <w:rPr>
          <w:rFonts w:eastAsia="Times New Roman"/>
          <w:color w:val="222222"/>
          <w:sz w:val="24"/>
          <w:szCs w:val="24"/>
          <w:shd w:val="clear" w:color="auto" w:fill="FFFFFF"/>
          <w:lang w:val="en-IN"/>
        </w:rPr>
        <w:t xml:space="preserve"> Disrupting the bacterial language: quorum quenching and its applications. </w:t>
      </w:r>
      <w:r w:rsidRPr="00AE3179">
        <w:rPr>
          <w:rFonts w:eastAsia="Times New Roman"/>
          <w:i/>
          <w:iCs/>
          <w:color w:val="222222"/>
          <w:sz w:val="24"/>
          <w:szCs w:val="24"/>
          <w:shd w:val="clear" w:color="auto" w:fill="FFFFFF"/>
          <w:lang w:val="en-IN"/>
        </w:rPr>
        <w:t>Critical Reviews in Microbiology</w:t>
      </w:r>
      <w:r w:rsidRPr="00AE3179">
        <w:rPr>
          <w:rFonts w:eastAsia="Times New Roman"/>
          <w:color w:val="222222"/>
          <w:sz w:val="24"/>
          <w:szCs w:val="24"/>
          <w:shd w:val="clear" w:color="auto" w:fill="FFFFFF"/>
          <w:lang w:val="en-IN"/>
        </w:rPr>
        <w:t>, pp.1-15.</w:t>
      </w:r>
      <w:r w:rsidR="00EF02E5">
        <w:rPr>
          <w:rFonts w:eastAsia="Times New Roman"/>
          <w:color w:val="222222"/>
          <w:sz w:val="24"/>
          <w:szCs w:val="24"/>
          <w:shd w:val="clear" w:color="auto" w:fill="FFFFFF"/>
          <w:lang w:val="en-IN"/>
        </w:rPr>
        <w:t xml:space="preserve"> </w:t>
      </w:r>
      <w:hyperlink r:id="rId107" w:history="1">
        <w:r w:rsidR="00EF02E5" w:rsidRPr="008871FC">
          <w:rPr>
            <w:rStyle w:val="Hyperlink"/>
            <w:rFonts w:eastAsia="Times New Roman"/>
            <w:sz w:val="24"/>
            <w:szCs w:val="24"/>
            <w:shd w:val="clear" w:color="auto" w:fill="FFFFFF"/>
            <w:lang w:val="en-IN"/>
          </w:rPr>
          <w:t>https://doi.org/10.1080/1040841X.2025.2466472</w:t>
        </w:r>
      </w:hyperlink>
      <w:r w:rsidR="00EF02E5">
        <w:rPr>
          <w:rFonts w:eastAsia="Times New Roman"/>
          <w:color w:val="222222"/>
          <w:sz w:val="24"/>
          <w:szCs w:val="24"/>
          <w:shd w:val="clear" w:color="auto" w:fill="FFFFFF"/>
          <w:lang w:val="en-IN"/>
        </w:rPr>
        <w:t xml:space="preserve"> </w:t>
      </w:r>
    </w:p>
    <w:p w14:paraId="485BDF03" w14:textId="5596088F"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Van der Feltz-Cornelis, C., Attree, E., Heightman, M., Gabbay, M. and Allsopp, G., </w:t>
      </w:r>
      <w:r w:rsidR="00E50ED2">
        <w:rPr>
          <w:color w:val="222222"/>
          <w:sz w:val="24"/>
          <w:szCs w:val="24"/>
          <w:shd w:val="clear" w:color="auto" w:fill="FFFFFF"/>
        </w:rPr>
        <w:t>(2023).</w:t>
      </w:r>
      <w:r w:rsidRPr="00AE3179">
        <w:rPr>
          <w:color w:val="222222"/>
          <w:sz w:val="24"/>
          <w:szCs w:val="24"/>
          <w:shd w:val="clear" w:color="auto" w:fill="FFFFFF"/>
        </w:rPr>
        <w:t xml:space="preserve"> Integrated care pathways: a new approach for integrated care systems. </w:t>
      </w:r>
      <w:r w:rsidRPr="00AE3179">
        <w:rPr>
          <w:i/>
          <w:iCs/>
          <w:color w:val="222222"/>
          <w:sz w:val="24"/>
          <w:szCs w:val="24"/>
          <w:shd w:val="clear" w:color="auto" w:fill="FFFFFF"/>
        </w:rPr>
        <w:t>The British Journal of General Practice</w:t>
      </w:r>
      <w:r w:rsidRPr="00AE3179">
        <w:rPr>
          <w:color w:val="222222"/>
          <w:sz w:val="24"/>
          <w:szCs w:val="24"/>
          <w:shd w:val="clear" w:color="auto" w:fill="FFFFFF"/>
        </w:rPr>
        <w:t>, </w:t>
      </w:r>
      <w:r w:rsidRPr="00AE3179">
        <w:rPr>
          <w:i/>
          <w:iCs/>
          <w:color w:val="222222"/>
          <w:sz w:val="24"/>
          <w:szCs w:val="24"/>
          <w:shd w:val="clear" w:color="auto" w:fill="FFFFFF"/>
        </w:rPr>
        <w:t>73</w:t>
      </w:r>
      <w:r w:rsidRPr="00AE3179">
        <w:rPr>
          <w:color w:val="222222"/>
          <w:sz w:val="24"/>
          <w:szCs w:val="24"/>
          <w:shd w:val="clear" w:color="auto" w:fill="FFFFFF"/>
        </w:rPr>
        <w:t>(734), p.422.</w:t>
      </w:r>
      <w:r w:rsidR="00DF230A">
        <w:rPr>
          <w:color w:val="222222"/>
          <w:sz w:val="24"/>
          <w:szCs w:val="24"/>
          <w:shd w:val="clear" w:color="auto" w:fill="FFFFFF"/>
        </w:rPr>
        <w:t xml:space="preserve"> </w:t>
      </w:r>
      <w:hyperlink r:id="rId108" w:history="1">
        <w:r w:rsidR="00DF230A" w:rsidRPr="008871FC">
          <w:rPr>
            <w:rStyle w:val="Hyperlink"/>
            <w:sz w:val="24"/>
            <w:szCs w:val="24"/>
            <w:shd w:val="clear" w:color="auto" w:fill="FFFFFF"/>
          </w:rPr>
          <w:t>https://doi.org/10.3399/bjgp23X734925</w:t>
        </w:r>
      </w:hyperlink>
      <w:r w:rsidR="00DF230A">
        <w:rPr>
          <w:color w:val="222222"/>
          <w:sz w:val="24"/>
          <w:szCs w:val="24"/>
          <w:shd w:val="clear" w:color="auto" w:fill="FFFFFF"/>
        </w:rPr>
        <w:t xml:space="preserve"> </w:t>
      </w:r>
    </w:p>
    <w:p w14:paraId="078762F7" w14:textId="7F34C5D1"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Venkateswaran, P., Vasudevan, S., David, H., Shaktivel, A., Shanmugam, K., Neelakantan, P. and Solomon, A.P., </w:t>
      </w:r>
      <w:r w:rsidR="00E50ED2">
        <w:rPr>
          <w:rFonts w:eastAsia="Times New Roman"/>
          <w:sz w:val="24"/>
          <w:szCs w:val="24"/>
          <w:highlight w:val="white"/>
        </w:rPr>
        <w:t>(2023).</w:t>
      </w:r>
      <w:r w:rsidRPr="00AE3179">
        <w:rPr>
          <w:rFonts w:eastAsia="Times New Roman"/>
          <w:sz w:val="24"/>
          <w:szCs w:val="24"/>
          <w:highlight w:val="white"/>
        </w:rPr>
        <w:t xml:space="preserve"> Revisiting ESKAPE Pathogens: virulence, resistance, and combating strategies focusing on quorum sensing. </w:t>
      </w:r>
      <w:r w:rsidRPr="00AE3179">
        <w:rPr>
          <w:rFonts w:eastAsia="Times New Roman"/>
          <w:i/>
          <w:iCs/>
          <w:sz w:val="24"/>
          <w:szCs w:val="24"/>
        </w:rPr>
        <w:t>Frontiers in cellular and infection microbiology</w:t>
      </w:r>
      <w:r w:rsidRPr="00AE3179">
        <w:rPr>
          <w:rFonts w:eastAsia="Times New Roman"/>
          <w:sz w:val="24"/>
          <w:szCs w:val="24"/>
        </w:rPr>
        <w:t xml:space="preserve">, </w:t>
      </w:r>
      <w:r w:rsidRPr="00AE3179">
        <w:rPr>
          <w:rFonts w:eastAsia="Times New Roman"/>
          <w:i/>
          <w:iCs/>
          <w:sz w:val="24"/>
          <w:szCs w:val="24"/>
        </w:rPr>
        <w:t>13</w:t>
      </w:r>
      <w:r w:rsidRPr="00AE3179">
        <w:rPr>
          <w:rFonts w:eastAsia="Times New Roman"/>
          <w:sz w:val="24"/>
          <w:szCs w:val="24"/>
        </w:rPr>
        <w:t>, p.1159798.</w:t>
      </w:r>
      <w:r w:rsidR="006F402B">
        <w:rPr>
          <w:rFonts w:eastAsia="Times New Roman"/>
          <w:sz w:val="24"/>
          <w:szCs w:val="24"/>
        </w:rPr>
        <w:t xml:space="preserve"> </w:t>
      </w:r>
      <w:hyperlink r:id="rId109" w:history="1">
        <w:r w:rsidR="006F402B" w:rsidRPr="008871FC">
          <w:rPr>
            <w:rStyle w:val="Hyperlink"/>
            <w:rFonts w:eastAsia="Times New Roman"/>
            <w:sz w:val="24"/>
            <w:szCs w:val="24"/>
          </w:rPr>
          <w:t>https://doi.org/10.3389/fcimb.2023.1159798</w:t>
        </w:r>
      </w:hyperlink>
      <w:r w:rsidR="006F402B">
        <w:rPr>
          <w:rFonts w:eastAsia="Times New Roman"/>
          <w:sz w:val="24"/>
          <w:szCs w:val="24"/>
        </w:rPr>
        <w:t xml:space="preserve"> </w:t>
      </w:r>
    </w:p>
    <w:p w14:paraId="6FEC4E48" w14:textId="73BB8CC9"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Venkateswaran, S., Mitchell, J., Emonts, M., Bradley, M., Hawkins, N. and Singer, A.C., </w:t>
      </w:r>
      <w:r w:rsidR="00E50ED2">
        <w:rPr>
          <w:rFonts w:eastAsia="Times New Roman"/>
          <w:sz w:val="24"/>
          <w:szCs w:val="24"/>
          <w:highlight w:val="white"/>
        </w:rPr>
        <w:t>(2025).</w:t>
      </w:r>
      <w:r w:rsidRPr="00AE3179">
        <w:rPr>
          <w:rFonts w:eastAsia="Times New Roman"/>
          <w:sz w:val="24"/>
          <w:szCs w:val="24"/>
          <w:highlight w:val="white"/>
        </w:rPr>
        <w:t xml:space="preserve"> Diagnostics at the frontline: using the Public Accounts Committee report to catalyse the UK’s antimicrobial resistance diagnostics strategy. </w:t>
      </w:r>
      <w:r w:rsidRPr="00AE3179">
        <w:rPr>
          <w:rFonts w:eastAsia="Times New Roman"/>
          <w:i/>
          <w:iCs/>
          <w:sz w:val="24"/>
          <w:szCs w:val="24"/>
        </w:rPr>
        <w:t>The Lancet Microbe</w:t>
      </w:r>
      <w:r w:rsidRPr="00AE3179">
        <w:rPr>
          <w:rFonts w:eastAsia="Times New Roman"/>
          <w:sz w:val="24"/>
          <w:szCs w:val="24"/>
        </w:rPr>
        <w:t>.</w:t>
      </w:r>
      <w:r w:rsidR="00940B7C">
        <w:rPr>
          <w:rFonts w:eastAsia="Times New Roman"/>
          <w:sz w:val="24"/>
          <w:szCs w:val="24"/>
        </w:rPr>
        <w:t xml:space="preserve"> </w:t>
      </w:r>
      <w:hyperlink r:id="rId110" w:history="1">
        <w:r w:rsidR="00940B7C" w:rsidRPr="008871FC">
          <w:rPr>
            <w:rStyle w:val="Hyperlink"/>
            <w:rFonts w:eastAsia="Times New Roman"/>
            <w:sz w:val="24"/>
            <w:szCs w:val="24"/>
          </w:rPr>
          <w:t>https://doi.org/10.1016/j.lanmic.2025.101243</w:t>
        </w:r>
      </w:hyperlink>
      <w:r w:rsidR="00940B7C">
        <w:rPr>
          <w:rFonts w:eastAsia="Times New Roman"/>
          <w:sz w:val="24"/>
          <w:szCs w:val="24"/>
        </w:rPr>
        <w:t xml:space="preserve"> </w:t>
      </w:r>
    </w:p>
    <w:p w14:paraId="578414F8" w14:textId="6E7056CD"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lastRenderedPageBreak/>
        <w:t xml:space="preserve">Vitazkova, D., Foltan, E., Kosnacova, H., Micjan, M., Donoval, M., Kuzma, A., Kopani, M. and Vavrinsky, E., </w:t>
      </w:r>
      <w:r w:rsidR="00E50ED2">
        <w:rPr>
          <w:rFonts w:eastAsia="Times New Roman"/>
          <w:sz w:val="24"/>
          <w:szCs w:val="24"/>
          <w:highlight w:val="white"/>
        </w:rPr>
        <w:t>(2024).</w:t>
      </w:r>
      <w:r w:rsidRPr="00AE3179">
        <w:rPr>
          <w:rFonts w:eastAsia="Times New Roman"/>
          <w:sz w:val="24"/>
          <w:szCs w:val="24"/>
          <w:highlight w:val="white"/>
        </w:rPr>
        <w:t xml:space="preserve"> Advances in respiratory monitoring: a comprehensive review of wearable and remote technologies. </w:t>
      </w:r>
      <w:r w:rsidRPr="00AE3179">
        <w:rPr>
          <w:rFonts w:eastAsia="Times New Roman"/>
          <w:i/>
          <w:iCs/>
          <w:sz w:val="24"/>
          <w:szCs w:val="24"/>
        </w:rPr>
        <w:t>Biosensors</w:t>
      </w:r>
      <w:r w:rsidRPr="00AE3179">
        <w:rPr>
          <w:rFonts w:eastAsia="Times New Roman"/>
          <w:sz w:val="24"/>
          <w:szCs w:val="24"/>
        </w:rPr>
        <w:t xml:space="preserve">, </w:t>
      </w:r>
      <w:r w:rsidRPr="00AE3179">
        <w:rPr>
          <w:rFonts w:eastAsia="Times New Roman"/>
          <w:i/>
          <w:iCs/>
          <w:sz w:val="24"/>
          <w:szCs w:val="24"/>
        </w:rPr>
        <w:t>14</w:t>
      </w:r>
      <w:r w:rsidRPr="00AE3179">
        <w:rPr>
          <w:rFonts w:eastAsia="Times New Roman"/>
          <w:sz w:val="24"/>
          <w:szCs w:val="24"/>
        </w:rPr>
        <w:t>(2), p.90.</w:t>
      </w:r>
      <w:r w:rsidR="00940B7C">
        <w:rPr>
          <w:rFonts w:eastAsia="Times New Roman"/>
          <w:sz w:val="24"/>
          <w:szCs w:val="24"/>
        </w:rPr>
        <w:t xml:space="preserve"> </w:t>
      </w:r>
      <w:hyperlink r:id="rId111" w:history="1">
        <w:r w:rsidR="00940B7C" w:rsidRPr="008871FC">
          <w:rPr>
            <w:rStyle w:val="Hyperlink"/>
            <w:rFonts w:eastAsia="Times New Roman"/>
            <w:sz w:val="24"/>
            <w:szCs w:val="24"/>
          </w:rPr>
          <w:t>https://doi.org/10.3390/bios14020090</w:t>
        </w:r>
      </w:hyperlink>
      <w:r w:rsidR="00940B7C">
        <w:rPr>
          <w:rFonts w:eastAsia="Times New Roman"/>
          <w:sz w:val="24"/>
          <w:szCs w:val="24"/>
        </w:rPr>
        <w:t xml:space="preserve"> </w:t>
      </w:r>
    </w:p>
    <w:p w14:paraId="01254ED5" w14:textId="5841C3FA"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Wakefield, J., Lavender, S., Nixon, K., Hornby, S., Dobel-Ober, D., Lambley-Burke, R., Spolander, G., Bonner, P., Mallen, C. and Campbel, P., </w:t>
      </w:r>
      <w:r w:rsidR="00E50ED2">
        <w:rPr>
          <w:color w:val="222222"/>
          <w:sz w:val="24"/>
          <w:szCs w:val="24"/>
          <w:shd w:val="clear" w:color="auto" w:fill="FFFFFF"/>
        </w:rPr>
        <w:t>(2022).</w:t>
      </w:r>
      <w:r w:rsidRPr="00AE3179">
        <w:rPr>
          <w:color w:val="222222"/>
          <w:sz w:val="24"/>
          <w:szCs w:val="24"/>
          <w:shd w:val="clear" w:color="auto" w:fill="FFFFFF"/>
        </w:rPr>
        <w:t xml:space="preserve"> Social work and social care: Mapping workforce engagement, relevance, experience and interest in research. </w:t>
      </w:r>
      <w:r w:rsidRPr="00AE3179">
        <w:rPr>
          <w:i/>
          <w:iCs/>
          <w:color w:val="222222"/>
          <w:sz w:val="24"/>
          <w:szCs w:val="24"/>
          <w:shd w:val="clear" w:color="auto" w:fill="FFFFFF"/>
        </w:rPr>
        <w:t>The British Journal of Social Work</w:t>
      </w:r>
      <w:r w:rsidRPr="00AE3179">
        <w:rPr>
          <w:color w:val="222222"/>
          <w:sz w:val="24"/>
          <w:szCs w:val="24"/>
          <w:shd w:val="clear" w:color="auto" w:fill="FFFFFF"/>
        </w:rPr>
        <w:t>, </w:t>
      </w:r>
      <w:r w:rsidRPr="00AE3179">
        <w:rPr>
          <w:i/>
          <w:iCs/>
          <w:color w:val="222222"/>
          <w:sz w:val="24"/>
          <w:szCs w:val="24"/>
          <w:shd w:val="clear" w:color="auto" w:fill="FFFFFF"/>
        </w:rPr>
        <w:t>52</w:t>
      </w:r>
      <w:r w:rsidRPr="00AE3179">
        <w:rPr>
          <w:color w:val="222222"/>
          <w:sz w:val="24"/>
          <w:szCs w:val="24"/>
          <w:shd w:val="clear" w:color="auto" w:fill="FFFFFF"/>
        </w:rPr>
        <w:t>(4), pp.2291-2311.</w:t>
      </w:r>
      <w:r w:rsidR="00940B7C">
        <w:rPr>
          <w:color w:val="222222"/>
          <w:sz w:val="24"/>
          <w:szCs w:val="24"/>
          <w:shd w:val="clear" w:color="auto" w:fill="FFFFFF"/>
        </w:rPr>
        <w:t xml:space="preserve"> </w:t>
      </w:r>
      <w:hyperlink r:id="rId112" w:history="1">
        <w:r w:rsidR="00940B7C" w:rsidRPr="008871FC">
          <w:rPr>
            <w:rStyle w:val="Hyperlink"/>
            <w:sz w:val="24"/>
            <w:szCs w:val="24"/>
            <w:shd w:val="clear" w:color="auto" w:fill="FFFFFF"/>
          </w:rPr>
          <w:t>https://doi.org/10.1093/bjsw/bcab169</w:t>
        </w:r>
      </w:hyperlink>
      <w:r w:rsidR="00940B7C">
        <w:rPr>
          <w:color w:val="222222"/>
          <w:sz w:val="24"/>
          <w:szCs w:val="24"/>
          <w:shd w:val="clear" w:color="auto" w:fill="FFFFFF"/>
        </w:rPr>
        <w:t xml:space="preserve"> </w:t>
      </w:r>
    </w:p>
    <w:p w14:paraId="0F4DE19A" w14:textId="0037AC09"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Wang, M., Niu, Y., Peng, H., Zhang, P., Bu, Q., Song, X. and Yuan, S., </w:t>
      </w:r>
      <w:r w:rsidR="00E50ED2">
        <w:rPr>
          <w:rFonts w:eastAsia="Times New Roman"/>
          <w:sz w:val="24"/>
          <w:szCs w:val="24"/>
          <w:highlight w:val="white"/>
        </w:rPr>
        <w:t>(2025).</w:t>
      </w:r>
      <w:r w:rsidRPr="00AE3179">
        <w:rPr>
          <w:rFonts w:eastAsia="Times New Roman"/>
          <w:sz w:val="24"/>
          <w:szCs w:val="24"/>
          <w:highlight w:val="white"/>
        </w:rPr>
        <w:t xml:space="preserve"> Nanomaterial-Enabled Spectroscopic Sensing: Building a New Paradigm for Precision Detection of Pesticide Residues. </w:t>
      </w:r>
      <w:r w:rsidRPr="00AE3179">
        <w:rPr>
          <w:rFonts w:eastAsia="Times New Roman"/>
          <w:i/>
          <w:iCs/>
          <w:sz w:val="24"/>
          <w:szCs w:val="24"/>
        </w:rPr>
        <w:t>Nanomaterials</w:t>
      </w:r>
      <w:r w:rsidRPr="00AE3179">
        <w:rPr>
          <w:rFonts w:eastAsia="Times New Roman"/>
          <w:sz w:val="24"/>
          <w:szCs w:val="24"/>
        </w:rPr>
        <w:t xml:space="preserve">, </w:t>
      </w:r>
      <w:r w:rsidRPr="00AE3179">
        <w:rPr>
          <w:rFonts w:eastAsia="Times New Roman"/>
          <w:i/>
          <w:iCs/>
          <w:sz w:val="24"/>
          <w:szCs w:val="24"/>
        </w:rPr>
        <w:t>15</w:t>
      </w:r>
      <w:r w:rsidRPr="00AE3179">
        <w:rPr>
          <w:rFonts w:eastAsia="Times New Roman"/>
          <w:sz w:val="24"/>
          <w:szCs w:val="24"/>
        </w:rPr>
        <w:t>(21), p.1634.</w:t>
      </w:r>
      <w:r w:rsidR="00AA7BE8">
        <w:rPr>
          <w:rFonts w:eastAsia="Times New Roman"/>
          <w:sz w:val="24"/>
          <w:szCs w:val="24"/>
        </w:rPr>
        <w:t xml:space="preserve"> </w:t>
      </w:r>
      <w:hyperlink r:id="rId113" w:history="1">
        <w:r w:rsidR="00AA7BE8" w:rsidRPr="008871FC">
          <w:rPr>
            <w:rStyle w:val="Hyperlink"/>
            <w:rFonts w:eastAsia="Times New Roman"/>
            <w:sz w:val="24"/>
            <w:szCs w:val="24"/>
          </w:rPr>
          <w:t>https://doi.org/10.3390/nano15211634</w:t>
        </w:r>
      </w:hyperlink>
      <w:r w:rsidR="00AA7BE8">
        <w:rPr>
          <w:rFonts w:eastAsia="Times New Roman"/>
          <w:sz w:val="24"/>
          <w:szCs w:val="24"/>
        </w:rPr>
        <w:t xml:space="preserve"> </w:t>
      </w:r>
    </w:p>
    <w:p w14:paraId="39D48878" w14:textId="0EBD7F0E"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Wang, X., Liu, M., Yu, C., Li, J. and Zhou, X., </w:t>
      </w:r>
      <w:r w:rsidR="00E50ED2">
        <w:rPr>
          <w:rFonts w:eastAsia="Times New Roman"/>
          <w:sz w:val="24"/>
          <w:szCs w:val="24"/>
          <w:highlight w:val="white"/>
        </w:rPr>
        <w:t>(2023).</w:t>
      </w:r>
      <w:r w:rsidRPr="00AE3179">
        <w:rPr>
          <w:rFonts w:eastAsia="Times New Roman"/>
          <w:sz w:val="24"/>
          <w:szCs w:val="24"/>
          <w:highlight w:val="white"/>
        </w:rPr>
        <w:t xml:space="preserve"> Biofilm formation: mechanistic insights and therapeutic targets. </w:t>
      </w:r>
      <w:r w:rsidRPr="00AE3179">
        <w:rPr>
          <w:rFonts w:eastAsia="Times New Roman"/>
          <w:i/>
          <w:iCs/>
          <w:sz w:val="24"/>
          <w:szCs w:val="24"/>
        </w:rPr>
        <w:t>Molecular biomedicine</w:t>
      </w:r>
      <w:r w:rsidRPr="00AE3179">
        <w:rPr>
          <w:rFonts w:eastAsia="Times New Roman"/>
          <w:sz w:val="24"/>
          <w:szCs w:val="24"/>
        </w:rPr>
        <w:t xml:space="preserve">, </w:t>
      </w:r>
      <w:r w:rsidRPr="00AE3179">
        <w:rPr>
          <w:rFonts w:eastAsia="Times New Roman"/>
          <w:i/>
          <w:iCs/>
          <w:sz w:val="24"/>
          <w:szCs w:val="24"/>
        </w:rPr>
        <w:t>4</w:t>
      </w:r>
      <w:r w:rsidRPr="00AE3179">
        <w:rPr>
          <w:rFonts w:eastAsia="Times New Roman"/>
          <w:sz w:val="24"/>
          <w:szCs w:val="24"/>
        </w:rPr>
        <w:t>(1), p.49.</w:t>
      </w:r>
      <w:r w:rsidR="00AA7BE8">
        <w:rPr>
          <w:rFonts w:eastAsia="Times New Roman"/>
          <w:sz w:val="24"/>
          <w:szCs w:val="24"/>
        </w:rPr>
        <w:t xml:space="preserve"> </w:t>
      </w:r>
      <w:hyperlink r:id="rId114" w:history="1">
        <w:r w:rsidR="00AA7BE8" w:rsidRPr="008871FC">
          <w:rPr>
            <w:rStyle w:val="Hyperlink"/>
            <w:rFonts w:ascii="Helvetica" w:hAnsi="Helvetica" w:cs="Helvetica"/>
            <w:shd w:val="clear" w:color="auto" w:fill="FFFFFF"/>
          </w:rPr>
          <w:t>https://doi.org/10.1186/s43556-023-00164-w</w:t>
        </w:r>
      </w:hyperlink>
      <w:r w:rsidR="00AA7BE8">
        <w:rPr>
          <w:rFonts w:ascii="Helvetica" w:hAnsi="Helvetica" w:cs="Helvetica"/>
          <w:color w:val="222222"/>
          <w:shd w:val="clear" w:color="auto" w:fill="FFFFFF"/>
        </w:rPr>
        <w:t xml:space="preserve"> </w:t>
      </w:r>
    </w:p>
    <w:p w14:paraId="2984396D" w14:textId="3E7E992F"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Wang, Y., Bian, Z. and Wang, Y., </w:t>
      </w:r>
      <w:r w:rsidR="00E50ED2">
        <w:rPr>
          <w:rFonts w:eastAsia="Times New Roman"/>
          <w:sz w:val="24"/>
          <w:szCs w:val="24"/>
          <w:highlight w:val="white"/>
        </w:rPr>
        <w:t>(2022).</w:t>
      </w:r>
      <w:r w:rsidRPr="00AE3179">
        <w:rPr>
          <w:rFonts w:eastAsia="Times New Roman"/>
          <w:sz w:val="24"/>
          <w:szCs w:val="24"/>
          <w:highlight w:val="white"/>
        </w:rPr>
        <w:t xml:space="preserve"> Biofilm formation and inhibition mediated by bacterial quorum sensing. </w:t>
      </w:r>
      <w:r w:rsidRPr="00AE3179">
        <w:rPr>
          <w:rFonts w:eastAsia="Times New Roman"/>
          <w:i/>
          <w:iCs/>
          <w:sz w:val="24"/>
          <w:szCs w:val="24"/>
        </w:rPr>
        <w:t>Applied Microbiology and Biotechnology</w:t>
      </w:r>
      <w:r w:rsidRPr="00AE3179">
        <w:rPr>
          <w:rFonts w:eastAsia="Times New Roman"/>
          <w:sz w:val="24"/>
          <w:szCs w:val="24"/>
        </w:rPr>
        <w:t xml:space="preserve">, </w:t>
      </w:r>
      <w:r w:rsidRPr="00AE3179">
        <w:rPr>
          <w:rFonts w:eastAsia="Times New Roman"/>
          <w:i/>
          <w:iCs/>
          <w:sz w:val="24"/>
          <w:szCs w:val="24"/>
        </w:rPr>
        <w:t>106</w:t>
      </w:r>
      <w:r w:rsidRPr="00AE3179">
        <w:rPr>
          <w:rFonts w:eastAsia="Times New Roman"/>
          <w:sz w:val="24"/>
          <w:szCs w:val="24"/>
        </w:rPr>
        <w:t>(19), pp.6365-6381.</w:t>
      </w:r>
      <w:r w:rsidR="00AA7BE8">
        <w:rPr>
          <w:rFonts w:eastAsia="Times New Roman"/>
          <w:sz w:val="24"/>
          <w:szCs w:val="24"/>
        </w:rPr>
        <w:t xml:space="preserve"> </w:t>
      </w:r>
      <w:hyperlink r:id="rId115" w:history="1">
        <w:r w:rsidR="00AA7BE8" w:rsidRPr="008871FC">
          <w:rPr>
            <w:rStyle w:val="Hyperlink"/>
            <w:rFonts w:ascii="Helvetica" w:hAnsi="Helvetica" w:cs="Helvetica"/>
            <w:shd w:val="clear" w:color="auto" w:fill="FFFFFF"/>
          </w:rPr>
          <w:t>https://doi.org/10.1007/s00253-022-12150-3</w:t>
        </w:r>
      </w:hyperlink>
      <w:r w:rsidR="00AA7BE8">
        <w:rPr>
          <w:rFonts w:ascii="Helvetica" w:hAnsi="Helvetica" w:cs="Helvetica"/>
          <w:color w:val="222222"/>
          <w:shd w:val="clear" w:color="auto" w:fill="FFFFFF"/>
        </w:rPr>
        <w:t xml:space="preserve"> </w:t>
      </w:r>
    </w:p>
    <w:p w14:paraId="509BD3E0" w14:textId="7F9DEADB"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Warrier, A., Satyamoorthy, K. and Murali, T.S., </w:t>
      </w:r>
      <w:r w:rsidR="00E50ED2">
        <w:rPr>
          <w:rFonts w:eastAsia="Times New Roman"/>
          <w:sz w:val="24"/>
          <w:szCs w:val="24"/>
          <w:highlight w:val="white"/>
        </w:rPr>
        <w:t>(2021).</w:t>
      </w:r>
      <w:r w:rsidRPr="00AE3179">
        <w:rPr>
          <w:rFonts w:eastAsia="Times New Roman"/>
          <w:sz w:val="24"/>
          <w:szCs w:val="24"/>
          <w:highlight w:val="white"/>
        </w:rPr>
        <w:t xml:space="preserve"> Quorum-sensing regulation of virulence factors in bacterial biofilm. </w:t>
      </w:r>
      <w:r w:rsidRPr="00AE3179">
        <w:rPr>
          <w:rFonts w:eastAsia="Times New Roman"/>
          <w:i/>
          <w:iCs/>
          <w:sz w:val="24"/>
          <w:szCs w:val="24"/>
        </w:rPr>
        <w:t>Future microbiology</w:t>
      </w:r>
      <w:r w:rsidRPr="00AE3179">
        <w:rPr>
          <w:rFonts w:eastAsia="Times New Roman"/>
          <w:sz w:val="24"/>
          <w:szCs w:val="24"/>
        </w:rPr>
        <w:t xml:space="preserve">, </w:t>
      </w:r>
      <w:r w:rsidRPr="00AE3179">
        <w:rPr>
          <w:rFonts w:eastAsia="Times New Roman"/>
          <w:i/>
          <w:iCs/>
          <w:sz w:val="24"/>
          <w:szCs w:val="24"/>
        </w:rPr>
        <w:t>16</w:t>
      </w:r>
      <w:r w:rsidRPr="00AE3179">
        <w:rPr>
          <w:rFonts w:eastAsia="Times New Roman"/>
          <w:sz w:val="24"/>
          <w:szCs w:val="24"/>
        </w:rPr>
        <w:t>(13), pp.1003-1021.</w:t>
      </w:r>
      <w:r w:rsidR="00AA7BE8">
        <w:rPr>
          <w:rFonts w:eastAsia="Times New Roman"/>
          <w:sz w:val="24"/>
          <w:szCs w:val="24"/>
        </w:rPr>
        <w:t xml:space="preserve"> </w:t>
      </w:r>
      <w:hyperlink r:id="rId116" w:history="1">
        <w:r w:rsidR="00AA7BE8" w:rsidRPr="008871FC">
          <w:rPr>
            <w:rStyle w:val="Hyperlink"/>
            <w:rFonts w:eastAsia="Times New Roman"/>
            <w:sz w:val="24"/>
            <w:szCs w:val="24"/>
          </w:rPr>
          <w:t>https://doi.org/10.2217/fmb-2020-0301</w:t>
        </w:r>
      </w:hyperlink>
      <w:r w:rsidR="00AA7BE8">
        <w:rPr>
          <w:rFonts w:eastAsia="Times New Roman"/>
          <w:sz w:val="24"/>
          <w:szCs w:val="24"/>
        </w:rPr>
        <w:t xml:space="preserve"> </w:t>
      </w:r>
    </w:p>
    <w:p w14:paraId="051C2AF2" w14:textId="280B474C"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Watson, J., Cowan, K., Spring, H., Donnell, J.M. and Unstead-Joss, R., </w:t>
      </w:r>
      <w:r w:rsidR="00E50ED2">
        <w:rPr>
          <w:color w:val="222222"/>
          <w:sz w:val="24"/>
          <w:szCs w:val="24"/>
          <w:shd w:val="clear" w:color="auto" w:fill="FFFFFF"/>
        </w:rPr>
        <w:t>(2021).</w:t>
      </w:r>
      <w:r w:rsidRPr="00AE3179">
        <w:rPr>
          <w:color w:val="222222"/>
          <w:sz w:val="24"/>
          <w:szCs w:val="24"/>
          <w:shd w:val="clear" w:color="auto" w:fill="FFFFFF"/>
        </w:rPr>
        <w:t xml:space="preserve"> Identifying research priorities for occupational therapy in the UK: A James Lind Alliance Priority Setting Partnership. </w:t>
      </w:r>
      <w:r w:rsidRPr="00AE3179">
        <w:rPr>
          <w:i/>
          <w:iCs/>
          <w:color w:val="222222"/>
          <w:sz w:val="24"/>
          <w:szCs w:val="24"/>
          <w:shd w:val="clear" w:color="auto" w:fill="FFFFFF"/>
        </w:rPr>
        <w:t>British Journal of Occupational Therapy</w:t>
      </w:r>
      <w:r w:rsidRPr="00AE3179">
        <w:rPr>
          <w:color w:val="222222"/>
          <w:sz w:val="24"/>
          <w:szCs w:val="24"/>
          <w:shd w:val="clear" w:color="auto" w:fill="FFFFFF"/>
        </w:rPr>
        <w:t>, </w:t>
      </w:r>
      <w:r w:rsidRPr="00AE3179">
        <w:rPr>
          <w:i/>
          <w:iCs/>
          <w:color w:val="222222"/>
          <w:sz w:val="24"/>
          <w:szCs w:val="24"/>
          <w:shd w:val="clear" w:color="auto" w:fill="FFFFFF"/>
        </w:rPr>
        <w:t>84</w:t>
      </w:r>
      <w:r w:rsidRPr="00AE3179">
        <w:rPr>
          <w:color w:val="222222"/>
          <w:sz w:val="24"/>
          <w:szCs w:val="24"/>
          <w:shd w:val="clear" w:color="auto" w:fill="FFFFFF"/>
        </w:rPr>
        <w:t>(12), pp.735-744.</w:t>
      </w:r>
      <w:r w:rsidR="00AA7BE8">
        <w:rPr>
          <w:color w:val="222222"/>
          <w:sz w:val="24"/>
          <w:szCs w:val="24"/>
          <w:shd w:val="clear" w:color="auto" w:fill="FFFFFF"/>
        </w:rPr>
        <w:t xml:space="preserve"> </w:t>
      </w:r>
      <w:hyperlink r:id="rId117" w:history="1">
        <w:r w:rsidR="00AA7BE8" w:rsidRPr="008871FC">
          <w:rPr>
            <w:rStyle w:val="Hyperlink"/>
            <w:sz w:val="24"/>
            <w:szCs w:val="24"/>
            <w:shd w:val="clear" w:color="auto" w:fill="FFFFFF"/>
          </w:rPr>
          <w:t>https://doi.org/10.1177/03080226211026557</w:t>
        </w:r>
      </w:hyperlink>
      <w:r w:rsidR="00AA7BE8">
        <w:rPr>
          <w:color w:val="222222"/>
          <w:sz w:val="24"/>
          <w:szCs w:val="24"/>
          <w:shd w:val="clear" w:color="auto" w:fill="FFFFFF"/>
        </w:rPr>
        <w:t xml:space="preserve"> </w:t>
      </w:r>
    </w:p>
    <w:p w14:paraId="24A82EFA" w14:textId="5D90300F"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Whittaker, A., Do, T.T., Davis, M.D. and Barr, J., </w:t>
      </w:r>
      <w:r w:rsidR="00E50ED2">
        <w:rPr>
          <w:rFonts w:eastAsia="Times New Roman"/>
          <w:sz w:val="24"/>
          <w:szCs w:val="24"/>
          <w:highlight w:val="white"/>
        </w:rPr>
        <w:t>(2023).</w:t>
      </w:r>
      <w:r w:rsidRPr="00AE3179">
        <w:rPr>
          <w:rFonts w:eastAsia="Times New Roman"/>
          <w:sz w:val="24"/>
          <w:szCs w:val="24"/>
          <w:highlight w:val="white"/>
        </w:rPr>
        <w:t xml:space="preserve"> AMR survivors? Chronic living with antimicrobial resistant infections. </w:t>
      </w:r>
      <w:r w:rsidRPr="00AE3179">
        <w:rPr>
          <w:rFonts w:eastAsia="Times New Roman"/>
          <w:i/>
          <w:iCs/>
          <w:sz w:val="24"/>
          <w:szCs w:val="24"/>
        </w:rPr>
        <w:t>Global Public Health</w:t>
      </w:r>
      <w:r w:rsidRPr="00AE3179">
        <w:rPr>
          <w:rFonts w:eastAsia="Times New Roman"/>
          <w:sz w:val="24"/>
          <w:szCs w:val="24"/>
        </w:rPr>
        <w:t xml:space="preserve">, </w:t>
      </w:r>
      <w:r w:rsidRPr="00AE3179">
        <w:rPr>
          <w:rFonts w:eastAsia="Times New Roman"/>
          <w:i/>
          <w:iCs/>
          <w:sz w:val="24"/>
          <w:szCs w:val="24"/>
        </w:rPr>
        <w:t>18</w:t>
      </w:r>
      <w:r w:rsidRPr="00AE3179">
        <w:rPr>
          <w:rFonts w:eastAsia="Times New Roman"/>
          <w:sz w:val="24"/>
          <w:szCs w:val="24"/>
        </w:rPr>
        <w:t>(1), p.2217445.</w:t>
      </w:r>
      <w:r w:rsidR="00AA7BE8">
        <w:rPr>
          <w:rFonts w:eastAsia="Times New Roman"/>
          <w:sz w:val="24"/>
          <w:szCs w:val="24"/>
        </w:rPr>
        <w:t xml:space="preserve"> </w:t>
      </w:r>
      <w:hyperlink r:id="rId118" w:history="1">
        <w:r w:rsidR="00AA7BE8" w:rsidRPr="008871FC">
          <w:rPr>
            <w:rStyle w:val="Hyperlink"/>
            <w:rFonts w:eastAsia="Times New Roman"/>
            <w:sz w:val="24"/>
            <w:szCs w:val="24"/>
          </w:rPr>
          <w:t>https://doi.org/10.1080/17441692.2023.2217445</w:t>
        </w:r>
      </w:hyperlink>
      <w:r w:rsidR="00AA7BE8">
        <w:rPr>
          <w:rFonts w:eastAsia="Times New Roman"/>
          <w:sz w:val="24"/>
          <w:szCs w:val="24"/>
        </w:rPr>
        <w:t xml:space="preserve"> </w:t>
      </w:r>
    </w:p>
    <w:p w14:paraId="631EF4F9" w14:textId="54006D48"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color w:val="222222"/>
          <w:sz w:val="24"/>
          <w:szCs w:val="24"/>
          <w:shd w:val="clear" w:color="auto" w:fill="FFFFFF"/>
          <w:lang w:val="en-IN"/>
        </w:rPr>
        <w:t xml:space="preserve">Wijesinghe, G.K., Nobbs, A.H. and Bandara, H.M.H.N., </w:t>
      </w:r>
      <w:r w:rsidR="00E50ED2">
        <w:rPr>
          <w:rFonts w:eastAsia="Times New Roman"/>
          <w:color w:val="222222"/>
          <w:sz w:val="24"/>
          <w:szCs w:val="24"/>
          <w:shd w:val="clear" w:color="auto" w:fill="FFFFFF"/>
          <w:lang w:val="en-IN"/>
        </w:rPr>
        <w:t>(2025).</w:t>
      </w:r>
      <w:r w:rsidRPr="00AE3179">
        <w:rPr>
          <w:rFonts w:eastAsia="Times New Roman"/>
          <w:color w:val="222222"/>
          <w:sz w:val="24"/>
          <w:szCs w:val="24"/>
          <w:shd w:val="clear" w:color="auto" w:fill="FFFFFF"/>
          <w:lang w:val="en-IN"/>
        </w:rPr>
        <w:t xml:space="preserve"> The diffusible signaling factor family in microbial signaling: a current perspective. </w:t>
      </w:r>
      <w:r w:rsidRPr="00AE3179">
        <w:rPr>
          <w:rFonts w:eastAsia="Times New Roman"/>
          <w:i/>
          <w:iCs/>
          <w:color w:val="222222"/>
          <w:sz w:val="24"/>
          <w:szCs w:val="24"/>
          <w:shd w:val="clear" w:color="auto" w:fill="FFFFFF"/>
          <w:lang w:val="en-IN"/>
        </w:rPr>
        <w:lastRenderedPageBreak/>
        <w:t>Critical Reviews in Microbiology</w:t>
      </w:r>
      <w:r w:rsidRPr="00AE3179">
        <w:rPr>
          <w:rFonts w:eastAsia="Times New Roman"/>
          <w:color w:val="222222"/>
          <w:sz w:val="24"/>
          <w:szCs w:val="24"/>
          <w:shd w:val="clear" w:color="auto" w:fill="FFFFFF"/>
          <w:lang w:val="en-IN"/>
        </w:rPr>
        <w:t>, pp.1-16.</w:t>
      </w:r>
      <w:r w:rsidR="00490303">
        <w:rPr>
          <w:rFonts w:eastAsia="Times New Roman"/>
          <w:color w:val="222222"/>
          <w:sz w:val="24"/>
          <w:szCs w:val="24"/>
          <w:shd w:val="clear" w:color="auto" w:fill="FFFFFF"/>
          <w:lang w:val="en-IN"/>
        </w:rPr>
        <w:t xml:space="preserve"> </w:t>
      </w:r>
      <w:hyperlink r:id="rId119" w:history="1">
        <w:r w:rsidR="00490303" w:rsidRPr="008871FC">
          <w:rPr>
            <w:rStyle w:val="Hyperlink"/>
            <w:rFonts w:eastAsia="Times New Roman"/>
            <w:sz w:val="24"/>
            <w:szCs w:val="24"/>
            <w:shd w:val="clear" w:color="auto" w:fill="FFFFFF"/>
            <w:lang w:val="en-IN"/>
          </w:rPr>
          <w:t>https://doi.org/10.1080/1040841X.2025.2457670</w:t>
        </w:r>
      </w:hyperlink>
      <w:r w:rsidR="00490303">
        <w:rPr>
          <w:rFonts w:eastAsia="Times New Roman"/>
          <w:color w:val="222222"/>
          <w:sz w:val="24"/>
          <w:szCs w:val="24"/>
          <w:shd w:val="clear" w:color="auto" w:fill="FFFFFF"/>
          <w:lang w:val="en-IN"/>
        </w:rPr>
        <w:t xml:space="preserve"> </w:t>
      </w:r>
    </w:p>
    <w:p w14:paraId="35A8F197" w14:textId="3C69C6EA" w:rsidR="00FD3D71" w:rsidRPr="00AE3179" w:rsidRDefault="00FD3D71" w:rsidP="00AE3179">
      <w:pPr>
        <w:pStyle w:val="ListParagraph"/>
        <w:numPr>
          <w:ilvl w:val="0"/>
          <w:numId w:val="8"/>
        </w:numPr>
        <w:spacing w:line="360" w:lineRule="auto"/>
        <w:jc w:val="both"/>
        <w:rPr>
          <w:color w:val="222222"/>
          <w:sz w:val="24"/>
          <w:szCs w:val="24"/>
          <w:shd w:val="clear" w:color="auto" w:fill="FFFFFF"/>
        </w:rPr>
      </w:pPr>
      <w:r w:rsidRPr="00AE3179">
        <w:rPr>
          <w:color w:val="222222"/>
          <w:sz w:val="24"/>
          <w:szCs w:val="24"/>
          <w:shd w:val="clear" w:color="auto" w:fill="FFFFFF"/>
        </w:rPr>
        <w:t xml:space="preserve">Williams, B., </w:t>
      </w:r>
      <w:r w:rsidR="00E50ED2">
        <w:rPr>
          <w:color w:val="222222"/>
          <w:sz w:val="24"/>
          <w:szCs w:val="24"/>
          <w:shd w:val="clear" w:color="auto" w:fill="FFFFFF"/>
        </w:rPr>
        <w:t>(2022).</w:t>
      </w:r>
      <w:r w:rsidRPr="00AE3179">
        <w:rPr>
          <w:color w:val="222222"/>
          <w:sz w:val="24"/>
          <w:szCs w:val="24"/>
          <w:shd w:val="clear" w:color="auto" w:fill="FFFFFF"/>
        </w:rPr>
        <w:t xml:space="preserve"> The national early warning score: from concept to NHS implementation. </w:t>
      </w:r>
      <w:r w:rsidRPr="00AE3179">
        <w:rPr>
          <w:i/>
          <w:iCs/>
          <w:color w:val="222222"/>
          <w:sz w:val="24"/>
          <w:szCs w:val="24"/>
          <w:shd w:val="clear" w:color="auto" w:fill="FFFFFF"/>
        </w:rPr>
        <w:t>Clinical Medicine</w:t>
      </w:r>
      <w:r w:rsidRPr="00AE3179">
        <w:rPr>
          <w:color w:val="222222"/>
          <w:sz w:val="24"/>
          <w:szCs w:val="24"/>
          <w:shd w:val="clear" w:color="auto" w:fill="FFFFFF"/>
        </w:rPr>
        <w:t>, </w:t>
      </w:r>
      <w:r w:rsidRPr="00AE3179">
        <w:rPr>
          <w:i/>
          <w:iCs/>
          <w:color w:val="222222"/>
          <w:sz w:val="24"/>
          <w:szCs w:val="24"/>
          <w:shd w:val="clear" w:color="auto" w:fill="FFFFFF"/>
        </w:rPr>
        <w:t>22</w:t>
      </w:r>
      <w:r w:rsidRPr="00AE3179">
        <w:rPr>
          <w:color w:val="222222"/>
          <w:sz w:val="24"/>
          <w:szCs w:val="24"/>
          <w:shd w:val="clear" w:color="auto" w:fill="FFFFFF"/>
        </w:rPr>
        <w:t>(6), pp.499-505.</w:t>
      </w:r>
      <w:r w:rsidR="00D5479F">
        <w:rPr>
          <w:color w:val="222222"/>
          <w:sz w:val="24"/>
          <w:szCs w:val="24"/>
          <w:shd w:val="clear" w:color="auto" w:fill="FFFFFF"/>
        </w:rPr>
        <w:t xml:space="preserve"> </w:t>
      </w:r>
      <w:hyperlink r:id="rId120" w:history="1">
        <w:r w:rsidR="00D5479F" w:rsidRPr="008871FC">
          <w:rPr>
            <w:rStyle w:val="Hyperlink"/>
            <w:sz w:val="24"/>
            <w:szCs w:val="24"/>
            <w:shd w:val="clear" w:color="auto" w:fill="FFFFFF"/>
          </w:rPr>
          <w:t>https://doi.org/10.7861/clinmed.2022-news-concept</w:t>
        </w:r>
      </w:hyperlink>
      <w:r w:rsidR="00D5479F">
        <w:rPr>
          <w:color w:val="222222"/>
          <w:sz w:val="24"/>
          <w:szCs w:val="24"/>
          <w:shd w:val="clear" w:color="auto" w:fill="FFFFFF"/>
        </w:rPr>
        <w:t xml:space="preserve"> </w:t>
      </w:r>
    </w:p>
    <w:p w14:paraId="2D48EE5F" w14:textId="1FCB7732" w:rsidR="00FD3D71" w:rsidRPr="00AE3179" w:rsidRDefault="00FD3D71" w:rsidP="00AE3179">
      <w:pPr>
        <w:pStyle w:val="ListParagraph"/>
        <w:numPr>
          <w:ilvl w:val="0"/>
          <w:numId w:val="8"/>
        </w:numPr>
        <w:spacing w:line="360" w:lineRule="auto"/>
        <w:jc w:val="both"/>
        <w:rPr>
          <w:rFonts w:eastAsia="Times New Roman"/>
          <w:sz w:val="24"/>
          <w:szCs w:val="24"/>
          <w:lang w:val="en-IN"/>
        </w:rPr>
      </w:pPr>
      <w:r w:rsidRPr="00AE3179">
        <w:rPr>
          <w:rFonts w:eastAsia="Times New Roman"/>
          <w:color w:val="222222"/>
          <w:sz w:val="24"/>
          <w:szCs w:val="24"/>
          <w:shd w:val="clear" w:color="auto" w:fill="FFFFFF"/>
          <w:lang w:val="en-IN"/>
        </w:rPr>
        <w:t xml:space="preserve">Xiao, Y., Zou, H., Li, J., Song, T., Lv, W., Wang, W., Wang, Z. and Tao, S., </w:t>
      </w:r>
      <w:r w:rsidR="00E50ED2">
        <w:rPr>
          <w:rFonts w:eastAsia="Times New Roman"/>
          <w:color w:val="222222"/>
          <w:sz w:val="24"/>
          <w:szCs w:val="24"/>
          <w:shd w:val="clear" w:color="auto" w:fill="FFFFFF"/>
          <w:lang w:val="en-IN"/>
        </w:rPr>
        <w:t>(2022).</w:t>
      </w:r>
      <w:r w:rsidRPr="00AE3179">
        <w:rPr>
          <w:rFonts w:eastAsia="Times New Roman"/>
          <w:color w:val="222222"/>
          <w:sz w:val="24"/>
          <w:szCs w:val="24"/>
          <w:shd w:val="clear" w:color="auto" w:fill="FFFFFF"/>
          <w:lang w:val="en-IN"/>
        </w:rPr>
        <w:t xml:space="preserve"> Impact of quorum sensing signaling molecules in gram-negative bacteria on host cells: current understanding and future perspectives. </w:t>
      </w:r>
      <w:r w:rsidRPr="00AE3179">
        <w:rPr>
          <w:rFonts w:eastAsia="Times New Roman"/>
          <w:i/>
          <w:iCs/>
          <w:color w:val="222222"/>
          <w:sz w:val="24"/>
          <w:szCs w:val="24"/>
          <w:shd w:val="clear" w:color="auto" w:fill="FFFFFF"/>
          <w:lang w:val="en-IN"/>
        </w:rPr>
        <w:t>Gut Microbes</w:t>
      </w:r>
      <w:r w:rsidRPr="00AE3179">
        <w:rPr>
          <w:rFonts w:eastAsia="Times New Roman"/>
          <w:color w:val="222222"/>
          <w:sz w:val="24"/>
          <w:szCs w:val="24"/>
          <w:shd w:val="clear" w:color="auto" w:fill="FFFFFF"/>
          <w:lang w:val="en-IN"/>
        </w:rPr>
        <w:t xml:space="preserve">, </w:t>
      </w:r>
      <w:r w:rsidRPr="00AE3179">
        <w:rPr>
          <w:rFonts w:eastAsia="Times New Roman"/>
          <w:i/>
          <w:iCs/>
          <w:color w:val="222222"/>
          <w:sz w:val="24"/>
          <w:szCs w:val="24"/>
          <w:shd w:val="clear" w:color="auto" w:fill="FFFFFF"/>
          <w:lang w:val="en-IN"/>
        </w:rPr>
        <w:t>14</w:t>
      </w:r>
      <w:r w:rsidRPr="00AE3179">
        <w:rPr>
          <w:rFonts w:eastAsia="Times New Roman"/>
          <w:color w:val="222222"/>
          <w:sz w:val="24"/>
          <w:szCs w:val="24"/>
          <w:shd w:val="clear" w:color="auto" w:fill="FFFFFF"/>
          <w:lang w:val="en-IN"/>
        </w:rPr>
        <w:t>(1), p.2039048.</w:t>
      </w:r>
      <w:r w:rsidR="00D5479F">
        <w:rPr>
          <w:rFonts w:eastAsia="Times New Roman"/>
          <w:color w:val="222222"/>
          <w:sz w:val="24"/>
          <w:szCs w:val="24"/>
          <w:shd w:val="clear" w:color="auto" w:fill="FFFFFF"/>
          <w:lang w:val="en-IN"/>
        </w:rPr>
        <w:t xml:space="preserve"> </w:t>
      </w:r>
      <w:hyperlink r:id="rId121" w:history="1">
        <w:r w:rsidR="00D5479F" w:rsidRPr="008871FC">
          <w:rPr>
            <w:rStyle w:val="Hyperlink"/>
            <w:rFonts w:eastAsia="Times New Roman"/>
            <w:sz w:val="24"/>
            <w:szCs w:val="24"/>
            <w:shd w:val="clear" w:color="auto" w:fill="FFFFFF"/>
            <w:lang w:val="en-IN"/>
          </w:rPr>
          <w:t>https://doi.org/10.1080/19490976.2022.2039048</w:t>
        </w:r>
      </w:hyperlink>
      <w:r w:rsidR="00D5479F">
        <w:rPr>
          <w:rFonts w:eastAsia="Times New Roman"/>
          <w:color w:val="222222"/>
          <w:sz w:val="24"/>
          <w:szCs w:val="24"/>
          <w:shd w:val="clear" w:color="auto" w:fill="FFFFFF"/>
          <w:lang w:val="en-IN"/>
        </w:rPr>
        <w:t xml:space="preserve"> </w:t>
      </w:r>
    </w:p>
    <w:p w14:paraId="61ED750C" w14:textId="0F8B4AE4"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Xu, H., Chen, X., Jia, Y., Gao, X., Guo, S., Jia, D., Zhang, Y. and Yu, Q., </w:t>
      </w:r>
      <w:r w:rsidR="00E50ED2">
        <w:rPr>
          <w:rFonts w:eastAsia="Times New Roman"/>
          <w:sz w:val="24"/>
          <w:szCs w:val="24"/>
          <w:highlight w:val="white"/>
        </w:rPr>
        <w:t>(2025).</w:t>
      </w:r>
      <w:r w:rsidRPr="00AE3179">
        <w:rPr>
          <w:rFonts w:eastAsia="Times New Roman"/>
          <w:sz w:val="24"/>
          <w:szCs w:val="24"/>
          <w:highlight w:val="white"/>
        </w:rPr>
        <w:t xml:space="preserve"> A trifunctional coating for biofilm prevention: integrating antifouling, photothermal killing, and quorum sensing interference. </w:t>
      </w:r>
      <w:r w:rsidRPr="00AE3179">
        <w:rPr>
          <w:rFonts w:eastAsia="Times New Roman"/>
          <w:i/>
          <w:iCs/>
          <w:sz w:val="24"/>
          <w:szCs w:val="24"/>
        </w:rPr>
        <w:t>Journal of Colloid and Interface Science</w:t>
      </w:r>
      <w:r w:rsidRPr="00AE3179">
        <w:rPr>
          <w:rFonts w:eastAsia="Times New Roman"/>
          <w:sz w:val="24"/>
          <w:szCs w:val="24"/>
        </w:rPr>
        <w:t>, p.138628.</w:t>
      </w:r>
      <w:r w:rsidR="00C951E4">
        <w:rPr>
          <w:rFonts w:eastAsia="Times New Roman"/>
          <w:sz w:val="24"/>
          <w:szCs w:val="24"/>
        </w:rPr>
        <w:t xml:space="preserve"> </w:t>
      </w:r>
      <w:hyperlink r:id="rId122" w:history="1">
        <w:r w:rsidR="00C951E4" w:rsidRPr="008871FC">
          <w:rPr>
            <w:rStyle w:val="Hyperlink"/>
            <w:rFonts w:eastAsia="Times New Roman"/>
            <w:sz w:val="24"/>
            <w:szCs w:val="24"/>
          </w:rPr>
          <w:t>https://doi.org/10.1016/j.jcis.2025.138628</w:t>
        </w:r>
      </w:hyperlink>
      <w:r w:rsidR="00C951E4">
        <w:rPr>
          <w:rFonts w:eastAsia="Times New Roman"/>
          <w:sz w:val="24"/>
          <w:szCs w:val="24"/>
        </w:rPr>
        <w:t xml:space="preserve"> </w:t>
      </w:r>
    </w:p>
    <w:p w14:paraId="6DB03296" w14:textId="739BD707"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Yao, H., Li, C., Tian, F., Liu, X., Yang, S., Xiao, Q., Jin, Y., Huang, S., Zhao, P., Ma, W. and Liu, T., </w:t>
      </w:r>
      <w:r w:rsidR="00E50ED2">
        <w:rPr>
          <w:rFonts w:eastAsia="Times New Roman"/>
          <w:sz w:val="24"/>
          <w:szCs w:val="24"/>
          <w:highlight w:val="white"/>
        </w:rPr>
        <w:t>(2023).</w:t>
      </w:r>
      <w:r w:rsidRPr="00AE3179">
        <w:rPr>
          <w:rFonts w:eastAsia="Times New Roman"/>
          <w:sz w:val="24"/>
          <w:szCs w:val="24"/>
          <w:highlight w:val="white"/>
        </w:rPr>
        <w:t xml:space="preserve"> Evaluation of Chlamydia trachomatis screening from the perspective of health economics: a systematic review. </w:t>
      </w:r>
      <w:r w:rsidRPr="00AE3179">
        <w:rPr>
          <w:rFonts w:eastAsia="Times New Roman"/>
          <w:i/>
          <w:iCs/>
          <w:sz w:val="24"/>
          <w:szCs w:val="24"/>
        </w:rPr>
        <w:t>Frontiers in Public Health</w:t>
      </w:r>
      <w:r w:rsidRPr="00AE3179">
        <w:rPr>
          <w:rFonts w:eastAsia="Times New Roman"/>
          <w:sz w:val="24"/>
          <w:szCs w:val="24"/>
        </w:rPr>
        <w:t xml:space="preserve">, </w:t>
      </w:r>
      <w:r w:rsidRPr="00AE3179">
        <w:rPr>
          <w:rFonts w:eastAsia="Times New Roman"/>
          <w:i/>
          <w:iCs/>
          <w:sz w:val="24"/>
          <w:szCs w:val="24"/>
        </w:rPr>
        <w:t>11</w:t>
      </w:r>
      <w:r w:rsidRPr="00AE3179">
        <w:rPr>
          <w:rFonts w:eastAsia="Times New Roman"/>
          <w:sz w:val="24"/>
          <w:szCs w:val="24"/>
        </w:rPr>
        <w:t>, p.1212890.</w:t>
      </w:r>
      <w:r w:rsidR="00C951E4">
        <w:rPr>
          <w:rFonts w:eastAsia="Times New Roman"/>
          <w:sz w:val="24"/>
          <w:szCs w:val="24"/>
        </w:rPr>
        <w:t xml:space="preserve"> </w:t>
      </w:r>
      <w:hyperlink r:id="rId123" w:history="1">
        <w:r w:rsidR="00C951E4" w:rsidRPr="008871FC">
          <w:rPr>
            <w:rStyle w:val="Hyperlink"/>
            <w:rFonts w:eastAsia="Times New Roman"/>
            <w:sz w:val="24"/>
            <w:szCs w:val="24"/>
          </w:rPr>
          <w:t>https://doi.org/10.3389/fpubh.2023.1212890</w:t>
        </w:r>
      </w:hyperlink>
      <w:r w:rsidR="00C951E4">
        <w:rPr>
          <w:rFonts w:eastAsia="Times New Roman"/>
          <w:sz w:val="24"/>
          <w:szCs w:val="24"/>
        </w:rPr>
        <w:t xml:space="preserve"> </w:t>
      </w:r>
    </w:p>
    <w:p w14:paraId="1B918D8B" w14:textId="54052C9D"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Zhang, J. and Tan, H., </w:t>
      </w:r>
      <w:r w:rsidR="00E50ED2">
        <w:rPr>
          <w:rFonts w:eastAsia="Times New Roman"/>
          <w:sz w:val="24"/>
          <w:szCs w:val="24"/>
          <w:highlight w:val="white"/>
        </w:rPr>
        <w:t>(2023).</w:t>
      </w:r>
      <w:r w:rsidRPr="00AE3179">
        <w:rPr>
          <w:rFonts w:eastAsia="Times New Roman"/>
          <w:sz w:val="24"/>
          <w:szCs w:val="24"/>
          <w:highlight w:val="white"/>
        </w:rPr>
        <w:t xml:space="preserve"> Microbial quorum sensing signaling molecules and their roles in the biosynthesis of natural products. </w:t>
      </w:r>
      <w:r w:rsidRPr="00AE3179">
        <w:rPr>
          <w:rFonts w:eastAsia="Times New Roman"/>
          <w:i/>
          <w:iCs/>
          <w:sz w:val="24"/>
          <w:szCs w:val="24"/>
        </w:rPr>
        <w:t>Science China. Life Sciences</w:t>
      </w:r>
      <w:r w:rsidRPr="00AE3179">
        <w:rPr>
          <w:rFonts w:eastAsia="Times New Roman"/>
          <w:sz w:val="24"/>
          <w:szCs w:val="24"/>
        </w:rPr>
        <w:t xml:space="preserve">, </w:t>
      </w:r>
      <w:r w:rsidRPr="00AE3179">
        <w:rPr>
          <w:rFonts w:eastAsia="Times New Roman"/>
          <w:i/>
          <w:iCs/>
          <w:sz w:val="24"/>
          <w:szCs w:val="24"/>
        </w:rPr>
        <w:t>66</w:t>
      </w:r>
      <w:r w:rsidRPr="00AE3179">
        <w:rPr>
          <w:rFonts w:eastAsia="Times New Roman"/>
          <w:sz w:val="24"/>
          <w:szCs w:val="24"/>
        </w:rPr>
        <w:t>(10), pp.2429-2432.</w:t>
      </w:r>
      <w:r w:rsidR="00C951E4">
        <w:rPr>
          <w:rFonts w:eastAsia="Times New Roman"/>
          <w:sz w:val="24"/>
          <w:szCs w:val="24"/>
        </w:rPr>
        <w:t xml:space="preserve"> </w:t>
      </w:r>
      <w:r w:rsidR="00C951E4" w:rsidRPr="00C951E4">
        <w:rPr>
          <w:rFonts w:eastAsia="Times New Roman"/>
          <w:sz w:val="24"/>
          <w:szCs w:val="24"/>
        </w:rPr>
        <w:t>DOI:10.1007/s11427-023-2389-7</w:t>
      </w:r>
    </w:p>
    <w:p w14:paraId="39EFDA73" w14:textId="39496C21"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Zhang, Y., Dong, L., Sun, L., Hu, X., Wang, X., Nie, T., Li, X., Wang, P., Pang, P., Pang, J. and Lu, X., </w:t>
      </w:r>
      <w:r w:rsidR="00E50ED2">
        <w:rPr>
          <w:sz w:val="24"/>
          <w:szCs w:val="24"/>
          <w:highlight w:val="white"/>
        </w:rPr>
        <w:t>(2022).</w:t>
      </w:r>
      <w:r w:rsidRPr="00AE3179">
        <w:rPr>
          <w:sz w:val="24"/>
          <w:szCs w:val="24"/>
          <w:highlight w:val="white"/>
        </w:rPr>
        <w:t xml:space="preserve"> ML364 exerts the broad-spectrum antivirulence effect by interfering with the bacterial quorum sensing system. </w:t>
      </w:r>
      <w:r w:rsidRPr="00AE3179">
        <w:rPr>
          <w:i/>
          <w:iCs/>
          <w:sz w:val="24"/>
          <w:szCs w:val="24"/>
          <w:highlight w:val="white"/>
        </w:rPr>
        <w:t>Frontiers in Microbiology</w:t>
      </w:r>
      <w:r w:rsidRPr="00AE3179">
        <w:rPr>
          <w:sz w:val="24"/>
          <w:szCs w:val="24"/>
          <w:highlight w:val="white"/>
        </w:rPr>
        <w:t xml:space="preserve">, </w:t>
      </w:r>
      <w:r w:rsidRPr="00AE3179">
        <w:rPr>
          <w:i/>
          <w:iCs/>
          <w:sz w:val="24"/>
          <w:szCs w:val="24"/>
          <w:highlight w:val="white"/>
        </w:rPr>
        <w:t>13</w:t>
      </w:r>
      <w:r w:rsidRPr="00AE3179">
        <w:rPr>
          <w:sz w:val="24"/>
          <w:szCs w:val="24"/>
          <w:highlight w:val="white"/>
        </w:rPr>
        <w:t>, p.980217.</w:t>
      </w:r>
      <w:r w:rsidR="00C951E4">
        <w:rPr>
          <w:sz w:val="24"/>
          <w:szCs w:val="24"/>
          <w:highlight w:val="white"/>
        </w:rPr>
        <w:t xml:space="preserve"> </w:t>
      </w:r>
      <w:hyperlink r:id="rId124" w:history="1">
        <w:r w:rsidR="00C951E4" w:rsidRPr="008871FC">
          <w:rPr>
            <w:rStyle w:val="Hyperlink"/>
            <w:sz w:val="24"/>
            <w:szCs w:val="24"/>
          </w:rPr>
          <w:t>https://doi.org/10.3389/fmicb.2022.980217</w:t>
        </w:r>
      </w:hyperlink>
      <w:r w:rsidR="00C951E4">
        <w:rPr>
          <w:sz w:val="24"/>
          <w:szCs w:val="24"/>
        </w:rPr>
        <w:t xml:space="preserve"> </w:t>
      </w:r>
    </w:p>
    <w:p w14:paraId="419C3629" w14:textId="551C246A"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rFonts w:eastAsia="Times New Roman"/>
          <w:sz w:val="24"/>
          <w:szCs w:val="24"/>
          <w:highlight w:val="white"/>
        </w:rPr>
        <w:t xml:space="preserve">Zhao, N., Fan, X., Liu, Z., Jiang, Y., Chen, X., Tang, Y., Yu, T. and Yan, F., </w:t>
      </w:r>
      <w:r w:rsidR="00E50ED2">
        <w:rPr>
          <w:rFonts w:eastAsia="Times New Roman"/>
          <w:sz w:val="24"/>
          <w:szCs w:val="24"/>
          <w:highlight w:val="white"/>
        </w:rPr>
        <w:t>(2025).</w:t>
      </w:r>
      <w:r w:rsidRPr="00AE3179">
        <w:rPr>
          <w:rFonts w:eastAsia="Times New Roman"/>
          <w:sz w:val="24"/>
          <w:szCs w:val="24"/>
          <w:highlight w:val="white"/>
        </w:rPr>
        <w:t xml:space="preserve"> Quorum quenching as an emerging management tool for food contamination control. </w:t>
      </w:r>
      <w:r w:rsidRPr="00AE3179">
        <w:rPr>
          <w:rFonts w:eastAsia="Times New Roman"/>
          <w:i/>
          <w:iCs/>
          <w:sz w:val="24"/>
          <w:szCs w:val="24"/>
        </w:rPr>
        <w:t>Critical Reviews in Food Science and Nutrition</w:t>
      </w:r>
      <w:r w:rsidRPr="00AE3179">
        <w:rPr>
          <w:rFonts w:eastAsia="Times New Roman"/>
          <w:sz w:val="24"/>
          <w:szCs w:val="24"/>
        </w:rPr>
        <w:t>, pp.1-34.</w:t>
      </w:r>
      <w:r w:rsidR="00C951E4">
        <w:rPr>
          <w:rFonts w:eastAsia="Times New Roman"/>
          <w:sz w:val="24"/>
          <w:szCs w:val="24"/>
        </w:rPr>
        <w:t xml:space="preserve"> </w:t>
      </w:r>
      <w:hyperlink r:id="rId125" w:history="1">
        <w:r w:rsidR="00C951E4" w:rsidRPr="008871FC">
          <w:rPr>
            <w:rStyle w:val="Hyperlink"/>
            <w:rFonts w:eastAsia="Times New Roman"/>
            <w:sz w:val="24"/>
            <w:szCs w:val="24"/>
          </w:rPr>
          <w:t>https://doi.org/10.1080/10408398.2025.2566864</w:t>
        </w:r>
      </w:hyperlink>
      <w:r w:rsidR="00C951E4">
        <w:rPr>
          <w:rFonts w:eastAsia="Times New Roman"/>
          <w:sz w:val="24"/>
          <w:szCs w:val="24"/>
        </w:rPr>
        <w:t xml:space="preserve"> </w:t>
      </w:r>
    </w:p>
    <w:p w14:paraId="20D68835" w14:textId="2C25643B" w:rsidR="00FD3D71" w:rsidRPr="00AE3179" w:rsidRDefault="00FD3D71" w:rsidP="00AE3179">
      <w:pPr>
        <w:pStyle w:val="ListParagraph"/>
        <w:numPr>
          <w:ilvl w:val="0"/>
          <w:numId w:val="8"/>
        </w:numPr>
        <w:spacing w:line="360" w:lineRule="auto"/>
        <w:jc w:val="both"/>
        <w:rPr>
          <w:rFonts w:eastAsia="Times New Roman"/>
          <w:sz w:val="24"/>
          <w:szCs w:val="24"/>
        </w:rPr>
      </w:pPr>
      <w:r w:rsidRPr="00AE3179">
        <w:rPr>
          <w:sz w:val="24"/>
          <w:szCs w:val="24"/>
          <w:highlight w:val="white"/>
        </w:rPr>
        <w:lastRenderedPageBreak/>
        <w:t xml:space="preserve">Zhao, X., Yu, Z. and Ding, T., </w:t>
      </w:r>
      <w:r w:rsidR="00E50ED2">
        <w:rPr>
          <w:sz w:val="24"/>
          <w:szCs w:val="24"/>
          <w:highlight w:val="white"/>
        </w:rPr>
        <w:t>(2020).</w:t>
      </w:r>
      <w:r w:rsidRPr="00AE3179">
        <w:rPr>
          <w:sz w:val="24"/>
          <w:szCs w:val="24"/>
          <w:highlight w:val="white"/>
        </w:rPr>
        <w:t xml:space="preserve"> Quorum-sensing regulation of antimicrobial resistance in bacteria. </w:t>
      </w:r>
      <w:r w:rsidRPr="00AE3179">
        <w:rPr>
          <w:i/>
          <w:iCs/>
          <w:sz w:val="24"/>
          <w:szCs w:val="24"/>
          <w:highlight w:val="white"/>
        </w:rPr>
        <w:t>Microorganisms</w:t>
      </w:r>
      <w:r w:rsidRPr="00AE3179">
        <w:rPr>
          <w:sz w:val="24"/>
          <w:szCs w:val="24"/>
          <w:highlight w:val="white"/>
        </w:rPr>
        <w:t xml:space="preserve">, </w:t>
      </w:r>
      <w:r w:rsidRPr="00AE3179">
        <w:rPr>
          <w:i/>
          <w:iCs/>
          <w:sz w:val="24"/>
          <w:szCs w:val="24"/>
          <w:highlight w:val="white"/>
        </w:rPr>
        <w:t>8</w:t>
      </w:r>
      <w:r w:rsidRPr="00AE3179">
        <w:rPr>
          <w:sz w:val="24"/>
          <w:szCs w:val="24"/>
          <w:highlight w:val="white"/>
        </w:rPr>
        <w:t>(3), p.425.</w:t>
      </w:r>
      <w:r w:rsidR="00C951E4">
        <w:rPr>
          <w:sz w:val="24"/>
          <w:szCs w:val="24"/>
        </w:rPr>
        <w:t xml:space="preserve"> </w:t>
      </w:r>
      <w:hyperlink r:id="rId126" w:history="1">
        <w:r w:rsidR="00C951E4" w:rsidRPr="008871FC">
          <w:rPr>
            <w:rStyle w:val="Hyperlink"/>
            <w:sz w:val="24"/>
            <w:szCs w:val="24"/>
          </w:rPr>
          <w:t>https://doi.org/10.3390/microorganisms8030425</w:t>
        </w:r>
      </w:hyperlink>
      <w:r w:rsidR="00C951E4">
        <w:rPr>
          <w:sz w:val="24"/>
          <w:szCs w:val="24"/>
        </w:rPr>
        <w:t xml:space="preserve"> </w:t>
      </w:r>
    </w:p>
    <w:p w14:paraId="61340D67" w14:textId="1864F47D"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Zheng, S., Tu, Y., Li, B., Qu, G., Li, A., Peng, X., Li, S. and Shao, C., </w:t>
      </w:r>
      <w:r w:rsidR="00E50ED2">
        <w:rPr>
          <w:sz w:val="24"/>
          <w:szCs w:val="24"/>
          <w:shd w:val="clear" w:color="auto" w:fill="FFFFFF"/>
        </w:rPr>
        <w:t>(2025).</w:t>
      </w:r>
      <w:r w:rsidRPr="00AE3179">
        <w:rPr>
          <w:sz w:val="24"/>
          <w:szCs w:val="24"/>
          <w:shd w:val="clear" w:color="auto" w:fill="FFFFFF"/>
        </w:rPr>
        <w:t xml:space="preserve"> Antimicrobial peptide biological activity, delivery systems and clinical translation status and challenges. </w:t>
      </w:r>
      <w:r w:rsidRPr="00AE3179">
        <w:rPr>
          <w:i/>
          <w:iCs/>
          <w:sz w:val="24"/>
          <w:szCs w:val="24"/>
          <w:shd w:val="clear" w:color="auto" w:fill="FFFFFF"/>
        </w:rPr>
        <w:t>Journal of Translational Medicine</w:t>
      </w:r>
      <w:r w:rsidRPr="00AE3179">
        <w:rPr>
          <w:sz w:val="24"/>
          <w:szCs w:val="24"/>
          <w:shd w:val="clear" w:color="auto" w:fill="FFFFFF"/>
        </w:rPr>
        <w:t>, </w:t>
      </w:r>
      <w:r w:rsidRPr="00AE3179">
        <w:rPr>
          <w:i/>
          <w:iCs/>
          <w:sz w:val="24"/>
          <w:szCs w:val="24"/>
          <w:shd w:val="clear" w:color="auto" w:fill="FFFFFF"/>
        </w:rPr>
        <w:t>23</w:t>
      </w:r>
      <w:r w:rsidRPr="00AE3179">
        <w:rPr>
          <w:sz w:val="24"/>
          <w:szCs w:val="24"/>
          <w:shd w:val="clear" w:color="auto" w:fill="FFFFFF"/>
        </w:rPr>
        <w:t>(1), p.292.</w:t>
      </w:r>
      <w:r w:rsidR="00C951E4">
        <w:rPr>
          <w:sz w:val="24"/>
          <w:szCs w:val="24"/>
          <w:shd w:val="clear" w:color="auto" w:fill="FFFFFF"/>
        </w:rPr>
        <w:t xml:space="preserve"> </w:t>
      </w:r>
      <w:hyperlink r:id="rId127" w:history="1">
        <w:r w:rsidR="00C951E4" w:rsidRPr="008871FC">
          <w:rPr>
            <w:rStyle w:val="Hyperlink"/>
            <w:rFonts w:ascii="Helvetica" w:hAnsi="Helvetica" w:cs="Helvetica"/>
            <w:shd w:val="clear" w:color="auto" w:fill="FFFFFF"/>
          </w:rPr>
          <w:t>https://doi.org/10.1186/s12967-025-06321-9</w:t>
        </w:r>
      </w:hyperlink>
      <w:r w:rsidR="00C951E4">
        <w:rPr>
          <w:rFonts w:ascii="Helvetica" w:hAnsi="Helvetica" w:cs="Helvetica"/>
          <w:color w:val="222222"/>
          <w:shd w:val="clear" w:color="auto" w:fill="FFFFFF"/>
        </w:rPr>
        <w:t xml:space="preserve"> </w:t>
      </w:r>
    </w:p>
    <w:p w14:paraId="24F31272" w14:textId="28888B5A" w:rsidR="00FD3D71" w:rsidRPr="00AE3179" w:rsidRDefault="00FD3D71" w:rsidP="00AE3179">
      <w:pPr>
        <w:pStyle w:val="ListParagraph"/>
        <w:numPr>
          <w:ilvl w:val="0"/>
          <w:numId w:val="8"/>
        </w:numPr>
        <w:spacing w:line="360" w:lineRule="auto"/>
        <w:jc w:val="both"/>
        <w:rPr>
          <w:sz w:val="24"/>
          <w:szCs w:val="24"/>
          <w:highlight w:val="white"/>
        </w:rPr>
      </w:pPr>
      <w:r w:rsidRPr="00AE3179">
        <w:rPr>
          <w:sz w:val="24"/>
          <w:szCs w:val="24"/>
          <w:highlight w:val="white"/>
        </w:rPr>
        <w:t xml:space="preserve">Zhong, S. and He, S., </w:t>
      </w:r>
      <w:r w:rsidR="00E50ED2">
        <w:rPr>
          <w:sz w:val="24"/>
          <w:szCs w:val="24"/>
          <w:highlight w:val="white"/>
        </w:rPr>
        <w:t>(2021).</w:t>
      </w:r>
      <w:r w:rsidRPr="00AE3179">
        <w:rPr>
          <w:sz w:val="24"/>
          <w:szCs w:val="24"/>
          <w:highlight w:val="white"/>
        </w:rPr>
        <w:t xml:space="preserve"> Quorum sensing inhibition or quenching in Acinetobacter baumannii: the novel therapeutic strategies for new drug development. </w:t>
      </w:r>
      <w:r w:rsidRPr="00AE3179">
        <w:rPr>
          <w:i/>
          <w:iCs/>
          <w:sz w:val="24"/>
          <w:szCs w:val="24"/>
          <w:highlight w:val="white"/>
        </w:rPr>
        <w:t>Frontiers in Microbiology</w:t>
      </w:r>
      <w:r w:rsidRPr="00AE3179">
        <w:rPr>
          <w:sz w:val="24"/>
          <w:szCs w:val="24"/>
          <w:highlight w:val="white"/>
        </w:rPr>
        <w:t xml:space="preserve">, </w:t>
      </w:r>
      <w:r w:rsidRPr="00AE3179">
        <w:rPr>
          <w:i/>
          <w:iCs/>
          <w:sz w:val="24"/>
          <w:szCs w:val="24"/>
          <w:highlight w:val="white"/>
        </w:rPr>
        <w:t>12</w:t>
      </w:r>
      <w:r w:rsidRPr="00AE3179">
        <w:rPr>
          <w:sz w:val="24"/>
          <w:szCs w:val="24"/>
          <w:highlight w:val="white"/>
        </w:rPr>
        <w:t>, p.558003.</w:t>
      </w:r>
      <w:r w:rsidR="007340A5">
        <w:rPr>
          <w:sz w:val="24"/>
          <w:szCs w:val="24"/>
          <w:highlight w:val="white"/>
        </w:rPr>
        <w:t xml:space="preserve"> </w:t>
      </w:r>
      <w:hyperlink r:id="rId128" w:history="1">
        <w:r w:rsidR="007340A5" w:rsidRPr="008871FC">
          <w:rPr>
            <w:rStyle w:val="Hyperlink"/>
            <w:sz w:val="24"/>
            <w:szCs w:val="24"/>
          </w:rPr>
          <w:t>https://doi.org/10.3389/fmicb.2021.558003</w:t>
        </w:r>
      </w:hyperlink>
      <w:r w:rsidR="007340A5">
        <w:rPr>
          <w:sz w:val="24"/>
          <w:szCs w:val="24"/>
        </w:rPr>
        <w:t xml:space="preserve"> </w:t>
      </w:r>
    </w:p>
    <w:p w14:paraId="1C1753B7" w14:textId="34BBC660" w:rsidR="00FD3D71" w:rsidRPr="00AE3179" w:rsidRDefault="00FD3D71" w:rsidP="00AE3179">
      <w:pPr>
        <w:pStyle w:val="ListParagraph"/>
        <w:numPr>
          <w:ilvl w:val="0"/>
          <w:numId w:val="8"/>
        </w:numPr>
        <w:spacing w:line="360" w:lineRule="auto"/>
        <w:jc w:val="both"/>
        <w:rPr>
          <w:sz w:val="24"/>
          <w:szCs w:val="24"/>
          <w:shd w:val="clear" w:color="auto" w:fill="FFFFFF"/>
        </w:rPr>
      </w:pPr>
      <w:r w:rsidRPr="00AE3179">
        <w:rPr>
          <w:sz w:val="24"/>
          <w:szCs w:val="24"/>
          <w:shd w:val="clear" w:color="auto" w:fill="FFFFFF"/>
        </w:rPr>
        <w:t xml:space="preserve">Zhu, N., Rawson, T., Ahmad, R., Price, J.R., Gilchrist, M., Singh, S.K., Tomczyk, S., Birgand, G., Thamlikitkul, V., Ramadan, A.E.S. and Ahmad, I., </w:t>
      </w:r>
      <w:r w:rsidR="00E50ED2">
        <w:rPr>
          <w:sz w:val="24"/>
          <w:szCs w:val="24"/>
          <w:shd w:val="clear" w:color="auto" w:fill="FFFFFF"/>
        </w:rPr>
        <w:t>(2021).</w:t>
      </w:r>
      <w:r w:rsidRPr="00AE3179">
        <w:rPr>
          <w:sz w:val="24"/>
          <w:szCs w:val="24"/>
          <w:shd w:val="clear" w:color="auto" w:fill="FFFFFF"/>
        </w:rPr>
        <w:t xml:space="preserve"> A Surveillance Framework for Healthcare Associated Infections and Antimicrobial Resistance in Acute Care in the Context of COVID-19: A Rapid Literature Review and Expert Consensus.</w:t>
      </w:r>
      <w:r w:rsidR="007340A5">
        <w:rPr>
          <w:sz w:val="24"/>
          <w:szCs w:val="24"/>
          <w:shd w:val="clear" w:color="auto" w:fill="FFFFFF"/>
        </w:rPr>
        <w:t xml:space="preserve"> </w:t>
      </w:r>
      <w:hyperlink r:id="rId129" w:history="1">
        <w:r w:rsidR="00A13342" w:rsidRPr="008871FC">
          <w:rPr>
            <w:rStyle w:val="Hyperlink"/>
            <w:sz w:val="24"/>
            <w:szCs w:val="24"/>
            <w:shd w:val="clear" w:color="auto" w:fill="FFFFFF"/>
          </w:rPr>
          <w:t>https://ssrn.com/abstract=3960137</w:t>
        </w:r>
      </w:hyperlink>
      <w:r w:rsidR="00A13342">
        <w:rPr>
          <w:sz w:val="24"/>
          <w:szCs w:val="24"/>
          <w:shd w:val="clear" w:color="auto" w:fill="FFFFFF"/>
        </w:rPr>
        <w:t xml:space="preserve"> </w:t>
      </w:r>
    </w:p>
    <w:p w14:paraId="45F36514" w14:textId="6C50768C" w:rsidR="00FD3D71" w:rsidRPr="00AE3179" w:rsidRDefault="00FD3D71" w:rsidP="00AE3179">
      <w:pPr>
        <w:pStyle w:val="ListParagraph"/>
        <w:numPr>
          <w:ilvl w:val="0"/>
          <w:numId w:val="8"/>
        </w:numPr>
        <w:spacing w:line="360" w:lineRule="auto"/>
        <w:jc w:val="both"/>
        <w:rPr>
          <w:rFonts w:eastAsia="Times New Roman"/>
          <w:sz w:val="24"/>
          <w:szCs w:val="24"/>
          <w:highlight w:val="white"/>
        </w:rPr>
      </w:pPr>
      <w:r w:rsidRPr="00AE3179">
        <w:rPr>
          <w:rFonts w:eastAsia="Times New Roman"/>
          <w:sz w:val="24"/>
          <w:szCs w:val="24"/>
          <w:highlight w:val="white"/>
        </w:rPr>
        <w:t xml:space="preserve">Zhu, X., Chen, W.J., Bhatt, K., Zhou, Z., Huang, Y., Zhang, L.H., Chen, S. and Wang, J., </w:t>
      </w:r>
      <w:r w:rsidR="00E50ED2">
        <w:rPr>
          <w:rFonts w:eastAsia="Times New Roman"/>
          <w:sz w:val="24"/>
          <w:szCs w:val="24"/>
          <w:highlight w:val="white"/>
        </w:rPr>
        <w:t>(2023).</w:t>
      </w:r>
      <w:r w:rsidRPr="00AE3179">
        <w:rPr>
          <w:rFonts w:eastAsia="Times New Roman"/>
          <w:sz w:val="24"/>
          <w:szCs w:val="24"/>
          <w:highlight w:val="white"/>
        </w:rPr>
        <w:t xml:space="preserve"> Innovative microbial disease biocontrol strategies mediated by quorum quenching and their multifaceted applications: A review. </w:t>
      </w:r>
      <w:r w:rsidRPr="00AE3179">
        <w:rPr>
          <w:rFonts w:eastAsia="Times New Roman"/>
          <w:i/>
          <w:iCs/>
          <w:sz w:val="24"/>
          <w:szCs w:val="24"/>
        </w:rPr>
        <w:t>Frontiers in Plant Science</w:t>
      </w:r>
      <w:r w:rsidRPr="00AE3179">
        <w:rPr>
          <w:rFonts w:eastAsia="Times New Roman"/>
          <w:sz w:val="24"/>
          <w:szCs w:val="24"/>
        </w:rPr>
        <w:t xml:space="preserve">, </w:t>
      </w:r>
      <w:r w:rsidRPr="00AE3179">
        <w:rPr>
          <w:rFonts w:eastAsia="Times New Roman"/>
          <w:i/>
          <w:iCs/>
          <w:sz w:val="24"/>
          <w:szCs w:val="24"/>
        </w:rPr>
        <w:t>13</w:t>
      </w:r>
      <w:r w:rsidRPr="00AE3179">
        <w:rPr>
          <w:rFonts w:eastAsia="Times New Roman"/>
          <w:sz w:val="24"/>
          <w:szCs w:val="24"/>
        </w:rPr>
        <w:t>, p.1063393.</w:t>
      </w:r>
      <w:r w:rsidRPr="00AE3179">
        <w:rPr>
          <w:rFonts w:eastAsia="Times New Roman"/>
          <w:sz w:val="24"/>
          <w:szCs w:val="24"/>
          <w:highlight w:val="white"/>
        </w:rPr>
        <w:t xml:space="preserve"> </w:t>
      </w:r>
      <w:hyperlink r:id="rId130" w:history="1">
        <w:r w:rsidR="002B161A" w:rsidRPr="008871FC">
          <w:rPr>
            <w:rStyle w:val="Hyperlink"/>
            <w:rFonts w:eastAsia="Times New Roman"/>
            <w:sz w:val="24"/>
            <w:szCs w:val="24"/>
          </w:rPr>
          <w:t>https://doi.org/10.3389/fpls.2022.1063393</w:t>
        </w:r>
      </w:hyperlink>
      <w:r w:rsidR="002B161A">
        <w:rPr>
          <w:rFonts w:eastAsia="Times New Roman"/>
          <w:sz w:val="24"/>
          <w:szCs w:val="24"/>
        </w:rPr>
        <w:t xml:space="preserve"> </w:t>
      </w:r>
    </w:p>
    <w:p w14:paraId="6C55BD9B" w14:textId="3057D37A" w:rsidR="004971CD" w:rsidRPr="0069787A" w:rsidRDefault="004971CD">
      <w:pPr>
        <w:rPr>
          <w:rFonts w:eastAsia="Times New Roman"/>
          <w:sz w:val="24"/>
          <w:szCs w:val="24"/>
          <w:highlight w:val="white"/>
        </w:rPr>
      </w:pPr>
      <w:r w:rsidRPr="0069787A">
        <w:rPr>
          <w:rFonts w:eastAsia="Times New Roman"/>
          <w:sz w:val="24"/>
          <w:szCs w:val="24"/>
          <w:highlight w:val="white"/>
        </w:rPr>
        <w:br w:type="page"/>
      </w:r>
    </w:p>
    <w:p w14:paraId="3458C603" w14:textId="12612855" w:rsidR="004971CD" w:rsidRPr="0069787A" w:rsidRDefault="004971CD" w:rsidP="004971CD">
      <w:pPr>
        <w:pStyle w:val="Heading1"/>
        <w:rPr>
          <w:highlight w:val="white"/>
        </w:rPr>
      </w:pPr>
      <w:bookmarkStart w:id="102" w:name="_Toc216991699"/>
      <w:r w:rsidRPr="0069787A">
        <w:rPr>
          <w:highlight w:val="white"/>
        </w:rPr>
        <w:lastRenderedPageBreak/>
        <w:t>APPENDIX: CASP TABLE</w:t>
      </w:r>
      <w:bookmarkEnd w:id="102"/>
    </w:p>
    <w:tbl>
      <w:tblPr>
        <w:tblW w:w="0" w:type="auto"/>
        <w:tblCellMar>
          <w:top w:w="15" w:type="dxa"/>
          <w:left w:w="15" w:type="dxa"/>
          <w:bottom w:w="15" w:type="dxa"/>
          <w:right w:w="15" w:type="dxa"/>
        </w:tblCellMar>
        <w:tblLook w:val="04A0" w:firstRow="1" w:lastRow="0" w:firstColumn="1" w:lastColumn="0" w:noHBand="0" w:noVBand="1"/>
      </w:tblPr>
      <w:tblGrid>
        <w:gridCol w:w="1049"/>
        <w:gridCol w:w="1117"/>
        <w:gridCol w:w="1233"/>
        <w:gridCol w:w="1133"/>
        <w:gridCol w:w="1008"/>
        <w:gridCol w:w="1392"/>
        <w:gridCol w:w="1209"/>
        <w:gridCol w:w="1209"/>
      </w:tblGrid>
      <w:tr w:rsidR="004971CD" w:rsidRPr="004971CD" w14:paraId="0F50FFB8" w14:textId="77777777" w:rsidTr="00403BB9">
        <w:trPr>
          <w:trHeight w:val="2109"/>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A17AABA"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Paper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FD866D"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Titles have relevancy and reflect content?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11AC9CF"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Authors are highly credible?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BBCC53F"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An abstract summarising the major elements?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3E7BA75"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Reasons behind conducting the research clearly outlined?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E8F9A9"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Literature review seems up-to-date and comprehensive?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3BEBC76"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Are the research methods clearly described?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750BC35" w14:textId="77777777" w:rsidR="004971CD" w:rsidRPr="004971CD" w:rsidRDefault="004971CD" w:rsidP="00403BB9">
            <w:pPr>
              <w:spacing w:line="240" w:lineRule="auto"/>
              <w:jc w:val="center"/>
              <w:rPr>
                <w:rFonts w:eastAsia="Times New Roman"/>
                <w:sz w:val="20"/>
                <w:szCs w:val="20"/>
                <w:lang w:val="en-IN"/>
              </w:rPr>
            </w:pPr>
            <w:r w:rsidRPr="004971CD">
              <w:rPr>
                <w:rFonts w:eastAsia="Times New Roman"/>
                <w:b/>
                <w:bCs/>
                <w:color w:val="222222"/>
                <w:sz w:val="20"/>
                <w:szCs w:val="20"/>
                <w:shd w:val="clear" w:color="auto" w:fill="FFFFFF"/>
                <w:lang w:val="en-IN"/>
              </w:rPr>
              <w:t>Transparency regarding data collection, analysis, ensuring reliability and validity?</w:t>
            </w:r>
          </w:p>
        </w:tc>
      </w:tr>
      <w:tr w:rsidR="004971CD" w:rsidRPr="004971CD" w14:paraId="4293A711" w14:textId="77777777" w:rsidTr="00403BB9">
        <w:trPr>
          <w:trHeight w:val="1436"/>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6EEDBE"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Zhao et al. (2020)</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7A358D6"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accurately reflects QS, AMR and QQ focus.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93AFCF"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are established researchers in microbial resistance.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CC562A"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clearly summarises QS, AMR and QQ concepts.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126B6A"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Rationale for exploring QS as an AMR driver is clear.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BAF9966"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Review is comprehensive and grounded in recent literature.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A9CBA5F"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Review methodology and scope are clearly explained.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A67999"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Transparent synthesis of evidence ensures validity.</w:t>
            </w:r>
          </w:p>
        </w:tc>
      </w:tr>
      <w:tr w:rsidR="004971CD" w:rsidRPr="004971CD" w14:paraId="755F221E" w14:textId="77777777" w:rsidTr="00403BB9">
        <w:trPr>
          <w:trHeight w:val="1627"/>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57D11C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Liu et al. (2024)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1F56D6"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reflects biofilm-mediated resistance mechanisms.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F52FFEC"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demonstrate subject expertise.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E30D2B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outlines key biofilm resistance pathways.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1038A7"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Research need to understand biofilm tolerance is justified.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35A42D9"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Literature is current, though largely conceptual.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8C3530D"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PARTLY. Methods are narrative with limited methodological detail.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855F9D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MODERATE. Limited transparency due to lack of full-text methodological detail.</w:t>
            </w:r>
          </w:p>
        </w:tc>
      </w:tr>
      <w:tr w:rsidR="004971CD" w:rsidRPr="004971CD" w14:paraId="637EC256" w14:textId="77777777" w:rsidTr="00403BB9">
        <w:trPr>
          <w:trHeight w:val="1391"/>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DACD7C0"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Naga et al. (2023)</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DDCE85"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clearly reflects QS inhibition focus.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A48A22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are credible with prior work in QS research.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F808F5A"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summarises QSIs and QQ enzymes effectively.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2082E7C" w14:textId="1C7789BC"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Clear justification for alternatives to antibiotics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EEC2D2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Broad and current coverage of natural and synthetic QSIs.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58C1BE9"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Survey and classification methods are clearly outlined.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B179A1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Transparent review approach supports reliability.</w:t>
            </w:r>
          </w:p>
        </w:tc>
      </w:tr>
      <w:tr w:rsidR="004971CD" w:rsidRPr="004971CD" w14:paraId="46D5C3F9" w14:textId="77777777" w:rsidTr="004971CD">
        <w:trPr>
          <w:trHeight w:val="215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0F24B9D"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Jacobowski et al. (2025)</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A4B8EDE"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reflects innovative antimicrobial strategies.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FB4A366"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are highly credible interdisciplinary researchers.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FED8E9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provides a clear overview of emerging approaches.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7833D1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AMR challenge and need for innovation clearly stated.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0CBBB8E"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Integrative and up-to-date review.</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E6F767"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Narrative review framework is well described.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ADE277"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Clear synthesis supports validity and transferability.</w:t>
            </w:r>
          </w:p>
        </w:tc>
      </w:tr>
      <w:tr w:rsidR="004971CD" w:rsidRPr="004971CD" w14:paraId="03F58D4B" w14:textId="77777777" w:rsidTr="00403BB9">
        <w:trPr>
          <w:trHeight w:val="1733"/>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1CC1202"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lastRenderedPageBreak/>
              <w:t>Sharma et al. (2023)</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DB957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accurately represents biofilm and resistance focus.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00EB29"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show strong expertise in biofilm research.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14A7F4E"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clearly summarises structure, resistance and control.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2028D1A"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Justification for alternative biofilm control strategies is explicit.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6EC205E"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Comprehensive review of biofilm biology and therapies.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A2B52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Review methods are adequately described.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C0C6E6F"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Transparent discussion enhances reliability.</w:t>
            </w:r>
          </w:p>
        </w:tc>
      </w:tr>
      <w:tr w:rsidR="004971CD" w:rsidRPr="004971CD" w14:paraId="073A0D15" w14:textId="77777777" w:rsidTr="00403BB9">
        <w:trPr>
          <w:trHeight w:val="1771"/>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E3A182F"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Maillard &amp; Centeleghe (2023)</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5BECE25" w14:textId="0F6B3AD9"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reflects biofilms and disinfection challenges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F719B6"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are experts in infection control.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A244C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outlines healthcare relevance of biofilms.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134F163"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Clear rationale linked to infection control failures.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71D492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Literature is current and clinically relevant.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98CC72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Discussion-based methodology is clearly presented.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C1A09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Logical reasoning and evidence support validity.</w:t>
            </w:r>
          </w:p>
        </w:tc>
      </w:tr>
      <w:tr w:rsidR="004971CD" w:rsidRPr="004971CD" w14:paraId="00465CF5" w14:textId="77777777" w:rsidTr="00403BB9">
        <w:trPr>
          <w:trHeight w:val="1672"/>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914A4C3"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D’Aquila et al. (2024)</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01A74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clearly reflects QQ compounds and resistance.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27B31D9"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demonstrate credibility in QS research.</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34309F"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summarises QQ compounds and antibiofilm effects.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C39EE9E"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Need to target QS for resistance prevention is well argued.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5841FB5"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Extensive and up-to-date literature coverage.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8C1236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Review approach and scope are clearly defined.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478905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Transparent synthesis supports reliability.</w:t>
            </w:r>
          </w:p>
        </w:tc>
      </w:tr>
      <w:tr w:rsidR="004971CD" w:rsidRPr="004971CD" w14:paraId="03D62A6B" w14:textId="77777777" w:rsidTr="00403BB9">
        <w:trPr>
          <w:trHeight w:val="1724"/>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68E67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Zhong &amp; He (2021)</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15D42D0"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 xml:space="preserve">YES. Title accurately reflects QS and QQ in </w:t>
            </w:r>
            <w:r w:rsidRPr="004971CD">
              <w:rPr>
                <w:rFonts w:eastAsia="Times New Roman"/>
                <w:i/>
                <w:iCs/>
                <w:color w:val="222222"/>
                <w:sz w:val="20"/>
                <w:szCs w:val="20"/>
                <w:shd w:val="clear" w:color="auto" w:fill="FFFFFF"/>
                <w:lang w:val="en-IN"/>
              </w:rPr>
              <w:t>A. baumannii</w:t>
            </w:r>
            <w:r w:rsidRPr="004971CD">
              <w:rPr>
                <w:rFonts w:eastAsia="Times New Roman"/>
                <w:color w:val="222222"/>
                <w:sz w:val="20"/>
                <w:szCs w:val="20"/>
                <w:shd w:val="clear" w:color="auto" w:fill="FFFFFF"/>
                <w:lang w:val="en-IN"/>
              </w:rPr>
              <w: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1D8EB8C"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show expertise in molecular microbiology.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D1265C"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clearly summarises QS mechanisms and QQ strategies.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B982B7"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 xml:space="preserve">YES. Rationale for targeting </w:t>
            </w:r>
            <w:r w:rsidRPr="004971CD">
              <w:rPr>
                <w:rFonts w:eastAsia="Times New Roman"/>
                <w:i/>
                <w:iCs/>
                <w:color w:val="222222"/>
                <w:sz w:val="20"/>
                <w:szCs w:val="20"/>
                <w:shd w:val="clear" w:color="auto" w:fill="FFFFFF"/>
                <w:lang w:val="en-IN"/>
              </w:rPr>
              <w:t>A. baumannii</w:t>
            </w:r>
            <w:r w:rsidRPr="004971CD">
              <w:rPr>
                <w:rFonts w:eastAsia="Times New Roman"/>
                <w:color w:val="222222"/>
                <w:sz w:val="20"/>
                <w:szCs w:val="20"/>
                <w:shd w:val="clear" w:color="auto" w:fill="FFFFFF"/>
                <w:lang w:val="en-IN"/>
              </w:rPr>
              <w:t xml:space="preserve"> is justified.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2D8AAE2"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Focused but relevant literature review.</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20521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Mini-review methodology is clearly explained.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F9A907"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Clear theoretical framework ensures validity.</w:t>
            </w:r>
          </w:p>
        </w:tc>
      </w:tr>
      <w:tr w:rsidR="004971CD" w:rsidRPr="004971CD" w14:paraId="2FB84C3D" w14:textId="77777777" w:rsidTr="00403BB9">
        <w:trPr>
          <w:trHeight w:val="1394"/>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25F92D"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Zhang et al. (2022)</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D516EE" w14:textId="48A61A02"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 xml:space="preserve">YES. Title reflects </w:t>
            </w:r>
            <w:r w:rsidR="00A7048A" w:rsidRPr="0069787A">
              <w:rPr>
                <w:rFonts w:eastAsia="Times New Roman"/>
                <w:color w:val="222222"/>
                <w:sz w:val="20"/>
                <w:szCs w:val="20"/>
                <w:shd w:val="clear" w:color="auto" w:fill="FFFFFF"/>
                <w:lang w:val="en-IN"/>
              </w:rPr>
              <w:t>ant virulence</w:t>
            </w:r>
            <w:r w:rsidRPr="004971CD">
              <w:rPr>
                <w:rFonts w:eastAsia="Times New Roman"/>
                <w:color w:val="222222"/>
                <w:sz w:val="20"/>
                <w:szCs w:val="20"/>
                <w:shd w:val="clear" w:color="auto" w:fill="FFFFFF"/>
                <w:lang w:val="en-IN"/>
              </w:rPr>
              <w:t xml:space="preserve"> QS inhibition study.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2DD6B4C"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are highly credible experimental researchers.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36A1D5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clearly summarises in vitro and in vivo findings.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F4B7E5" w14:textId="737D631B"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 xml:space="preserve">YES. Clear justification for </w:t>
            </w:r>
            <w:r w:rsidR="00A7048A" w:rsidRPr="0069787A">
              <w:rPr>
                <w:rFonts w:eastAsia="Times New Roman"/>
                <w:color w:val="222222"/>
                <w:sz w:val="20"/>
                <w:szCs w:val="20"/>
                <w:shd w:val="clear" w:color="auto" w:fill="FFFFFF"/>
                <w:lang w:val="en-IN"/>
              </w:rPr>
              <w:t>ant virulence</w:t>
            </w:r>
            <w:r w:rsidRPr="004971CD">
              <w:rPr>
                <w:rFonts w:eastAsia="Times New Roman"/>
                <w:color w:val="222222"/>
                <w:sz w:val="20"/>
                <w:szCs w:val="20"/>
                <w:shd w:val="clear" w:color="auto" w:fill="FFFFFF"/>
                <w:lang w:val="en-IN"/>
              </w:rPr>
              <w:t xml:space="preserve"> strategy.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F3FC0DA"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Literature review supports experimental design.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BD6645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Experimental methods are detailed and replicable.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D4C5E2"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High transparency enhances reliability and validity.</w:t>
            </w:r>
          </w:p>
        </w:tc>
      </w:tr>
      <w:tr w:rsidR="004971CD" w:rsidRPr="004971CD" w14:paraId="104B2F46" w14:textId="77777777" w:rsidTr="00403BB9">
        <w:trPr>
          <w:trHeight w:val="1592"/>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C51918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lastRenderedPageBreak/>
              <w:t>Haque et al. (2021)</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048F24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reflects QS targeting in AMR management.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83B93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are credible with QS expertise.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D65D6B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summarises QS-AMR link effectively.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6E9F80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Rationale for QS-based intervention is explicit.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DBFE9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Review is broad and up-to-date.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AC240CB"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Survey and review methods are clear.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3C7B19"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Transparent synthesis supports validity.</w:t>
            </w:r>
          </w:p>
        </w:tc>
      </w:tr>
      <w:tr w:rsidR="004971CD" w:rsidRPr="004971CD" w14:paraId="543ECA80" w14:textId="77777777" w:rsidTr="00403BB9">
        <w:trPr>
          <w:trHeight w:val="2046"/>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F6144F5"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b/>
                <w:bCs/>
                <w:color w:val="222222"/>
                <w:sz w:val="20"/>
                <w:szCs w:val="20"/>
                <w:shd w:val="clear" w:color="auto" w:fill="FFFFFF"/>
                <w:lang w:val="en-IN"/>
              </w:rPr>
              <w:t>Nachiyar et al. (2025)</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19F2B25"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Title accurately reflects QS, QQ and resistance.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246F08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Authors demonstrate strong interdisciplinary credibility.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68531F8"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Abstract clearly outlines QS/QQ mechanisms and applications.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EDADE44"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Clear justification for anti-QS therapies.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8DDB7A"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Comprehensive and current literature review.</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629AC11"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Review methodology is well structured.</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BACC5C" w14:textId="77777777" w:rsidR="004971CD" w:rsidRPr="004971CD" w:rsidRDefault="004971CD" w:rsidP="00403BB9">
            <w:pPr>
              <w:spacing w:line="240" w:lineRule="auto"/>
              <w:jc w:val="both"/>
              <w:rPr>
                <w:rFonts w:eastAsia="Times New Roman"/>
                <w:sz w:val="20"/>
                <w:szCs w:val="20"/>
                <w:lang w:val="en-IN"/>
              </w:rPr>
            </w:pPr>
            <w:r w:rsidRPr="004971CD">
              <w:rPr>
                <w:rFonts w:eastAsia="Times New Roman"/>
                <w:color w:val="222222"/>
                <w:sz w:val="20"/>
                <w:szCs w:val="20"/>
                <w:shd w:val="clear" w:color="auto" w:fill="FFFFFF"/>
                <w:lang w:val="en-IN"/>
              </w:rPr>
              <w:t>YES. Transparent discussion supports reliability and applicability.</w:t>
            </w:r>
          </w:p>
        </w:tc>
      </w:tr>
    </w:tbl>
    <w:p w14:paraId="47BF30ED" w14:textId="77777777" w:rsidR="004971CD" w:rsidRPr="0069787A" w:rsidRDefault="004971CD" w:rsidP="00FD3D71">
      <w:pPr>
        <w:spacing w:line="360" w:lineRule="auto"/>
        <w:jc w:val="both"/>
        <w:rPr>
          <w:rFonts w:eastAsia="Times New Roman"/>
          <w:sz w:val="24"/>
          <w:szCs w:val="24"/>
          <w:highlight w:val="white"/>
        </w:rPr>
      </w:pPr>
    </w:p>
    <w:p w14:paraId="6112295B" w14:textId="77777777" w:rsidR="00FD3D71" w:rsidRPr="0069787A" w:rsidRDefault="00FD3D71" w:rsidP="00FD3D71">
      <w:pPr>
        <w:rPr>
          <w:color w:val="222222"/>
          <w:sz w:val="20"/>
          <w:szCs w:val="20"/>
          <w:shd w:val="clear" w:color="auto" w:fill="FFFFFF"/>
        </w:rPr>
      </w:pPr>
    </w:p>
    <w:p w14:paraId="10C96499" w14:textId="77777777" w:rsidR="00FD3D71" w:rsidRPr="0069787A" w:rsidRDefault="00FD3D71" w:rsidP="00FD3D71"/>
    <w:p w14:paraId="1F3CF219" w14:textId="77777777" w:rsidR="00FD3D71" w:rsidRPr="0069787A" w:rsidRDefault="00FD3D71" w:rsidP="00682117">
      <w:pPr>
        <w:spacing w:line="360" w:lineRule="auto"/>
        <w:jc w:val="both"/>
        <w:rPr>
          <w:rFonts w:eastAsia="Times New Roman"/>
          <w:sz w:val="24"/>
          <w:szCs w:val="24"/>
          <w:highlight w:val="white"/>
        </w:rPr>
      </w:pPr>
    </w:p>
    <w:p w14:paraId="71B551AC" w14:textId="77777777" w:rsidR="00027499" w:rsidRPr="0069787A" w:rsidRDefault="00027499" w:rsidP="00027499">
      <w:pPr>
        <w:spacing w:line="360" w:lineRule="auto"/>
        <w:jc w:val="both"/>
        <w:rPr>
          <w:sz w:val="24"/>
          <w:szCs w:val="24"/>
        </w:rPr>
      </w:pPr>
    </w:p>
    <w:p w14:paraId="547706B0" w14:textId="77777777" w:rsidR="00027499" w:rsidRPr="0069787A" w:rsidRDefault="00027499" w:rsidP="003F50A4">
      <w:pPr>
        <w:spacing w:line="360" w:lineRule="auto"/>
        <w:jc w:val="both"/>
        <w:rPr>
          <w:rFonts w:eastAsia="Times New Roman"/>
          <w:sz w:val="24"/>
          <w:szCs w:val="24"/>
          <w:highlight w:val="white"/>
        </w:rPr>
      </w:pPr>
    </w:p>
    <w:p w14:paraId="0000008C" w14:textId="77777777" w:rsidR="00A1077E" w:rsidRPr="0069787A" w:rsidRDefault="00FC3DFA">
      <w:pPr>
        <w:spacing w:before="240" w:after="240" w:line="360" w:lineRule="auto"/>
        <w:jc w:val="both"/>
        <w:rPr>
          <w:rFonts w:eastAsia="Times New Roman"/>
          <w:sz w:val="24"/>
          <w:szCs w:val="24"/>
        </w:rPr>
      </w:pPr>
      <w:r w:rsidRPr="0069787A">
        <w:rPr>
          <w:rFonts w:eastAsia="Times New Roman"/>
          <w:sz w:val="24"/>
          <w:szCs w:val="24"/>
        </w:rPr>
        <w:t xml:space="preserve"> </w:t>
      </w:r>
    </w:p>
    <w:p w14:paraId="0000008D" w14:textId="77777777" w:rsidR="00A1077E" w:rsidRPr="0069787A" w:rsidRDefault="00A1077E">
      <w:pPr>
        <w:spacing w:line="360" w:lineRule="auto"/>
        <w:jc w:val="both"/>
        <w:rPr>
          <w:rFonts w:eastAsia="Times New Roman"/>
          <w:sz w:val="24"/>
          <w:szCs w:val="24"/>
        </w:rPr>
      </w:pPr>
    </w:p>
    <w:sectPr w:rsidR="00A1077E" w:rsidRPr="0069787A" w:rsidSect="00D62C86">
      <w:footerReference w:type="default" r:id="rId1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605BD" w14:textId="77777777" w:rsidR="005B6881" w:rsidRDefault="005B6881" w:rsidP="00D62C86">
      <w:pPr>
        <w:spacing w:line="240" w:lineRule="auto"/>
      </w:pPr>
      <w:r>
        <w:separator/>
      </w:r>
    </w:p>
  </w:endnote>
  <w:endnote w:type="continuationSeparator" w:id="0">
    <w:p w14:paraId="51BDF588" w14:textId="77777777" w:rsidR="005B6881" w:rsidRDefault="005B6881" w:rsidP="00D62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EF3DE95F-7B0C-49A3-9CD7-2B4AC78BF7BC}"/>
  </w:font>
  <w:font w:name="Cambria Math">
    <w:panose1 w:val="02040503050406030204"/>
    <w:charset w:val="00"/>
    <w:family w:val="roman"/>
    <w:pitch w:val="variable"/>
    <w:sig w:usb0="E00006FF" w:usb1="420024FF" w:usb2="02000000" w:usb3="00000000" w:csb0="0000019F" w:csb1="00000000"/>
    <w:embedRegular r:id="rId2" w:fontKey="{FFE5A822-C5AD-FE4A-95CB-A39BD1559162}"/>
  </w:font>
  <w:font w:name="Helvetica">
    <w:panose1 w:val="020B0504020202020204"/>
    <w:charset w:val="00"/>
    <w:family w:val="swiss"/>
    <w:pitch w:val="variable"/>
    <w:sig w:usb0="E0002EFF" w:usb1="C000785B" w:usb2="00000009" w:usb3="00000000" w:csb0="000001FF" w:csb1="00000000"/>
    <w:embedRegular r:id="rId3" w:fontKey="{D341B42E-2686-A34F-94C6-53128E78AE78}"/>
  </w:font>
  <w:font w:name="Segoe UI">
    <w:panose1 w:val="020B0502040204020203"/>
    <w:charset w:val="00"/>
    <w:family w:val="swiss"/>
    <w:pitch w:val="variable"/>
    <w:sig w:usb0="E4002EFF" w:usb1="C000E47F" w:usb2="00000009" w:usb3="00000000" w:csb0="000001FF" w:csb1="00000000"/>
    <w:embedRegular r:id="rId4" w:fontKey="{BC032872-5B06-0240-9EEE-4F7B2388A353}"/>
  </w:font>
  <w:font w:name="Cambria">
    <w:panose1 w:val="02040503050406030204"/>
    <w:charset w:val="00"/>
    <w:family w:val="roman"/>
    <w:pitch w:val="variable"/>
    <w:sig w:usb0="E00006FF" w:usb1="420024FF" w:usb2="02000000" w:usb3="00000000" w:csb0="0000019F" w:csb1="00000000"/>
    <w:embedRegular r:id="rId5" w:fontKey="{F63ACF41-46A0-7A4B-A493-67C8B84F91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25710"/>
      <w:docPartObj>
        <w:docPartGallery w:val="Page Numbers (Bottom of Page)"/>
        <w:docPartUnique/>
      </w:docPartObj>
    </w:sdtPr>
    <w:sdtEndPr>
      <w:rPr>
        <w:noProof/>
      </w:rPr>
    </w:sdtEndPr>
    <w:sdtContent>
      <w:p w14:paraId="10444F34" w14:textId="202D40B8" w:rsidR="00D62C86" w:rsidRDefault="00D62C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0FCD67" w14:textId="77777777" w:rsidR="00D62C86" w:rsidRDefault="00D62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E0BF9" w14:textId="77777777" w:rsidR="005B6881" w:rsidRDefault="005B6881" w:rsidP="00D62C86">
      <w:pPr>
        <w:spacing w:line="240" w:lineRule="auto"/>
      </w:pPr>
      <w:r>
        <w:separator/>
      </w:r>
    </w:p>
  </w:footnote>
  <w:footnote w:type="continuationSeparator" w:id="0">
    <w:p w14:paraId="6B8A08B1" w14:textId="77777777" w:rsidR="005B6881" w:rsidRDefault="005B6881" w:rsidP="00D62C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45A1"/>
    <w:multiLevelType w:val="hybridMultilevel"/>
    <w:tmpl w:val="E92248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3E3B3E"/>
    <w:multiLevelType w:val="multilevel"/>
    <w:tmpl w:val="CD00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94196"/>
    <w:multiLevelType w:val="hybridMultilevel"/>
    <w:tmpl w:val="C6A656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782512E"/>
    <w:multiLevelType w:val="hybridMultilevel"/>
    <w:tmpl w:val="40DC8B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0C85023"/>
    <w:multiLevelType w:val="hybridMultilevel"/>
    <w:tmpl w:val="2084D0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52B2656"/>
    <w:multiLevelType w:val="hybridMultilevel"/>
    <w:tmpl w:val="FA52C3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529138B"/>
    <w:multiLevelType w:val="hybridMultilevel"/>
    <w:tmpl w:val="A77273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E435AB1"/>
    <w:multiLevelType w:val="multilevel"/>
    <w:tmpl w:val="1C8EC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1742584">
    <w:abstractNumId w:val="7"/>
  </w:num>
  <w:num w:numId="2" w16cid:durableId="2058117258">
    <w:abstractNumId w:val="4"/>
  </w:num>
  <w:num w:numId="3" w16cid:durableId="1902786582">
    <w:abstractNumId w:val="1"/>
  </w:num>
  <w:num w:numId="4" w16cid:durableId="2013146216">
    <w:abstractNumId w:val="6"/>
  </w:num>
  <w:num w:numId="5" w16cid:durableId="807742659">
    <w:abstractNumId w:val="5"/>
  </w:num>
  <w:num w:numId="6" w16cid:durableId="1229999545">
    <w:abstractNumId w:val="0"/>
  </w:num>
  <w:num w:numId="7" w16cid:durableId="1332641312">
    <w:abstractNumId w:val="2"/>
  </w:num>
  <w:num w:numId="8" w16cid:durableId="1715156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77E"/>
    <w:rsid w:val="00001355"/>
    <w:rsid w:val="00004FC0"/>
    <w:rsid w:val="00027499"/>
    <w:rsid w:val="00051820"/>
    <w:rsid w:val="0005219A"/>
    <w:rsid w:val="00061F11"/>
    <w:rsid w:val="000620C5"/>
    <w:rsid w:val="00067260"/>
    <w:rsid w:val="00072FED"/>
    <w:rsid w:val="00084873"/>
    <w:rsid w:val="0008627E"/>
    <w:rsid w:val="000A3B3C"/>
    <w:rsid w:val="000D217D"/>
    <w:rsid w:val="000E6F9A"/>
    <w:rsid w:val="00107A5A"/>
    <w:rsid w:val="00107CF6"/>
    <w:rsid w:val="00117419"/>
    <w:rsid w:val="001245C9"/>
    <w:rsid w:val="00137215"/>
    <w:rsid w:val="001512B6"/>
    <w:rsid w:val="001555C1"/>
    <w:rsid w:val="00160A5A"/>
    <w:rsid w:val="00162C92"/>
    <w:rsid w:val="00191975"/>
    <w:rsid w:val="001B5B5E"/>
    <w:rsid w:val="00212CE2"/>
    <w:rsid w:val="00215170"/>
    <w:rsid w:val="00221BA0"/>
    <w:rsid w:val="00265C80"/>
    <w:rsid w:val="00266CD9"/>
    <w:rsid w:val="00266FA7"/>
    <w:rsid w:val="00271077"/>
    <w:rsid w:val="002B161A"/>
    <w:rsid w:val="002B6A7C"/>
    <w:rsid w:val="002C6A21"/>
    <w:rsid w:val="002E4F8A"/>
    <w:rsid w:val="002F231C"/>
    <w:rsid w:val="003170CE"/>
    <w:rsid w:val="0034085E"/>
    <w:rsid w:val="003571FC"/>
    <w:rsid w:val="00374AE5"/>
    <w:rsid w:val="00383FE4"/>
    <w:rsid w:val="003F50A4"/>
    <w:rsid w:val="00402BDF"/>
    <w:rsid w:val="00403BB9"/>
    <w:rsid w:val="00407C7B"/>
    <w:rsid w:val="00416202"/>
    <w:rsid w:val="00422C07"/>
    <w:rsid w:val="004263F0"/>
    <w:rsid w:val="00450D8E"/>
    <w:rsid w:val="004530C3"/>
    <w:rsid w:val="004630D6"/>
    <w:rsid w:val="00474978"/>
    <w:rsid w:val="00474D72"/>
    <w:rsid w:val="00490225"/>
    <w:rsid w:val="00490303"/>
    <w:rsid w:val="004971CD"/>
    <w:rsid w:val="004D21C2"/>
    <w:rsid w:val="004D3B3A"/>
    <w:rsid w:val="004E0A0B"/>
    <w:rsid w:val="00554408"/>
    <w:rsid w:val="00554D63"/>
    <w:rsid w:val="005B6881"/>
    <w:rsid w:val="005C52D1"/>
    <w:rsid w:val="005F7ED2"/>
    <w:rsid w:val="0061043B"/>
    <w:rsid w:val="00651554"/>
    <w:rsid w:val="0066450F"/>
    <w:rsid w:val="00682117"/>
    <w:rsid w:val="0069787A"/>
    <w:rsid w:val="006A34D1"/>
    <w:rsid w:val="006A6D83"/>
    <w:rsid w:val="006D1411"/>
    <w:rsid w:val="006F402B"/>
    <w:rsid w:val="0072127F"/>
    <w:rsid w:val="007340A5"/>
    <w:rsid w:val="00746FF9"/>
    <w:rsid w:val="00751B5C"/>
    <w:rsid w:val="007A26E3"/>
    <w:rsid w:val="007A4FC4"/>
    <w:rsid w:val="007B7702"/>
    <w:rsid w:val="007C2CF8"/>
    <w:rsid w:val="00811236"/>
    <w:rsid w:val="00857C88"/>
    <w:rsid w:val="00883AE0"/>
    <w:rsid w:val="00891E48"/>
    <w:rsid w:val="008A0892"/>
    <w:rsid w:val="008A1670"/>
    <w:rsid w:val="008A60F3"/>
    <w:rsid w:val="008B01C4"/>
    <w:rsid w:val="008B3520"/>
    <w:rsid w:val="008C32F5"/>
    <w:rsid w:val="008D4A1F"/>
    <w:rsid w:val="008E2D14"/>
    <w:rsid w:val="008F5F3F"/>
    <w:rsid w:val="00905125"/>
    <w:rsid w:val="00917110"/>
    <w:rsid w:val="009213ED"/>
    <w:rsid w:val="00940B7C"/>
    <w:rsid w:val="00947C12"/>
    <w:rsid w:val="00957A66"/>
    <w:rsid w:val="00960015"/>
    <w:rsid w:val="00962CEF"/>
    <w:rsid w:val="00991501"/>
    <w:rsid w:val="00994710"/>
    <w:rsid w:val="009F46CB"/>
    <w:rsid w:val="00A06442"/>
    <w:rsid w:val="00A1077E"/>
    <w:rsid w:val="00A13342"/>
    <w:rsid w:val="00A47BAE"/>
    <w:rsid w:val="00A52E62"/>
    <w:rsid w:val="00A57938"/>
    <w:rsid w:val="00A7048A"/>
    <w:rsid w:val="00A9621A"/>
    <w:rsid w:val="00AA7BE8"/>
    <w:rsid w:val="00AD1E6F"/>
    <w:rsid w:val="00AD2A2F"/>
    <w:rsid w:val="00AE3179"/>
    <w:rsid w:val="00AF2230"/>
    <w:rsid w:val="00B041AF"/>
    <w:rsid w:val="00B11F36"/>
    <w:rsid w:val="00B26F07"/>
    <w:rsid w:val="00B468F4"/>
    <w:rsid w:val="00B524D9"/>
    <w:rsid w:val="00B52CD8"/>
    <w:rsid w:val="00B57866"/>
    <w:rsid w:val="00B869AF"/>
    <w:rsid w:val="00BC624E"/>
    <w:rsid w:val="00BE04EE"/>
    <w:rsid w:val="00BE788E"/>
    <w:rsid w:val="00C74C62"/>
    <w:rsid w:val="00C86C38"/>
    <w:rsid w:val="00C915BE"/>
    <w:rsid w:val="00C93C2F"/>
    <w:rsid w:val="00C94A8A"/>
    <w:rsid w:val="00C951E4"/>
    <w:rsid w:val="00CA3682"/>
    <w:rsid w:val="00CB039A"/>
    <w:rsid w:val="00CF37BA"/>
    <w:rsid w:val="00CF5E5B"/>
    <w:rsid w:val="00CF7DCE"/>
    <w:rsid w:val="00D338A8"/>
    <w:rsid w:val="00D514C8"/>
    <w:rsid w:val="00D5479F"/>
    <w:rsid w:val="00D568E2"/>
    <w:rsid w:val="00D62C86"/>
    <w:rsid w:val="00D934ED"/>
    <w:rsid w:val="00DA50C9"/>
    <w:rsid w:val="00DB190B"/>
    <w:rsid w:val="00DB3618"/>
    <w:rsid w:val="00DB68C2"/>
    <w:rsid w:val="00DE3F1C"/>
    <w:rsid w:val="00DF230A"/>
    <w:rsid w:val="00E31EE7"/>
    <w:rsid w:val="00E33197"/>
    <w:rsid w:val="00E50ED2"/>
    <w:rsid w:val="00E86888"/>
    <w:rsid w:val="00E9094B"/>
    <w:rsid w:val="00EC2AA9"/>
    <w:rsid w:val="00ED5A68"/>
    <w:rsid w:val="00ED61B8"/>
    <w:rsid w:val="00EF02E5"/>
    <w:rsid w:val="00F03CCC"/>
    <w:rsid w:val="00F06A6D"/>
    <w:rsid w:val="00F11773"/>
    <w:rsid w:val="00F172E3"/>
    <w:rsid w:val="00F26D9B"/>
    <w:rsid w:val="00F32D99"/>
    <w:rsid w:val="00F44204"/>
    <w:rsid w:val="00FA3B59"/>
    <w:rsid w:val="00FB10DD"/>
    <w:rsid w:val="00FC3DFA"/>
    <w:rsid w:val="00FD3D71"/>
    <w:rsid w:val="00FE41EF"/>
    <w:rsid w:val="00FE4B1B"/>
    <w:rsid w:val="00FF63E5"/>
    <w:rsid w:val="00FF75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A003"/>
  <w15:docId w15:val="{5F7518EF-A510-47DE-9442-BAB552EA3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E31EE7"/>
    <w:pPr>
      <w:spacing w:line="360" w:lineRule="auto"/>
      <w:jc w:val="center"/>
      <w:outlineLvl w:val="0"/>
    </w:pPr>
    <w:rPr>
      <w:rFonts w:eastAsia="Times New Roman"/>
      <w:b/>
      <w:bCs/>
      <w:sz w:val="28"/>
      <w:szCs w:val="28"/>
    </w:rPr>
  </w:style>
  <w:style w:type="paragraph" w:styleId="Heading2">
    <w:name w:val="heading 2"/>
    <w:basedOn w:val="Normal"/>
    <w:next w:val="Normal"/>
    <w:uiPriority w:val="9"/>
    <w:unhideWhenUsed/>
    <w:qFormat/>
    <w:rsid w:val="00E31EE7"/>
    <w:pPr>
      <w:spacing w:line="360" w:lineRule="auto"/>
      <w:jc w:val="both"/>
      <w:outlineLvl w:val="1"/>
    </w:pPr>
    <w:rPr>
      <w:rFonts w:eastAsia="Times New Roman"/>
      <w:b/>
      <w:bCs/>
      <w:sz w:val="24"/>
      <w:szCs w:val="24"/>
    </w:rPr>
  </w:style>
  <w:style w:type="paragraph" w:styleId="Heading3">
    <w:name w:val="heading 3"/>
    <w:basedOn w:val="Normal"/>
    <w:next w:val="Normal"/>
    <w:uiPriority w:val="9"/>
    <w:unhideWhenUsed/>
    <w:qFormat/>
    <w:rsid w:val="00E31EE7"/>
    <w:pPr>
      <w:keepNext/>
      <w:keepLines/>
      <w:spacing w:line="360" w:lineRule="auto"/>
      <w:jc w:val="both"/>
      <w:outlineLvl w:val="2"/>
    </w:pPr>
    <w:rPr>
      <w:b/>
      <w:bCs/>
      <w:i/>
      <w:iCs/>
    </w:rPr>
  </w:style>
  <w:style w:type="paragraph" w:styleId="Heading4">
    <w:name w:val="heading 4"/>
    <w:basedOn w:val="Normal"/>
    <w:next w:val="Normal"/>
    <w:uiPriority w:val="9"/>
    <w:unhideWhenUsed/>
    <w:qFormat/>
    <w:rsid w:val="00E31EE7"/>
    <w:pPr>
      <w:keepNext/>
      <w:keepLines/>
      <w:spacing w:line="360" w:lineRule="auto"/>
      <w:jc w:val="center"/>
      <w:outlineLvl w:val="3"/>
    </w:pPr>
    <w:rPr>
      <w:b/>
      <w:bCs/>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62C86"/>
    <w:pPr>
      <w:ind w:left="720"/>
      <w:contextualSpacing/>
    </w:pPr>
  </w:style>
  <w:style w:type="paragraph" w:styleId="TOCHeading">
    <w:name w:val="TOC Heading"/>
    <w:basedOn w:val="Heading1"/>
    <w:next w:val="Normal"/>
    <w:uiPriority w:val="39"/>
    <w:unhideWhenUsed/>
    <w:qFormat/>
    <w:rsid w:val="00D62C86"/>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62C86"/>
    <w:pPr>
      <w:spacing w:after="100"/>
    </w:pPr>
  </w:style>
  <w:style w:type="paragraph" w:styleId="TOC2">
    <w:name w:val="toc 2"/>
    <w:basedOn w:val="Normal"/>
    <w:next w:val="Normal"/>
    <w:autoRedefine/>
    <w:uiPriority w:val="39"/>
    <w:unhideWhenUsed/>
    <w:rsid w:val="00D62C86"/>
    <w:pPr>
      <w:spacing w:after="100"/>
      <w:ind w:left="220"/>
    </w:pPr>
  </w:style>
  <w:style w:type="character" w:styleId="Hyperlink">
    <w:name w:val="Hyperlink"/>
    <w:basedOn w:val="DefaultParagraphFont"/>
    <w:uiPriority w:val="99"/>
    <w:unhideWhenUsed/>
    <w:rsid w:val="00D62C86"/>
    <w:rPr>
      <w:color w:val="0000FF" w:themeColor="hyperlink"/>
      <w:u w:val="single"/>
    </w:rPr>
  </w:style>
  <w:style w:type="paragraph" w:styleId="Header">
    <w:name w:val="header"/>
    <w:basedOn w:val="Normal"/>
    <w:link w:val="HeaderChar"/>
    <w:uiPriority w:val="99"/>
    <w:unhideWhenUsed/>
    <w:rsid w:val="00D62C86"/>
    <w:pPr>
      <w:tabs>
        <w:tab w:val="center" w:pos="4513"/>
        <w:tab w:val="right" w:pos="9026"/>
      </w:tabs>
      <w:spacing w:line="240" w:lineRule="auto"/>
    </w:pPr>
  </w:style>
  <w:style w:type="character" w:customStyle="1" w:styleId="HeaderChar">
    <w:name w:val="Header Char"/>
    <w:basedOn w:val="DefaultParagraphFont"/>
    <w:link w:val="Header"/>
    <w:uiPriority w:val="99"/>
    <w:rsid w:val="00D62C86"/>
  </w:style>
  <w:style w:type="paragraph" w:styleId="Footer">
    <w:name w:val="footer"/>
    <w:basedOn w:val="Normal"/>
    <w:link w:val="FooterChar"/>
    <w:uiPriority w:val="99"/>
    <w:unhideWhenUsed/>
    <w:rsid w:val="00D62C86"/>
    <w:pPr>
      <w:tabs>
        <w:tab w:val="center" w:pos="4513"/>
        <w:tab w:val="right" w:pos="9026"/>
      </w:tabs>
      <w:spacing w:line="240" w:lineRule="auto"/>
    </w:pPr>
  </w:style>
  <w:style w:type="character" w:customStyle="1" w:styleId="FooterChar">
    <w:name w:val="Footer Char"/>
    <w:basedOn w:val="DefaultParagraphFont"/>
    <w:link w:val="Footer"/>
    <w:uiPriority w:val="99"/>
    <w:rsid w:val="00D62C86"/>
  </w:style>
  <w:style w:type="paragraph" w:styleId="TOC3">
    <w:name w:val="toc 3"/>
    <w:basedOn w:val="Normal"/>
    <w:next w:val="Normal"/>
    <w:autoRedefine/>
    <w:uiPriority w:val="39"/>
    <w:unhideWhenUsed/>
    <w:rsid w:val="00FE41EF"/>
    <w:pPr>
      <w:spacing w:after="100"/>
      <w:ind w:left="440"/>
    </w:pPr>
  </w:style>
  <w:style w:type="character" w:styleId="FollowedHyperlink">
    <w:name w:val="FollowedHyperlink"/>
    <w:basedOn w:val="DefaultParagraphFont"/>
    <w:uiPriority w:val="99"/>
    <w:semiHidden/>
    <w:unhideWhenUsed/>
    <w:rsid w:val="00BC624E"/>
    <w:rPr>
      <w:color w:val="800080" w:themeColor="followedHyperlink"/>
      <w:u w:val="single"/>
    </w:rPr>
  </w:style>
  <w:style w:type="paragraph" w:styleId="TableofFigures">
    <w:name w:val="table of figures"/>
    <w:basedOn w:val="Normal"/>
    <w:next w:val="Normal"/>
    <w:uiPriority w:val="99"/>
    <w:unhideWhenUsed/>
    <w:rsid w:val="00271077"/>
    <w:pPr>
      <w:spacing w:line="360" w:lineRule="auto"/>
      <w:jc w:val="both"/>
    </w:pPr>
    <w:rPr>
      <w:sz w:val="24"/>
    </w:rPr>
  </w:style>
  <w:style w:type="paragraph" w:styleId="NormalWeb">
    <w:name w:val="Normal (Web)"/>
    <w:basedOn w:val="Normal"/>
    <w:uiPriority w:val="99"/>
    <w:unhideWhenUsed/>
    <w:rsid w:val="00FB10DD"/>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CommentReference">
    <w:name w:val="annotation reference"/>
    <w:basedOn w:val="DefaultParagraphFont"/>
    <w:uiPriority w:val="99"/>
    <w:semiHidden/>
    <w:unhideWhenUsed/>
    <w:rsid w:val="00067260"/>
    <w:rPr>
      <w:sz w:val="16"/>
      <w:szCs w:val="16"/>
    </w:rPr>
  </w:style>
  <w:style w:type="paragraph" w:styleId="CommentText">
    <w:name w:val="annotation text"/>
    <w:basedOn w:val="Normal"/>
    <w:link w:val="CommentTextChar"/>
    <w:uiPriority w:val="99"/>
    <w:unhideWhenUsed/>
    <w:rsid w:val="00067260"/>
    <w:pPr>
      <w:spacing w:line="240" w:lineRule="auto"/>
    </w:pPr>
    <w:rPr>
      <w:sz w:val="20"/>
      <w:szCs w:val="20"/>
    </w:rPr>
  </w:style>
  <w:style w:type="character" w:customStyle="1" w:styleId="CommentTextChar">
    <w:name w:val="Comment Text Char"/>
    <w:basedOn w:val="DefaultParagraphFont"/>
    <w:link w:val="CommentText"/>
    <w:uiPriority w:val="99"/>
    <w:rsid w:val="00067260"/>
    <w:rPr>
      <w:sz w:val="20"/>
      <w:szCs w:val="20"/>
      <w:lang w:val="en-GB"/>
    </w:rPr>
  </w:style>
  <w:style w:type="paragraph" w:styleId="CommentSubject">
    <w:name w:val="annotation subject"/>
    <w:basedOn w:val="CommentText"/>
    <w:next w:val="CommentText"/>
    <w:link w:val="CommentSubjectChar"/>
    <w:uiPriority w:val="99"/>
    <w:semiHidden/>
    <w:unhideWhenUsed/>
    <w:rsid w:val="00067260"/>
    <w:rPr>
      <w:b/>
      <w:bCs/>
    </w:rPr>
  </w:style>
  <w:style w:type="character" w:customStyle="1" w:styleId="CommentSubjectChar">
    <w:name w:val="Comment Subject Char"/>
    <w:basedOn w:val="CommentTextChar"/>
    <w:link w:val="CommentSubject"/>
    <w:uiPriority w:val="99"/>
    <w:semiHidden/>
    <w:rsid w:val="00067260"/>
    <w:rPr>
      <w:b/>
      <w:bCs/>
      <w:sz w:val="20"/>
      <w:szCs w:val="20"/>
      <w:lang w:val="en-GB"/>
    </w:rPr>
  </w:style>
  <w:style w:type="character" w:styleId="UnresolvedMention">
    <w:name w:val="Unresolved Mention"/>
    <w:basedOn w:val="DefaultParagraphFont"/>
    <w:uiPriority w:val="99"/>
    <w:semiHidden/>
    <w:unhideWhenUsed/>
    <w:rsid w:val="00FF6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803614">
      <w:bodyDiv w:val="1"/>
      <w:marLeft w:val="0"/>
      <w:marRight w:val="0"/>
      <w:marTop w:val="0"/>
      <w:marBottom w:val="0"/>
      <w:divBdr>
        <w:top w:val="none" w:sz="0" w:space="0" w:color="auto"/>
        <w:left w:val="none" w:sz="0" w:space="0" w:color="auto"/>
        <w:bottom w:val="none" w:sz="0" w:space="0" w:color="auto"/>
        <w:right w:val="none" w:sz="0" w:space="0" w:color="auto"/>
      </w:divBdr>
    </w:div>
    <w:div w:id="526605355">
      <w:bodyDiv w:val="1"/>
      <w:marLeft w:val="0"/>
      <w:marRight w:val="0"/>
      <w:marTop w:val="0"/>
      <w:marBottom w:val="0"/>
      <w:divBdr>
        <w:top w:val="none" w:sz="0" w:space="0" w:color="auto"/>
        <w:left w:val="none" w:sz="0" w:space="0" w:color="auto"/>
        <w:bottom w:val="none" w:sz="0" w:space="0" w:color="auto"/>
        <w:right w:val="none" w:sz="0" w:space="0" w:color="auto"/>
      </w:divBdr>
    </w:div>
    <w:div w:id="775901748">
      <w:bodyDiv w:val="1"/>
      <w:marLeft w:val="0"/>
      <w:marRight w:val="0"/>
      <w:marTop w:val="0"/>
      <w:marBottom w:val="0"/>
      <w:divBdr>
        <w:top w:val="none" w:sz="0" w:space="0" w:color="auto"/>
        <w:left w:val="none" w:sz="0" w:space="0" w:color="auto"/>
        <w:bottom w:val="none" w:sz="0" w:space="0" w:color="auto"/>
        <w:right w:val="none" w:sz="0" w:space="0" w:color="auto"/>
      </w:divBdr>
    </w:div>
    <w:div w:id="1001391637">
      <w:bodyDiv w:val="1"/>
      <w:marLeft w:val="0"/>
      <w:marRight w:val="0"/>
      <w:marTop w:val="0"/>
      <w:marBottom w:val="0"/>
      <w:divBdr>
        <w:top w:val="none" w:sz="0" w:space="0" w:color="auto"/>
        <w:left w:val="none" w:sz="0" w:space="0" w:color="auto"/>
        <w:bottom w:val="none" w:sz="0" w:space="0" w:color="auto"/>
        <w:right w:val="none" w:sz="0" w:space="0" w:color="auto"/>
      </w:divBdr>
    </w:div>
    <w:div w:id="1005405086">
      <w:bodyDiv w:val="1"/>
      <w:marLeft w:val="0"/>
      <w:marRight w:val="0"/>
      <w:marTop w:val="0"/>
      <w:marBottom w:val="0"/>
      <w:divBdr>
        <w:top w:val="none" w:sz="0" w:space="0" w:color="auto"/>
        <w:left w:val="none" w:sz="0" w:space="0" w:color="auto"/>
        <w:bottom w:val="none" w:sz="0" w:space="0" w:color="auto"/>
        <w:right w:val="none" w:sz="0" w:space="0" w:color="auto"/>
      </w:divBdr>
    </w:div>
    <w:div w:id="1393847944">
      <w:bodyDiv w:val="1"/>
      <w:marLeft w:val="0"/>
      <w:marRight w:val="0"/>
      <w:marTop w:val="0"/>
      <w:marBottom w:val="0"/>
      <w:divBdr>
        <w:top w:val="none" w:sz="0" w:space="0" w:color="auto"/>
        <w:left w:val="none" w:sz="0" w:space="0" w:color="auto"/>
        <w:bottom w:val="none" w:sz="0" w:space="0" w:color="auto"/>
        <w:right w:val="none" w:sz="0" w:space="0" w:color="auto"/>
      </w:divBdr>
    </w:div>
    <w:div w:id="1605456494">
      <w:bodyDiv w:val="1"/>
      <w:marLeft w:val="0"/>
      <w:marRight w:val="0"/>
      <w:marTop w:val="0"/>
      <w:marBottom w:val="0"/>
      <w:divBdr>
        <w:top w:val="none" w:sz="0" w:space="0" w:color="auto"/>
        <w:left w:val="none" w:sz="0" w:space="0" w:color="auto"/>
        <w:bottom w:val="none" w:sz="0" w:space="0" w:color="auto"/>
        <w:right w:val="none" w:sz="0" w:space="0" w:color="auto"/>
      </w:divBdr>
    </w:div>
    <w:div w:id="2060084065">
      <w:bodyDiv w:val="1"/>
      <w:marLeft w:val="0"/>
      <w:marRight w:val="0"/>
      <w:marTop w:val="0"/>
      <w:marBottom w:val="0"/>
      <w:divBdr>
        <w:top w:val="none" w:sz="0" w:space="0" w:color="auto"/>
        <w:left w:val="none" w:sz="0" w:space="0" w:color="auto"/>
        <w:bottom w:val="none" w:sz="0" w:space="0" w:color="auto"/>
        <w:right w:val="none" w:sz="0" w:space="0" w:color="auto"/>
      </w:divBdr>
    </w:div>
    <w:div w:id="2100640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heliyon.2023.e16205" TargetMode="External" /><Relationship Id="rId117" Type="http://schemas.openxmlformats.org/officeDocument/2006/relationships/hyperlink" Target="https://doi.org/10.1177/03080226211026557" TargetMode="External" /><Relationship Id="rId21" Type="http://schemas.openxmlformats.org/officeDocument/2006/relationships/hyperlink" Target="https://doi.org/10.1007/s43441-021-00304-w" TargetMode="External" /><Relationship Id="rId42" Type="http://schemas.openxmlformats.org/officeDocument/2006/relationships/hyperlink" Target="https://doi.org/10.3390/vaccines10122100" TargetMode="External" /><Relationship Id="rId47" Type="http://schemas.openxmlformats.org/officeDocument/2006/relationships/hyperlink" Target="https://doi.org/10.1080/14787210.2021.1843427" TargetMode="External" /><Relationship Id="rId63" Type="http://schemas.openxmlformats.org/officeDocument/2006/relationships/hyperlink" Target="https://doi.org/10.1093/bjsw/bcac183" TargetMode="External" /><Relationship Id="rId68" Type="http://schemas.openxmlformats.org/officeDocument/2006/relationships/hyperlink" Target="https://doi.org/10.1016/j.watres.2024.123044" TargetMode="External" /><Relationship Id="rId84" Type="http://schemas.openxmlformats.org/officeDocument/2006/relationships/hyperlink" Target="https://sure.sunderland.ac.uk/id/eprint/18143/1/181354%20Social%20work%20in%20NHS%20hospitals.pdf" TargetMode="External" /><Relationship Id="rId89" Type="http://schemas.openxmlformats.org/officeDocument/2006/relationships/hyperlink" Target="https://doi.org/10.1186/s42522-021-00038-7" TargetMode="External" /><Relationship Id="rId112" Type="http://schemas.openxmlformats.org/officeDocument/2006/relationships/hyperlink" Target="https://doi.org/10.1093/bjsw/bcab169" TargetMode="External" /><Relationship Id="rId133" Type="http://schemas.openxmlformats.org/officeDocument/2006/relationships/theme" Target="theme/theme1.xml" /><Relationship Id="rId16" Type="http://schemas.openxmlformats.org/officeDocument/2006/relationships/image" Target="media/image9.png" /><Relationship Id="rId107" Type="http://schemas.openxmlformats.org/officeDocument/2006/relationships/hyperlink" Target="https://doi.org/10.1080/1040841X.2025.2466472" TargetMode="External" /><Relationship Id="rId11" Type="http://schemas.openxmlformats.org/officeDocument/2006/relationships/image" Target="media/image4.png" /><Relationship Id="rId32" Type="http://schemas.openxmlformats.org/officeDocument/2006/relationships/hyperlink" Target="https://doi.org/10.3390/antibiotics13070619" TargetMode="External" /><Relationship Id="rId37" Type="http://schemas.openxmlformats.org/officeDocument/2006/relationships/hyperlink" Target="https://doi.org/10.1080/13814788.2025.2571600" TargetMode="External" /><Relationship Id="rId53" Type="http://schemas.openxmlformats.org/officeDocument/2006/relationships/hyperlink" Target="https://doi.org/10.1016/B978-0-443-34178-6.00007-5" TargetMode="External" /><Relationship Id="rId58" Type="http://schemas.openxmlformats.org/officeDocument/2006/relationships/hyperlink" Target="https://doi.org/10.1177/16094069221095314" TargetMode="External" /><Relationship Id="rId74" Type="http://schemas.openxmlformats.org/officeDocument/2006/relationships/hyperlink" Target="https://doi.org/10.5334/ijic.5666" TargetMode="External" /><Relationship Id="rId79" Type="http://schemas.openxmlformats.org/officeDocument/2006/relationships/hyperlink" Target="https://doi.org/10.3389/fmicb.2024.1493511" TargetMode="External" /><Relationship Id="rId102" Type="http://schemas.openxmlformats.org/officeDocument/2006/relationships/hyperlink" Target="https://doi.org/10.3389/bjbs.2023.11387" TargetMode="External" /><Relationship Id="rId123" Type="http://schemas.openxmlformats.org/officeDocument/2006/relationships/hyperlink" Target="https://doi.org/10.3389/fpubh.2023.1212890" TargetMode="External" /><Relationship Id="rId128" Type="http://schemas.openxmlformats.org/officeDocument/2006/relationships/hyperlink" Target="https://doi.org/10.3389/fmicb.2021.558003" TargetMode="External" /><Relationship Id="rId5" Type="http://schemas.openxmlformats.org/officeDocument/2006/relationships/webSettings" Target="webSettings.xml" /><Relationship Id="rId90" Type="http://schemas.openxmlformats.org/officeDocument/2006/relationships/hyperlink" Target="https://doi.org/10.3390/healthcare11131946" TargetMode="External" /><Relationship Id="rId95" Type="http://schemas.openxmlformats.org/officeDocument/2006/relationships/hyperlink" Target="https://doi.org/10.3390/microorganisms11061614" TargetMode="External" /><Relationship Id="rId14" Type="http://schemas.openxmlformats.org/officeDocument/2006/relationships/image" Target="media/image7.jpeg" /><Relationship Id="rId22" Type="http://schemas.openxmlformats.org/officeDocument/2006/relationships/hyperlink" Target="https://doi.org/10.3390/antibiotics11081133" TargetMode="External" /><Relationship Id="rId27" Type="http://schemas.openxmlformats.org/officeDocument/2006/relationships/hyperlink" Target="https://doi.org/10.1016/j.jpse.2025.100267" TargetMode="External" /><Relationship Id="rId30" Type="http://schemas.openxmlformats.org/officeDocument/2006/relationships/hyperlink" Target="https://doi.org/10.3390/ijerph18105333" TargetMode="External" /><Relationship Id="rId35" Type="http://schemas.openxmlformats.org/officeDocument/2006/relationships/hyperlink" Target="https://doi.org/10.1016/j.ajpe.2025.101418" TargetMode="External" /><Relationship Id="rId43" Type="http://schemas.openxmlformats.org/officeDocument/2006/relationships/hyperlink" Target="https://doi.org/10.3390/bacteria3030008" TargetMode="External" /><Relationship Id="rId48" Type="http://schemas.openxmlformats.org/officeDocument/2006/relationships/hyperlink" Target="https://doi.org/10.1080/1040841X.2023.2285995" TargetMode="External" /><Relationship Id="rId56" Type="http://schemas.openxmlformats.org/officeDocument/2006/relationships/hyperlink" Target="https://doi.org/10.3390/applmicrobiol3010012" TargetMode="External" /><Relationship Id="rId64" Type="http://schemas.openxmlformats.org/officeDocument/2006/relationships/hyperlink" Target="https://doi.org/10.1177/25160435221081105" TargetMode="External" /><Relationship Id="rId69" Type="http://schemas.openxmlformats.org/officeDocument/2006/relationships/hyperlink" Target="https://doi.org/10.7861/clinmed.2022-0251" TargetMode="External" /><Relationship Id="rId77" Type="http://schemas.openxmlformats.org/officeDocument/2006/relationships/hyperlink" Target="https://doi.org/10.1111/hsc.13935" TargetMode="External" /><Relationship Id="rId100" Type="http://schemas.openxmlformats.org/officeDocument/2006/relationships/hyperlink" Target="https://doi.org/10.1016/j.ijantimicag.2025.107535" TargetMode="External" /><Relationship Id="rId105" Type="http://schemas.openxmlformats.org/officeDocument/2006/relationships/hyperlink" Target="https://doi.org/10.1080/07388551.2024.2342979" TargetMode="External" /><Relationship Id="rId113" Type="http://schemas.openxmlformats.org/officeDocument/2006/relationships/hyperlink" Target="https://doi.org/10.3390/nano15211634" TargetMode="External" /><Relationship Id="rId118" Type="http://schemas.openxmlformats.org/officeDocument/2006/relationships/hyperlink" Target="https://doi.org/10.1080/17441692.2023.2217445" TargetMode="External" /><Relationship Id="rId126" Type="http://schemas.openxmlformats.org/officeDocument/2006/relationships/hyperlink" Target="https://doi.org/10.3390/microorganisms8030425" TargetMode="External" /><Relationship Id="rId8" Type="http://schemas.openxmlformats.org/officeDocument/2006/relationships/image" Target="media/image1.png" /><Relationship Id="rId51" Type="http://schemas.openxmlformats.org/officeDocument/2006/relationships/hyperlink" Target="https://doi.org/10.1099/jmm.0.002070" TargetMode="External" /><Relationship Id="rId72" Type="http://schemas.openxmlformats.org/officeDocument/2006/relationships/hyperlink" Target="https://doi.org/10.1371/journal.pone.0323035" TargetMode="External" /><Relationship Id="rId80" Type="http://schemas.openxmlformats.org/officeDocument/2006/relationships/hyperlink" Target="https://doi.org/10.1007/s44340-025-00017-y" TargetMode="External" /><Relationship Id="rId85" Type="http://schemas.openxmlformats.org/officeDocument/2006/relationships/hyperlink" Target="https://doi.org/10.1016/j.nepr.2022.103532" TargetMode="External" /><Relationship Id="rId93" Type="http://schemas.openxmlformats.org/officeDocument/2006/relationships/hyperlink" Target="https://doi.org/10.1038/s41579-022-00767-0" TargetMode="External" /><Relationship Id="rId98" Type="http://schemas.openxmlformats.org/officeDocument/2006/relationships/hyperlink" Target="https://doi.org/10.2147/IDR.S348700" TargetMode="External" /><Relationship Id="rId121" Type="http://schemas.openxmlformats.org/officeDocument/2006/relationships/hyperlink" Target="https://doi.org/10.1080/19490976.2022.2039048"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doi.org/10.22034/LSSJ.2023.1.56" TargetMode="External" /><Relationship Id="rId33" Type="http://schemas.openxmlformats.org/officeDocument/2006/relationships/hyperlink" Target="https://doi.org/10.3390/microorganisms9112332" TargetMode="External" /><Relationship Id="rId38" Type="http://schemas.openxmlformats.org/officeDocument/2006/relationships/hyperlink" Target="https://doi.org/10.1136/bmj-2024-079474" TargetMode="External" /><Relationship Id="rId46" Type="http://schemas.openxmlformats.org/officeDocument/2006/relationships/hyperlink" Target="https://doi.org/10.1016/j.microb.2025.100436" TargetMode="External" /><Relationship Id="rId59" Type="http://schemas.openxmlformats.org/officeDocument/2006/relationships/hyperlink" Target="https://doi.org/10.3390/bios15070437" TargetMode="External" /><Relationship Id="rId67" Type="http://schemas.openxmlformats.org/officeDocument/2006/relationships/hyperlink" Target="https://doi.org/10.1038/s44259-024-00046-3" TargetMode="External" /><Relationship Id="rId103" Type="http://schemas.openxmlformats.org/officeDocument/2006/relationships/hyperlink" Target="https://doi.org/10.1080/14787210.2022.2078308" TargetMode="External" /><Relationship Id="rId108" Type="http://schemas.openxmlformats.org/officeDocument/2006/relationships/hyperlink" Target="https://doi.org/10.3399/bjgp23X734925" TargetMode="External" /><Relationship Id="rId116" Type="http://schemas.openxmlformats.org/officeDocument/2006/relationships/hyperlink" Target="https://doi.org/10.2217/fmb-2020-0301" TargetMode="External" /><Relationship Id="rId124" Type="http://schemas.openxmlformats.org/officeDocument/2006/relationships/hyperlink" Target="https://doi.org/10.3389/fmicb.2022.980217" TargetMode="External" /><Relationship Id="rId129" Type="http://schemas.openxmlformats.org/officeDocument/2006/relationships/hyperlink" Target="https://ssrn.com/abstract=3960137" TargetMode="External" /><Relationship Id="rId20" Type="http://schemas.openxmlformats.org/officeDocument/2006/relationships/hyperlink" Target="https://doi.org/10.3390/microorganisms12061051" TargetMode="External" /><Relationship Id="rId41" Type="http://schemas.openxmlformats.org/officeDocument/2006/relationships/hyperlink" Target="https://doi.org/10.1186/s12916-021-02019-z" TargetMode="External" /><Relationship Id="rId54" Type="http://schemas.openxmlformats.org/officeDocument/2006/relationships/hyperlink" Target="https://doi.org/10.1891/9780826129741" TargetMode="External" /><Relationship Id="rId62" Type="http://schemas.openxmlformats.org/officeDocument/2006/relationships/hyperlink" Target="https://doi.org/10.1016/s0140-6736(24)00878-x" TargetMode="External" /><Relationship Id="rId70" Type="http://schemas.openxmlformats.org/officeDocument/2006/relationships/hyperlink" Target="https://doi.org/10.1186/s13756-023-01290-4" TargetMode="External" /><Relationship Id="rId75" Type="http://schemas.openxmlformats.org/officeDocument/2006/relationships/hyperlink" Target="https://doi.org/10.1111/joor.13497" TargetMode="External" /><Relationship Id="rId83" Type="http://schemas.openxmlformats.org/officeDocument/2006/relationships/hyperlink" Target="https://doi.org/10.1155/cjid/1542576" TargetMode="External" /><Relationship Id="rId88" Type="http://schemas.openxmlformats.org/officeDocument/2006/relationships/hyperlink" Target="https://doi.org/10.1186/s12939-021-01612-1" TargetMode="External" /><Relationship Id="rId91" Type="http://schemas.openxmlformats.org/officeDocument/2006/relationships/hyperlink" Target="https://doi.org/10.1111/hsc.14056" TargetMode="External" /><Relationship Id="rId96" Type="http://schemas.openxmlformats.org/officeDocument/2006/relationships/hyperlink" Target="https://doi.org/10.1016/j.micres.2023.127436" TargetMode="External" /><Relationship Id="rId111" Type="http://schemas.openxmlformats.org/officeDocument/2006/relationships/hyperlink" Target="https://doi.org/10.3390/bios14020090" TargetMode="External" /><Relationship Id="rId132"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doi.org/10.1080/87559129.2025.2526677" TargetMode="External" /><Relationship Id="rId28" Type="http://schemas.openxmlformats.org/officeDocument/2006/relationships/hyperlink" Target="https://doi.org/10.1038/s41579-024-01076-4" TargetMode="External" /><Relationship Id="rId36" Type="http://schemas.openxmlformats.org/officeDocument/2006/relationships/hyperlink" Target="https://doi.org/10.1038/s41467-024-49967-7" TargetMode="External" /><Relationship Id="rId49" Type="http://schemas.openxmlformats.org/officeDocument/2006/relationships/hyperlink" Target="https://doi.org/10.1016/j.lanmic.2024.07.010" TargetMode="External" /><Relationship Id="rId57" Type="http://schemas.openxmlformats.org/officeDocument/2006/relationships/hyperlink" Target="https://doi.org/10.3390/ijms25052655" TargetMode="External" /><Relationship Id="rId106" Type="http://schemas.openxmlformats.org/officeDocument/2006/relationships/hyperlink" Target="https://doi.org/10.1007/s10661-022-10564-0" TargetMode="External" /><Relationship Id="rId114" Type="http://schemas.openxmlformats.org/officeDocument/2006/relationships/hyperlink" Target="https://doi.org/10.1186/s43556-023-00164-w" TargetMode="External" /><Relationship Id="rId119" Type="http://schemas.openxmlformats.org/officeDocument/2006/relationships/hyperlink" Target="https://doi.org/10.1080/1040841X.2025.2457670" TargetMode="External" /><Relationship Id="rId127" Type="http://schemas.openxmlformats.org/officeDocument/2006/relationships/hyperlink" Target="https://doi.org/10.1186/s12967-025-06321-9" TargetMode="External" /><Relationship Id="rId10" Type="http://schemas.openxmlformats.org/officeDocument/2006/relationships/image" Target="media/image3.png" /><Relationship Id="rId31" Type="http://schemas.openxmlformats.org/officeDocument/2006/relationships/hyperlink" Target="https://doi.org/10.1002/bit.28735" TargetMode="External" /><Relationship Id="rId44" Type="http://schemas.openxmlformats.org/officeDocument/2006/relationships/hyperlink" Target="https://doi.org/10.1038/s41598-022-12619-1" TargetMode="External" /><Relationship Id="rId52" Type="http://schemas.openxmlformats.org/officeDocument/2006/relationships/hyperlink" Target="https://doi.org/10.3390/ph18081119" TargetMode="External" /><Relationship Id="rId60" Type="http://schemas.openxmlformats.org/officeDocument/2006/relationships/hyperlink" Target="https://doi.org/10.1016/j.csbj.2023.02.051" TargetMode="External" /><Relationship Id="rId65" Type="http://schemas.openxmlformats.org/officeDocument/2006/relationships/hyperlink" Target="https://doi.org/10.1128/msystems.00712-24" TargetMode="External" /><Relationship Id="rId73" Type="http://schemas.openxmlformats.org/officeDocument/2006/relationships/hyperlink" Target="https://doi.org/10.1080/14737167.2023.2274843" TargetMode="External" /><Relationship Id="rId78" Type="http://schemas.openxmlformats.org/officeDocument/2006/relationships/hyperlink" Target="https://doi.org/10.3390/antibiotics11020200" TargetMode="External" /><Relationship Id="rId81" Type="http://schemas.openxmlformats.org/officeDocument/2006/relationships/hyperlink" Target="https://doi.org/10.1186/s12964-023-01154-9" TargetMode="External" /><Relationship Id="rId86" Type="http://schemas.openxmlformats.org/officeDocument/2006/relationships/hyperlink" Target="https://doi.org/10.1016/j.mjafi.2024.07.006" TargetMode="External" /><Relationship Id="rId94" Type="http://schemas.openxmlformats.org/officeDocument/2006/relationships/hyperlink" Target="https://doi.org/10.1016/j.jiph.2021.12.008" TargetMode="External" /><Relationship Id="rId99" Type="http://schemas.openxmlformats.org/officeDocument/2006/relationships/hyperlink" Target="https://doi.org/10.2196/71914" TargetMode="External" /><Relationship Id="rId101" Type="http://schemas.openxmlformats.org/officeDocument/2006/relationships/hyperlink" Target="https://doi.org/10.1016/j.ijantimicag.2025.107535" TargetMode="External" /><Relationship Id="rId122" Type="http://schemas.openxmlformats.org/officeDocument/2006/relationships/hyperlink" Target="https://doi.org/10.1016/j.jcis.2025.138628" TargetMode="External" /><Relationship Id="rId130" Type="http://schemas.openxmlformats.org/officeDocument/2006/relationships/hyperlink" Target="https://doi.org/10.3389/fpls.2022.1063393" TargetMode="External" /><Relationship Id="rId4" Type="http://schemas.openxmlformats.org/officeDocument/2006/relationships/settings" Target="settings.xml" /><Relationship Id="rId9"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hyperlink" Target="https://doi.org/10.1002/nop2.2036" TargetMode="External" /><Relationship Id="rId39" Type="http://schemas.openxmlformats.org/officeDocument/2006/relationships/hyperlink" Target="https://doi.org/10.1007/s10805-022-09455-3" TargetMode="External" /><Relationship Id="rId109" Type="http://schemas.openxmlformats.org/officeDocument/2006/relationships/hyperlink" Target="https://doi.org/10.3389/fcimb.2023.1159798" TargetMode="External" /><Relationship Id="rId34" Type="http://schemas.openxmlformats.org/officeDocument/2006/relationships/hyperlink" Target="https://doi.org/10.1080/14786419.2024.2405867" TargetMode="External" /><Relationship Id="rId50" Type="http://schemas.openxmlformats.org/officeDocument/2006/relationships/hyperlink" Target="https://www.torrossa.com/en/resources/an/5282243" TargetMode="External" /><Relationship Id="rId55" Type="http://schemas.openxmlformats.org/officeDocument/2006/relationships/hyperlink" Target="https://www.thelancet.com/action/showPdf?pii=S2589-7500%2822%2900023-1" TargetMode="External" /><Relationship Id="rId76" Type="http://schemas.openxmlformats.org/officeDocument/2006/relationships/hyperlink" Target="https://doi.org/10.1016/j.tcsw.2024.100133" TargetMode="External" /><Relationship Id="rId97" Type="http://schemas.openxmlformats.org/officeDocument/2006/relationships/hyperlink" Target="https://doi.org/10.1016/j.ijnurstu.2021.104121" TargetMode="External" /><Relationship Id="rId104" Type="http://schemas.openxmlformats.org/officeDocument/2006/relationships/hyperlink" Target="https://doi.org/10.3390/ijerph182413195" TargetMode="External" /><Relationship Id="rId120" Type="http://schemas.openxmlformats.org/officeDocument/2006/relationships/hyperlink" Target="https://doi.org/10.7861/clinmed.2022-news-concept" TargetMode="External" /><Relationship Id="rId125" Type="http://schemas.openxmlformats.org/officeDocument/2006/relationships/hyperlink" Target="https://doi.org/10.1080/10408398.2025.2566864" TargetMode="External" /><Relationship Id="rId7" Type="http://schemas.openxmlformats.org/officeDocument/2006/relationships/endnotes" Target="endnotes.xml" /><Relationship Id="rId71" Type="http://schemas.openxmlformats.org/officeDocument/2006/relationships/hyperlink" Target="https://doi.org/10.24321/2319.9113.202101" TargetMode="External" /><Relationship Id="rId92" Type="http://schemas.openxmlformats.org/officeDocument/2006/relationships/hyperlink" Target="https://doi.org/10.5334/ijic.5687" TargetMode="External" /><Relationship Id="rId2" Type="http://schemas.openxmlformats.org/officeDocument/2006/relationships/numbering" Target="numbering.xml" /><Relationship Id="rId29" Type="http://schemas.openxmlformats.org/officeDocument/2006/relationships/hyperlink" Target="https://doi.org/10.3390/ijerph20116025" TargetMode="External" /><Relationship Id="rId24" Type="http://schemas.openxmlformats.org/officeDocument/2006/relationships/hyperlink" Target="https://doi.org/10.1080/26895269.2022.2129597" TargetMode="External" /><Relationship Id="rId40" Type="http://schemas.openxmlformats.org/officeDocument/2006/relationships/hyperlink" Target="https://doi.org/10.1099/mic.0.001316" TargetMode="External" /><Relationship Id="rId45" Type="http://schemas.openxmlformats.org/officeDocument/2006/relationships/hyperlink" Target="https://doi.org/10.3399/BJGP.2021.0593" TargetMode="External" /><Relationship Id="rId66" Type="http://schemas.openxmlformats.org/officeDocument/2006/relationships/hyperlink" Target="https://doi.org/10.3390/ijms241411680" TargetMode="External" /><Relationship Id="rId87" Type="http://schemas.openxmlformats.org/officeDocument/2006/relationships/hyperlink" Target="https://doi.org/10.1038/s41392-022-01056-1" TargetMode="External" /><Relationship Id="rId110" Type="http://schemas.openxmlformats.org/officeDocument/2006/relationships/hyperlink" Target="https://doi.org/10.1016/j.lanmic.2025.101243" TargetMode="External" /><Relationship Id="rId115" Type="http://schemas.openxmlformats.org/officeDocument/2006/relationships/hyperlink" Target="https://doi.org/10.1007/s00253-022-12150-3" TargetMode="External" /><Relationship Id="rId131" Type="http://schemas.openxmlformats.org/officeDocument/2006/relationships/footer" Target="footer1.xml" /><Relationship Id="rId61" Type="http://schemas.openxmlformats.org/officeDocument/2006/relationships/hyperlink" Target="https://doi.org/10.1093/jac/dkaa556" TargetMode="External" /><Relationship Id="rId82" Type="http://schemas.openxmlformats.org/officeDocument/2006/relationships/hyperlink" Target="https://doi.org/10.3390/microorganisms12091920" TargetMode="External" /><Relationship Id="rId19" Type="http://schemas.openxmlformats.org/officeDocument/2006/relationships/hyperlink" Target="https://doi.org/10.1016/j.jhin.2025.08.004"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0EAFB-D5EF-47C6-8B45-C44A50D497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23005</Words>
  <Characters>131133</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Ahir</cp:lastModifiedBy>
  <cp:revision>2</cp:revision>
  <dcterms:created xsi:type="dcterms:W3CDTF">2026-01-22T16:51:00Z</dcterms:created>
  <dcterms:modified xsi:type="dcterms:W3CDTF">2026-01-22T16:51:00Z</dcterms:modified>
</cp:coreProperties>
</file>