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5A66C6" w14:textId="51A95FA6" w:rsidR="00F6646C" w:rsidRPr="00425349" w:rsidRDefault="007836C6" w:rsidP="00425349">
      <w:pPr>
        <w:pStyle w:val="paragraph"/>
        <w:adjustRightInd w:val="0"/>
        <w:snapToGrid w:val="0"/>
        <w:spacing w:line="360" w:lineRule="auto"/>
        <w:textAlignment w:val="baseline"/>
        <w:rPr>
          <w:u w:val="single"/>
        </w:rPr>
      </w:pPr>
      <w:r w:rsidRPr="00436156">
        <w:rPr>
          <w:u w:val="single"/>
        </w:rPr>
        <w:t>Produce a critically reflective essay on the role the core conditions play in achieving therapeutic relational depth and therapist self-care.</w:t>
      </w:r>
    </w:p>
    <w:p w14:paraId="0C8296F6" w14:textId="27E4606C" w:rsidR="007F05C0" w:rsidRPr="007F05C0" w:rsidRDefault="007F05C0" w:rsidP="007F05C0">
      <w:pPr>
        <w:spacing w:line="360" w:lineRule="auto"/>
      </w:pPr>
      <w:r w:rsidRPr="007F05C0">
        <w:t xml:space="preserve">Carl Rogers (1957) ‘core conditions’ are </w:t>
      </w:r>
      <w:r w:rsidR="00C43159">
        <w:t>defined</w:t>
      </w:r>
      <w:r w:rsidRPr="007F05C0">
        <w:t xml:space="preserve"> </w:t>
      </w:r>
      <w:r w:rsidR="00E67E90">
        <w:t>to be</w:t>
      </w:r>
      <w:r w:rsidRPr="007F05C0">
        <w:t xml:space="preserve"> </w:t>
      </w:r>
      <w:r w:rsidR="00C43159">
        <w:t xml:space="preserve">necessary </w:t>
      </w:r>
      <w:r w:rsidRPr="007F05C0">
        <w:t xml:space="preserve">elements </w:t>
      </w:r>
      <w:r w:rsidR="00F53418">
        <w:t>when</w:t>
      </w:r>
      <w:r w:rsidRPr="007F05C0">
        <w:t xml:space="preserve"> build</w:t>
      </w:r>
      <w:r w:rsidR="00F53418">
        <w:t>ing</w:t>
      </w:r>
      <w:r w:rsidRPr="007F05C0">
        <w:t xml:space="preserve"> the basis of the client and counsellor to create a </w:t>
      </w:r>
      <w:r w:rsidR="006A4DD1">
        <w:t xml:space="preserve">deep </w:t>
      </w:r>
      <w:r w:rsidRPr="007F05C0">
        <w:t>therapeutic relationship.</w:t>
      </w:r>
      <w:r w:rsidR="006A4DD1" w:rsidRPr="006A4DD1">
        <w:t xml:space="preserve"> </w:t>
      </w:r>
      <w:r w:rsidR="006A4DD1" w:rsidRPr="007F05C0">
        <w:t xml:space="preserve">This relationship has also been argued to need Roger’s core conditions which are empathy, congruence and unconditional positive regard (Lee-Oakes, 2011). </w:t>
      </w:r>
      <w:r w:rsidRPr="007F05C0">
        <w:t xml:space="preserve"> The therapeutic </w:t>
      </w:r>
      <w:r w:rsidR="009D0DDE" w:rsidRPr="007F05C0">
        <w:t>relationship</w:t>
      </w:r>
      <w:r w:rsidRPr="007F05C0">
        <w:t xml:space="preserve"> can </w:t>
      </w:r>
      <w:r w:rsidR="006A4DD1">
        <w:t xml:space="preserve">further </w:t>
      </w:r>
      <w:r w:rsidRPr="007F05C0">
        <w:t xml:space="preserve">be defined by Green (2010) as the connection between the client and counsellor which is built up of temporal, emotional and physical space to allow the client to reflect and acknowledge their needs. Geller and Greenberg (2002) considered a model of the three main elements through this relationship which were concluded to be preparation, process and experience of therapeutic presence, which </w:t>
      </w:r>
      <w:r w:rsidR="006A4DD1">
        <w:t>creates</w:t>
      </w:r>
      <w:r w:rsidRPr="007F05C0">
        <w:t xml:space="preserve"> healing for the client in itself. When reflecting on these core conditions, there have been many considerations of the application, limits and developments to these conditions looking at real-world contexts and personal developments. Therefore, this essay will consider the use of the core conditions through the therapeutic relationship, self-care and relational depth. Additionally, this essay considers the use of reflective and reflexive practices and how the core conditions are demonstrated through counsellor skills and in real-world situations</w:t>
      </w:r>
      <w:r w:rsidR="000C5229">
        <w:t>.</w:t>
      </w:r>
    </w:p>
    <w:p w14:paraId="08E60974" w14:textId="77777777" w:rsidR="007F05C0" w:rsidRPr="007F05C0" w:rsidRDefault="007F05C0" w:rsidP="007F05C0">
      <w:pPr>
        <w:spacing w:line="360" w:lineRule="auto"/>
      </w:pPr>
    </w:p>
    <w:p w14:paraId="7C054F73" w14:textId="77777777" w:rsidR="007F05C0" w:rsidRPr="007F05C0" w:rsidRDefault="007F05C0" w:rsidP="007F05C0">
      <w:pPr>
        <w:spacing w:line="360" w:lineRule="auto"/>
      </w:pPr>
    </w:p>
    <w:p w14:paraId="72C5E456" w14:textId="162D7761" w:rsidR="007F05C0" w:rsidRPr="007F05C0" w:rsidRDefault="007F05C0" w:rsidP="007F05C0">
      <w:pPr>
        <w:spacing w:line="360" w:lineRule="auto"/>
      </w:pPr>
      <w:r w:rsidRPr="007F05C0">
        <w:t xml:space="preserve">The first </w:t>
      </w:r>
      <w:r w:rsidR="006A4DD1">
        <w:t xml:space="preserve">core </w:t>
      </w:r>
      <w:r w:rsidRPr="007F05C0">
        <w:t xml:space="preserve">condition of empathy is defined by </w:t>
      </w:r>
      <w:proofErr w:type="spellStart"/>
      <w:r w:rsidRPr="007F05C0">
        <w:t>Lietaer</w:t>
      </w:r>
      <w:proofErr w:type="spellEnd"/>
      <w:r w:rsidRPr="007F05C0">
        <w:t xml:space="preserve"> (2002, </w:t>
      </w:r>
      <w:r w:rsidRPr="00F22DF6">
        <w:rPr>
          <w:i/>
          <w:iCs/>
        </w:rPr>
        <w:t>as cited by Green, 2010</w:t>
      </w:r>
      <w:r w:rsidRPr="007F05C0">
        <w:t xml:space="preserve">) as a constant effort </w:t>
      </w:r>
      <w:r w:rsidR="008F10E5">
        <w:t>to apply</w:t>
      </w:r>
      <w:r w:rsidRPr="007F05C0">
        <w:t xml:space="preserve"> active attention to the emotions of the client. This was argued to leave no room for other thought</w:t>
      </w:r>
      <w:r w:rsidR="005D0D76">
        <w:t>s</w:t>
      </w:r>
      <w:r w:rsidRPr="007F05C0">
        <w:t xml:space="preserve"> or consideration as Rogers defined the use of constant empathy to creating an atmosphere in which the client can start to heal (Rogers 1986, </w:t>
      </w:r>
      <w:r w:rsidRPr="00F22DF6">
        <w:rPr>
          <w:i/>
          <w:iCs/>
        </w:rPr>
        <w:t>as cited by Green, 2010</w:t>
      </w:r>
      <w:r w:rsidRPr="007F05C0">
        <w:t xml:space="preserve">). Empathy ensures an atmosphere in which the client is understood which encourages full exploration of their situation without fear of not being heard (Crisp, 2011; Velasquez &amp; Montiel, 2018). This can further encourage self-agency in the client through self-reflection leading the client to come to guided conclusions and judgments (Mearns &amp; Thorne, 2007, </w:t>
      </w:r>
      <w:r w:rsidRPr="00F22DF6">
        <w:rPr>
          <w:i/>
          <w:iCs/>
        </w:rPr>
        <w:t>as cited by Crisp, 2011</w:t>
      </w:r>
      <w:r w:rsidRPr="007F05C0">
        <w:t xml:space="preserve">). This can lead the client to enhance their </w:t>
      </w:r>
      <w:r w:rsidR="006259E5">
        <w:t xml:space="preserve">own </w:t>
      </w:r>
      <w:r w:rsidRPr="007F05C0">
        <w:t>empathy skills and find the balance between their independence and awareness of the further need for counsellor support (Crisp, 2011). Co</w:t>
      </w:r>
      <w:r w:rsidR="005D0D76">
        <w:t>re co</w:t>
      </w:r>
      <w:r w:rsidRPr="007F05C0">
        <w:t xml:space="preserve">nsideration from Hart (1999, </w:t>
      </w:r>
      <w:r w:rsidRPr="00F22DF6">
        <w:rPr>
          <w:i/>
          <w:iCs/>
        </w:rPr>
        <w:t>as cited by Green, 2010</w:t>
      </w:r>
      <w:r w:rsidRPr="007F05C0">
        <w:t xml:space="preserve">) suggested </w:t>
      </w:r>
      <w:r w:rsidR="00075115">
        <w:t>that</w:t>
      </w:r>
      <w:r w:rsidRPr="007F05C0">
        <w:t xml:space="preserve"> empathy not only provides healing for the client but also supports the councillor. This is argued to be due to the providing an understanding of the counsellor’s role ensuring the security of the relationship as it helps the counsellor to protect themselves by </w:t>
      </w:r>
      <w:r w:rsidRPr="007F05C0">
        <w:lastRenderedPageBreak/>
        <w:t xml:space="preserve">understanding their own needs and boundaries (Green, 2010). Green (2010) further reflects how the use of empathy will also cause the counsellor to have to relate the clients experience to their own in some way to try and understand the client’s perspective. This can cause the counsellor to be able to go to places which could be emotional or difficult in their own memories and still be able to be present in supporting their client (Green, 2010). McLeod (2007) reflects on the arguments made by </w:t>
      </w:r>
      <w:proofErr w:type="spellStart"/>
      <w:r w:rsidRPr="007F05C0">
        <w:t>Vanaerschot</w:t>
      </w:r>
      <w:proofErr w:type="spellEnd"/>
      <w:r w:rsidRPr="007F05C0">
        <w:t xml:space="preserve"> (1993) that empathy could encourage the client to not only share more of their feelings but also share a clearer perspective of their situation.</w:t>
      </w:r>
    </w:p>
    <w:p w14:paraId="2CD5B74C" w14:textId="77777777" w:rsidR="007F05C0" w:rsidRPr="007F05C0" w:rsidRDefault="007F05C0" w:rsidP="007F05C0">
      <w:pPr>
        <w:spacing w:line="360" w:lineRule="auto"/>
      </w:pPr>
    </w:p>
    <w:p w14:paraId="41A802FB" w14:textId="77777777" w:rsidR="00075115" w:rsidRDefault="007F05C0" w:rsidP="007F05C0">
      <w:pPr>
        <w:spacing w:line="360" w:lineRule="auto"/>
      </w:pPr>
      <w:r w:rsidRPr="007F05C0">
        <w:t xml:space="preserve">The condition of unconditional positive regard is defined as the combination of showing acceptance to the client with a desire to understand the separation of the client’s behaviour and the client themselves (Green, 2010). The basis of this condition is a non-judgment toward the client and acceptance without discrimination which is argued to provide space for the client to reach self-acceptance (Barrett-Lennard, 1998, </w:t>
      </w:r>
      <w:r w:rsidRPr="00F22DF6">
        <w:rPr>
          <w:i/>
          <w:iCs/>
        </w:rPr>
        <w:t>as cited by Green, 2010</w:t>
      </w:r>
      <w:r w:rsidRPr="007F05C0">
        <w:t xml:space="preserve">). Finally, congruence is the authenticity or genuineness of the counsellor in the relationship achieved by linking the internal processes and external response to the client in an appropriate way (Mearns &amp; Thorne, 1988, </w:t>
      </w:r>
      <w:r w:rsidRPr="00F22DF6">
        <w:rPr>
          <w:i/>
          <w:iCs/>
        </w:rPr>
        <w:t>as cited by Green, 2010</w:t>
      </w:r>
      <w:r w:rsidRPr="007F05C0">
        <w:t xml:space="preserve">). This is important in the relationship as keeps honesty in the relationship about how the counsellor feels without dismantling the therapeutic presence through maintaining transparency (Crisp, 2011). This helps prevent issues of authority in the relationship by not presenting the counsellor as a complete expert in the client’s situation (Crisp, 2011). </w:t>
      </w:r>
    </w:p>
    <w:p w14:paraId="0F50BAC4" w14:textId="2719BC0F" w:rsidR="00075115" w:rsidRDefault="00075115" w:rsidP="007F05C0">
      <w:pPr>
        <w:spacing w:line="360" w:lineRule="auto"/>
      </w:pPr>
    </w:p>
    <w:p w14:paraId="21505089" w14:textId="77777777" w:rsidR="00075115" w:rsidRDefault="00075115" w:rsidP="007F05C0">
      <w:pPr>
        <w:spacing w:line="360" w:lineRule="auto"/>
      </w:pPr>
    </w:p>
    <w:p w14:paraId="1DE5A26C" w14:textId="453F6519" w:rsidR="007F05C0" w:rsidRPr="007F05C0" w:rsidRDefault="00075115" w:rsidP="007F05C0">
      <w:pPr>
        <w:spacing w:line="360" w:lineRule="auto"/>
      </w:pPr>
      <w:r>
        <w:t>Alternately,</w:t>
      </w:r>
      <w:r w:rsidR="007F05C0" w:rsidRPr="007F05C0">
        <w:t xml:space="preserve"> there has been consideration around the sufficiency of the core conditions, and </w:t>
      </w:r>
      <w:r>
        <w:t xml:space="preserve">the </w:t>
      </w:r>
      <w:r w:rsidR="007F05C0" w:rsidRPr="007F05C0">
        <w:t xml:space="preserve">potential </w:t>
      </w:r>
      <w:r>
        <w:t xml:space="preserve">for </w:t>
      </w:r>
      <w:r w:rsidR="007F05C0" w:rsidRPr="007F05C0">
        <w:t xml:space="preserve">additions of alternate conditions. For example, Thorne (1992), suggested a further fourth core condition of ‘therapeutic presence’ in which is described as a merge of the three original conditions to provide a stable relationship for the therapeutic work to take place. Additionally, a suggested condition of a ‘lack of self’ could prevent ‘me too’ moments which could allow for the counsellor’s attention to stray from the client’s situation and into their own (Midwinter and Dickson, 2015). Additionally, </w:t>
      </w:r>
      <w:proofErr w:type="spellStart"/>
      <w:r w:rsidR="007F05C0" w:rsidRPr="007F05C0">
        <w:t>Gelso</w:t>
      </w:r>
      <w:proofErr w:type="spellEnd"/>
      <w:r w:rsidR="007F05C0" w:rsidRPr="007F05C0">
        <w:t xml:space="preserve"> and </w:t>
      </w:r>
      <w:proofErr w:type="spellStart"/>
      <w:r w:rsidR="007F05C0" w:rsidRPr="007F05C0">
        <w:t>Kanninen</w:t>
      </w:r>
      <w:proofErr w:type="spellEnd"/>
      <w:r w:rsidR="007F05C0" w:rsidRPr="007F05C0">
        <w:t xml:space="preserve"> (2017) argued empathy should be used in moderation to not provide unwanted gratification which plays into the client’s needs which can prevent the client from full emotional reflection and therefore prevent self-improvement. They further suggest a condition of ‘neutrality’ to provide a balance of empathy and allowing the client to reflect on what they can improve on without </w:t>
      </w:r>
      <w:r w:rsidR="007F05C0" w:rsidRPr="007F05C0">
        <w:lastRenderedPageBreak/>
        <w:t>seeming cold toward the client (</w:t>
      </w:r>
      <w:proofErr w:type="spellStart"/>
      <w:r w:rsidR="007F05C0" w:rsidRPr="007F05C0">
        <w:t>Gelso</w:t>
      </w:r>
      <w:proofErr w:type="spellEnd"/>
      <w:r w:rsidR="007F05C0" w:rsidRPr="007F05C0">
        <w:t xml:space="preserve"> &amp; </w:t>
      </w:r>
      <w:proofErr w:type="spellStart"/>
      <w:r w:rsidR="007F05C0" w:rsidRPr="007F05C0">
        <w:t>Kanninen</w:t>
      </w:r>
      <w:proofErr w:type="spellEnd"/>
      <w:r w:rsidR="007F05C0" w:rsidRPr="007F05C0">
        <w:t>, 2017). This was further commented on by Goldman (2017) who reflected that the suggested condition of ‘neutrality’ may be useful but does not connect to the humanistic-emotion focused therapy, arguing it may even oppose the aims of this type of counselling. Goldman (2017) examined that neutrality may not</w:t>
      </w:r>
      <w:r w:rsidR="00321CBC">
        <w:t xml:space="preserve"> be</w:t>
      </w:r>
      <w:r w:rsidR="007F05C0" w:rsidRPr="007F05C0">
        <w:t xml:space="preserve"> consistent with the goal of the condition of creating an atmosphere for change as it can promote a power imbalance through promoting a lack of warmth from the counsellor. Additionally, neutrality could also prevent reflexive practise by reducing the element of the counsellor being present to adjust to the client’s needs (Goldman, 2017). The core condition of congruence has also been debated with </w:t>
      </w:r>
      <w:proofErr w:type="spellStart"/>
      <w:r w:rsidR="007F05C0" w:rsidRPr="007F05C0">
        <w:t>Lietaer</w:t>
      </w:r>
      <w:proofErr w:type="spellEnd"/>
      <w:r w:rsidR="007F05C0" w:rsidRPr="007F05C0">
        <w:t xml:space="preserve"> (1984, </w:t>
      </w:r>
      <w:r w:rsidR="007F05C0" w:rsidRPr="00F22DF6">
        <w:rPr>
          <w:i/>
          <w:iCs/>
        </w:rPr>
        <w:t>as cited by Irving &amp; Dickson, 2006</w:t>
      </w:r>
      <w:r w:rsidR="007F05C0" w:rsidRPr="007F05C0">
        <w:t xml:space="preserve">) suggested that the element of openness is at the base of congruence while Egan (1998, </w:t>
      </w:r>
      <w:r w:rsidR="007F05C0" w:rsidRPr="00F22DF6">
        <w:rPr>
          <w:i/>
          <w:iCs/>
        </w:rPr>
        <w:t>as cited by Irving &amp; Dickson, 2006</w:t>
      </w:r>
      <w:r w:rsidR="007F05C0" w:rsidRPr="007F05C0">
        <w:t>) considers it to be genuineness. Both arguments agree with the importance of congruence as a core condition but suggest the different basis of the condition (Irving &amp; Dickson, 2006).</w:t>
      </w:r>
    </w:p>
    <w:p w14:paraId="0D94CB79" w14:textId="77777777" w:rsidR="007F05C0" w:rsidRPr="007F05C0" w:rsidRDefault="007F05C0" w:rsidP="007F05C0">
      <w:pPr>
        <w:spacing w:line="360" w:lineRule="auto"/>
      </w:pPr>
    </w:p>
    <w:p w14:paraId="204EAA50" w14:textId="77777777" w:rsidR="007F05C0" w:rsidRPr="007F05C0" w:rsidRDefault="007F05C0" w:rsidP="007F05C0">
      <w:pPr>
        <w:spacing w:line="360" w:lineRule="auto"/>
      </w:pPr>
    </w:p>
    <w:p w14:paraId="04E8923D" w14:textId="020244A3" w:rsidR="007F05C0" w:rsidRPr="007F05C0" w:rsidRDefault="007F05C0" w:rsidP="007F05C0">
      <w:pPr>
        <w:spacing w:line="360" w:lineRule="auto"/>
      </w:pPr>
      <w:r w:rsidRPr="007F05C0">
        <w:t xml:space="preserve">When considering how these core conditions can be applied, empathy can be expressed through body language such as a tilting of the counsellors’ head to indicate the use of listening skills or the use of eye contact, for example (Midwinter &amp; Dickson, 2015; Velasquez &amp; Montiel, 2018). More specifically, through Egan's SOLAR (2010, </w:t>
      </w:r>
      <w:r w:rsidRPr="00F22DF6">
        <w:rPr>
          <w:i/>
          <w:iCs/>
        </w:rPr>
        <w:t>as cited by Midwinter and Dickson, 2015</w:t>
      </w:r>
      <w:r w:rsidRPr="007F05C0">
        <w:t xml:space="preserve">), or sitting, the openness of posture, leaning forward, keeping eye-contact, and seeming relaxed. By using these techniques, the counsellor can physically </w:t>
      </w:r>
      <w:r w:rsidR="00D63E4E">
        <w:t>display</w:t>
      </w:r>
      <w:r w:rsidRPr="007F05C0">
        <w:t xml:space="preserve"> that they are giving the client their full attention and therefore can convey empathy through wanting to understand the client</w:t>
      </w:r>
      <w:r w:rsidR="008B2B9C">
        <w:t xml:space="preserve"> </w:t>
      </w:r>
      <w:r w:rsidR="008B2B9C" w:rsidRPr="007F05C0">
        <w:t>(Midwinter &amp; Dickson, 2015).</w:t>
      </w:r>
      <w:r w:rsidRPr="007F05C0">
        <w:t xml:space="preserve"> Empathy can also be </w:t>
      </w:r>
      <w:r w:rsidR="008B2B9C">
        <w:t>expressed</w:t>
      </w:r>
      <w:r w:rsidRPr="007F05C0">
        <w:t xml:space="preserve"> through the use of silence which, as well as </w:t>
      </w:r>
      <w:r w:rsidR="009614DD">
        <w:t>providing</w:t>
      </w:r>
      <w:r w:rsidRPr="007F05C0">
        <w:t xml:space="preserve"> space for the client to fully reflect, also shows listening skills which reflects the counsellor’s desire to fully understand their client (Midwinter &amp; Dickson, 2015). These listening skills are also used through paraphrasing, summarising and repeating what the client is saying (McLeod, 2007). The repeating of certain words or rephrasing of the situation can allow the client to further reflect on what they are feeling</w:t>
      </w:r>
      <w:r w:rsidR="008B2B9C">
        <w:t xml:space="preserve"> </w:t>
      </w:r>
      <w:r w:rsidRPr="007F05C0">
        <w:t xml:space="preserve">(McLeod, 2007). The condition of congruence was explored by Mearns and Thorne (2000, </w:t>
      </w:r>
      <w:r w:rsidRPr="00F22DF6">
        <w:rPr>
          <w:i/>
          <w:iCs/>
        </w:rPr>
        <w:t>as cited by Green, 2010</w:t>
      </w:r>
      <w:r w:rsidRPr="007F05C0">
        <w:t xml:space="preserve">) </w:t>
      </w:r>
      <w:r w:rsidR="009614DD">
        <w:t>who considered</w:t>
      </w:r>
      <w:r w:rsidRPr="007F05C0">
        <w:t xml:space="preserve"> the idea of the counsellor’s </w:t>
      </w:r>
      <w:r w:rsidR="009614DD">
        <w:t xml:space="preserve">acceptance and </w:t>
      </w:r>
      <w:r w:rsidRPr="007F05C0">
        <w:t xml:space="preserve">openness to their self </w:t>
      </w:r>
      <w:r w:rsidR="009614DD">
        <w:t>when exploring</w:t>
      </w:r>
      <w:r w:rsidRPr="007F05C0">
        <w:t xml:space="preserve"> their thoughts and process. Further reflection suggests how congruence also prevents issues of power and authority but being genuine about not being an expert on the client’s situation and being honest of their limitations (Mearns &amp; Thorne, 2007, </w:t>
      </w:r>
      <w:r w:rsidRPr="00F22DF6">
        <w:rPr>
          <w:i/>
          <w:iCs/>
        </w:rPr>
        <w:t>as cited by Crisp, 2011</w:t>
      </w:r>
      <w:r w:rsidRPr="007F05C0">
        <w:t xml:space="preserve">).  The genuineness of the </w:t>
      </w:r>
      <w:r w:rsidRPr="007F05C0">
        <w:lastRenderedPageBreak/>
        <w:t>counsellor can also be reflected through the use of questions as it expresses the counsellor wanting to understand</w:t>
      </w:r>
      <w:r w:rsidR="008B2B9C">
        <w:t xml:space="preserve"> </w:t>
      </w:r>
      <w:r w:rsidR="008B2B9C" w:rsidRPr="007F05C0">
        <w:t xml:space="preserve">(Midwinter &amp; Dickson, 2015). </w:t>
      </w:r>
      <w:r w:rsidR="008B2B9C">
        <w:t xml:space="preserve">This </w:t>
      </w:r>
      <w:r w:rsidRPr="007F05C0">
        <w:t>also reflects that they are not an expert in the client’s situation and is honest in needs to ask further (Midwinter &amp; Dickson, 2015). Specifically, th</w:t>
      </w:r>
      <w:r w:rsidR="009614DD">
        <w:t>is can be used through asking a</w:t>
      </w:r>
      <w:r w:rsidRPr="007F05C0">
        <w:t xml:space="preserve"> </w:t>
      </w:r>
      <w:r w:rsidR="009614DD">
        <w:t>‘</w:t>
      </w:r>
      <w:r w:rsidRPr="007F05C0">
        <w:t>miracle</w:t>
      </w:r>
      <w:r w:rsidR="009614DD">
        <w:t>’</w:t>
      </w:r>
      <w:r w:rsidRPr="007F05C0">
        <w:t xml:space="preserve"> question </w:t>
      </w:r>
      <w:r w:rsidR="009614DD">
        <w:t xml:space="preserve">which </w:t>
      </w:r>
      <w:r w:rsidRPr="007F05C0">
        <w:t>can allow for the counsellor to realise the client’s overall need and therefore what they want out of the sessions (Roth, 2019). Finally, unconditional positive regard can influence through non-verbal communication such as minimal encouragers being able to encourage the client to continue speaking</w:t>
      </w:r>
      <w:r w:rsidR="008B2B9C">
        <w:t xml:space="preserve"> </w:t>
      </w:r>
      <w:r w:rsidR="008B2B9C" w:rsidRPr="007F05C0">
        <w:t xml:space="preserve">(Midwinter &amp; Dickson, 2015). </w:t>
      </w:r>
      <w:r w:rsidRPr="007F05C0">
        <w:t xml:space="preserve"> </w:t>
      </w:r>
      <w:r w:rsidR="008B2B9C">
        <w:t>It</w:t>
      </w:r>
      <w:r w:rsidRPr="007F05C0">
        <w:t xml:space="preserve"> also </w:t>
      </w:r>
      <w:r w:rsidR="008B2B9C" w:rsidRPr="007F05C0">
        <w:t>shows</w:t>
      </w:r>
      <w:r w:rsidRPr="007F05C0">
        <w:t xml:space="preserve"> the counsellor is not necessarily agreeing but is fully encouraging the client to be honest (Midwinter &amp; Dickson, 2015). Additionally, the use of goals such as the SMART framework of specific, measures, agreed, realistic and timebound for the client to achieve (Doran, 1981, </w:t>
      </w:r>
      <w:r w:rsidRPr="00F22DF6">
        <w:rPr>
          <w:i/>
          <w:iCs/>
        </w:rPr>
        <w:t>as cited by Midwinter &amp; Dickson, 2015</w:t>
      </w:r>
      <w:r w:rsidRPr="007F05C0">
        <w:t>). These goals can encourage the counsellor to be perceived as non-judgmental through helping the client to work their way through their situation and therefore help rather than judge</w:t>
      </w:r>
      <w:r w:rsidR="00A17394">
        <w:t xml:space="preserve"> </w:t>
      </w:r>
      <w:r w:rsidR="00A17394" w:rsidRPr="007F05C0">
        <w:t>(Midwinter &amp; Dickson, 2015).</w:t>
      </w:r>
    </w:p>
    <w:p w14:paraId="693ED319" w14:textId="77777777" w:rsidR="007F05C0" w:rsidRPr="007F05C0" w:rsidRDefault="007F05C0" w:rsidP="007F05C0">
      <w:pPr>
        <w:spacing w:line="360" w:lineRule="auto"/>
      </w:pPr>
    </w:p>
    <w:p w14:paraId="2A3554FA" w14:textId="77777777" w:rsidR="007F05C0" w:rsidRPr="007F05C0" w:rsidRDefault="007F05C0" w:rsidP="007F05C0">
      <w:pPr>
        <w:spacing w:line="360" w:lineRule="auto"/>
      </w:pPr>
    </w:p>
    <w:p w14:paraId="5B09CE10" w14:textId="46D2EE45" w:rsidR="007F05C0" w:rsidRPr="007F05C0" w:rsidRDefault="007F05C0" w:rsidP="007F05C0">
      <w:pPr>
        <w:spacing w:line="360" w:lineRule="auto"/>
      </w:pPr>
      <w:r w:rsidRPr="007F05C0">
        <w:t xml:space="preserve">When considering issues around the core conditions, Green (2010) debated the use of empathy by autistic counsellors, for example. Green (2010) suggested how even though these counsellors may be high functioning and can mimic empathy, the extent of truly empathising with someone is argued </w:t>
      </w:r>
      <w:r w:rsidR="004D3C3E">
        <w:t>to be</w:t>
      </w:r>
      <w:r w:rsidRPr="007F05C0">
        <w:t xml:space="preserve"> unteachable. Hodge (2013) also reflects how the use of empathy as a necessary condition can be seen as l</w:t>
      </w:r>
      <w:r w:rsidR="00F22DF6">
        <w:t>imiting</w:t>
      </w:r>
      <w:r w:rsidRPr="007F05C0">
        <w:t xml:space="preserve"> to clients who are not neurotypical, specifically </w:t>
      </w:r>
      <w:r w:rsidR="004D3C3E">
        <w:t>focusing</w:t>
      </w:r>
      <w:r w:rsidRPr="007F05C0">
        <w:t xml:space="preserve"> on autistic clients who may have issues with empathy. Goodley (2011, </w:t>
      </w:r>
      <w:r w:rsidRPr="00F22DF6">
        <w:rPr>
          <w:i/>
          <w:iCs/>
        </w:rPr>
        <w:t>as cited by Hodge, 2013</w:t>
      </w:r>
      <w:r w:rsidRPr="007F05C0">
        <w:t>) reflect that it is needed for counsellors to hold the client’s perspective over the societal perspective to fully empathise with these clients. The condition of unconditional positive regard through the use of non-judgement with more diverse clients (</w:t>
      </w:r>
      <w:proofErr w:type="spellStart"/>
      <w:r w:rsidRPr="007F05C0">
        <w:t>Paré</w:t>
      </w:r>
      <w:proofErr w:type="spellEnd"/>
      <w:r w:rsidRPr="007F05C0">
        <w:t xml:space="preserve">, 2013., </w:t>
      </w:r>
      <w:r w:rsidRPr="00F22DF6">
        <w:rPr>
          <w:i/>
          <w:iCs/>
        </w:rPr>
        <w:t>as cited by, Dixon &amp; Chiang, 2019</w:t>
      </w:r>
      <w:r w:rsidRPr="007F05C0">
        <w:t xml:space="preserve">). The reflexive method of reflecting during a session is argued further by Collins et al. (2010, </w:t>
      </w:r>
      <w:r w:rsidRPr="00F22DF6">
        <w:rPr>
          <w:i/>
          <w:iCs/>
        </w:rPr>
        <w:t>as cited by, Dixon &amp; Chiang, 2019</w:t>
      </w:r>
      <w:r w:rsidRPr="007F05C0">
        <w:t>) to be aware of keeping culturally appropriate exchanges with the client. Crisp (2011) reflects that the use of congruence can be used in real-world situations through the implications for counsellors to be genuine with themselves of their prejudices, stereotypes, and attitudes which need to be explored</w:t>
      </w:r>
      <w:r w:rsidR="00F22DF6">
        <w:t xml:space="preserve"> and challenged</w:t>
      </w:r>
      <w:r w:rsidRPr="007F05C0">
        <w:t>. Crisp (2011) further explores that due to the influences of stereotypes people can be conditioned to</w:t>
      </w:r>
      <w:r w:rsidR="00FC39EC">
        <w:t>,</w:t>
      </w:r>
      <w:r w:rsidRPr="007F05C0">
        <w:t xml:space="preserve"> through culture or the media, etc, the use of congruence is necessary to reflect and challenge these attitudes</w:t>
      </w:r>
      <w:r w:rsidR="00FC39EC">
        <w:t>. This aids</w:t>
      </w:r>
      <w:r w:rsidRPr="007F05C0">
        <w:t xml:space="preserve"> to prevent possible micro-aggressions or prejudice against clients of different cultures, disabilities, </w:t>
      </w:r>
      <w:r w:rsidRPr="007F05C0">
        <w:lastRenderedPageBreak/>
        <w:t xml:space="preserve">genders, sexualities or race (Crisp, 2011). Additionally, congruence will also allow for regulation of the counsellor’s development of their </w:t>
      </w:r>
      <w:r w:rsidR="00FC39EC">
        <w:t xml:space="preserve">own </w:t>
      </w:r>
      <w:r w:rsidRPr="007F05C0">
        <w:t>knowledge of issues surrounding</w:t>
      </w:r>
      <w:r w:rsidR="00FC39EC">
        <w:t xml:space="preserve"> further </w:t>
      </w:r>
      <w:r w:rsidRPr="007F05C0">
        <w:t xml:space="preserve">issues </w:t>
      </w:r>
      <w:r w:rsidR="00FC39EC">
        <w:t>such as</w:t>
      </w:r>
      <w:r w:rsidRPr="007F05C0">
        <w:t xml:space="preserve"> current cultural climates, policies, and socio-economic influences which can affect the therapeutic relationship (Collins et al., 2010, </w:t>
      </w:r>
      <w:r w:rsidRPr="00F22DF6">
        <w:rPr>
          <w:i/>
          <w:iCs/>
        </w:rPr>
        <w:t>as cited by Crisp, 2011</w:t>
      </w:r>
      <w:r w:rsidRPr="007F05C0">
        <w:t>).</w:t>
      </w:r>
    </w:p>
    <w:p w14:paraId="22333473" w14:textId="77777777" w:rsidR="007F05C0" w:rsidRPr="007F05C0" w:rsidRDefault="007F05C0" w:rsidP="007F05C0">
      <w:pPr>
        <w:spacing w:line="360" w:lineRule="auto"/>
      </w:pPr>
    </w:p>
    <w:p w14:paraId="216FE430" w14:textId="77777777" w:rsidR="007F05C0" w:rsidRPr="007F05C0" w:rsidRDefault="007F05C0" w:rsidP="007F05C0">
      <w:pPr>
        <w:spacing w:line="360" w:lineRule="auto"/>
      </w:pPr>
    </w:p>
    <w:p w14:paraId="5C91D90E" w14:textId="3DB62716" w:rsidR="007F05C0" w:rsidRPr="007F05C0" w:rsidRDefault="007F05C0" w:rsidP="007F05C0">
      <w:pPr>
        <w:spacing w:line="360" w:lineRule="auto"/>
      </w:pPr>
      <w:r w:rsidRPr="007F05C0">
        <w:t>The element of therapeutic self-care is very important due to the possible impacts</w:t>
      </w:r>
      <w:r w:rsidR="006375D4">
        <w:t xml:space="preserve"> being a counsellor has on </w:t>
      </w:r>
      <w:r w:rsidRPr="007F05C0">
        <w:t xml:space="preserve">phycological and physical health due to occupational stress (Sowa, May &amp; Niles, 1994-09). Researchers have previously commented about the particular stress created through occupations which revolve around proving </w:t>
      </w:r>
      <w:r w:rsidR="00C77917">
        <w:t xml:space="preserve">someone </w:t>
      </w:r>
      <w:r w:rsidRPr="007F05C0">
        <w:t>a service (</w:t>
      </w:r>
      <w:proofErr w:type="spellStart"/>
      <w:r w:rsidRPr="007F05C0">
        <w:t>Stickel</w:t>
      </w:r>
      <w:proofErr w:type="spellEnd"/>
      <w:r w:rsidRPr="007F05C0">
        <w:t xml:space="preserve">, 1991; May &amp; Sowa, 1992., </w:t>
      </w:r>
      <w:r w:rsidRPr="00F22DF6">
        <w:rPr>
          <w:i/>
          <w:iCs/>
        </w:rPr>
        <w:t>as cited by Sowa, et al., 1994-09</w:t>
      </w:r>
      <w:r w:rsidRPr="007F05C0">
        <w:t xml:space="preserve">). Friedman (2017) more recently reflected on the elements of burnout, and the impact of self-care, specifically through the use of mindfulness. Burnout can occur through the occupation of counsellor due to elements such as compassion fatigue and </w:t>
      </w:r>
      <w:r w:rsidR="00C77917">
        <w:t>even</w:t>
      </w:r>
      <w:r w:rsidRPr="007F05C0">
        <w:t xml:space="preserve"> Secondary Traumatic Stress Disorder (STSD) if their needs are placed second to the clients (Friedman, 2017). Weiss (2004., </w:t>
      </w:r>
      <w:r w:rsidRPr="00F22DF6">
        <w:rPr>
          <w:i/>
          <w:iCs/>
        </w:rPr>
        <w:t>as cited by Friedman, 2017</w:t>
      </w:r>
      <w:r w:rsidRPr="007F05C0">
        <w:t xml:space="preserve">) defines burnout more specifically as mental and physical exhaustion which can include elements of depersonalisation and feeling a uselessness that occurs after overworking. This differs from compassion fatigue which Figley (2002., </w:t>
      </w:r>
      <w:r w:rsidRPr="00F22DF6">
        <w:rPr>
          <w:i/>
          <w:iCs/>
        </w:rPr>
        <w:t>as cited by Friedman, 2017</w:t>
      </w:r>
      <w:r w:rsidRPr="007F05C0">
        <w:t xml:space="preserve">) defines as burnout specifically from working with clients who have trauma and is described as a lessened ability or lessened desire to feel empathetic towards others. The dangers of burnout can also affect the client through potential mistakes made, a lack of efficiency and implications such as a lack of honesty with a supervisor (Fulton &amp; Cashwell, 2015., </w:t>
      </w:r>
      <w:r w:rsidRPr="00F22DF6">
        <w:rPr>
          <w:i/>
          <w:iCs/>
        </w:rPr>
        <w:t>as cited by Friedman, 2017</w:t>
      </w:r>
      <w:r w:rsidRPr="007F05C0">
        <w:t>). Therefore, it is important to reflect on the necessary use of self-care which Friedman (2017) defines as keeping a balance using holistic practices through focusing on physical, emotional, mental and spiritual needs.</w:t>
      </w:r>
    </w:p>
    <w:p w14:paraId="6240E332" w14:textId="77777777" w:rsidR="007F05C0" w:rsidRPr="007F05C0" w:rsidRDefault="007F05C0" w:rsidP="007F05C0">
      <w:pPr>
        <w:spacing w:line="360" w:lineRule="auto"/>
      </w:pPr>
    </w:p>
    <w:p w14:paraId="6E58F1B1" w14:textId="77777777" w:rsidR="007F05C0" w:rsidRPr="007F05C0" w:rsidRDefault="007F05C0" w:rsidP="007F05C0">
      <w:pPr>
        <w:spacing w:line="360" w:lineRule="auto"/>
      </w:pPr>
    </w:p>
    <w:p w14:paraId="653D0F28" w14:textId="77915D1B" w:rsidR="007F05C0" w:rsidRPr="007F05C0" w:rsidRDefault="007F05C0" w:rsidP="007F05C0">
      <w:pPr>
        <w:spacing w:line="360" w:lineRule="auto"/>
      </w:pPr>
      <w:r w:rsidRPr="007F05C0">
        <w:t xml:space="preserve">The use and practice of self-care can be seen through the counsellor’s application of Rogers core conditions to themselves to better their work as a counsellor but also </w:t>
      </w:r>
      <w:r w:rsidR="00C77917">
        <w:t xml:space="preserve">to </w:t>
      </w:r>
      <w:r w:rsidRPr="007F05C0">
        <w:t xml:space="preserve">protect themselves from burnout. The use of empathy through therapeutic self-care could also be used to create boundaries (Green, 2010). This </w:t>
      </w:r>
      <w:r w:rsidR="00C77917">
        <w:t>is</w:t>
      </w:r>
      <w:r w:rsidRPr="007F05C0">
        <w:t xml:space="preserve"> through empathy requiring the therapist to connect </w:t>
      </w:r>
      <w:r w:rsidR="00C77917">
        <w:t>with</w:t>
      </w:r>
      <w:r w:rsidRPr="007F05C0">
        <w:t xml:space="preserve"> their own emotions to relate to the client, therefore, in this connection to their </w:t>
      </w:r>
      <w:r w:rsidR="00C77917">
        <w:t xml:space="preserve">own </w:t>
      </w:r>
      <w:r w:rsidRPr="007F05C0">
        <w:t>feelings, boundaries can be created</w:t>
      </w:r>
      <w:r w:rsidR="00C77917">
        <w:t xml:space="preserve"> </w:t>
      </w:r>
      <w:r w:rsidR="00C77917" w:rsidRPr="007F05C0">
        <w:t>(Green, 2010).</w:t>
      </w:r>
      <w:r w:rsidR="00C77917">
        <w:t xml:space="preserve"> This can aid in</w:t>
      </w:r>
      <w:r w:rsidRPr="007F05C0">
        <w:t xml:space="preserve"> prevent</w:t>
      </w:r>
      <w:r w:rsidR="00C77917">
        <w:t>ing</w:t>
      </w:r>
      <w:r w:rsidRPr="007F05C0">
        <w:t xml:space="preserve"> feelings of burn-out or taking on the client’s feelings as their own (Green, 2010). The use of empathy </w:t>
      </w:r>
      <w:r w:rsidR="00F53B8A">
        <w:t>on</w:t>
      </w:r>
      <w:r w:rsidRPr="007F05C0">
        <w:t xml:space="preserve"> </w:t>
      </w:r>
      <w:r w:rsidRPr="007F05C0">
        <w:lastRenderedPageBreak/>
        <w:t xml:space="preserve">the counsellor themselves allows for an understanding of when the counsellor needs further support through personal therapy, for example, and can be regulated from a supervisor (Green, 2010). Later, Friedman (2017) reflected on the use of empathy through self-compassion. Self-compassion is defined as being kind and honest to oneself through spiritual awareness and holding ethical professionalism (Buchanan &amp; </w:t>
      </w:r>
      <w:proofErr w:type="spellStart"/>
      <w:r w:rsidRPr="007F05C0">
        <w:t>Patsiopoulos</w:t>
      </w:r>
      <w:proofErr w:type="spellEnd"/>
      <w:r w:rsidRPr="007F05C0">
        <w:t xml:space="preserve">, 2011., </w:t>
      </w:r>
      <w:r w:rsidRPr="00F22DF6">
        <w:rPr>
          <w:i/>
          <w:iCs/>
        </w:rPr>
        <w:t>as cited by Friedman, 2017</w:t>
      </w:r>
      <w:r w:rsidRPr="007F05C0">
        <w:t xml:space="preserve">; Barton, 2019). Green (2010) reflects how the condition of unconditional positive regard can also be connected with self- shown through the care of the counsellors’ well-being as well as their clients as the counsellor can model the respect the client should also hold for themselves. </w:t>
      </w:r>
    </w:p>
    <w:p w14:paraId="727B551C" w14:textId="77777777" w:rsidR="007F05C0" w:rsidRPr="007F05C0" w:rsidRDefault="007F05C0" w:rsidP="007F05C0">
      <w:pPr>
        <w:spacing w:line="360" w:lineRule="auto"/>
      </w:pPr>
    </w:p>
    <w:p w14:paraId="007CFC60" w14:textId="77777777" w:rsidR="007F05C0" w:rsidRPr="007F05C0" w:rsidRDefault="007F05C0" w:rsidP="007F05C0">
      <w:pPr>
        <w:spacing w:line="360" w:lineRule="auto"/>
      </w:pPr>
    </w:p>
    <w:p w14:paraId="55EAA340" w14:textId="01F3A9A2" w:rsidR="007F05C0" w:rsidRPr="007F05C0" w:rsidRDefault="007F05C0" w:rsidP="007F05C0">
      <w:pPr>
        <w:spacing w:line="360" w:lineRule="auto"/>
      </w:pPr>
      <w:r w:rsidRPr="007F05C0">
        <w:t xml:space="preserve">Mindfulness can lead to the non-judgement over the counsellor’s thoughts and therefore show unconditional positive regard to themselves (Friedman, 2017; Barton, 2019). Mindfulness is defined by Kabat-Zinn (1990., </w:t>
      </w:r>
      <w:r w:rsidRPr="00F22DF6">
        <w:rPr>
          <w:i/>
          <w:iCs/>
        </w:rPr>
        <w:t>as cited by Friedman, 2017</w:t>
      </w:r>
      <w:r w:rsidRPr="007F05C0">
        <w:t>) as a non-judgment consciousness of each moment without connecting meaning to what is being noticed by tuning out to continuous thought to be present in the moment. This encourages an awareness of thought without regulating or dismissing what occurs which has said to be useful in the reduction of anxiety, depression and other mood disorders (</w:t>
      </w:r>
      <w:proofErr w:type="spellStart"/>
      <w:r w:rsidRPr="007F05C0">
        <w:t>Biegel</w:t>
      </w:r>
      <w:proofErr w:type="spellEnd"/>
      <w:r w:rsidRPr="007F05C0">
        <w:t xml:space="preserve">, Brown, &amp; Shapiro, 2007., </w:t>
      </w:r>
      <w:r w:rsidRPr="00F22DF6">
        <w:rPr>
          <w:i/>
          <w:iCs/>
        </w:rPr>
        <w:t>as cited by Friedman, 2017</w:t>
      </w:r>
      <w:r w:rsidRPr="007F05C0">
        <w:t xml:space="preserve">). When applied to counsellors, mindfulness has been beneficial through increasing empathy (Fulton &amp; Cashwell, 2015., </w:t>
      </w:r>
      <w:r w:rsidRPr="00F22DF6">
        <w:rPr>
          <w:i/>
          <w:iCs/>
        </w:rPr>
        <w:t>as cited by Friedman, 2017</w:t>
      </w:r>
      <w:r w:rsidRPr="007F05C0">
        <w:t>)</w:t>
      </w:r>
      <w:r w:rsidR="00F53B8A">
        <w:t xml:space="preserve"> and</w:t>
      </w:r>
      <w:r w:rsidRPr="007F05C0">
        <w:t xml:space="preserve"> improving cognitive flexibility (</w:t>
      </w:r>
      <w:proofErr w:type="spellStart"/>
      <w:r w:rsidRPr="007F05C0">
        <w:t>Leppma</w:t>
      </w:r>
      <w:proofErr w:type="spellEnd"/>
      <w:r w:rsidRPr="007F05C0">
        <w:t xml:space="preserve"> &amp; Young, 2016., </w:t>
      </w:r>
      <w:r w:rsidRPr="00F22DF6">
        <w:rPr>
          <w:i/>
          <w:iCs/>
        </w:rPr>
        <w:t>as cited by Friedman, 2017</w:t>
      </w:r>
      <w:r w:rsidRPr="007F05C0">
        <w:t>)</w:t>
      </w:r>
      <w:r w:rsidR="00F53B8A">
        <w:t>. It can also aid in</w:t>
      </w:r>
      <w:r w:rsidRPr="007F05C0">
        <w:t xml:space="preserve"> enhancing tolerance for handling difficult emotions (Christopher &amp; Maris, 2010., </w:t>
      </w:r>
      <w:r w:rsidRPr="00F22DF6">
        <w:rPr>
          <w:i/>
          <w:iCs/>
        </w:rPr>
        <w:t>as cited by Friedman, 2017</w:t>
      </w:r>
      <w:r w:rsidRPr="007F05C0">
        <w:t>) and by helping counsellors reduce personal responsibility of ‘fixing’ a client</w:t>
      </w:r>
      <w:r w:rsidR="00D438A9">
        <w:t xml:space="preserve">. This </w:t>
      </w:r>
      <w:r w:rsidRPr="007F05C0">
        <w:t>therefore allo</w:t>
      </w:r>
      <w:r w:rsidR="00D438A9">
        <w:t>ws</w:t>
      </w:r>
      <w:r w:rsidRPr="007F05C0">
        <w:t xml:space="preserve"> more focus on being present in the relationship (Shin, 2010., </w:t>
      </w:r>
      <w:r w:rsidRPr="00F22DF6">
        <w:rPr>
          <w:i/>
          <w:iCs/>
        </w:rPr>
        <w:t>as cited by Friedman, 2017</w:t>
      </w:r>
      <w:r w:rsidRPr="007F05C0">
        <w:t xml:space="preserve">). Finally, the use of congruence can also be used through this idea of the counsellor being genuine and honest with themself. This can be seen through the use of self-regulation as Miller and Sprang (2016., </w:t>
      </w:r>
      <w:r w:rsidRPr="00F22DF6">
        <w:rPr>
          <w:i/>
          <w:iCs/>
        </w:rPr>
        <w:t>as cited by Friedman, 2017</w:t>
      </w:r>
      <w:r w:rsidRPr="007F05C0">
        <w:t>; Barton, 2019) linked compassion fatigue with the avoidance of any feelings that working with a trauma client may bring up. They, therefore, suggested the full acceptance and recognition of these feelings can prevent the counsellor from being overwhelmed by their own situation that it causes issues with providing congruence to the client (Friedman, 2017).</w:t>
      </w:r>
    </w:p>
    <w:p w14:paraId="2585A6D1" w14:textId="77777777" w:rsidR="007F05C0" w:rsidRPr="007F05C0" w:rsidRDefault="007F05C0" w:rsidP="007F05C0">
      <w:pPr>
        <w:spacing w:line="360" w:lineRule="auto"/>
      </w:pPr>
    </w:p>
    <w:p w14:paraId="135D79B1" w14:textId="77777777" w:rsidR="007F05C0" w:rsidRPr="007F05C0" w:rsidRDefault="007F05C0" w:rsidP="007F05C0">
      <w:pPr>
        <w:spacing w:line="360" w:lineRule="auto"/>
      </w:pPr>
    </w:p>
    <w:p w14:paraId="04124602" w14:textId="3E83B136" w:rsidR="007F05C0" w:rsidRPr="007F05C0" w:rsidRDefault="007F05C0" w:rsidP="007F05C0">
      <w:pPr>
        <w:spacing w:line="360" w:lineRule="auto"/>
      </w:pPr>
      <w:r w:rsidRPr="007F05C0">
        <w:lastRenderedPageBreak/>
        <w:t>Midwinter and Dickson (2015) define the difference between reflective and reflexive practice as reflective being the challenging and consideration of the counsellor’s thoughts, actions and experiences to improve their skills. In comparison, reflexive practise is defined as a consideration of the counsellors’ skills and methods</w:t>
      </w:r>
      <w:r w:rsidR="00A849A7">
        <w:t xml:space="preserve"> in order</w:t>
      </w:r>
      <w:r w:rsidRPr="007F05C0">
        <w:t xml:space="preserve"> to apply a self-assessment </w:t>
      </w:r>
      <w:r w:rsidR="00A849A7">
        <w:t>of choices being made</w:t>
      </w:r>
      <w:r w:rsidRPr="007F05C0">
        <w:t xml:space="preserve"> in the situation as it is happening (Midwinter &amp; Dickson, 2015). McLeod (2007) also further describes reflexivity as the awareness of the counsellor’s position in the therapeutic relationship which builds an effective and progressive relationship. Techniques such as reflective/reflexive writing encourages personal development of the counsellor’s skills through using models such as the Johari Window (</w:t>
      </w:r>
      <w:proofErr w:type="spellStart"/>
      <w:r w:rsidRPr="007F05C0">
        <w:t>Luft</w:t>
      </w:r>
      <w:proofErr w:type="spellEnd"/>
      <w:r w:rsidRPr="007F05C0">
        <w:t xml:space="preserve"> &amp; </w:t>
      </w:r>
      <w:proofErr w:type="spellStart"/>
      <w:r w:rsidRPr="007F05C0">
        <w:t>Ingham</w:t>
      </w:r>
      <w:proofErr w:type="spellEnd"/>
      <w:r w:rsidRPr="007F05C0">
        <w:t>, 1961) which considered four elements. These elements consisted of being known to self, not known to self, known to others and not known to other with each of these elements combining to results in different areas, such as the ‘blind’ area compared to the ‘area of unknown’ (</w:t>
      </w:r>
      <w:proofErr w:type="spellStart"/>
      <w:r w:rsidRPr="007F05C0">
        <w:t>Luft</w:t>
      </w:r>
      <w:proofErr w:type="spellEnd"/>
      <w:r w:rsidRPr="007F05C0">
        <w:t xml:space="preserve"> &amp; </w:t>
      </w:r>
      <w:proofErr w:type="spellStart"/>
      <w:r w:rsidRPr="007F05C0">
        <w:t>Ingham</w:t>
      </w:r>
      <w:proofErr w:type="spellEnd"/>
      <w:r w:rsidRPr="007F05C0">
        <w:t xml:space="preserve">, 1961). This model allows for a reflection on awareness in relationships and can be used by counsellors </w:t>
      </w:r>
      <w:r w:rsidR="003E24D9">
        <w:t>to consider</w:t>
      </w:r>
      <w:r w:rsidRPr="007F05C0">
        <w:t xml:space="preserve"> what </w:t>
      </w:r>
      <w:r w:rsidR="003E24D9">
        <w:t xml:space="preserve">other </w:t>
      </w:r>
      <w:r w:rsidRPr="007F05C0">
        <w:t xml:space="preserve">people </w:t>
      </w:r>
      <w:r w:rsidR="003E24D9">
        <w:t>understand</w:t>
      </w:r>
      <w:r w:rsidRPr="007F05C0">
        <w:t xml:space="preserve"> about </w:t>
      </w:r>
      <w:r w:rsidR="003E24D9">
        <w:t xml:space="preserve">them, </w:t>
      </w:r>
      <w:r w:rsidRPr="007F05C0">
        <w:t xml:space="preserve">what </w:t>
      </w:r>
      <w:r w:rsidR="003E24D9">
        <w:t>they</w:t>
      </w:r>
      <w:r w:rsidRPr="007F05C0">
        <w:t xml:space="preserve"> understand about </w:t>
      </w:r>
      <w:r w:rsidR="003E24D9">
        <w:t>themselves</w:t>
      </w:r>
      <w:r w:rsidRPr="007F05C0">
        <w:t xml:space="preserve"> and how </w:t>
      </w:r>
      <w:r w:rsidR="003E24D9">
        <w:t>this impacts how they</w:t>
      </w:r>
      <w:r w:rsidRPr="007F05C0">
        <w:t xml:space="preserve"> engage </w:t>
      </w:r>
      <w:r w:rsidR="003E24D9">
        <w:t>with</w:t>
      </w:r>
      <w:r w:rsidRPr="007F05C0">
        <w:t xml:space="preserve"> their clients (</w:t>
      </w:r>
      <w:proofErr w:type="spellStart"/>
      <w:r w:rsidRPr="007F05C0">
        <w:t>Luft</w:t>
      </w:r>
      <w:proofErr w:type="spellEnd"/>
      <w:r w:rsidRPr="007F05C0">
        <w:t xml:space="preserve"> &amp; </w:t>
      </w:r>
      <w:proofErr w:type="spellStart"/>
      <w:r w:rsidRPr="007F05C0">
        <w:t>Ingham</w:t>
      </w:r>
      <w:proofErr w:type="spellEnd"/>
      <w:r w:rsidRPr="007F05C0">
        <w:t xml:space="preserve">, 1961; Dixon &amp; Chiang, 2019). Additionally, reflective writing can aid counsellors in their practice by applying the core conditions into their reflections. The use of reflection journaling allows for unconditional positive regard and congruence through allowing the counsellor to be honest </w:t>
      </w:r>
      <w:r w:rsidR="003E24D9" w:rsidRPr="007F05C0">
        <w:t xml:space="preserve">and non-judgemental </w:t>
      </w:r>
      <w:r w:rsidRPr="007F05C0">
        <w:t xml:space="preserve">with themselves </w:t>
      </w:r>
      <w:r w:rsidR="003E24D9">
        <w:t>when evaluating</w:t>
      </w:r>
      <w:r w:rsidRPr="007F05C0">
        <w:t xml:space="preserve"> their emotions or skills (Utley &amp; Garza, 2011; Sackett, &amp; </w:t>
      </w:r>
      <w:proofErr w:type="spellStart"/>
      <w:r w:rsidRPr="007F05C0">
        <w:t>McKeeman</w:t>
      </w:r>
      <w:proofErr w:type="spellEnd"/>
      <w:r w:rsidRPr="007F05C0">
        <w:t>, 2017). Empathy is also useful through the reflexive to practise as it allows for the counsellor to understand their challenges and not hold onto negative feelings if they make a mistake (Etherington, 2017).</w:t>
      </w:r>
    </w:p>
    <w:p w14:paraId="4C1471E0" w14:textId="77777777" w:rsidR="007F05C0" w:rsidRPr="007F05C0" w:rsidRDefault="007F05C0" w:rsidP="007F05C0">
      <w:pPr>
        <w:spacing w:line="360" w:lineRule="auto"/>
      </w:pPr>
    </w:p>
    <w:p w14:paraId="47616C3A" w14:textId="77777777" w:rsidR="007F05C0" w:rsidRPr="007F05C0" w:rsidRDefault="007F05C0" w:rsidP="007F05C0">
      <w:pPr>
        <w:spacing w:line="360" w:lineRule="auto"/>
      </w:pPr>
    </w:p>
    <w:p w14:paraId="690D314E" w14:textId="5A059CA2" w:rsidR="00FE0553" w:rsidRPr="00C814A6" w:rsidRDefault="007F05C0" w:rsidP="007F05C0">
      <w:pPr>
        <w:spacing w:line="360" w:lineRule="auto"/>
        <w:rPr>
          <w:rFonts w:cstheme="minorHAnsi"/>
          <w:color w:val="00B0F0"/>
        </w:rPr>
      </w:pPr>
      <w:r w:rsidRPr="007F05C0">
        <w:t xml:space="preserve">To conclude, when considering the range of contexts in which the core conditions play a role, there have been many arguments on </w:t>
      </w:r>
      <w:r w:rsidR="00BE2DBC">
        <w:t>the necessity and relevancy of them</w:t>
      </w:r>
      <w:r w:rsidRPr="007F05C0">
        <w:t xml:space="preserve">. The use of core conditions through the therapeutic relationship </w:t>
      </w:r>
      <w:r w:rsidR="00BE2DBC">
        <w:t>has argued to build</w:t>
      </w:r>
      <w:r w:rsidRPr="007F05C0">
        <w:t xml:space="preserve"> a strong foundation for trust, openness and healing to take place</w:t>
      </w:r>
      <w:r w:rsidR="00BE2DBC">
        <w:t xml:space="preserve"> (</w:t>
      </w:r>
      <w:r w:rsidR="00BE2DBC" w:rsidRPr="007F05C0">
        <w:t>Midwinter &amp; Dickson, 2015</w:t>
      </w:r>
      <w:r w:rsidR="00BE2DBC">
        <w:t>)</w:t>
      </w:r>
      <w:r w:rsidRPr="007F05C0">
        <w:t xml:space="preserve">. The use of self-care is also seen to be important to prevent issues of burnout and occupational stress </w:t>
      </w:r>
      <w:r w:rsidR="00BE2DBC">
        <w:t>(</w:t>
      </w:r>
      <w:r w:rsidR="00BE2DBC" w:rsidRPr="007F05C0">
        <w:t>Friedman, 2017</w:t>
      </w:r>
      <w:r w:rsidR="00BE2DBC">
        <w:t>). T</w:t>
      </w:r>
      <w:r w:rsidRPr="007F05C0">
        <w:t xml:space="preserve">he uses of reflective and reflexive practise </w:t>
      </w:r>
      <w:r w:rsidR="00BE2DBC">
        <w:t>have also been explored in</w:t>
      </w:r>
      <w:r w:rsidRPr="007F05C0">
        <w:t xml:space="preserve"> allow</w:t>
      </w:r>
      <w:r w:rsidR="00BE2DBC">
        <w:t>ing</w:t>
      </w:r>
      <w:r w:rsidRPr="007F05C0">
        <w:t xml:space="preserve"> the counsellor to use the core conditions to improve their skills and emotionally connect to their </w:t>
      </w:r>
      <w:r w:rsidRPr="00BE2DBC">
        <w:t>own needs</w:t>
      </w:r>
      <w:r w:rsidR="00BE2DBC" w:rsidRPr="00BE2DBC">
        <w:t xml:space="preserve"> (</w:t>
      </w:r>
      <w:r w:rsidR="00BE2DBC" w:rsidRPr="00BE2DBC">
        <w:t>Goldman, 2017</w:t>
      </w:r>
      <w:r w:rsidR="00BE2DBC" w:rsidRPr="00BE2DBC">
        <w:t>)</w:t>
      </w:r>
      <w:r w:rsidRPr="00BE2DBC">
        <w:t>.</w:t>
      </w:r>
      <w:r w:rsidRPr="007F05C0">
        <w:t xml:space="preserve"> However, there are issues around the core conditions, such as possible limitations around certain types of clients and understanding the client’s own bias and prejudice which needs to be </w:t>
      </w:r>
      <w:r w:rsidRPr="00BE2DBC">
        <w:t>addressed</w:t>
      </w:r>
      <w:r w:rsidR="00BE2DBC" w:rsidRPr="00BE2DBC">
        <w:t xml:space="preserve"> (</w:t>
      </w:r>
      <w:r w:rsidR="00BE2DBC" w:rsidRPr="00BE2DBC">
        <w:t>Crisp, 2011</w:t>
      </w:r>
      <w:r w:rsidR="00BE2DBC" w:rsidRPr="00BE2DBC">
        <w:t>)</w:t>
      </w:r>
      <w:r w:rsidRPr="00BE2DBC">
        <w:t>.</w:t>
      </w:r>
      <w:r w:rsidRPr="007F05C0">
        <w:t xml:space="preserve"> Further consideration could look </w:t>
      </w:r>
      <w:r w:rsidRPr="007F05C0">
        <w:lastRenderedPageBreak/>
        <w:t>into these specific issues such as autistic counsellors and cultural bias and if the three suggested core conditions are still sufficient in these contexts</w:t>
      </w:r>
      <w:r w:rsidR="00BE2DBC">
        <w:t xml:space="preserve"> (Green, 2010)</w:t>
      </w:r>
      <w:r w:rsidRPr="007F05C0">
        <w:t>.</w:t>
      </w:r>
      <w:r w:rsidRPr="007F05C0">
        <w:rPr>
          <w:rFonts w:ascii="Arial" w:hAnsi="Arial" w:cs="Arial"/>
        </w:rPr>
        <w:t xml:space="preserve"> </w:t>
      </w:r>
      <w:r w:rsidR="00227704" w:rsidRPr="00C814A6">
        <w:rPr>
          <w:rFonts w:ascii="Arial" w:hAnsi="Arial" w:cs="Arial"/>
        </w:rPr>
        <w:br w:type="page"/>
      </w:r>
    </w:p>
    <w:p w14:paraId="60FC2597" w14:textId="64FA9EB2" w:rsidR="0095642D" w:rsidRPr="00C814A6" w:rsidRDefault="00E41C21" w:rsidP="00B73372">
      <w:pPr>
        <w:rPr>
          <w:u w:val="single"/>
        </w:rPr>
      </w:pPr>
      <w:r w:rsidRPr="00C814A6">
        <w:rPr>
          <w:u w:val="single"/>
        </w:rPr>
        <w:lastRenderedPageBreak/>
        <w:t>Reference List:</w:t>
      </w:r>
    </w:p>
    <w:p w14:paraId="7DA71230" w14:textId="77777777" w:rsidR="00307EA0" w:rsidRPr="00256C30" w:rsidRDefault="00307EA0" w:rsidP="00B73372">
      <w:pPr>
        <w:rPr>
          <w:sz w:val="20"/>
          <w:szCs w:val="20"/>
        </w:rPr>
      </w:pPr>
    </w:p>
    <w:p w14:paraId="55A02E14" w14:textId="33D08DEA" w:rsidR="00F62163" w:rsidRPr="00C814A6" w:rsidRDefault="00F62163" w:rsidP="00C814A6">
      <w:pPr>
        <w:snapToGrid w:val="0"/>
        <w:spacing w:line="360" w:lineRule="auto"/>
        <w:ind w:hanging="720"/>
        <w:mirrorIndents/>
        <w:rPr>
          <w:rFonts w:eastAsiaTheme="minorHAnsi"/>
          <w:lang w:eastAsia="en-US"/>
        </w:rPr>
      </w:pPr>
      <w:r w:rsidRPr="00C814A6">
        <w:rPr>
          <w:rFonts w:eastAsiaTheme="minorHAnsi"/>
          <w:lang w:eastAsia="en-US"/>
        </w:rPr>
        <w:t>Barton, H. (2020). An exploration of the experiences that counsellors have of taking care of their own mental, emotional and spiritual well‐being. </w:t>
      </w:r>
      <w:r w:rsidRPr="00C814A6">
        <w:rPr>
          <w:rFonts w:eastAsiaTheme="minorHAnsi"/>
          <w:i/>
          <w:iCs/>
          <w:lang w:eastAsia="en-US"/>
        </w:rPr>
        <w:t>Counselling and Psychotherapy Research</w:t>
      </w:r>
      <w:r w:rsidRPr="00C814A6">
        <w:rPr>
          <w:rFonts w:eastAsiaTheme="minorHAnsi"/>
          <w:lang w:eastAsia="en-US"/>
        </w:rPr>
        <w:t>, </w:t>
      </w:r>
      <w:r w:rsidRPr="00C814A6">
        <w:rPr>
          <w:rFonts w:eastAsiaTheme="minorHAnsi"/>
          <w:i/>
          <w:iCs/>
          <w:lang w:eastAsia="en-US"/>
        </w:rPr>
        <w:t>20</w:t>
      </w:r>
      <w:r w:rsidRPr="00C814A6">
        <w:rPr>
          <w:rFonts w:eastAsiaTheme="minorHAnsi"/>
          <w:lang w:eastAsia="en-US"/>
        </w:rPr>
        <w:t xml:space="preserve">(3), 516-524. </w:t>
      </w:r>
      <w:hyperlink r:id="rId5" w:history="1">
        <w:r w:rsidRPr="00C814A6">
          <w:rPr>
            <w:rStyle w:val="Hyperlink"/>
            <w:rFonts w:eastAsiaTheme="minorHAnsi"/>
            <w:lang w:eastAsia="en-US"/>
          </w:rPr>
          <w:t>https://doi-org.ezproxy.uwtsd.ac.uk/10.1002/capr.12280</w:t>
        </w:r>
      </w:hyperlink>
      <w:r w:rsidRPr="00C814A6">
        <w:rPr>
          <w:rFonts w:eastAsiaTheme="minorHAnsi"/>
          <w:lang w:eastAsia="en-US"/>
        </w:rPr>
        <w:t xml:space="preserve"> </w:t>
      </w:r>
    </w:p>
    <w:p w14:paraId="62E10B0B" w14:textId="77777777" w:rsidR="00C53BD2" w:rsidRPr="00C814A6" w:rsidRDefault="00C53BD2" w:rsidP="00C814A6">
      <w:pPr>
        <w:pStyle w:val="ListParagraph"/>
        <w:snapToGrid w:val="0"/>
        <w:spacing w:line="360" w:lineRule="auto"/>
        <w:ind w:left="0" w:hanging="720"/>
        <w:contextualSpacing w:val="0"/>
        <w:mirrorIndents/>
        <w:rPr>
          <w:rFonts w:eastAsiaTheme="minorHAnsi"/>
          <w:lang w:eastAsia="en-US"/>
        </w:rPr>
      </w:pPr>
    </w:p>
    <w:p w14:paraId="6B4631EB" w14:textId="59A47470" w:rsidR="00E24825" w:rsidRPr="00C814A6" w:rsidRDefault="00E24825" w:rsidP="00C814A6">
      <w:pPr>
        <w:snapToGrid w:val="0"/>
        <w:spacing w:line="360" w:lineRule="auto"/>
        <w:ind w:hanging="720"/>
        <w:mirrorIndents/>
        <w:rPr>
          <w:rFonts w:eastAsiaTheme="minorHAnsi"/>
          <w:lang w:eastAsia="en-US"/>
        </w:rPr>
      </w:pPr>
      <w:r w:rsidRPr="00C814A6">
        <w:rPr>
          <w:rFonts w:eastAsiaTheme="minorHAnsi"/>
          <w:lang w:eastAsia="en-US"/>
        </w:rPr>
        <w:t>Crisp, R. (2011). Person-Centred Rehabilitation Counselling: Revisiting the Legacy of Carl Rogers. </w:t>
      </w:r>
      <w:r w:rsidRPr="00C814A6">
        <w:rPr>
          <w:rFonts w:eastAsiaTheme="minorHAnsi"/>
          <w:i/>
          <w:iCs/>
          <w:lang w:eastAsia="en-US"/>
        </w:rPr>
        <w:t>The Australian Journal of Rehabilitation Counselling</w:t>
      </w:r>
      <w:r w:rsidRPr="00C814A6">
        <w:rPr>
          <w:rFonts w:eastAsiaTheme="minorHAnsi"/>
          <w:lang w:eastAsia="en-US"/>
        </w:rPr>
        <w:t>, </w:t>
      </w:r>
      <w:r w:rsidRPr="00C814A6">
        <w:rPr>
          <w:rFonts w:eastAsiaTheme="minorHAnsi"/>
          <w:i/>
          <w:iCs/>
          <w:lang w:eastAsia="en-US"/>
        </w:rPr>
        <w:t>17</w:t>
      </w:r>
      <w:r w:rsidRPr="00C814A6">
        <w:rPr>
          <w:rFonts w:eastAsiaTheme="minorHAnsi"/>
          <w:lang w:eastAsia="en-US"/>
        </w:rPr>
        <w:t xml:space="preserve">(1), 26–35. </w:t>
      </w:r>
      <w:hyperlink r:id="rId6" w:history="1">
        <w:r w:rsidRPr="00C814A6">
          <w:rPr>
            <w:rStyle w:val="Hyperlink"/>
            <w:rFonts w:eastAsiaTheme="minorHAnsi"/>
            <w:lang w:eastAsia="en-US"/>
          </w:rPr>
          <w:t>https://doi.org/10.1375/jrc.17.1.26</w:t>
        </w:r>
      </w:hyperlink>
      <w:r w:rsidRPr="00C814A6">
        <w:rPr>
          <w:rFonts w:eastAsiaTheme="minorHAnsi"/>
          <w:lang w:eastAsia="en-US"/>
        </w:rPr>
        <w:t xml:space="preserve"> </w:t>
      </w:r>
    </w:p>
    <w:p w14:paraId="1513CDF3" w14:textId="77777777" w:rsidR="00C53BD2" w:rsidRPr="00C814A6" w:rsidRDefault="00C53BD2" w:rsidP="00C814A6">
      <w:pPr>
        <w:pStyle w:val="ListParagraph"/>
        <w:snapToGrid w:val="0"/>
        <w:spacing w:line="360" w:lineRule="auto"/>
        <w:ind w:left="0" w:hanging="720"/>
        <w:contextualSpacing w:val="0"/>
        <w:mirrorIndents/>
        <w:rPr>
          <w:rFonts w:eastAsiaTheme="minorHAnsi"/>
          <w:lang w:eastAsia="en-US"/>
        </w:rPr>
      </w:pPr>
    </w:p>
    <w:p w14:paraId="3C5E405D" w14:textId="58996FFA" w:rsidR="00DC6F5C" w:rsidRPr="00C814A6" w:rsidRDefault="00DC6F5C" w:rsidP="00C814A6">
      <w:pPr>
        <w:snapToGrid w:val="0"/>
        <w:spacing w:line="360" w:lineRule="auto"/>
        <w:ind w:hanging="720"/>
        <w:mirrorIndents/>
        <w:rPr>
          <w:rStyle w:val="Hyperlink"/>
          <w:rFonts w:eastAsiaTheme="minorHAnsi"/>
          <w:color w:val="auto"/>
          <w:u w:val="none"/>
          <w:lang w:eastAsia="en-US"/>
        </w:rPr>
      </w:pPr>
      <w:r w:rsidRPr="00C814A6">
        <w:rPr>
          <w:rFonts w:eastAsiaTheme="minorHAnsi"/>
          <w:lang w:eastAsia="en-US"/>
        </w:rPr>
        <w:t>Dixon, S.</w:t>
      </w:r>
      <w:r w:rsidR="00C53BD2" w:rsidRPr="00C814A6">
        <w:rPr>
          <w:rFonts w:eastAsiaTheme="minorHAnsi"/>
          <w:lang w:eastAsia="en-US"/>
        </w:rPr>
        <w:t>,</w:t>
      </w:r>
      <w:r w:rsidRPr="00C814A6">
        <w:rPr>
          <w:rFonts w:eastAsiaTheme="minorHAnsi"/>
          <w:lang w:eastAsia="en-US"/>
        </w:rPr>
        <w:t xml:space="preserve"> &amp; Chiang, C</w:t>
      </w:r>
      <w:r w:rsidR="00C53BD2" w:rsidRPr="00C814A6">
        <w:rPr>
          <w:rFonts w:eastAsiaTheme="minorHAnsi"/>
          <w:lang w:eastAsia="en-US"/>
        </w:rPr>
        <w:t xml:space="preserve">, </w:t>
      </w:r>
      <w:r w:rsidRPr="00C814A6">
        <w:rPr>
          <w:rFonts w:eastAsiaTheme="minorHAnsi"/>
          <w:lang w:eastAsia="en-US"/>
        </w:rPr>
        <w:t xml:space="preserve">M. (2019). Promoting reflexivity and reflectivity in counselling, education, and research. Proceedings from the 2018 Canadian Counselling Psychology Conference, 15-31. </w:t>
      </w:r>
      <w:hyperlink r:id="rId7" w:history="1">
        <w:r w:rsidRPr="00C814A6">
          <w:rPr>
            <w:rStyle w:val="Hyperlink"/>
            <w:rFonts w:eastAsiaTheme="minorHAnsi"/>
            <w:lang w:eastAsia="en-US"/>
          </w:rPr>
          <w:t>http://dx.doi.org/10.11575/PRISM/37385</w:t>
        </w:r>
      </w:hyperlink>
    </w:p>
    <w:p w14:paraId="1F75BC83" w14:textId="77777777" w:rsidR="00B92F9D" w:rsidRPr="00C814A6" w:rsidRDefault="00B92F9D" w:rsidP="00C814A6">
      <w:pPr>
        <w:pStyle w:val="ListParagraph"/>
        <w:snapToGrid w:val="0"/>
        <w:spacing w:line="360" w:lineRule="auto"/>
        <w:ind w:left="0" w:hanging="720"/>
        <w:contextualSpacing w:val="0"/>
        <w:mirrorIndents/>
        <w:rPr>
          <w:rStyle w:val="Hyperlink"/>
          <w:rFonts w:eastAsiaTheme="minorHAnsi"/>
          <w:color w:val="auto"/>
          <w:u w:val="none"/>
          <w:lang w:eastAsia="en-US"/>
        </w:rPr>
      </w:pPr>
    </w:p>
    <w:p w14:paraId="1169B5F2" w14:textId="52776135" w:rsidR="00B92F9D" w:rsidRPr="00C814A6" w:rsidRDefault="00B92F9D" w:rsidP="00C814A6">
      <w:pPr>
        <w:snapToGrid w:val="0"/>
        <w:spacing w:line="360" w:lineRule="auto"/>
        <w:ind w:hanging="720"/>
        <w:mirrorIndents/>
        <w:rPr>
          <w:rStyle w:val="Hyperlink"/>
          <w:rFonts w:eastAsiaTheme="minorHAnsi"/>
          <w:color w:val="auto"/>
          <w:u w:val="none"/>
          <w:lang w:eastAsia="en-US"/>
        </w:rPr>
      </w:pPr>
      <w:r w:rsidRPr="00C814A6">
        <w:rPr>
          <w:rFonts w:eastAsiaTheme="minorHAnsi"/>
          <w:lang w:eastAsia="en-US"/>
        </w:rPr>
        <w:t>Etherington, K. (2017). Personal experience and critical reflexivity in counselling and psychotherapy research. </w:t>
      </w:r>
      <w:r w:rsidRPr="00C814A6">
        <w:rPr>
          <w:rFonts w:eastAsiaTheme="minorHAnsi"/>
          <w:i/>
          <w:iCs/>
          <w:lang w:eastAsia="en-US"/>
        </w:rPr>
        <w:t>Counselling and Psychotherapy Research</w:t>
      </w:r>
      <w:r w:rsidRPr="00C814A6">
        <w:rPr>
          <w:rFonts w:eastAsiaTheme="minorHAnsi"/>
          <w:lang w:eastAsia="en-US"/>
        </w:rPr>
        <w:t>, </w:t>
      </w:r>
      <w:r w:rsidRPr="00C814A6">
        <w:rPr>
          <w:rFonts w:eastAsiaTheme="minorHAnsi"/>
          <w:i/>
          <w:iCs/>
          <w:lang w:eastAsia="en-US"/>
        </w:rPr>
        <w:t>17</w:t>
      </w:r>
      <w:r w:rsidRPr="00C814A6">
        <w:rPr>
          <w:rFonts w:eastAsiaTheme="minorHAnsi"/>
          <w:lang w:eastAsia="en-US"/>
        </w:rPr>
        <w:t xml:space="preserve">(2), 85-94. </w:t>
      </w:r>
      <w:hyperlink r:id="rId8" w:history="1">
        <w:r w:rsidRPr="00C814A6">
          <w:rPr>
            <w:rStyle w:val="Hyperlink"/>
            <w:rFonts w:eastAsiaTheme="minorHAnsi"/>
            <w:lang w:eastAsia="en-US"/>
          </w:rPr>
          <w:t>https://doi.org/10.1002/capr.12080</w:t>
        </w:r>
      </w:hyperlink>
    </w:p>
    <w:p w14:paraId="5519CB98" w14:textId="77777777" w:rsidR="00C53BD2" w:rsidRPr="00C814A6" w:rsidRDefault="00C53BD2" w:rsidP="00C814A6">
      <w:pPr>
        <w:pStyle w:val="ListParagraph"/>
        <w:snapToGrid w:val="0"/>
        <w:spacing w:line="360" w:lineRule="auto"/>
        <w:ind w:left="0" w:hanging="720"/>
        <w:contextualSpacing w:val="0"/>
        <w:mirrorIndents/>
        <w:rPr>
          <w:rFonts w:eastAsiaTheme="minorHAnsi"/>
          <w:lang w:eastAsia="en-US"/>
        </w:rPr>
      </w:pPr>
    </w:p>
    <w:p w14:paraId="3733A360" w14:textId="54BC2A23" w:rsidR="007E56F1" w:rsidRPr="00C814A6" w:rsidRDefault="007E56F1" w:rsidP="00C814A6">
      <w:pPr>
        <w:snapToGrid w:val="0"/>
        <w:spacing w:line="360" w:lineRule="auto"/>
        <w:ind w:hanging="720"/>
        <w:mirrorIndents/>
        <w:rPr>
          <w:rFonts w:eastAsiaTheme="minorHAnsi"/>
          <w:lang w:eastAsia="en-US"/>
        </w:rPr>
      </w:pPr>
      <w:r w:rsidRPr="00C814A6">
        <w:rPr>
          <w:rFonts w:eastAsiaTheme="minorHAnsi"/>
          <w:lang w:eastAsia="en-US"/>
        </w:rPr>
        <w:t xml:space="preserve">Friedman, K. (2017). </w:t>
      </w:r>
      <w:r w:rsidR="00425349" w:rsidRPr="00C814A6">
        <w:rPr>
          <w:rFonts w:eastAsiaTheme="minorHAnsi"/>
          <w:lang w:eastAsia="en-US"/>
        </w:rPr>
        <w:t>Counsellor</w:t>
      </w:r>
      <w:r w:rsidRPr="00C814A6">
        <w:rPr>
          <w:rFonts w:eastAsiaTheme="minorHAnsi"/>
          <w:lang w:eastAsia="en-US"/>
        </w:rPr>
        <w:t xml:space="preserve"> Self-care and Mindfulness. </w:t>
      </w:r>
      <w:r w:rsidRPr="00C814A6">
        <w:rPr>
          <w:rFonts w:eastAsiaTheme="minorHAnsi"/>
          <w:i/>
          <w:iCs/>
          <w:lang w:eastAsia="en-US"/>
        </w:rPr>
        <w:t>Contemporary Buddhism</w:t>
      </w:r>
      <w:r w:rsidRPr="00C814A6">
        <w:rPr>
          <w:rFonts w:eastAsiaTheme="minorHAnsi"/>
          <w:lang w:eastAsia="en-US"/>
        </w:rPr>
        <w:t>, </w:t>
      </w:r>
      <w:r w:rsidRPr="00C814A6">
        <w:rPr>
          <w:rFonts w:eastAsiaTheme="minorHAnsi"/>
          <w:i/>
          <w:iCs/>
          <w:lang w:eastAsia="en-US"/>
        </w:rPr>
        <w:t>18</w:t>
      </w:r>
      <w:r w:rsidRPr="00C814A6">
        <w:rPr>
          <w:rFonts w:eastAsiaTheme="minorHAnsi"/>
          <w:lang w:eastAsia="en-US"/>
        </w:rPr>
        <w:t xml:space="preserve">(2), 321–330. </w:t>
      </w:r>
      <w:hyperlink r:id="rId9" w:history="1">
        <w:r w:rsidRPr="00C814A6">
          <w:rPr>
            <w:rStyle w:val="Hyperlink"/>
            <w:rFonts w:eastAsiaTheme="minorHAnsi"/>
            <w:lang w:eastAsia="en-US"/>
          </w:rPr>
          <w:t>https://doi.org/10.1080/14639947.2017.1373437</w:t>
        </w:r>
      </w:hyperlink>
      <w:r w:rsidRPr="00C814A6">
        <w:rPr>
          <w:rFonts w:eastAsiaTheme="minorHAnsi"/>
          <w:lang w:eastAsia="en-US"/>
        </w:rPr>
        <w:t xml:space="preserve"> </w:t>
      </w:r>
    </w:p>
    <w:p w14:paraId="1249392F" w14:textId="77777777" w:rsidR="00C53BD2" w:rsidRPr="00C814A6" w:rsidRDefault="00C53BD2" w:rsidP="00C814A6">
      <w:pPr>
        <w:pStyle w:val="ListParagraph"/>
        <w:snapToGrid w:val="0"/>
        <w:spacing w:line="360" w:lineRule="auto"/>
        <w:ind w:left="0" w:hanging="720"/>
        <w:contextualSpacing w:val="0"/>
        <w:mirrorIndents/>
        <w:rPr>
          <w:rFonts w:eastAsiaTheme="minorHAnsi"/>
          <w:lang w:eastAsia="en-US"/>
        </w:rPr>
      </w:pPr>
    </w:p>
    <w:p w14:paraId="69EF7F6F" w14:textId="58F18D96" w:rsidR="00BF1DA0" w:rsidRPr="00C814A6" w:rsidRDefault="00BF1DA0" w:rsidP="00C814A6">
      <w:pPr>
        <w:snapToGrid w:val="0"/>
        <w:spacing w:line="360" w:lineRule="auto"/>
        <w:ind w:hanging="720"/>
        <w:mirrorIndents/>
        <w:rPr>
          <w:rFonts w:eastAsiaTheme="minorHAnsi"/>
          <w:lang w:eastAsia="en-US"/>
        </w:rPr>
      </w:pPr>
      <w:r w:rsidRPr="00C814A6">
        <w:rPr>
          <w:rFonts w:eastAsiaTheme="minorHAnsi"/>
          <w:lang w:eastAsia="en-US"/>
        </w:rPr>
        <w:t>Geller, S. M., &amp; Greenberg, L. S. (2002). Therapeutic Presence: therapists' experience of presence in the psychotherapy encounter. </w:t>
      </w:r>
      <w:r w:rsidRPr="00C814A6">
        <w:rPr>
          <w:rFonts w:eastAsiaTheme="minorHAnsi"/>
          <w:i/>
          <w:iCs/>
          <w:lang w:eastAsia="en-US"/>
        </w:rPr>
        <w:t>Person-</w:t>
      </w:r>
      <w:proofErr w:type="spellStart"/>
      <w:r w:rsidRPr="00C814A6">
        <w:rPr>
          <w:rFonts w:eastAsiaTheme="minorHAnsi"/>
          <w:i/>
          <w:iCs/>
          <w:lang w:eastAsia="en-US"/>
        </w:rPr>
        <w:t>Centered</w:t>
      </w:r>
      <w:proofErr w:type="spellEnd"/>
      <w:r w:rsidRPr="00C814A6">
        <w:rPr>
          <w:rFonts w:eastAsiaTheme="minorHAnsi"/>
          <w:i/>
          <w:iCs/>
          <w:lang w:eastAsia="en-US"/>
        </w:rPr>
        <w:t xml:space="preserve"> &amp; Experiential Psychotherapies</w:t>
      </w:r>
      <w:r w:rsidRPr="00C814A6">
        <w:rPr>
          <w:rFonts w:eastAsiaTheme="minorHAnsi"/>
          <w:lang w:eastAsia="en-US"/>
        </w:rPr>
        <w:t>, </w:t>
      </w:r>
      <w:r w:rsidRPr="00C814A6">
        <w:rPr>
          <w:rFonts w:eastAsiaTheme="minorHAnsi"/>
          <w:i/>
          <w:iCs/>
          <w:lang w:eastAsia="en-US"/>
        </w:rPr>
        <w:t>1</w:t>
      </w:r>
      <w:r w:rsidRPr="00C814A6">
        <w:rPr>
          <w:rFonts w:eastAsiaTheme="minorHAnsi"/>
          <w:lang w:eastAsia="en-US"/>
        </w:rPr>
        <w:t xml:space="preserve">(1-2), 71-86. </w:t>
      </w:r>
      <w:hyperlink r:id="rId10" w:history="1">
        <w:r w:rsidRPr="00C814A6">
          <w:rPr>
            <w:rStyle w:val="Hyperlink"/>
            <w:rFonts w:eastAsiaTheme="minorHAnsi"/>
            <w:lang w:eastAsia="en-US"/>
          </w:rPr>
          <w:t>https://doi.org/10.1080/14779757.2002.9688279</w:t>
        </w:r>
      </w:hyperlink>
      <w:r w:rsidRPr="00C814A6">
        <w:rPr>
          <w:rFonts w:eastAsiaTheme="minorHAnsi"/>
          <w:lang w:eastAsia="en-US"/>
        </w:rPr>
        <w:t xml:space="preserve"> </w:t>
      </w:r>
    </w:p>
    <w:p w14:paraId="14051D98" w14:textId="77777777" w:rsidR="0090082D" w:rsidRPr="00C814A6" w:rsidRDefault="0090082D" w:rsidP="00C814A6">
      <w:pPr>
        <w:pStyle w:val="ListParagraph"/>
        <w:snapToGrid w:val="0"/>
        <w:spacing w:line="360" w:lineRule="auto"/>
        <w:ind w:left="0" w:hanging="720"/>
        <w:contextualSpacing w:val="0"/>
        <w:mirrorIndents/>
        <w:rPr>
          <w:rFonts w:eastAsiaTheme="minorHAnsi"/>
          <w:lang w:eastAsia="en-US"/>
        </w:rPr>
      </w:pPr>
    </w:p>
    <w:p w14:paraId="45D1931A" w14:textId="3DA654AD" w:rsidR="0090082D" w:rsidRPr="00C814A6" w:rsidRDefault="0090082D" w:rsidP="00C814A6">
      <w:pPr>
        <w:snapToGrid w:val="0"/>
        <w:spacing w:line="360" w:lineRule="auto"/>
        <w:ind w:hanging="720"/>
        <w:mirrorIndents/>
        <w:rPr>
          <w:rFonts w:eastAsiaTheme="minorHAnsi"/>
          <w:lang w:eastAsia="en-US"/>
        </w:rPr>
      </w:pPr>
      <w:proofErr w:type="spellStart"/>
      <w:r w:rsidRPr="00C814A6">
        <w:rPr>
          <w:rFonts w:eastAsiaTheme="minorHAnsi"/>
          <w:lang w:eastAsia="en-US"/>
        </w:rPr>
        <w:t>Gelso</w:t>
      </w:r>
      <w:proofErr w:type="spellEnd"/>
      <w:r w:rsidRPr="00C814A6">
        <w:rPr>
          <w:rFonts w:eastAsiaTheme="minorHAnsi"/>
          <w:lang w:eastAsia="en-US"/>
        </w:rPr>
        <w:t xml:space="preserve">, C. J., &amp; </w:t>
      </w:r>
      <w:proofErr w:type="spellStart"/>
      <w:r w:rsidRPr="00C814A6">
        <w:rPr>
          <w:rFonts w:eastAsiaTheme="minorHAnsi"/>
          <w:lang w:eastAsia="en-US"/>
        </w:rPr>
        <w:t>Kanninen</w:t>
      </w:r>
      <w:proofErr w:type="spellEnd"/>
      <w:r w:rsidRPr="00C814A6">
        <w:rPr>
          <w:rFonts w:eastAsiaTheme="minorHAnsi"/>
          <w:lang w:eastAsia="en-US"/>
        </w:rPr>
        <w:t>, K. M. (2017). Neutrality revisited: On the value of being neutral within an empathic atmosphere. </w:t>
      </w:r>
      <w:r w:rsidRPr="00C814A6">
        <w:rPr>
          <w:rFonts w:eastAsiaTheme="minorHAnsi"/>
          <w:i/>
          <w:iCs/>
          <w:lang w:eastAsia="en-US"/>
        </w:rPr>
        <w:t>Journal of Psychotherapy Integration</w:t>
      </w:r>
      <w:r w:rsidRPr="00C814A6">
        <w:rPr>
          <w:rFonts w:eastAsiaTheme="minorHAnsi"/>
          <w:lang w:eastAsia="en-US"/>
        </w:rPr>
        <w:t>, </w:t>
      </w:r>
      <w:r w:rsidRPr="00C814A6">
        <w:rPr>
          <w:rFonts w:eastAsiaTheme="minorHAnsi"/>
          <w:i/>
          <w:iCs/>
          <w:lang w:eastAsia="en-US"/>
        </w:rPr>
        <w:t>27</w:t>
      </w:r>
      <w:r w:rsidRPr="00C814A6">
        <w:rPr>
          <w:rFonts w:eastAsiaTheme="minorHAnsi"/>
          <w:lang w:eastAsia="en-US"/>
        </w:rPr>
        <w:t xml:space="preserve">(3), 330-341. </w:t>
      </w:r>
      <w:hyperlink r:id="rId11" w:history="1">
        <w:r w:rsidRPr="00C814A6">
          <w:rPr>
            <w:rStyle w:val="Hyperlink"/>
            <w:rFonts w:eastAsiaTheme="minorHAnsi"/>
            <w:lang w:eastAsia="en-US"/>
          </w:rPr>
          <w:t>https://doi.org/10.1037/int0000072</w:t>
        </w:r>
      </w:hyperlink>
      <w:r w:rsidRPr="00C814A6">
        <w:rPr>
          <w:rFonts w:eastAsiaTheme="minorHAnsi"/>
          <w:lang w:eastAsia="en-US"/>
        </w:rPr>
        <w:t xml:space="preserve"> </w:t>
      </w:r>
    </w:p>
    <w:p w14:paraId="18CA18C9" w14:textId="77777777" w:rsidR="00E26E50" w:rsidRPr="00C814A6" w:rsidRDefault="00E26E50" w:rsidP="00C814A6">
      <w:pPr>
        <w:pStyle w:val="ListParagraph"/>
        <w:snapToGrid w:val="0"/>
        <w:spacing w:line="360" w:lineRule="auto"/>
        <w:ind w:left="0" w:hanging="720"/>
        <w:contextualSpacing w:val="0"/>
        <w:mirrorIndents/>
        <w:rPr>
          <w:rFonts w:eastAsiaTheme="minorHAnsi"/>
          <w:lang w:eastAsia="en-US"/>
        </w:rPr>
      </w:pPr>
    </w:p>
    <w:p w14:paraId="310B47B1" w14:textId="0D30DCEC" w:rsidR="00E26E50" w:rsidRPr="00C814A6" w:rsidRDefault="00E26E50" w:rsidP="00C814A6">
      <w:pPr>
        <w:snapToGrid w:val="0"/>
        <w:spacing w:line="360" w:lineRule="auto"/>
        <w:ind w:hanging="720"/>
        <w:mirrorIndents/>
        <w:rPr>
          <w:rFonts w:eastAsiaTheme="minorHAnsi"/>
          <w:lang w:eastAsia="en-US"/>
        </w:rPr>
      </w:pPr>
      <w:r w:rsidRPr="00C814A6">
        <w:rPr>
          <w:rFonts w:eastAsiaTheme="minorHAnsi"/>
          <w:lang w:eastAsia="en-US"/>
        </w:rPr>
        <w:t xml:space="preserve">Goldman, R. N. (2017). The Emotion-Focused Therapeutic Relationship: Genuineness, Warmth, and Acceptance Are Not Neutral: Comment on </w:t>
      </w:r>
      <w:proofErr w:type="spellStart"/>
      <w:r w:rsidRPr="00C814A6">
        <w:rPr>
          <w:rFonts w:eastAsiaTheme="minorHAnsi"/>
          <w:lang w:eastAsia="en-US"/>
        </w:rPr>
        <w:t>Gelso</w:t>
      </w:r>
      <w:proofErr w:type="spellEnd"/>
      <w:r w:rsidRPr="00C814A6">
        <w:rPr>
          <w:rFonts w:eastAsiaTheme="minorHAnsi"/>
          <w:lang w:eastAsia="en-US"/>
        </w:rPr>
        <w:t xml:space="preserve"> and </w:t>
      </w:r>
      <w:proofErr w:type="spellStart"/>
      <w:r w:rsidRPr="00C814A6">
        <w:rPr>
          <w:rFonts w:eastAsiaTheme="minorHAnsi"/>
          <w:lang w:eastAsia="en-US"/>
        </w:rPr>
        <w:t>Kanninen</w:t>
      </w:r>
      <w:proofErr w:type="spellEnd"/>
      <w:r w:rsidRPr="00C814A6">
        <w:rPr>
          <w:rFonts w:eastAsiaTheme="minorHAnsi"/>
          <w:lang w:eastAsia="en-US"/>
        </w:rPr>
        <w:t xml:space="preserve"> (2017). </w:t>
      </w:r>
      <w:r w:rsidRPr="00C814A6">
        <w:rPr>
          <w:rFonts w:eastAsiaTheme="minorHAnsi"/>
          <w:i/>
          <w:iCs/>
          <w:lang w:eastAsia="en-US"/>
        </w:rPr>
        <w:t>Journal of Psychotherapy Integration, 27</w:t>
      </w:r>
      <w:r w:rsidRPr="00C814A6">
        <w:rPr>
          <w:rFonts w:eastAsiaTheme="minorHAnsi"/>
          <w:lang w:eastAsia="en-US"/>
        </w:rPr>
        <w:t xml:space="preserve">(3), 350–358. </w:t>
      </w:r>
      <w:hyperlink r:id="rId12" w:history="1">
        <w:r w:rsidRPr="00C814A6">
          <w:rPr>
            <w:rStyle w:val="Hyperlink"/>
            <w:rFonts w:eastAsiaTheme="minorHAnsi"/>
            <w:lang w:eastAsia="en-US"/>
          </w:rPr>
          <w:t>https://doi.org/10.1037/int0000096</w:t>
        </w:r>
      </w:hyperlink>
      <w:r w:rsidRPr="00C814A6">
        <w:rPr>
          <w:rFonts w:eastAsiaTheme="minorHAnsi"/>
          <w:lang w:eastAsia="en-US"/>
        </w:rPr>
        <w:t xml:space="preserve"> </w:t>
      </w:r>
    </w:p>
    <w:p w14:paraId="2367D2CE" w14:textId="77777777" w:rsidR="00C53BD2" w:rsidRPr="00C814A6" w:rsidRDefault="00C53BD2" w:rsidP="00C814A6">
      <w:pPr>
        <w:pStyle w:val="ListParagraph"/>
        <w:snapToGrid w:val="0"/>
        <w:spacing w:line="360" w:lineRule="auto"/>
        <w:ind w:left="0" w:hanging="720"/>
        <w:contextualSpacing w:val="0"/>
        <w:mirrorIndents/>
        <w:rPr>
          <w:rFonts w:eastAsiaTheme="minorHAnsi"/>
          <w:lang w:eastAsia="en-US"/>
        </w:rPr>
      </w:pPr>
    </w:p>
    <w:p w14:paraId="4BC7EB84" w14:textId="6AF7778C" w:rsidR="00F66861" w:rsidRPr="00C814A6" w:rsidRDefault="00F66861" w:rsidP="00C814A6">
      <w:pPr>
        <w:snapToGrid w:val="0"/>
        <w:spacing w:line="360" w:lineRule="auto"/>
        <w:ind w:hanging="720"/>
        <w:mirrorIndents/>
      </w:pPr>
      <w:r w:rsidRPr="00C814A6">
        <w:rPr>
          <w:rFonts w:eastAsiaTheme="minorHAnsi"/>
          <w:lang w:eastAsia="en-US"/>
        </w:rPr>
        <w:lastRenderedPageBreak/>
        <w:t>Green, J. (2010). </w:t>
      </w:r>
      <w:r w:rsidRPr="00C814A6">
        <w:rPr>
          <w:rFonts w:eastAsiaTheme="minorHAnsi"/>
          <w:i/>
          <w:iCs/>
          <w:lang w:eastAsia="en-US"/>
        </w:rPr>
        <w:t>Creating the therapeutic relationship in counselling and psychotherapy</w:t>
      </w:r>
      <w:r w:rsidRPr="00C814A6">
        <w:rPr>
          <w:rFonts w:eastAsiaTheme="minorHAnsi"/>
          <w:lang w:eastAsia="en-US"/>
        </w:rPr>
        <w:t>. Learning Matters.</w:t>
      </w:r>
    </w:p>
    <w:p w14:paraId="75C8E3E9" w14:textId="77777777" w:rsidR="00D04168" w:rsidRPr="00C814A6" w:rsidRDefault="00D04168" w:rsidP="00C814A6">
      <w:pPr>
        <w:pStyle w:val="ListParagraph"/>
        <w:snapToGrid w:val="0"/>
        <w:spacing w:line="360" w:lineRule="auto"/>
        <w:ind w:left="0" w:hanging="720"/>
        <w:contextualSpacing w:val="0"/>
        <w:mirrorIndents/>
      </w:pPr>
    </w:p>
    <w:p w14:paraId="32B21B2A" w14:textId="1480297D" w:rsidR="00D04168" w:rsidRPr="00C814A6" w:rsidRDefault="00D04168" w:rsidP="00C814A6">
      <w:pPr>
        <w:snapToGrid w:val="0"/>
        <w:spacing w:line="360" w:lineRule="auto"/>
        <w:ind w:hanging="720"/>
        <w:mirrorIndents/>
      </w:pPr>
      <w:r w:rsidRPr="00D04168">
        <w:t>Hodge, N. (2013). Counselling, autism and the problem of empathy. </w:t>
      </w:r>
      <w:r w:rsidRPr="00C814A6">
        <w:rPr>
          <w:i/>
          <w:iCs/>
        </w:rPr>
        <w:t>British Journal of Guidance &amp; Counselling</w:t>
      </w:r>
      <w:r w:rsidRPr="00D04168">
        <w:t>, </w:t>
      </w:r>
      <w:r w:rsidRPr="00C814A6">
        <w:rPr>
          <w:i/>
          <w:iCs/>
        </w:rPr>
        <w:t>41</w:t>
      </w:r>
      <w:r w:rsidRPr="00D04168">
        <w:t xml:space="preserve">(2), 105-116. </w:t>
      </w:r>
      <w:hyperlink r:id="rId13" w:history="1">
        <w:r w:rsidRPr="00D04168">
          <w:rPr>
            <w:rStyle w:val="Hyperlink"/>
          </w:rPr>
          <w:t>https://doi.org/10.1080/03069885.2012.705817</w:t>
        </w:r>
      </w:hyperlink>
    </w:p>
    <w:p w14:paraId="6876356E" w14:textId="77777777" w:rsidR="009339E1" w:rsidRPr="00C814A6" w:rsidRDefault="009339E1" w:rsidP="00C814A6">
      <w:pPr>
        <w:pStyle w:val="ListParagraph"/>
        <w:snapToGrid w:val="0"/>
        <w:spacing w:line="360" w:lineRule="auto"/>
        <w:ind w:left="0" w:hanging="720"/>
        <w:contextualSpacing w:val="0"/>
        <w:mirrorIndents/>
      </w:pPr>
    </w:p>
    <w:p w14:paraId="7732871C" w14:textId="4E67AE50" w:rsidR="009339E1" w:rsidRPr="00C814A6" w:rsidRDefault="009339E1" w:rsidP="00C814A6">
      <w:pPr>
        <w:snapToGrid w:val="0"/>
        <w:spacing w:line="360" w:lineRule="auto"/>
        <w:ind w:hanging="720"/>
        <w:mirrorIndents/>
      </w:pPr>
      <w:r w:rsidRPr="009339E1">
        <w:t>Irving, P., &amp; Dickson, D. (2006). A re-conceptualization of Rogers' core conditions: Implications for research, practice and training. </w:t>
      </w:r>
      <w:r w:rsidRPr="00C814A6">
        <w:rPr>
          <w:i/>
          <w:iCs/>
        </w:rPr>
        <w:t>International Journal for the Advancement of Counselling</w:t>
      </w:r>
      <w:r w:rsidRPr="009339E1">
        <w:t>, </w:t>
      </w:r>
      <w:r w:rsidRPr="00C814A6">
        <w:rPr>
          <w:i/>
          <w:iCs/>
        </w:rPr>
        <w:t>28</w:t>
      </w:r>
      <w:r w:rsidRPr="009339E1">
        <w:t xml:space="preserve">(2), 183. </w:t>
      </w:r>
      <w:hyperlink r:id="rId14" w:history="1">
        <w:r w:rsidRPr="009339E1">
          <w:rPr>
            <w:rStyle w:val="Hyperlink"/>
          </w:rPr>
          <w:t>https://doi.org/10.1007/s10447-005-9000-3</w:t>
        </w:r>
      </w:hyperlink>
    </w:p>
    <w:p w14:paraId="6AB9BDC2" w14:textId="77777777" w:rsidR="00C53BD2" w:rsidRPr="00C814A6" w:rsidRDefault="00C53BD2" w:rsidP="00C814A6">
      <w:pPr>
        <w:pStyle w:val="ListParagraph"/>
        <w:snapToGrid w:val="0"/>
        <w:spacing w:line="360" w:lineRule="auto"/>
        <w:ind w:left="0" w:hanging="720"/>
        <w:contextualSpacing w:val="0"/>
        <w:mirrorIndents/>
      </w:pPr>
    </w:p>
    <w:p w14:paraId="1AEBF897" w14:textId="0BA74DB6" w:rsidR="00015D4A" w:rsidRPr="00C814A6" w:rsidRDefault="00015D4A" w:rsidP="00C814A6">
      <w:pPr>
        <w:snapToGrid w:val="0"/>
        <w:spacing w:line="360" w:lineRule="auto"/>
        <w:ind w:hanging="720"/>
        <w:mirrorIndents/>
        <w:rPr>
          <w:rStyle w:val="Hyperlink"/>
          <w:rFonts w:eastAsiaTheme="minorHAnsi"/>
          <w:color w:val="auto"/>
          <w:u w:val="none"/>
          <w:lang w:eastAsia="en-US"/>
        </w:rPr>
      </w:pPr>
      <w:r w:rsidRPr="00C814A6">
        <w:rPr>
          <w:rFonts w:eastAsiaTheme="minorHAnsi"/>
          <w:lang w:eastAsia="en-US"/>
        </w:rPr>
        <w:t>Lee-Oakes, R. [</w:t>
      </w:r>
      <w:proofErr w:type="spellStart"/>
      <w:r w:rsidRPr="00C814A6">
        <w:rPr>
          <w:rFonts w:eastAsiaTheme="minorHAnsi"/>
          <w:lang w:eastAsia="en-US"/>
        </w:rPr>
        <w:t>CounsellingTutor</w:t>
      </w:r>
      <w:proofErr w:type="spellEnd"/>
      <w:r w:rsidRPr="00C814A6">
        <w:rPr>
          <w:rFonts w:eastAsiaTheme="minorHAnsi"/>
          <w:lang w:eastAsia="en-US"/>
        </w:rPr>
        <w:t xml:space="preserve">]. (2011 Jul 17). An introduction to Person Centred Therapy - Carl Rogers. Retrieved from: </w:t>
      </w:r>
      <w:hyperlink r:id="rId15" w:history="1">
        <w:r w:rsidRPr="00C814A6">
          <w:rPr>
            <w:rStyle w:val="Hyperlink"/>
            <w:rFonts w:eastAsiaTheme="minorHAnsi"/>
            <w:lang w:eastAsia="en-US"/>
          </w:rPr>
          <w:t>https://www.youtube.com/watch?v=Qpfm5sY0OX0</w:t>
        </w:r>
      </w:hyperlink>
    </w:p>
    <w:p w14:paraId="2C5CF7D7" w14:textId="77777777" w:rsidR="00C53BD2" w:rsidRPr="00C814A6" w:rsidRDefault="00C53BD2" w:rsidP="00C814A6">
      <w:pPr>
        <w:pStyle w:val="ListParagraph"/>
        <w:snapToGrid w:val="0"/>
        <w:spacing w:line="360" w:lineRule="auto"/>
        <w:ind w:left="0" w:hanging="720"/>
        <w:contextualSpacing w:val="0"/>
        <w:mirrorIndents/>
        <w:rPr>
          <w:rFonts w:eastAsiaTheme="minorHAnsi"/>
          <w:lang w:eastAsia="en-US"/>
        </w:rPr>
      </w:pPr>
    </w:p>
    <w:p w14:paraId="495E1911" w14:textId="5282D598" w:rsidR="00545706" w:rsidRPr="00C814A6" w:rsidRDefault="00545706" w:rsidP="00C814A6">
      <w:pPr>
        <w:snapToGrid w:val="0"/>
        <w:spacing w:line="360" w:lineRule="auto"/>
        <w:ind w:hanging="720"/>
        <w:mirrorIndents/>
        <w:rPr>
          <w:rFonts w:eastAsiaTheme="minorHAnsi"/>
          <w:lang w:eastAsia="en-US"/>
        </w:rPr>
      </w:pPr>
      <w:proofErr w:type="spellStart"/>
      <w:r w:rsidRPr="00C814A6">
        <w:rPr>
          <w:rFonts w:eastAsiaTheme="minorHAnsi"/>
          <w:lang w:eastAsia="en-US"/>
        </w:rPr>
        <w:t>Luft</w:t>
      </w:r>
      <w:proofErr w:type="spellEnd"/>
      <w:r w:rsidRPr="00C814A6">
        <w:rPr>
          <w:rFonts w:eastAsiaTheme="minorHAnsi"/>
          <w:lang w:eastAsia="en-US"/>
        </w:rPr>
        <w:t xml:space="preserve">, J., &amp; </w:t>
      </w:r>
      <w:proofErr w:type="spellStart"/>
      <w:r w:rsidRPr="00C814A6">
        <w:rPr>
          <w:rFonts w:eastAsiaTheme="minorHAnsi"/>
          <w:lang w:eastAsia="en-US"/>
        </w:rPr>
        <w:t>Ingham</w:t>
      </w:r>
      <w:proofErr w:type="spellEnd"/>
      <w:r w:rsidRPr="00C814A6">
        <w:rPr>
          <w:rFonts w:eastAsiaTheme="minorHAnsi"/>
          <w:lang w:eastAsia="en-US"/>
        </w:rPr>
        <w:t>, H. (1961). The Johari Window: a graphic model of awareness in interpersonal relations. </w:t>
      </w:r>
      <w:r w:rsidRPr="00C814A6">
        <w:rPr>
          <w:rFonts w:eastAsiaTheme="minorHAnsi"/>
          <w:i/>
          <w:iCs/>
          <w:lang w:eastAsia="en-US"/>
        </w:rPr>
        <w:t>Human relations training news</w:t>
      </w:r>
      <w:r w:rsidRPr="00C814A6">
        <w:rPr>
          <w:rFonts w:eastAsiaTheme="minorHAnsi"/>
          <w:lang w:eastAsia="en-US"/>
        </w:rPr>
        <w:t>, </w:t>
      </w:r>
      <w:r w:rsidRPr="00C814A6">
        <w:rPr>
          <w:rFonts w:eastAsiaTheme="minorHAnsi"/>
          <w:i/>
          <w:iCs/>
          <w:lang w:eastAsia="en-US"/>
        </w:rPr>
        <w:t>5</w:t>
      </w:r>
      <w:r w:rsidRPr="00C814A6">
        <w:rPr>
          <w:rFonts w:eastAsiaTheme="minorHAnsi"/>
          <w:lang w:eastAsia="en-US"/>
        </w:rPr>
        <w:t>(9), 6-7.</w:t>
      </w:r>
    </w:p>
    <w:p w14:paraId="00490090" w14:textId="77777777" w:rsidR="00C53BD2" w:rsidRPr="00C814A6" w:rsidRDefault="00C53BD2" w:rsidP="00C814A6">
      <w:pPr>
        <w:pStyle w:val="ListParagraph"/>
        <w:snapToGrid w:val="0"/>
        <w:spacing w:line="360" w:lineRule="auto"/>
        <w:ind w:left="0" w:hanging="720"/>
        <w:contextualSpacing w:val="0"/>
        <w:mirrorIndents/>
        <w:rPr>
          <w:rFonts w:eastAsiaTheme="minorHAnsi"/>
          <w:lang w:eastAsia="en-US"/>
        </w:rPr>
      </w:pPr>
    </w:p>
    <w:p w14:paraId="107BE625" w14:textId="60999851" w:rsidR="005904CF" w:rsidRPr="00C814A6" w:rsidRDefault="005904CF" w:rsidP="00C814A6">
      <w:pPr>
        <w:snapToGrid w:val="0"/>
        <w:spacing w:line="360" w:lineRule="auto"/>
        <w:ind w:hanging="720"/>
        <w:mirrorIndents/>
      </w:pPr>
      <w:r w:rsidRPr="00C814A6">
        <w:t>McLeod, J. (2007). </w:t>
      </w:r>
      <w:r w:rsidRPr="00C814A6">
        <w:rPr>
          <w:i/>
          <w:iCs/>
        </w:rPr>
        <w:t>Counselling skill</w:t>
      </w:r>
      <w:r w:rsidRPr="00C814A6">
        <w:t>. McGraw-Hill International.</w:t>
      </w:r>
    </w:p>
    <w:p w14:paraId="7F754FC9" w14:textId="77777777" w:rsidR="00C53BD2" w:rsidRPr="00C814A6" w:rsidRDefault="00C53BD2" w:rsidP="00C814A6">
      <w:pPr>
        <w:pStyle w:val="ListParagraph"/>
        <w:snapToGrid w:val="0"/>
        <w:spacing w:line="360" w:lineRule="auto"/>
        <w:ind w:left="0" w:hanging="720"/>
        <w:contextualSpacing w:val="0"/>
        <w:mirrorIndents/>
      </w:pPr>
    </w:p>
    <w:p w14:paraId="34BE311F" w14:textId="23B54B09" w:rsidR="003A74DF" w:rsidRPr="00C814A6" w:rsidRDefault="003A74DF" w:rsidP="00C814A6">
      <w:pPr>
        <w:snapToGrid w:val="0"/>
        <w:spacing w:line="360" w:lineRule="auto"/>
        <w:ind w:hanging="720"/>
        <w:mirrorIndents/>
        <w:rPr>
          <w:rFonts w:eastAsiaTheme="minorHAnsi"/>
          <w:lang w:eastAsia="en-US"/>
        </w:rPr>
      </w:pPr>
      <w:r w:rsidRPr="00C814A6">
        <w:rPr>
          <w:rFonts w:eastAsiaTheme="minorHAnsi"/>
          <w:lang w:eastAsia="en-US"/>
        </w:rPr>
        <w:t>Midwinter, R., &amp; Dickson, J. (2015). </w:t>
      </w:r>
      <w:r w:rsidRPr="00C814A6">
        <w:rPr>
          <w:rFonts w:eastAsiaTheme="minorHAnsi"/>
          <w:i/>
          <w:iCs/>
          <w:lang w:eastAsia="en-US"/>
        </w:rPr>
        <w:t>Embedding counselling and communication skills: a relational skills model</w:t>
      </w:r>
      <w:r w:rsidRPr="00C814A6">
        <w:rPr>
          <w:rFonts w:eastAsiaTheme="minorHAnsi"/>
          <w:lang w:eastAsia="en-US"/>
        </w:rPr>
        <w:t>. Routledge.</w:t>
      </w:r>
    </w:p>
    <w:p w14:paraId="7D0C6C09" w14:textId="77777777" w:rsidR="00C53BD2" w:rsidRPr="00C814A6" w:rsidRDefault="00C53BD2" w:rsidP="00C814A6">
      <w:pPr>
        <w:pStyle w:val="ListParagraph"/>
        <w:snapToGrid w:val="0"/>
        <w:spacing w:line="360" w:lineRule="auto"/>
        <w:ind w:left="0" w:hanging="720"/>
        <w:contextualSpacing w:val="0"/>
        <w:mirrorIndents/>
        <w:rPr>
          <w:rFonts w:eastAsiaTheme="minorHAnsi"/>
          <w:lang w:eastAsia="en-US"/>
        </w:rPr>
      </w:pPr>
    </w:p>
    <w:p w14:paraId="4EA57281" w14:textId="1CC5F412" w:rsidR="006A60C1" w:rsidRPr="00C814A6" w:rsidRDefault="006A60C1" w:rsidP="00C814A6">
      <w:pPr>
        <w:snapToGrid w:val="0"/>
        <w:spacing w:line="360" w:lineRule="auto"/>
        <w:ind w:hanging="720"/>
        <w:mirrorIndents/>
        <w:rPr>
          <w:rFonts w:eastAsiaTheme="minorHAnsi"/>
          <w:lang w:eastAsia="en-US"/>
        </w:rPr>
      </w:pPr>
      <w:r w:rsidRPr="00C814A6">
        <w:rPr>
          <w:rFonts w:eastAsiaTheme="minorHAnsi"/>
          <w:lang w:eastAsia="en-US"/>
        </w:rPr>
        <w:t xml:space="preserve">Rogers, C. (1957) The necessary and sufficient conditions of the therapeutic personality change. </w:t>
      </w:r>
      <w:r w:rsidRPr="00C814A6">
        <w:rPr>
          <w:rFonts w:eastAsiaTheme="minorHAnsi"/>
          <w:i/>
          <w:iCs/>
          <w:lang w:eastAsia="en-US"/>
        </w:rPr>
        <w:t>Journal of Consulting Psychology. 21(2).</w:t>
      </w:r>
      <w:r w:rsidRPr="00C814A6">
        <w:rPr>
          <w:rFonts w:eastAsiaTheme="minorHAnsi"/>
          <w:lang w:eastAsia="en-US"/>
        </w:rPr>
        <w:t xml:space="preserve"> 95.</w:t>
      </w:r>
    </w:p>
    <w:p w14:paraId="025FA15C" w14:textId="77777777" w:rsidR="00F96A1D" w:rsidRPr="00C814A6" w:rsidRDefault="00F96A1D" w:rsidP="00C814A6">
      <w:pPr>
        <w:pStyle w:val="ListParagraph"/>
        <w:snapToGrid w:val="0"/>
        <w:spacing w:line="360" w:lineRule="auto"/>
        <w:ind w:left="0" w:hanging="720"/>
        <w:contextualSpacing w:val="0"/>
        <w:mirrorIndents/>
        <w:rPr>
          <w:rFonts w:eastAsiaTheme="minorHAnsi"/>
          <w:lang w:eastAsia="en-US"/>
        </w:rPr>
      </w:pPr>
    </w:p>
    <w:p w14:paraId="713110D5" w14:textId="584CED13" w:rsidR="00F96A1D" w:rsidRPr="00C814A6" w:rsidRDefault="00F96A1D" w:rsidP="00C814A6">
      <w:pPr>
        <w:snapToGrid w:val="0"/>
        <w:spacing w:line="360" w:lineRule="auto"/>
        <w:ind w:hanging="720"/>
        <w:mirrorIndents/>
        <w:rPr>
          <w:rFonts w:eastAsiaTheme="minorHAnsi"/>
          <w:lang w:eastAsia="en-US"/>
        </w:rPr>
      </w:pPr>
      <w:r w:rsidRPr="00C814A6">
        <w:rPr>
          <w:rFonts w:eastAsiaTheme="minorHAnsi"/>
          <w:lang w:eastAsia="en-US"/>
        </w:rPr>
        <w:t>Roth, S. (2019). Heal the world. A solution-focused systems therapy approach to environmental problems. Journal of Cleaner Production. 216, 504-510.</w:t>
      </w:r>
    </w:p>
    <w:p w14:paraId="37742084" w14:textId="77777777" w:rsidR="00B92F9D" w:rsidRPr="00C814A6" w:rsidRDefault="00B92F9D" w:rsidP="00C814A6">
      <w:pPr>
        <w:pStyle w:val="ListParagraph"/>
        <w:snapToGrid w:val="0"/>
        <w:spacing w:line="360" w:lineRule="auto"/>
        <w:ind w:left="0" w:hanging="720"/>
        <w:contextualSpacing w:val="0"/>
        <w:mirrorIndents/>
        <w:rPr>
          <w:rFonts w:eastAsiaTheme="minorHAnsi"/>
          <w:lang w:eastAsia="en-US"/>
        </w:rPr>
      </w:pPr>
    </w:p>
    <w:p w14:paraId="1A2FD110" w14:textId="262CF503" w:rsidR="00B92F9D" w:rsidRPr="00C814A6" w:rsidRDefault="00B92F9D" w:rsidP="00C814A6">
      <w:pPr>
        <w:snapToGrid w:val="0"/>
        <w:spacing w:line="360" w:lineRule="auto"/>
        <w:ind w:hanging="720"/>
        <w:mirrorIndents/>
        <w:rPr>
          <w:rFonts w:eastAsiaTheme="minorHAnsi"/>
          <w:lang w:eastAsia="en-US"/>
        </w:rPr>
      </w:pPr>
      <w:r w:rsidRPr="00C814A6">
        <w:rPr>
          <w:rFonts w:eastAsiaTheme="minorHAnsi"/>
          <w:lang w:eastAsia="en-US"/>
        </w:rPr>
        <w:t xml:space="preserve">Sackett, C. R., &amp; </w:t>
      </w:r>
      <w:proofErr w:type="spellStart"/>
      <w:r w:rsidRPr="00C814A6">
        <w:rPr>
          <w:rFonts w:eastAsiaTheme="minorHAnsi"/>
          <w:lang w:eastAsia="en-US"/>
        </w:rPr>
        <w:t>McKeeman</w:t>
      </w:r>
      <w:proofErr w:type="spellEnd"/>
      <w:r w:rsidRPr="00C814A6">
        <w:rPr>
          <w:rFonts w:eastAsiaTheme="minorHAnsi"/>
          <w:lang w:eastAsia="en-US"/>
        </w:rPr>
        <w:t xml:space="preserve">, A. (2017). Using visual journaling in individual </w:t>
      </w:r>
      <w:proofErr w:type="spellStart"/>
      <w:r w:rsidRPr="00C814A6">
        <w:rPr>
          <w:rFonts w:eastAsiaTheme="minorHAnsi"/>
          <w:lang w:eastAsia="en-US"/>
        </w:rPr>
        <w:t>counseling</w:t>
      </w:r>
      <w:proofErr w:type="spellEnd"/>
      <w:r w:rsidRPr="00C814A6">
        <w:rPr>
          <w:rFonts w:eastAsiaTheme="minorHAnsi"/>
          <w:lang w:eastAsia="en-US"/>
        </w:rPr>
        <w:t>: A case example. </w:t>
      </w:r>
      <w:r w:rsidRPr="00C814A6">
        <w:rPr>
          <w:rFonts w:eastAsiaTheme="minorHAnsi"/>
          <w:i/>
          <w:iCs/>
          <w:lang w:eastAsia="en-US"/>
        </w:rPr>
        <w:t>Journal of Creativity in Mental Health</w:t>
      </w:r>
      <w:r w:rsidRPr="00C814A6">
        <w:rPr>
          <w:rFonts w:eastAsiaTheme="minorHAnsi"/>
          <w:lang w:eastAsia="en-US"/>
        </w:rPr>
        <w:t>, </w:t>
      </w:r>
      <w:r w:rsidRPr="00C814A6">
        <w:rPr>
          <w:rFonts w:eastAsiaTheme="minorHAnsi"/>
          <w:i/>
          <w:iCs/>
          <w:lang w:eastAsia="en-US"/>
        </w:rPr>
        <w:t>12</w:t>
      </w:r>
      <w:r w:rsidRPr="00C814A6">
        <w:rPr>
          <w:rFonts w:eastAsiaTheme="minorHAnsi"/>
          <w:lang w:eastAsia="en-US"/>
        </w:rPr>
        <w:t xml:space="preserve">(2), 242-248. </w:t>
      </w:r>
      <w:hyperlink r:id="rId16" w:history="1">
        <w:r w:rsidRPr="00C814A6">
          <w:rPr>
            <w:rStyle w:val="Hyperlink"/>
            <w:rFonts w:eastAsiaTheme="minorHAnsi"/>
            <w:lang w:eastAsia="en-US"/>
          </w:rPr>
          <w:t>https://doi.org/10.1080/15401383.2016.1246993</w:t>
        </w:r>
      </w:hyperlink>
    </w:p>
    <w:p w14:paraId="3E74D8FE" w14:textId="77777777" w:rsidR="00C53BD2" w:rsidRPr="00C814A6" w:rsidRDefault="00C53BD2" w:rsidP="00C814A6">
      <w:pPr>
        <w:pStyle w:val="ListParagraph"/>
        <w:snapToGrid w:val="0"/>
        <w:spacing w:line="360" w:lineRule="auto"/>
        <w:ind w:left="0" w:hanging="720"/>
        <w:contextualSpacing w:val="0"/>
        <w:mirrorIndents/>
        <w:rPr>
          <w:rFonts w:eastAsiaTheme="minorHAnsi"/>
          <w:lang w:eastAsia="en-US"/>
        </w:rPr>
      </w:pPr>
    </w:p>
    <w:p w14:paraId="43B51CCF" w14:textId="5CDF3C1D" w:rsidR="003A74DF" w:rsidRPr="00C814A6" w:rsidRDefault="00445F42" w:rsidP="00C814A6">
      <w:pPr>
        <w:snapToGrid w:val="0"/>
        <w:spacing w:line="360" w:lineRule="auto"/>
        <w:ind w:hanging="720"/>
        <w:mirrorIndents/>
        <w:rPr>
          <w:rFonts w:eastAsiaTheme="minorHAnsi"/>
          <w:lang w:eastAsia="en-US"/>
        </w:rPr>
      </w:pPr>
      <w:r w:rsidRPr="00C814A6">
        <w:rPr>
          <w:rFonts w:eastAsiaTheme="minorHAnsi"/>
          <w:lang w:eastAsia="en-US"/>
        </w:rPr>
        <w:t xml:space="preserve">Sowa, J, C., May, M, K., &amp; Niles, G, S. (1994). Occupational Stress Within the </w:t>
      </w:r>
      <w:proofErr w:type="spellStart"/>
      <w:r w:rsidRPr="00C814A6">
        <w:rPr>
          <w:rFonts w:eastAsiaTheme="minorHAnsi"/>
          <w:lang w:eastAsia="en-US"/>
        </w:rPr>
        <w:t>Counseling</w:t>
      </w:r>
      <w:proofErr w:type="spellEnd"/>
      <w:r w:rsidRPr="00C814A6">
        <w:rPr>
          <w:rFonts w:eastAsiaTheme="minorHAnsi"/>
          <w:lang w:eastAsia="en-US"/>
        </w:rPr>
        <w:t xml:space="preserve"> Profession: Implications for </w:t>
      </w:r>
      <w:proofErr w:type="spellStart"/>
      <w:r w:rsidRPr="00C814A6">
        <w:rPr>
          <w:rFonts w:eastAsiaTheme="minorHAnsi"/>
          <w:lang w:eastAsia="en-US"/>
        </w:rPr>
        <w:t>Counselor</w:t>
      </w:r>
      <w:proofErr w:type="spellEnd"/>
      <w:r w:rsidRPr="00C814A6">
        <w:rPr>
          <w:rFonts w:eastAsiaTheme="minorHAnsi"/>
          <w:lang w:eastAsia="en-US"/>
        </w:rPr>
        <w:t xml:space="preserve"> Training. </w:t>
      </w:r>
      <w:proofErr w:type="spellStart"/>
      <w:r w:rsidRPr="00C814A6">
        <w:rPr>
          <w:rFonts w:eastAsiaTheme="minorHAnsi"/>
          <w:i/>
          <w:iCs/>
          <w:lang w:eastAsia="en-US"/>
        </w:rPr>
        <w:t>Counselor</w:t>
      </w:r>
      <w:proofErr w:type="spellEnd"/>
      <w:r w:rsidRPr="00C814A6">
        <w:rPr>
          <w:rFonts w:eastAsiaTheme="minorHAnsi"/>
          <w:i/>
          <w:iCs/>
          <w:lang w:eastAsia="en-US"/>
        </w:rPr>
        <w:t xml:space="preserve"> Education and Supervision</w:t>
      </w:r>
      <w:r w:rsidRPr="00C814A6">
        <w:rPr>
          <w:rFonts w:eastAsiaTheme="minorHAnsi"/>
          <w:lang w:eastAsia="en-US"/>
        </w:rPr>
        <w:t>, </w:t>
      </w:r>
      <w:r w:rsidRPr="00C814A6">
        <w:rPr>
          <w:rFonts w:eastAsiaTheme="minorHAnsi"/>
          <w:i/>
          <w:iCs/>
          <w:lang w:eastAsia="en-US"/>
        </w:rPr>
        <w:t>34</w:t>
      </w:r>
      <w:r w:rsidRPr="00C814A6">
        <w:rPr>
          <w:rFonts w:eastAsiaTheme="minorHAnsi"/>
          <w:lang w:eastAsia="en-US"/>
        </w:rPr>
        <w:t xml:space="preserve">(1), 19–29. </w:t>
      </w:r>
      <w:hyperlink r:id="rId17" w:history="1">
        <w:r w:rsidRPr="00C814A6">
          <w:rPr>
            <w:rStyle w:val="Hyperlink"/>
            <w:rFonts w:eastAsiaTheme="minorHAnsi"/>
            <w:lang w:eastAsia="en-US"/>
          </w:rPr>
          <w:t>https://doi.org/10.1002/j.1556-6978.1994.tb00307.x</w:t>
        </w:r>
      </w:hyperlink>
      <w:r w:rsidRPr="00C814A6">
        <w:rPr>
          <w:rFonts w:eastAsiaTheme="minorHAnsi"/>
          <w:lang w:eastAsia="en-US"/>
        </w:rPr>
        <w:t xml:space="preserve"> </w:t>
      </w:r>
    </w:p>
    <w:p w14:paraId="00E1C64E" w14:textId="77777777" w:rsidR="00B92F9D" w:rsidRPr="00C814A6" w:rsidRDefault="00B92F9D" w:rsidP="00C814A6">
      <w:pPr>
        <w:pStyle w:val="ListParagraph"/>
        <w:snapToGrid w:val="0"/>
        <w:spacing w:line="360" w:lineRule="auto"/>
        <w:ind w:left="0" w:hanging="720"/>
        <w:contextualSpacing w:val="0"/>
        <w:mirrorIndents/>
        <w:rPr>
          <w:rFonts w:eastAsiaTheme="minorHAnsi"/>
          <w:lang w:eastAsia="en-US"/>
        </w:rPr>
      </w:pPr>
    </w:p>
    <w:p w14:paraId="7B121CA4" w14:textId="6A87674C" w:rsidR="00B92F9D" w:rsidRPr="00C814A6" w:rsidRDefault="00B92F9D" w:rsidP="00C814A6">
      <w:pPr>
        <w:snapToGrid w:val="0"/>
        <w:spacing w:line="360" w:lineRule="auto"/>
        <w:ind w:hanging="720"/>
        <w:mirrorIndents/>
        <w:rPr>
          <w:rFonts w:eastAsiaTheme="minorHAnsi"/>
          <w:lang w:eastAsia="en-US"/>
        </w:rPr>
      </w:pPr>
      <w:r w:rsidRPr="00C814A6">
        <w:rPr>
          <w:rFonts w:eastAsiaTheme="minorHAnsi"/>
          <w:lang w:eastAsia="en-US"/>
        </w:rPr>
        <w:t>Utley, A., &amp; Garza, Y. (2011). The therapeutic use of journaling with adolescents. </w:t>
      </w:r>
      <w:r w:rsidRPr="00C814A6">
        <w:rPr>
          <w:rFonts w:eastAsiaTheme="minorHAnsi"/>
          <w:i/>
          <w:iCs/>
          <w:lang w:eastAsia="en-US"/>
        </w:rPr>
        <w:t>Journal of Creativity in Mental Health</w:t>
      </w:r>
      <w:r w:rsidRPr="00C814A6">
        <w:rPr>
          <w:rFonts w:eastAsiaTheme="minorHAnsi"/>
          <w:lang w:eastAsia="en-US"/>
        </w:rPr>
        <w:t>, </w:t>
      </w:r>
      <w:r w:rsidRPr="00C814A6">
        <w:rPr>
          <w:rFonts w:eastAsiaTheme="minorHAnsi"/>
          <w:i/>
          <w:iCs/>
          <w:lang w:eastAsia="en-US"/>
        </w:rPr>
        <w:t>6</w:t>
      </w:r>
      <w:r w:rsidRPr="00C814A6">
        <w:rPr>
          <w:rFonts w:eastAsiaTheme="minorHAnsi"/>
          <w:lang w:eastAsia="en-US"/>
        </w:rPr>
        <w:t xml:space="preserve">(1), 29-41. </w:t>
      </w:r>
      <w:hyperlink r:id="rId18" w:history="1">
        <w:r w:rsidRPr="00C814A6">
          <w:rPr>
            <w:rStyle w:val="Hyperlink"/>
            <w:rFonts w:eastAsiaTheme="minorHAnsi"/>
            <w:lang w:eastAsia="en-US"/>
          </w:rPr>
          <w:t>https://doi.org/10.1080/15401383.2011.557312</w:t>
        </w:r>
      </w:hyperlink>
    </w:p>
    <w:p w14:paraId="337C1684" w14:textId="77777777" w:rsidR="00C53BD2" w:rsidRPr="00C814A6" w:rsidRDefault="00C53BD2" w:rsidP="00C814A6">
      <w:pPr>
        <w:snapToGrid w:val="0"/>
        <w:spacing w:line="360" w:lineRule="auto"/>
        <w:ind w:left="-720" w:hanging="720"/>
        <w:mirrorIndents/>
        <w:rPr>
          <w:rFonts w:eastAsiaTheme="minorHAnsi"/>
          <w:lang w:eastAsia="en-US"/>
        </w:rPr>
      </w:pPr>
    </w:p>
    <w:p w14:paraId="0AFF737F" w14:textId="275F72AF" w:rsidR="0077130B" w:rsidRPr="00C814A6" w:rsidRDefault="0077130B" w:rsidP="00C814A6">
      <w:pPr>
        <w:snapToGrid w:val="0"/>
        <w:spacing w:line="360" w:lineRule="auto"/>
        <w:ind w:hanging="720"/>
        <w:mirrorIndents/>
        <w:rPr>
          <w:rFonts w:eastAsiaTheme="minorHAnsi"/>
          <w:lang w:eastAsia="en-US"/>
        </w:rPr>
      </w:pPr>
      <w:r w:rsidRPr="00C814A6">
        <w:rPr>
          <w:rFonts w:eastAsiaTheme="minorHAnsi"/>
          <w:lang w:eastAsia="en-US"/>
        </w:rPr>
        <w:t>Velasquez, E, P, A, &amp; Montiel, J, C. (2018). Reapproaching Rogers: a discursive examination of client-</w:t>
      </w:r>
      <w:proofErr w:type="spellStart"/>
      <w:r w:rsidRPr="00C814A6">
        <w:rPr>
          <w:rFonts w:eastAsiaTheme="minorHAnsi"/>
          <w:lang w:eastAsia="en-US"/>
        </w:rPr>
        <w:t>centered</w:t>
      </w:r>
      <w:proofErr w:type="spellEnd"/>
      <w:r w:rsidRPr="00C814A6">
        <w:rPr>
          <w:rFonts w:eastAsiaTheme="minorHAnsi"/>
          <w:lang w:eastAsia="en-US"/>
        </w:rPr>
        <w:t xml:space="preserve"> therapy. </w:t>
      </w:r>
      <w:r w:rsidRPr="00C814A6">
        <w:rPr>
          <w:rFonts w:eastAsiaTheme="minorHAnsi"/>
          <w:i/>
          <w:iCs/>
          <w:lang w:eastAsia="en-US"/>
        </w:rPr>
        <w:t>Person-</w:t>
      </w:r>
      <w:proofErr w:type="spellStart"/>
      <w:r w:rsidRPr="00C814A6">
        <w:rPr>
          <w:rFonts w:eastAsiaTheme="minorHAnsi"/>
          <w:i/>
          <w:iCs/>
          <w:lang w:eastAsia="en-US"/>
        </w:rPr>
        <w:t>Centered</w:t>
      </w:r>
      <w:proofErr w:type="spellEnd"/>
      <w:r w:rsidRPr="00C814A6">
        <w:rPr>
          <w:rFonts w:eastAsiaTheme="minorHAnsi"/>
          <w:i/>
          <w:iCs/>
          <w:lang w:eastAsia="en-US"/>
        </w:rPr>
        <w:t xml:space="preserve"> &amp; Experiential Psychotherapies</w:t>
      </w:r>
      <w:r w:rsidRPr="00C814A6">
        <w:rPr>
          <w:rFonts w:eastAsiaTheme="minorHAnsi"/>
          <w:lang w:eastAsia="en-US"/>
        </w:rPr>
        <w:t>, </w:t>
      </w:r>
      <w:r w:rsidRPr="00C814A6">
        <w:rPr>
          <w:rFonts w:eastAsiaTheme="minorHAnsi"/>
          <w:i/>
          <w:iCs/>
          <w:lang w:eastAsia="en-US"/>
        </w:rPr>
        <w:t>17</w:t>
      </w:r>
      <w:r w:rsidRPr="00C814A6">
        <w:rPr>
          <w:rFonts w:eastAsiaTheme="minorHAnsi"/>
          <w:lang w:eastAsia="en-US"/>
        </w:rPr>
        <w:t xml:space="preserve">(3), 253–269. </w:t>
      </w:r>
      <w:hyperlink r:id="rId19" w:history="1">
        <w:r w:rsidR="00B92F9D" w:rsidRPr="00C814A6">
          <w:rPr>
            <w:rStyle w:val="Hyperlink"/>
            <w:rFonts w:eastAsiaTheme="minorHAnsi"/>
            <w:lang w:eastAsia="en-US"/>
          </w:rPr>
          <w:t>https://doi.org/10.1080/14779757.2018.1527243</w:t>
        </w:r>
      </w:hyperlink>
      <w:r w:rsidR="00B92F9D" w:rsidRPr="00C814A6">
        <w:rPr>
          <w:rFonts w:eastAsiaTheme="minorHAnsi"/>
          <w:lang w:eastAsia="en-US"/>
        </w:rPr>
        <w:t xml:space="preserve"> </w:t>
      </w:r>
    </w:p>
    <w:p w14:paraId="1AA2C5F2" w14:textId="2399C3BB" w:rsidR="003E4AA4" w:rsidRPr="00257D63" w:rsidRDefault="003E4AA4">
      <w:pPr>
        <w:rPr>
          <w:sz w:val="20"/>
          <w:szCs w:val="20"/>
        </w:rPr>
      </w:pPr>
    </w:p>
    <w:sectPr w:rsidR="003E4AA4" w:rsidRPr="00257D63" w:rsidSect="007671FF">
      <w:type w:val="continuous"/>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4024AA"/>
    <w:multiLevelType w:val="hybridMultilevel"/>
    <w:tmpl w:val="9DA44B2E"/>
    <w:lvl w:ilvl="0" w:tplc="0809000F">
      <w:start w:val="1"/>
      <w:numFmt w:val="decimal"/>
      <w:lvlText w:val="%1."/>
      <w:lvlJc w:val="left"/>
      <w:pPr>
        <w:ind w:left="720" w:hanging="360"/>
      </w:pPr>
      <w:rPr>
        <w:rFont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50F2EB7"/>
    <w:multiLevelType w:val="hybridMultilevel"/>
    <w:tmpl w:val="7DDCF1BE"/>
    <w:lvl w:ilvl="0" w:tplc="38E07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700015"/>
    <w:multiLevelType w:val="hybridMultilevel"/>
    <w:tmpl w:val="A0AEC85C"/>
    <w:lvl w:ilvl="0" w:tplc="38E07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132B6C"/>
    <w:multiLevelType w:val="hybridMultilevel"/>
    <w:tmpl w:val="15326B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6F4F0F"/>
    <w:multiLevelType w:val="hybridMultilevel"/>
    <w:tmpl w:val="70A0104E"/>
    <w:lvl w:ilvl="0" w:tplc="7FF686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854FFE"/>
    <w:multiLevelType w:val="hybridMultilevel"/>
    <w:tmpl w:val="051E9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37F01"/>
    <w:multiLevelType w:val="hybridMultilevel"/>
    <w:tmpl w:val="17F44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81498E"/>
    <w:multiLevelType w:val="hybridMultilevel"/>
    <w:tmpl w:val="623E4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153985"/>
    <w:multiLevelType w:val="hybridMultilevel"/>
    <w:tmpl w:val="D8F821AC"/>
    <w:lvl w:ilvl="0" w:tplc="0B8EB424">
      <w:start w:val="1"/>
      <w:numFmt w:val="bullet"/>
      <w:lvlText w:val="´"/>
      <w:lvlJc w:val="left"/>
      <w:pPr>
        <w:tabs>
          <w:tab w:val="num" w:pos="720"/>
        </w:tabs>
        <w:ind w:left="720" w:hanging="360"/>
      </w:pPr>
      <w:rPr>
        <w:rFonts w:ascii="Wingdings 3" w:hAnsi="Wingdings 3" w:hint="default"/>
      </w:rPr>
    </w:lvl>
    <w:lvl w:ilvl="1" w:tplc="781685BC" w:tentative="1">
      <w:start w:val="1"/>
      <w:numFmt w:val="bullet"/>
      <w:lvlText w:val="´"/>
      <w:lvlJc w:val="left"/>
      <w:pPr>
        <w:tabs>
          <w:tab w:val="num" w:pos="1440"/>
        </w:tabs>
        <w:ind w:left="1440" w:hanging="360"/>
      </w:pPr>
      <w:rPr>
        <w:rFonts w:ascii="Wingdings 3" w:hAnsi="Wingdings 3" w:hint="default"/>
      </w:rPr>
    </w:lvl>
    <w:lvl w:ilvl="2" w:tplc="21B4657E" w:tentative="1">
      <w:start w:val="1"/>
      <w:numFmt w:val="bullet"/>
      <w:lvlText w:val="´"/>
      <w:lvlJc w:val="left"/>
      <w:pPr>
        <w:tabs>
          <w:tab w:val="num" w:pos="2160"/>
        </w:tabs>
        <w:ind w:left="2160" w:hanging="360"/>
      </w:pPr>
      <w:rPr>
        <w:rFonts w:ascii="Wingdings 3" w:hAnsi="Wingdings 3" w:hint="default"/>
      </w:rPr>
    </w:lvl>
    <w:lvl w:ilvl="3" w:tplc="EF701F28" w:tentative="1">
      <w:start w:val="1"/>
      <w:numFmt w:val="bullet"/>
      <w:lvlText w:val="´"/>
      <w:lvlJc w:val="left"/>
      <w:pPr>
        <w:tabs>
          <w:tab w:val="num" w:pos="2880"/>
        </w:tabs>
        <w:ind w:left="2880" w:hanging="360"/>
      </w:pPr>
      <w:rPr>
        <w:rFonts w:ascii="Wingdings 3" w:hAnsi="Wingdings 3" w:hint="default"/>
      </w:rPr>
    </w:lvl>
    <w:lvl w:ilvl="4" w:tplc="A664C5CE" w:tentative="1">
      <w:start w:val="1"/>
      <w:numFmt w:val="bullet"/>
      <w:lvlText w:val="´"/>
      <w:lvlJc w:val="left"/>
      <w:pPr>
        <w:tabs>
          <w:tab w:val="num" w:pos="3600"/>
        </w:tabs>
        <w:ind w:left="3600" w:hanging="360"/>
      </w:pPr>
      <w:rPr>
        <w:rFonts w:ascii="Wingdings 3" w:hAnsi="Wingdings 3" w:hint="default"/>
      </w:rPr>
    </w:lvl>
    <w:lvl w:ilvl="5" w:tplc="F05CB3DE" w:tentative="1">
      <w:start w:val="1"/>
      <w:numFmt w:val="bullet"/>
      <w:lvlText w:val="´"/>
      <w:lvlJc w:val="left"/>
      <w:pPr>
        <w:tabs>
          <w:tab w:val="num" w:pos="4320"/>
        </w:tabs>
        <w:ind w:left="4320" w:hanging="360"/>
      </w:pPr>
      <w:rPr>
        <w:rFonts w:ascii="Wingdings 3" w:hAnsi="Wingdings 3" w:hint="default"/>
      </w:rPr>
    </w:lvl>
    <w:lvl w:ilvl="6" w:tplc="F8FA5A22" w:tentative="1">
      <w:start w:val="1"/>
      <w:numFmt w:val="bullet"/>
      <w:lvlText w:val="´"/>
      <w:lvlJc w:val="left"/>
      <w:pPr>
        <w:tabs>
          <w:tab w:val="num" w:pos="5040"/>
        </w:tabs>
        <w:ind w:left="5040" w:hanging="360"/>
      </w:pPr>
      <w:rPr>
        <w:rFonts w:ascii="Wingdings 3" w:hAnsi="Wingdings 3" w:hint="default"/>
      </w:rPr>
    </w:lvl>
    <w:lvl w:ilvl="7" w:tplc="676281AE" w:tentative="1">
      <w:start w:val="1"/>
      <w:numFmt w:val="bullet"/>
      <w:lvlText w:val="´"/>
      <w:lvlJc w:val="left"/>
      <w:pPr>
        <w:tabs>
          <w:tab w:val="num" w:pos="5760"/>
        </w:tabs>
        <w:ind w:left="5760" w:hanging="360"/>
      </w:pPr>
      <w:rPr>
        <w:rFonts w:ascii="Wingdings 3" w:hAnsi="Wingdings 3" w:hint="default"/>
      </w:rPr>
    </w:lvl>
    <w:lvl w:ilvl="8" w:tplc="4E6AC0C6"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3503692B"/>
    <w:multiLevelType w:val="hybridMultilevel"/>
    <w:tmpl w:val="D5B89220"/>
    <w:lvl w:ilvl="0" w:tplc="7ACA346C">
      <w:start w:val="1"/>
      <w:numFmt w:val="bullet"/>
      <w:lvlText w:val="•"/>
      <w:lvlJc w:val="left"/>
      <w:pPr>
        <w:tabs>
          <w:tab w:val="num" w:pos="720"/>
        </w:tabs>
        <w:ind w:left="720" w:hanging="360"/>
      </w:pPr>
      <w:rPr>
        <w:rFonts w:ascii="Times New Roman" w:hAnsi="Times New Roman" w:hint="default"/>
      </w:rPr>
    </w:lvl>
    <w:lvl w:ilvl="1" w:tplc="99B66E76" w:tentative="1">
      <w:start w:val="1"/>
      <w:numFmt w:val="bullet"/>
      <w:lvlText w:val="•"/>
      <w:lvlJc w:val="left"/>
      <w:pPr>
        <w:tabs>
          <w:tab w:val="num" w:pos="1440"/>
        </w:tabs>
        <w:ind w:left="1440" w:hanging="360"/>
      </w:pPr>
      <w:rPr>
        <w:rFonts w:ascii="Times New Roman" w:hAnsi="Times New Roman" w:hint="default"/>
      </w:rPr>
    </w:lvl>
    <w:lvl w:ilvl="2" w:tplc="12A0DF2C" w:tentative="1">
      <w:start w:val="1"/>
      <w:numFmt w:val="bullet"/>
      <w:lvlText w:val="•"/>
      <w:lvlJc w:val="left"/>
      <w:pPr>
        <w:tabs>
          <w:tab w:val="num" w:pos="2160"/>
        </w:tabs>
        <w:ind w:left="2160" w:hanging="360"/>
      </w:pPr>
      <w:rPr>
        <w:rFonts w:ascii="Times New Roman" w:hAnsi="Times New Roman" w:hint="default"/>
      </w:rPr>
    </w:lvl>
    <w:lvl w:ilvl="3" w:tplc="5A7CC358" w:tentative="1">
      <w:start w:val="1"/>
      <w:numFmt w:val="bullet"/>
      <w:lvlText w:val="•"/>
      <w:lvlJc w:val="left"/>
      <w:pPr>
        <w:tabs>
          <w:tab w:val="num" w:pos="2880"/>
        </w:tabs>
        <w:ind w:left="2880" w:hanging="360"/>
      </w:pPr>
      <w:rPr>
        <w:rFonts w:ascii="Times New Roman" w:hAnsi="Times New Roman" w:hint="default"/>
      </w:rPr>
    </w:lvl>
    <w:lvl w:ilvl="4" w:tplc="BFD252E0" w:tentative="1">
      <w:start w:val="1"/>
      <w:numFmt w:val="bullet"/>
      <w:lvlText w:val="•"/>
      <w:lvlJc w:val="left"/>
      <w:pPr>
        <w:tabs>
          <w:tab w:val="num" w:pos="3600"/>
        </w:tabs>
        <w:ind w:left="3600" w:hanging="360"/>
      </w:pPr>
      <w:rPr>
        <w:rFonts w:ascii="Times New Roman" w:hAnsi="Times New Roman" w:hint="default"/>
      </w:rPr>
    </w:lvl>
    <w:lvl w:ilvl="5" w:tplc="CB8E8A70" w:tentative="1">
      <w:start w:val="1"/>
      <w:numFmt w:val="bullet"/>
      <w:lvlText w:val="•"/>
      <w:lvlJc w:val="left"/>
      <w:pPr>
        <w:tabs>
          <w:tab w:val="num" w:pos="4320"/>
        </w:tabs>
        <w:ind w:left="4320" w:hanging="360"/>
      </w:pPr>
      <w:rPr>
        <w:rFonts w:ascii="Times New Roman" w:hAnsi="Times New Roman" w:hint="default"/>
      </w:rPr>
    </w:lvl>
    <w:lvl w:ilvl="6" w:tplc="8F3A157A" w:tentative="1">
      <w:start w:val="1"/>
      <w:numFmt w:val="bullet"/>
      <w:lvlText w:val="•"/>
      <w:lvlJc w:val="left"/>
      <w:pPr>
        <w:tabs>
          <w:tab w:val="num" w:pos="5040"/>
        </w:tabs>
        <w:ind w:left="5040" w:hanging="360"/>
      </w:pPr>
      <w:rPr>
        <w:rFonts w:ascii="Times New Roman" w:hAnsi="Times New Roman" w:hint="default"/>
      </w:rPr>
    </w:lvl>
    <w:lvl w:ilvl="7" w:tplc="6AE699DC" w:tentative="1">
      <w:start w:val="1"/>
      <w:numFmt w:val="bullet"/>
      <w:lvlText w:val="•"/>
      <w:lvlJc w:val="left"/>
      <w:pPr>
        <w:tabs>
          <w:tab w:val="num" w:pos="5760"/>
        </w:tabs>
        <w:ind w:left="5760" w:hanging="360"/>
      </w:pPr>
      <w:rPr>
        <w:rFonts w:ascii="Times New Roman" w:hAnsi="Times New Roman" w:hint="default"/>
      </w:rPr>
    </w:lvl>
    <w:lvl w:ilvl="8" w:tplc="36B4205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5303FBE"/>
    <w:multiLevelType w:val="hybridMultilevel"/>
    <w:tmpl w:val="96607448"/>
    <w:lvl w:ilvl="0" w:tplc="08090001">
      <w:start w:val="1"/>
      <w:numFmt w:val="bullet"/>
      <w:lvlText w:val=""/>
      <w:lvlJc w:val="left"/>
      <w:pPr>
        <w:ind w:left="720" w:hanging="360"/>
      </w:pPr>
      <w:rPr>
        <w:rFonts w:ascii="Symbol" w:hAnsi="Symbol" w:hint="default"/>
      </w:rPr>
    </w:lvl>
    <w:lvl w:ilvl="1" w:tplc="77F0D518">
      <w:numFmt w:val="bullet"/>
      <w:lvlText w:val="-"/>
      <w:lvlJc w:val="left"/>
      <w:pPr>
        <w:ind w:left="1440" w:hanging="360"/>
      </w:pPr>
      <w:rPr>
        <w:rFonts w:ascii="Helvetica" w:eastAsiaTheme="minorHAnsi" w:hAnsi="Helvetica" w:cs="Helvetica" w:hint="default"/>
        <w:b w:val="0"/>
        <w:color w:val="000000"/>
        <w:sz w:val="26"/>
        <w:u w:val="none"/>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325929"/>
    <w:multiLevelType w:val="hybridMultilevel"/>
    <w:tmpl w:val="6610D8B2"/>
    <w:lvl w:ilvl="0" w:tplc="E6585120">
      <w:start w:val="1"/>
      <w:numFmt w:val="bullet"/>
      <w:lvlText w:val="´"/>
      <w:lvlJc w:val="left"/>
      <w:pPr>
        <w:tabs>
          <w:tab w:val="num" w:pos="720"/>
        </w:tabs>
        <w:ind w:left="720" w:hanging="360"/>
      </w:pPr>
      <w:rPr>
        <w:rFonts w:ascii="Wingdings 3" w:hAnsi="Wingdings 3" w:hint="default"/>
      </w:rPr>
    </w:lvl>
    <w:lvl w:ilvl="1" w:tplc="96105ECE" w:tentative="1">
      <w:start w:val="1"/>
      <w:numFmt w:val="bullet"/>
      <w:lvlText w:val="´"/>
      <w:lvlJc w:val="left"/>
      <w:pPr>
        <w:tabs>
          <w:tab w:val="num" w:pos="1440"/>
        </w:tabs>
        <w:ind w:left="1440" w:hanging="360"/>
      </w:pPr>
      <w:rPr>
        <w:rFonts w:ascii="Wingdings 3" w:hAnsi="Wingdings 3" w:hint="default"/>
      </w:rPr>
    </w:lvl>
    <w:lvl w:ilvl="2" w:tplc="6ED8E9F4" w:tentative="1">
      <w:start w:val="1"/>
      <w:numFmt w:val="bullet"/>
      <w:lvlText w:val="´"/>
      <w:lvlJc w:val="left"/>
      <w:pPr>
        <w:tabs>
          <w:tab w:val="num" w:pos="2160"/>
        </w:tabs>
        <w:ind w:left="2160" w:hanging="360"/>
      </w:pPr>
      <w:rPr>
        <w:rFonts w:ascii="Wingdings 3" w:hAnsi="Wingdings 3" w:hint="default"/>
      </w:rPr>
    </w:lvl>
    <w:lvl w:ilvl="3" w:tplc="EE7A5D86" w:tentative="1">
      <w:start w:val="1"/>
      <w:numFmt w:val="bullet"/>
      <w:lvlText w:val="´"/>
      <w:lvlJc w:val="left"/>
      <w:pPr>
        <w:tabs>
          <w:tab w:val="num" w:pos="2880"/>
        </w:tabs>
        <w:ind w:left="2880" w:hanging="360"/>
      </w:pPr>
      <w:rPr>
        <w:rFonts w:ascii="Wingdings 3" w:hAnsi="Wingdings 3" w:hint="default"/>
      </w:rPr>
    </w:lvl>
    <w:lvl w:ilvl="4" w:tplc="5C221440" w:tentative="1">
      <w:start w:val="1"/>
      <w:numFmt w:val="bullet"/>
      <w:lvlText w:val="´"/>
      <w:lvlJc w:val="left"/>
      <w:pPr>
        <w:tabs>
          <w:tab w:val="num" w:pos="3600"/>
        </w:tabs>
        <w:ind w:left="3600" w:hanging="360"/>
      </w:pPr>
      <w:rPr>
        <w:rFonts w:ascii="Wingdings 3" w:hAnsi="Wingdings 3" w:hint="default"/>
      </w:rPr>
    </w:lvl>
    <w:lvl w:ilvl="5" w:tplc="433A8CDA" w:tentative="1">
      <w:start w:val="1"/>
      <w:numFmt w:val="bullet"/>
      <w:lvlText w:val="´"/>
      <w:lvlJc w:val="left"/>
      <w:pPr>
        <w:tabs>
          <w:tab w:val="num" w:pos="4320"/>
        </w:tabs>
        <w:ind w:left="4320" w:hanging="360"/>
      </w:pPr>
      <w:rPr>
        <w:rFonts w:ascii="Wingdings 3" w:hAnsi="Wingdings 3" w:hint="default"/>
      </w:rPr>
    </w:lvl>
    <w:lvl w:ilvl="6" w:tplc="24007E2A" w:tentative="1">
      <w:start w:val="1"/>
      <w:numFmt w:val="bullet"/>
      <w:lvlText w:val="´"/>
      <w:lvlJc w:val="left"/>
      <w:pPr>
        <w:tabs>
          <w:tab w:val="num" w:pos="5040"/>
        </w:tabs>
        <w:ind w:left="5040" w:hanging="360"/>
      </w:pPr>
      <w:rPr>
        <w:rFonts w:ascii="Wingdings 3" w:hAnsi="Wingdings 3" w:hint="default"/>
      </w:rPr>
    </w:lvl>
    <w:lvl w:ilvl="7" w:tplc="6E44C2D0" w:tentative="1">
      <w:start w:val="1"/>
      <w:numFmt w:val="bullet"/>
      <w:lvlText w:val="´"/>
      <w:lvlJc w:val="left"/>
      <w:pPr>
        <w:tabs>
          <w:tab w:val="num" w:pos="5760"/>
        </w:tabs>
        <w:ind w:left="5760" w:hanging="360"/>
      </w:pPr>
      <w:rPr>
        <w:rFonts w:ascii="Wingdings 3" w:hAnsi="Wingdings 3" w:hint="default"/>
      </w:rPr>
    </w:lvl>
    <w:lvl w:ilvl="8" w:tplc="5748DF3C"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FA65C3C"/>
    <w:multiLevelType w:val="hybridMultilevel"/>
    <w:tmpl w:val="9DA44B2E"/>
    <w:lvl w:ilvl="0" w:tplc="0809000F">
      <w:start w:val="1"/>
      <w:numFmt w:val="decimal"/>
      <w:lvlText w:val="%1."/>
      <w:lvlJc w:val="left"/>
      <w:pPr>
        <w:ind w:left="720" w:hanging="360"/>
      </w:pPr>
      <w:rPr>
        <w:rFont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53EB31CB"/>
    <w:multiLevelType w:val="hybridMultilevel"/>
    <w:tmpl w:val="9DA44B2E"/>
    <w:lvl w:ilvl="0" w:tplc="0809000F">
      <w:start w:val="1"/>
      <w:numFmt w:val="decimal"/>
      <w:lvlText w:val="%1."/>
      <w:lvlJc w:val="left"/>
      <w:pPr>
        <w:ind w:left="720" w:hanging="360"/>
      </w:pPr>
      <w:rPr>
        <w:rFont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6FBA0B8B"/>
    <w:multiLevelType w:val="hybridMultilevel"/>
    <w:tmpl w:val="9DA44B2E"/>
    <w:lvl w:ilvl="0" w:tplc="0809000F">
      <w:start w:val="1"/>
      <w:numFmt w:val="decimal"/>
      <w:lvlText w:val="%1."/>
      <w:lvlJc w:val="left"/>
      <w:pPr>
        <w:ind w:left="720" w:hanging="360"/>
      </w:pPr>
      <w:rPr>
        <w:rFont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72BD1C0C"/>
    <w:multiLevelType w:val="hybridMultilevel"/>
    <w:tmpl w:val="3094E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FE1199"/>
    <w:multiLevelType w:val="hybridMultilevel"/>
    <w:tmpl w:val="007A8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F52FE6"/>
    <w:multiLevelType w:val="hybridMultilevel"/>
    <w:tmpl w:val="9DA44B2E"/>
    <w:lvl w:ilvl="0" w:tplc="0809000F">
      <w:start w:val="1"/>
      <w:numFmt w:val="decimal"/>
      <w:lvlText w:val="%1."/>
      <w:lvlJc w:val="left"/>
      <w:pPr>
        <w:ind w:left="720" w:hanging="360"/>
      </w:pPr>
      <w:rPr>
        <w:rFont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7FFD68DD"/>
    <w:multiLevelType w:val="hybridMultilevel"/>
    <w:tmpl w:val="658AE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0"/>
  </w:num>
  <w:num w:numId="4">
    <w:abstractNumId w:val="5"/>
  </w:num>
  <w:num w:numId="5">
    <w:abstractNumId w:val="3"/>
  </w:num>
  <w:num w:numId="6">
    <w:abstractNumId w:val="13"/>
  </w:num>
  <w:num w:numId="7">
    <w:abstractNumId w:val="10"/>
  </w:num>
  <w:num w:numId="8">
    <w:abstractNumId w:val="18"/>
  </w:num>
  <w:num w:numId="9">
    <w:abstractNumId w:val="15"/>
  </w:num>
  <w:num w:numId="10">
    <w:abstractNumId w:val="1"/>
  </w:num>
  <w:num w:numId="11">
    <w:abstractNumId w:val="8"/>
  </w:num>
  <w:num w:numId="12">
    <w:abstractNumId w:val="16"/>
  </w:num>
  <w:num w:numId="13">
    <w:abstractNumId w:val="12"/>
  </w:num>
  <w:num w:numId="14">
    <w:abstractNumId w:val="9"/>
  </w:num>
  <w:num w:numId="15">
    <w:abstractNumId w:val="4"/>
  </w:num>
  <w:num w:numId="16">
    <w:abstractNumId w:val="14"/>
  </w:num>
  <w:num w:numId="17">
    <w:abstractNumId w:val="17"/>
  </w:num>
  <w:num w:numId="18">
    <w:abstractNumId w:val="6"/>
  </w:num>
  <w:num w:numId="19">
    <w:abstractNumId w:val="19"/>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1FF"/>
    <w:rsid w:val="00015D4A"/>
    <w:rsid w:val="00021E64"/>
    <w:rsid w:val="000301C6"/>
    <w:rsid w:val="000426DF"/>
    <w:rsid w:val="000426FE"/>
    <w:rsid w:val="000533B5"/>
    <w:rsid w:val="000659A8"/>
    <w:rsid w:val="000670D3"/>
    <w:rsid w:val="00075115"/>
    <w:rsid w:val="00085366"/>
    <w:rsid w:val="000A297A"/>
    <w:rsid w:val="000A5BDC"/>
    <w:rsid w:val="000B00B2"/>
    <w:rsid w:val="000B5883"/>
    <w:rsid w:val="000C3485"/>
    <w:rsid w:val="000C5229"/>
    <w:rsid w:val="000E2230"/>
    <w:rsid w:val="001251F1"/>
    <w:rsid w:val="00126B1C"/>
    <w:rsid w:val="001358A3"/>
    <w:rsid w:val="00137815"/>
    <w:rsid w:val="00156F3C"/>
    <w:rsid w:val="00157370"/>
    <w:rsid w:val="0015752E"/>
    <w:rsid w:val="001601DD"/>
    <w:rsid w:val="001708D0"/>
    <w:rsid w:val="00177440"/>
    <w:rsid w:val="00191465"/>
    <w:rsid w:val="001B2620"/>
    <w:rsid w:val="001C174E"/>
    <w:rsid w:val="001D42C4"/>
    <w:rsid w:val="001E1551"/>
    <w:rsid w:val="001E2D95"/>
    <w:rsid w:val="001E4D94"/>
    <w:rsid w:val="001E6E90"/>
    <w:rsid w:val="0021619E"/>
    <w:rsid w:val="00220877"/>
    <w:rsid w:val="00227704"/>
    <w:rsid w:val="00235C6D"/>
    <w:rsid w:val="00256C30"/>
    <w:rsid w:val="00257D63"/>
    <w:rsid w:val="00260DEA"/>
    <w:rsid w:val="00261A96"/>
    <w:rsid w:val="002627B7"/>
    <w:rsid w:val="0027458C"/>
    <w:rsid w:val="00291915"/>
    <w:rsid w:val="002938EA"/>
    <w:rsid w:val="002A4DFD"/>
    <w:rsid w:val="002A7251"/>
    <w:rsid w:val="002B16C9"/>
    <w:rsid w:val="002B5639"/>
    <w:rsid w:val="002C4A33"/>
    <w:rsid w:val="002D6F96"/>
    <w:rsid w:val="002E2F45"/>
    <w:rsid w:val="002F5154"/>
    <w:rsid w:val="003017EE"/>
    <w:rsid w:val="00307736"/>
    <w:rsid w:val="00307EA0"/>
    <w:rsid w:val="00321CBC"/>
    <w:rsid w:val="00325303"/>
    <w:rsid w:val="003310C2"/>
    <w:rsid w:val="00344D29"/>
    <w:rsid w:val="00360B7C"/>
    <w:rsid w:val="00383B70"/>
    <w:rsid w:val="00387AA0"/>
    <w:rsid w:val="00396322"/>
    <w:rsid w:val="003A24AB"/>
    <w:rsid w:val="003A74DF"/>
    <w:rsid w:val="003B37C6"/>
    <w:rsid w:val="003B6B3B"/>
    <w:rsid w:val="003D6A23"/>
    <w:rsid w:val="003E24D9"/>
    <w:rsid w:val="003E4AA4"/>
    <w:rsid w:val="003E73E9"/>
    <w:rsid w:val="00422EC9"/>
    <w:rsid w:val="00425349"/>
    <w:rsid w:val="004306B6"/>
    <w:rsid w:val="00431B44"/>
    <w:rsid w:val="00436156"/>
    <w:rsid w:val="004418C9"/>
    <w:rsid w:val="0044433B"/>
    <w:rsid w:val="00445F42"/>
    <w:rsid w:val="004619C3"/>
    <w:rsid w:val="00482B41"/>
    <w:rsid w:val="004A3AA9"/>
    <w:rsid w:val="004A3FB2"/>
    <w:rsid w:val="004D3C3E"/>
    <w:rsid w:val="004D475C"/>
    <w:rsid w:val="004D7774"/>
    <w:rsid w:val="004F091D"/>
    <w:rsid w:val="004F1015"/>
    <w:rsid w:val="004F6A9D"/>
    <w:rsid w:val="005045AE"/>
    <w:rsid w:val="00512AAD"/>
    <w:rsid w:val="00530478"/>
    <w:rsid w:val="00545706"/>
    <w:rsid w:val="005602E6"/>
    <w:rsid w:val="00564FE9"/>
    <w:rsid w:val="00571374"/>
    <w:rsid w:val="005872F4"/>
    <w:rsid w:val="005904CF"/>
    <w:rsid w:val="0059731A"/>
    <w:rsid w:val="005B18D9"/>
    <w:rsid w:val="005C0F7F"/>
    <w:rsid w:val="005C4777"/>
    <w:rsid w:val="005D0D76"/>
    <w:rsid w:val="005E457D"/>
    <w:rsid w:val="006259E5"/>
    <w:rsid w:val="006375D4"/>
    <w:rsid w:val="006450CE"/>
    <w:rsid w:val="00650678"/>
    <w:rsid w:val="0065611E"/>
    <w:rsid w:val="00661AEA"/>
    <w:rsid w:val="0066218E"/>
    <w:rsid w:val="006814F9"/>
    <w:rsid w:val="006A4DD1"/>
    <w:rsid w:val="006A60C1"/>
    <w:rsid w:val="006B7BFC"/>
    <w:rsid w:val="006C2B16"/>
    <w:rsid w:val="006E482C"/>
    <w:rsid w:val="006E796A"/>
    <w:rsid w:val="006F240C"/>
    <w:rsid w:val="006F542D"/>
    <w:rsid w:val="007004BD"/>
    <w:rsid w:val="00740CB8"/>
    <w:rsid w:val="007507C5"/>
    <w:rsid w:val="007671FF"/>
    <w:rsid w:val="0077130B"/>
    <w:rsid w:val="0077732C"/>
    <w:rsid w:val="007776A4"/>
    <w:rsid w:val="007836C6"/>
    <w:rsid w:val="00783763"/>
    <w:rsid w:val="00783DC4"/>
    <w:rsid w:val="00791C74"/>
    <w:rsid w:val="00797022"/>
    <w:rsid w:val="007B303E"/>
    <w:rsid w:val="007B56FD"/>
    <w:rsid w:val="007C1D83"/>
    <w:rsid w:val="007C6250"/>
    <w:rsid w:val="007C6760"/>
    <w:rsid w:val="007E2196"/>
    <w:rsid w:val="007E56F1"/>
    <w:rsid w:val="007E7133"/>
    <w:rsid w:val="007F05C0"/>
    <w:rsid w:val="00810CB9"/>
    <w:rsid w:val="00837B82"/>
    <w:rsid w:val="0087207C"/>
    <w:rsid w:val="00886E9A"/>
    <w:rsid w:val="00891045"/>
    <w:rsid w:val="00896770"/>
    <w:rsid w:val="008B2B9C"/>
    <w:rsid w:val="008B3812"/>
    <w:rsid w:val="008D0E42"/>
    <w:rsid w:val="008D5CB8"/>
    <w:rsid w:val="008E044B"/>
    <w:rsid w:val="008E2C1C"/>
    <w:rsid w:val="008E4817"/>
    <w:rsid w:val="008F10E5"/>
    <w:rsid w:val="008F2FA2"/>
    <w:rsid w:val="0090082D"/>
    <w:rsid w:val="009016C8"/>
    <w:rsid w:val="009029F0"/>
    <w:rsid w:val="009339E1"/>
    <w:rsid w:val="0095642D"/>
    <w:rsid w:val="009614DD"/>
    <w:rsid w:val="0096316D"/>
    <w:rsid w:val="00970D6A"/>
    <w:rsid w:val="009A0979"/>
    <w:rsid w:val="009A636E"/>
    <w:rsid w:val="009D0DDE"/>
    <w:rsid w:val="009E788D"/>
    <w:rsid w:val="009F4E1F"/>
    <w:rsid w:val="00A17394"/>
    <w:rsid w:val="00A4070E"/>
    <w:rsid w:val="00A46121"/>
    <w:rsid w:val="00A655C7"/>
    <w:rsid w:val="00A849A7"/>
    <w:rsid w:val="00A931E3"/>
    <w:rsid w:val="00A96D95"/>
    <w:rsid w:val="00A97FCF"/>
    <w:rsid w:val="00AA3573"/>
    <w:rsid w:val="00AA6C53"/>
    <w:rsid w:val="00AB13AC"/>
    <w:rsid w:val="00AB3B15"/>
    <w:rsid w:val="00AC0C3C"/>
    <w:rsid w:val="00AC3938"/>
    <w:rsid w:val="00AD232A"/>
    <w:rsid w:val="00AD64B8"/>
    <w:rsid w:val="00AE01FE"/>
    <w:rsid w:val="00AE08B3"/>
    <w:rsid w:val="00AE23DA"/>
    <w:rsid w:val="00AE6260"/>
    <w:rsid w:val="00AF31DA"/>
    <w:rsid w:val="00B064FE"/>
    <w:rsid w:val="00B07822"/>
    <w:rsid w:val="00B1403F"/>
    <w:rsid w:val="00B16986"/>
    <w:rsid w:val="00B23D45"/>
    <w:rsid w:val="00B31C29"/>
    <w:rsid w:val="00B36A27"/>
    <w:rsid w:val="00B43FB4"/>
    <w:rsid w:val="00B7202E"/>
    <w:rsid w:val="00B73372"/>
    <w:rsid w:val="00B8399F"/>
    <w:rsid w:val="00B919A3"/>
    <w:rsid w:val="00B92799"/>
    <w:rsid w:val="00B92F9D"/>
    <w:rsid w:val="00B97825"/>
    <w:rsid w:val="00BA3703"/>
    <w:rsid w:val="00BA4817"/>
    <w:rsid w:val="00BC6184"/>
    <w:rsid w:val="00BC75F3"/>
    <w:rsid w:val="00BD27F0"/>
    <w:rsid w:val="00BE2DBC"/>
    <w:rsid w:val="00BF06D3"/>
    <w:rsid w:val="00BF1DA0"/>
    <w:rsid w:val="00C13E25"/>
    <w:rsid w:val="00C15B46"/>
    <w:rsid w:val="00C269AB"/>
    <w:rsid w:val="00C276DF"/>
    <w:rsid w:val="00C31D3D"/>
    <w:rsid w:val="00C41AE9"/>
    <w:rsid w:val="00C43159"/>
    <w:rsid w:val="00C53BD2"/>
    <w:rsid w:val="00C55592"/>
    <w:rsid w:val="00C746B5"/>
    <w:rsid w:val="00C755EB"/>
    <w:rsid w:val="00C76290"/>
    <w:rsid w:val="00C77917"/>
    <w:rsid w:val="00C814A6"/>
    <w:rsid w:val="00CA7A0B"/>
    <w:rsid w:val="00CB67A0"/>
    <w:rsid w:val="00CD098C"/>
    <w:rsid w:val="00CE75EF"/>
    <w:rsid w:val="00D04168"/>
    <w:rsid w:val="00D438A9"/>
    <w:rsid w:val="00D63E4E"/>
    <w:rsid w:val="00D7097E"/>
    <w:rsid w:val="00D82F00"/>
    <w:rsid w:val="00D87A40"/>
    <w:rsid w:val="00DA388D"/>
    <w:rsid w:val="00DA4C96"/>
    <w:rsid w:val="00DC3FF2"/>
    <w:rsid w:val="00DC6F5C"/>
    <w:rsid w:val="00DE2C4C"/>
    <w:rsid w:val="00DF1343"/>
    <w:rsid w:val="00E00CAA"/>
    <w:rsid w:val="00E17876"/>
    <w:rsid w:val="00E236C4"/>
    <w:rsid w:val="00E24825"/>
    <w:rsid w:val="00E2520E"/>
    <w:rsid w:val="00E254AD"/>
    <w:rsid w:val="00E26E50"/>
    <w:rsid w:val="00E36DB2"/>
    <w:rsid w:val="00E41C21"/>
    <w:rsid w:val="00E45303"/>
    <w:rsid w:val="00E646D1"/>
    <w:rsid w:val="00E67BB5"/>
    <w:rsid w:val="00E67E90"/>
    <w:rsid w:val="00E72535"/>
    <w:rsid w:val="00E73FF4"/>
    <w:rsid w:val="00E760AA"/>
    <w:rsid w:val="00E81B9E"/>
    <w:rsid w:val="00E81ED7"/>
    <w:rsid w:val="00EA27EB"/>
    <w:rsid w:val="00EA463E"/>
    <w:rsid w:val="00EA5DB8"/>
    <w:rsid w:val="00EB3225"/>
    <w:rsid w:val="00EC4C32"/>
    <w:rsid w:val="00F032E8"/>
    <w:rsid w:val="00F05205"/>
    <w:rsid w:val="00F06F4A"/>
    <w:rsid w:val="00F16C8D"/>
    <w:rsid w:val="00F20620"/>
    <w:rsid w:val="00F22DF6"/>
    <w:rsid w:val="00F439DC"/>
    <w:rsid w:val="00F45916"/>
    <w:rsid w:val="00F53418"/>
    <w:rsid w:val="00F53B8A"/>
    <w:rsid w:val="00F62163"/>
    <w:rsid w:val="00F6646C"/>
    <w:rsid w:val="00F66861"/>
    <w:rsid w:val="00F85B9F"/>
    <w:rsid w:val="00F96A1D"/>
    <w:rsid w:val="00FC39EC"/>
    <w:rsid w:val="00FC5D6F"/>
    <w:rsid w:val="00FD3710"/>
    <w:rsid w:val="00FE0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790033"/>
  <w15:chartTrackingRefBased/>
  <w15:docId w15:val="{4425CFCC-6038-844D-B707-D5793D882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799"/>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671FF"/>
    <w:pPr>
      <w:spacing w:before="100" w:beforeAutospacing="1" w:after="100" w:afterAutospacing="1"/>
    </w:pPr>
  </w:style>
  <w:style w:type="character" w:customStyle="1" w:styleId="normaltextrun">
    <w:name w:val="normaltextrun"/>
    <w:basedOn w:val="DefaultParagraphFont"/>
    <w:rsid w:val="007671FF"/>
  </w:style>
  <w:style w:type="character" w:customStyle="1" w:styleId="eop">
    <w:name w:val="eop"/>
    <w:basedOn w:val="DefaultParagraphFont"/>
    <w:rsid w:val="007671FF"/>
  </w:style>
  <w:style w:type="paragraph" w:styleId="ListParagraph">
    <w:name w:val="List Paragraph"/>
    <w:basedOn w:val="Normal"/>
    <w:uiPriority w:val="34"/>
    <w:qFormat/>
    <w:rsid w:val="007836C6"/>
    <w:pPr>
      <w:ind w:left="720"/>
      <w:contextualSpacing/>
    </w:pPr>
  </w:style>
  <w:style w:type="character" w:styleId="Hyperlink">
    <w:name w:val="Hyperlink"/>
    <w:basedOn w:val="DefaultParagraphFont"/>
    <w:uiPriority w:val="99"/>
    <w:unhideWhenUsed/>
    <w:rsid w:val="00783DC4"/>
    <w:rPr>
      <w:color w:val="0563C1" w:themeColor="hyperlink"/>
      <w:u w:val="single"/>
    </w:rPr>
  </w:style>
  <w:style w:type="character" w:styleId="UnresolvedMention">
    <w:name w:val="Unresolved Mention"/>
    <w:basedOn w:val="DefaultParagraphFont"/>
    <w:uiPriority w:val="99"/>
    <w:semiHidden/>
    <w:unhideWhenUsed/>
    <w:rsid w:val="00783DC4"/>
    <w:rPr>
      <w:color w:val="605E5C"/>
      <w:shd w:val="clear" w:color="auto" w:fill="E1DFDD"/>
    </w:rPr>
  </w:style>
  <w:style w:type="character" w:styleId="FollowedHyperlink">
    <w:name w:val="FollowedHyperlink"/>
    <w:basedOn w:val="DefaultParagraphFont"/>
    <w:uiPriority w:val="99"/>
    <w:semiHidden/>
    <w:unhideWhenUsed/>
    <w:rsid w:val="00FE0553"/>
    <w:rPr>
      <w:color w:val="954F72" w:themeColor="followedHyperlink"/>
      <w:u w:val="single"/>
    </w:rPr>
  </w:style>
  <w:style w:type="character" w:styleId="Emphasis">
    <w:name w:val="Emphasis"/>
    <w:basedOn w:val="DefaultParagraphFont"/>
    <w:uiPriority w:val="20"/>
    <w:qFormat/>
    <w:rsid w:val="00FE0553"/>
    <w:rPr>
      <w:i/>
      <w:iCs/>
    </w:rPr>
  </w:style>
  <w:style w:type="paragraph" w:styleId="NormalWeb">
    <w:name w:val="Normal (Web)"/>
    <w:basedOn w:val="Normal"/>
    <w:uiPriority w:val="99"/>
    <w:semiHidden/>
    <w:unhideWhenUsed/>
    <w:rsid w:val="00BF1DA0"/>
  </w:style>
  <w:style w:type="character" w:customStyle="1" w:styleId="apple-converted-space">
    <w:name w:val="apple-converted-space"/>
    <w:basedOn w:val="DefaultParagraphFont"/>
    <w:rsid w:val="006A60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36270">
      <w:bodyDiv w:val="1"/>
      <w:marLeft w:val="0"/>
      <w:marRight w:val="0"/>
      <w:marTop w:val="0"/>
      <w:marBottom w:val="0"/>
      <w:divBdr>
        <w:top w:val="none" w:sz="0" w:space="0" w:color="auto"/>
        <w:left w:val="none" w:sz="0" w:space="0" w:color="auto"/>
        <w:bottom w:val="none" w:sz="0" w:space="0" w:color="auto"/>
        <w:right w:val="none" w:sz="0" w:space="0" w:color="auto"/>
      </w:divBdr>
    </w:div>
    <w:div w:id="45179106">
      <w:bodyDiv w:val="1"/>
      <w:marLeft w:val="0"/>
      <w:marRight w:val="0"/>
      <w:marTop w:val="0"/>
      <w:marBottom w:val="0"/>
      <w:divBdr>
        <w:top w:val="none" w:sz="0" w:space="0" w:color="auto"/>
        <w:left w:val="none" w:sz="0" w:space="0" w:color="auto"/>
        <w:bottom w:val="none" w:sz="0" w:space="0" w:color="auto"/>
        <w:right w:val="none" w:sz="0" w:space="0" w:color="auto"/>
      </w:divBdr>
    </w:div>
    <w:div w:id="126166258">
      <w:bodyDiv w:val="1"/>
      <w:marLeft w:val="0"/>
      <w:marRight w:val="0"/>
      <w:marTop w:val="0"/>
      <w:marBottom w:val="0"/>
      <w:divBdr>
        <w:top w:val="none" w:sz="0" w:space="0" w:color="auto"/>
        <w:left w:val="none" w:sz="0" w:space="0" w:color="auto"/>
        <w:bottom w:val="none" w:sz="0" w:space="0" w:color="auto"/>
        <w:right w:val="none" w:sz="0" w:space="0" w:color="auto"/>
      </w:divBdr>
      <w:divsChild>
        <w:div w:id="1866597229">
          <w:marLeft w:val="547"/>
          <w:marRight w:val="0"/>
          <w:marTop w:val="200"/>
          <w:marBottom w:val="0"/>
          <w:divBdr>
            <w:top w:val="none" w:sz="0" w:space="0" w:color="auto"/>
            <w:left w:val="none" w:sz="0" w:space="0" w:color="auto"/>
            <w:bottom w:val="none" w:sz="0" w:space="0" w:color="auto"/>
            <w:right w:val="none" w:sz="0" w:space="0" w:color="auto"/>
          </w:divBdr>
        </w:div>
      </w:divsChild>
    </w:div>
    <w:div w:id="127478352">
      <w:bodyDiv w:val="1"/>
      <w:marLeft w:val="0"/>
      <w:marRight w:val="0"/>
      <w:marTop w:val="0"/>
      <w:marBottom w:val="0"/>
      <w:divBdr>
        <w:top w:val="none" w:sz="0" w:space="0" w:color="auto"/>
        <w:left w:val="none" w:sz="0" w:space="0" w:color="auto"/>
        <w:bottom w:val="none" w:sz="0" w:space="0" w:color="auto"/>
        <w:right w:val="none" w:sz="0" w:space="0" w:color="auto"/>
      </w:divBdr>
    </w:div>
    <w:div w:id="127629678">
      <w:bodyDiv w:val="1"/>
      <w:marLeft w:val="0"/>
      <w:marRight w:val="0"/>
      <w:marTop w:val="0"/>
      <w:marBottom w:val="0"/>
      <w:divBdr>
        <w:top w:val="none" w:sz="0" w:space="0" w:color="auto"/>
        <w:left w:val="none" w:sz="0" w:space="0" w:color="auto"/>
        <w:bottom w:val="none" w:sz="0" w:space="0" w:color="auto"/>
        <w:right w:val="none" w:sz="0" w:space="0" w:color="auto"/>
      </w:divBdr>
    </w:div>
    <w:div w:id="205610196">
      <w:bodyDiv w:val="1"/>
      <w:marLeft w:val="0"/>
      <w:marRight w:val="0"/>
      <w:marTop w:val="0"/>
      <w:marBottom w:val="0"/>
      <w:divBdr>
        <w:top w:val="none" w:sz="0" w:space="0" w:color="auto"/>
        <w:left w:val="none" w:sz="0" w:space="0" w:color="auto"/>
        <w:bottom w:val="none" w:sz="0" w:space="0" w:color="auto"/>
        <w:right w:val="none" w:sz="0" w:space="0" w:color="auto"/>
      </w:divBdr>
    </w:div>
    <w:div w:id="206918806">
      <w:bodyDiv w:val="1"/>
      <w:marLeft w:val="0"/>
      <w:marRight w:val="0"/>
      <w:marTop w:val="0"/>
      <w:marBottom w:val="0"/>
      <w:divBdr>
        <w:top w:val="none" w:sz="0" w:space="0" w:color="auto"/>
        <w:left w:val="none" w:sz="0" w:space="0" w:color="auto"/>
        <w:bottom w:val="none" w:sz="0" w:space="0" w:color="auto"/>
        <w:right w:val="none" w:sz="0" w:space="0" w:color="auto"/>
      </w:divBdr>
    </w:div>
    <w:div w:id="225801920">
      <w:bodyDiv w:val="1"/>
      <w:marLeft w:val="0"/>
      <w:marRight w:val="0"/>
      <w:marTop w:val="0"/>
      <w:marBottom w:val="0"/>
      <w:divBdr>
        <w:top w:val="none" w:sz="0" w:space="0" w:color="auto"/>
        <w:left w:val="none" w:sz="0" w:space="0" w:color="auto"/>
        <w:bottom w:val="none" w:sz="0" w:space="0" w:color="auto"/>
        <w:right w:val="none" w:sz="0" w:space="0" w:color="auto"/>
      </w:divBdr>
    </w:div>
    <w:div w:id="244414947">
      <w:bodyDiv w:val="1"/>
      <w:marLeft w:val="0"/>
      <w:marRight w:val="0"/>
      <w:marTop w:val="0"/>
      <w:marBottom w:val="0"/>
      <w:divBdr>
        <w:top w:val="none" w:sz="0" w:space="0" w:color="auto"/>
        <w:left w:val="none" w:sz="0" w:space="0" w:color="auto"/>
        <w:bottom w:val="none" w:sz="0" w:space="0" w:color="auto"/>
        <w:right w:val="none" w:sz="0" w:space="0" w:color="auto"/>
      </w:divBdr>
    </w:div>
    <w:div w:id="255746832">
      <w:bodyDiv w:val="1"/>
      <w:marLeft w:val="0"/>
      <w:marRight w:val="0"/>
      <w:marTop w:val="0"/>
      <w:marBottom w:val="0"/>
      <w:divBdr>
        <w:top w:val="none" w:sz="0" w:space="0" w:color="auto"/>
        <w:left w:val="none" w:sz="0" w:space="0" w:color="auto"/>
        <w:bottom w:val="none" w:sz="0" w:space="0" w:color="auto"/>
        <w:right w:val="none" w:sz="0" w:space="0" w:color="auto"/>
      </w:divBdr>
    </w:div>
    <w:div w:id="276836332">
      <w:bodyDiv w:val="1"/>
      <w:marLeft w:val="0"/>
      <w:marRight w:val="0"/>
      <w:marTop w:val="0"/>
      <w:marBottom w:val="0"/>
      <w:divBdr>
        <w:top w:val="none" w:sz="0" w:space="0" w:color="auto"/>
        <w:left w:val="none" w:sz="0" w:space="0" w:color="auto"/>
        <w:bottom w:val="none" w:sz="0" w:space="0" w:color="auto"/>
        <w:right w:val="none" w:sz="0" w:space="0" w:color="auto"/>
      </w:divBdr>
    </w:div>
    <w:div w:id="282008097">
      <w:bodyDiv w:val="1"/>
      <w:marLeft w:val="0"/>
      <w:marRight w:val="0"/>
      <w:marTop w:val="0"/>
      <w:marBottom w:val="0"/>
      <w:divBdr>
        <w:top w:val="none" w:sz="0" w:space="0" w:color="auto"/>
        <w:left w:val="none" w:sz="0" w:space="0" w:color="auto"/>
        <w:bottom w:val="none" w:sz="0" w:space="0" w:color="auto"/>
        <w:right w:val="none" w:sz="0" w:space="0" w:color="auto"/>
      </w:divBdr>
    </w:div>
    <w:div w:id="290522441">
      <w:bodyDiv w:val="1"/>
      <w:marLeft w:val="0"/>
      <w:marRight w:val="0"/>
      <w:marTop w:val="0"/>
      <w:marBottom w:val="0"/>
      <w:divBdr>
        <w:top w:val="none" w:sz="0" w:space="0" w:color="auto"/>
        <w:left w:val="none" w:sz="0" w:space="0" w:color="auto"/>
        <w:bottom w:val="none" w:sz="0" w:space="0" w:color="auto"/>
        <w:right w:val="none" w:sz="0" w:space="0" w:color="auto"/>
      </w:divBdr>
    </w:div>
    <w:div w:id="310646563">
      <w:bodyDiv w:val="1"/>
      <w:marLeft w:val="0"/>
      <w:marRight w:val="0"/>
      <w:marTop w:val="0"/>
      <w:marBottom w:val="0"/>
      <w:divBdr>
        <w:top w:val="none" w:sz="0" w:space="0" w:color="auto"/>
        <w:left w:val="none" w:sz="0" w:space="0" w:color="auto"/>
        <w:bottom w:val="none" w:sz="0" w:space="0" w:color="auto"/>
        <w:right w:val="none" w:sz="0" w:space="0" w:color="auto"/>
      </w:divBdr>
    </w:div>
    <w:div w:id="336159746">
      <w:bodyDiv w:val="1"/>
      <w:marLeft w:val="0"/>
      <w:marRight w:val="0"/>
      <w:marTop w:val="0"/>
      <w:marBottom w:val="0"/>
      <w:divBdr>
        <w:top w:val="none" w:sz="0" w:space="0" w:color="auto"/>
        <w:left w:val="none" w:sz="0" w:space="0" w:color="auto"/>
        <w:bottom w:val="none" w:sz="0" w:space="0" w:color="auto"/>
        <w:right w:val="none" w:sz="0" w:space="0" w:color="auto"/>
      </w:divBdr>
    </w:div>
    <w:div w:id="364017386">
      <w:bodyDiv w:val="1"/>
      <w:marLeft w:val="0"/>
      <w:marRight w:val="0"/>
      <w:marTop w:val="0"/>
      <w:marBottom w:val="0"/>
      <w:divBdr>
        <w:top w:val="none" w:sz="0" w:space="0" w:color="auto"/>
        <w:left w:val="none" w:sz="0" w:space="0" w:color="auto"/>
        <w:bottom w:val="none" w:sz="0" w:space="0" w:color="auto"/>
        <w:right w:val="none" w:sz="0" w:space="0" w:color="auto"/>
      </w:divBdr>
    </w:div>
    <w:div w:id="378864587">
      <w:bodyDiv w:val="1"/>
      <w:marLeft w:val="0"/>
      <w:marRight w:val="0"/>
      <w:marTop w:val="0"/>
      <w:marBottom w:val="0"/>
      <w:divBdr>
        <w:top w:val="none" w:sz="0" w:space="0" w:color="auto"/>
        <w:left w:val="none" w:sz="0" w:space="0" w:color="auto"/>
        <w:bottom w:val="none" w:sz="0" w:space="0" w:color="auto"/>
        <w:right w:val="none" w:sz="0" w:space="0" w:color="auto"/>
      </w:divBdr>
    </w:div>
    <w:div w:id="418142048">
      <w:bodyDiv w:val="1"/>
      <w:marLeft w:val="0"/>
      <w:marRight w:val="0"/>
      <w:marTop w:val="0"/>
      <w:marBottom w:val="0"/>
      <w:divBdr>
        <w:top w:val="none" w:sz="0" w:space="0" w:color="auto"/>
        <w:left w:val="none" w:sz="0" w:space="0" w:color="auto"/>
        <w:bottom w:val="none" w:sz="0" w:space="0" w:color="auto"/>
        <w:right w:val="none" w:sz="0" w:space="0" w:color="auto"/>
      </w:divBdr>
    </w:div>
    <w:div w:id="418646628">
      <w:bodyDiv w:val="1"/>
      <w:marLeft w:val="0"/>
      <w:marRight w:val="0"/>
      <w:marTop w:val="0"/>
      <w:marBottom w:val="0"/>
      <w:divBdr>
        <w:top w:val="none" w:sz="0" w:space="0" w:color="auto"/>
        <w:left w:val="none" w:sz="0" w:space="0" w:color="auto"/>
        <w:bottom w:val="none" w:sz="0" w:space="0" w:color="auto"/>
        <w:right w:val="none" w:sz="0" w:space="0" w:color="auto"/>
      </w:divBdr>
    </w:div>
    <w:div w:id="457408339">
      <w:bodyDiv w:val="1"/>
      <w:marLeft w:val="0"/>
      <w:marRight w:val="0"/>
      <w:marTop w:val="0"/>
      <w:marBottom w:val="0"/>
      <w:divBdr>
        <w:top w:val="none" w:sz="0" w:space="0" w:color="auto"/>
        <w:left w:val="none" w:sz="0" w:space="0" w:color="auto"/>
        <w:bottom w:val="none" w:sz="0" w:space="0" w:color="auto"/>
        <w:right w:val="none" w:sz="0" w:space="0" w:color="auto"/>
      </w:divBdr>
    </w:div>
    <w:div w:id="482239876">
      <w:bodyDiv w:val="1"/>
      <w:marLeft w:val="0"/>
      <w:marRight w:val="0"/>
      <w:marTop w:val="0"/>
      <w:marBottom w:val="0"/>
      <w:divBdr>
        <w:top w:val="none" w:sz="0" w:space="0" w:color="auto"/>
        <w:left w:val="none" w:sz="0" w:space="0" w:color="auto"/>
        <w:bottom w:val="none" w:sz="0" w:space="0" w:color="auto"/>
        <w:right w:val="none" w:sz="0" w:space="0" w:color="auto"/>
      </w:divBdr>
    </w:div>
    <w:div w:id="510728080">
      <w:bodyDiv w:val="1"/>
      <w:marLeft w:val="0"/>
      <w:marRight w:val="0"/>
      <w:marTop w:val="0"/>
      <w:marBottom w:val="0"/>
      <w:divBdr>
        <w:top w:val="none" w:sz="0" w:space="0" w:color="auto"/>
        <w:left w:val="none" w:sz="0" w:space="0" w:color="auto"/>
        <w:bottom w:val="none" w:sz="0" w:space="0" w:color="auto"/>
        <w:right w:val="none" w:sz="0" w:space="0" w:color="auto"/>
      </w:divBdr>
      <w:divsChild>
        <w:div w:id="1399087899">
          <w:marLeft w:val="547"/>
          <w:marRight w:val="0"/>
          <w:marTop w:val="200"/>
          <w:marBottom w:val="0"/>
          <w:divBdr>
            <w:top w:val="none" w:sz="0" w:space="0" w:color="auto"/>
            <w:left w:val="none" w:sz="0" w:space="0" w:color="auto"/>
            <w:bottom w:val="none" w:sz="0" w:space="0" w:color="auto"/>
            <w:right w:val="none" w:sz="0" w:space="0" w:color="auto"/>
          </w:divBdr>
        </w:div>
      </w:divsChild>
    </w:div>
    <w:div w:id="518280035">
      <w:bodyDiv w:val="1"/>
      <w:marLeft w:val="0"/>
      <w:marRight w:val="0"/>
      <w:marTop w:val="0"/>
      <w:marBottom w:val="0"/>
      <w:divBdr>
        <w:top w:val="none" w:sz="0" w:space="0" w:color="auto"/>
        <w:left w:val="none" w:sz="0" w:space="0" w:color="auto"/>
        <w:bottom w:val="none" w:sz="0" w:space="0" w:color="auto"/>
        <w:right w:val="none" w:sz="0" w:space="0" w:color="auto"/>
      </w:divBdr>
    </w:div>
    <w:div w:id="519784579">
      <w:bodyDiv w:val="1"/>
      <w:marLeft w:val="0"/>
      <w:marRight w:val="0"/>
      <w:marTop w:val="0"/>
      <w:marBottom w:val="0"/>
      <w:divBdr>
        <w:top w:val="none" w:sz="0" w:space="0" w:color="auto"/>
        <w:left w:val="none" w:sz="0" w:space="0" w:color="auto"/>
        <w:bottom w:val="none" w:sz="0" w:space="0" w:color="auto"/>
        <w:right w:val="none" w:sz="0" w:space="0" w:color="auto"/>
      </w:divBdr>
    </w:div>
    <w:div w:id="540359936">
      <w:bodyDiv w:val="1"/>
      <w:marLeft w:val="0"/>
      <w:marRight w:val="0"/>
      <w:marTop w:val="0"/>
      <w:marBottom w:val="0"/>
      <w:divBdr>
        <w:top w:val="none" w:sz="0" w:space="0" w:color="auto"/>
        <w:left w:val="none" w:sz="0" w:space="0" w:color="auto"/>
        <w:bottom w:val="none" w:sz="0" w:space="0" w:color="auto"/>
        <w:right w:val="none" w:sz="0" w:space="0" w:color="auto"/>
      </w:divBdr>
      <w:divsChild>
        <w:div w:id="615716836">
          <w:marLeft w:val="547"/>
          <w:marRight w:val="0"/>
          <w:marTop w:val="0"/>
          <w:marBottom w:val="0"/>
          <w:divBdr>
            <w:top w:val="none" w:sz="0" w:space="0" w:color="auto"/>
            <w:left w:val="none" w:sz="0" w:space="0" w:color="auto"/>
            <w:bottom w:val="none" w:sz="0" w:space="0" w:color="auto"/>
            <w:right w:val="none" w:sz="0" w:space="0" w:color="auto"/>
          </w:divBdr>
        </w:div>
      </w:divsChild>
    </w:div>
    <w:div w:id="595791497">
      <w:bodyDiv w:val="1"/>
      <w:marLeft w:val="0"/>
      <w:marRight w:val="0"/>
      <w:marTop w:val="0"/>
      <w:marBottom w:val="0"/>
      <w:divBdr>
        <w:top w:val="none" w:sz="0" w:space="0" w:color="auto"/>
        <w:left w:val="none" w:sz="0" w:space="0" w:color="auto"/>
        <w:bottom w:val="none" w:sz="0" w:space="0" w:color="auto"/>
        <w:right w:val="none" w:sz="0" w:space="0" w:color="auto"/>
      </w:divBdr>
    </w:div>
    <w:div w:id="619607602">
      <w:bodyDiv w:val="1"/>
      <w:marLeft w:val="0"/>
      <w:marRight w:val="0"/>
      <w:marTop w:val="0"/>
      <w:marBottom w:val="0"/>
      <w:divBdr>
        <w:top w:val="none" w:sz="0" w:space="0" w:color="auto"/>
        <w:left w:val="none" w:sz="0" w:space="0" w:color="auto"/>
        <w:bottom w:val="none" w:sz="0" w:space="0" w:color="auto"/>
        <w:right w:val="none" w:sz="0" w:space="0" w:color="auto"/>
      </w:divBdr>
    </w:div>
    <w:div w:id="639187166">
      <w:bodyDiv w:val="1"/>
      <w:marLeft w:val="0"/>
      <w:marRight w:val="0"/>
      <w:marTop w:val="0"/>
      <w:marBottom w:val="0"/>
      <w:divBdr>
        <w:top w:val="none" w:sz="0" w:space="0" w:color="auto"/>
        <w:left w:val="none" w:sz="0" w:space="0" w:color="auto"/>
        <w:bottom w:val="none" w:sz="0" w:space="0" w:color="auto"/>
        <w:right w:val="none" w:sz="0" w:space="0" w:color="auto"/>
      </w:divBdr>
    </w:div>
    <w:div w:id="653997079">
      <w:bodyDiv w:val="1"/>
      <w:marLeft w:val="0"/>
      <w:marRight w:val="0"/>
      <w:marTop w:val="0"/>
      <w:marBottom w:val="0"/>
      <w:divBdr>
        <w:top w:val="none" w:sz="0" w:space="0" w:color="auto"/>
        <w:left w:val="none" w:sz="0" w:space="0" w:color="auto"/>
        <w:bottom w:val="none" w:sz="0" w:space="0" w:color="auto"/>
        <w:right w:val="none" w:sz="0" w:space="0" w:color="auto"/>
      </w:divBdr>
    </w:div>
    <w:div w:id="795684958">
      <w:bodyDiv w:val="1"/>
      <w:marLeft w:val="0"/>
      <w:marRight w:val="0"/>
      <w:marTop w:val="0"/>
      <w:marBottom w:val="0"/>
      <w:divBdr>
        <w:top w:val="none" w:sz="0" w:space="0" w:color="auto"/>
        <w:left w:val="none" w:sz="0" w:space="0" w:color="auto"/>
        <w:bottom w:val="none" w:sz="0" w:space="0" w:color="auto"/>
        <w:right w:val="none" w:sz="0" w:space="0" w:color="auto"/>
      </w:divBdr>
    </w:div>
    <w:div w:id="826867944">
      <w:bodyDiv w:val="1"/>
      <w:marLeft w:val="0"/>
      <w:marRight w:val="0"/>
      <w:marTop w:val="0"/>
      <w:marBottom w:val="0"/>
      <w:divBdr>
        <w:top w:val="none" w:sz="0" w:space="0" w:color="auto"/>
        <w:left w:val="none" w:sz="0" w:space="0" w:color="auto"/>
        <w:bottom w:val="none" w:sz="0" w:space="0" w:color="auto"/>
        <w:right w:val="none" w:sz="0" w:space="0" w:color="auto"/>
      </w:divBdr>
    </w:div>
    <w:div w:id="838621075">
      <w:bodyDiv w:val="1"/>
      <w:marLeft w:val="0"/>
      <w:marRight w:val="0"/>
      <w:marTop w:val="0"/>
      <w:marBottom w:val="0"/>
      <w:divBdr>
        <w:top w:val="none" w:sz="0" w:space="0" w:color="auto"/>
        <w:left w:val="none" w:sz="0" w:space="0" w:color="auto"/>
        <w:bottom w:val="none" w:sz="0" w:space="0" w:color="auto"/>
        <w:right w:val="none" w:sz="0" w:space="0" w:color="auto"/>
      </w:divBdr>
    </w:div>
    <w:div w:id="887180211">
      <w:bodyDiv w:val="1"/>
      <w:marLeft w:val="0"/>
      <w:marRight w:val="0"/>
      <w:marTop w:val="0"/>
      <w:marBottom w:val="0"/>
      <w:divBdr>
        <w:top w:val="none" w:sz="0" w:space="0" w:color="auto"/>
        <w:left w:val="none" w:sz="0" w:space="0" w:color="auto"/>
        <w:bottom w:val="none" w:sz="0" w:space="0" w:color="auto"/>
        <w:right w:val="none" w:sz="0" w:space="0" w:color="auto"/>
      </w:divBdr>
      <w:divsChild>
        <w:div w:id="838614155">
          <w:marLeft w:val="547"/>
          <w:marRight w:val="0"/>
          <w:marTop w:val="0"/>
          <w:marBottom w:val="0"/>
          <w:divBdr>
            <w:top w:val="none" w:sz="0" w:space="0" w:color="auto"/>
            <w:left w:val="none" w:sz="0" w:space="0" w:color="auto"/>
            <w:bottom w:val="none" w:sz="0" w:space="0" w:color="auto"/>
            <w:right w:val="none" w:sz="0" w:space="0" w:color="auto"/>
          </w:divBdr>
        </w:div>
      </w:divsChild>
    </w:div>
    <w:div w:id="1060783259">
      <w:bodyDiv w:val="1"/>
      <w:marLeft w:val="0"/>
      <w:marRight w:val="0"/>
      <w:marTop w:val="0"/>
      <w:marBottom w:val="0"/>
      <w:divBdr>
        <w:top w:val="none" w:sz="0" w:space="0" w:color="auto"/>
        <w:left w:val="none" w:sz="0" w:space="0" w:color="auto"/>
        <w:bottom w:val="none" w:sz="0" w:space="0" w:color="auto"/>
        <w:right w:val="none" w:sz="0" w:space="0" w:color="auto"/>
      </w:divBdr>
    </w:div>
    <w:div w:id="1066533885">
      <w:bodyDiv w:val="1"/>
      <w:marLeft w:val="0"/>
      <w:marRight w:val="0"/>
      <w:marTop w:val="0"/>
      <w:marBottom w:val="0"/>
      <w:divBdr>
        <w:top w:val="none" w:sz="0" w:space="0" w:color="auto"/>
        <w:left w:val="none" w:sz="0" w:space="0" w:color="auto"/>
        <w:bottom w:val="none" w:sz="0" w:space="0" w:color="auto"/>
        <w:right w:val="none" w:sz="0" w:space="0" w:color="auto"/>
      </w:divBdr>
    </w:div>
    <w:div w:id="1090812572">
      <w:bodyDiv w:val="1"/>
      <w:marLeft w:val="0"/>
      <w:marRight w:val="0"/>
      <w:marTop w:val="0"/>
      <w:marBottom w:val="0"/>
      <w:divBdr>
        <w:top w:val="none" w:sz="0" w:space="0" w:color="auto"/>
        <w:left w:val="none" w:sz="0" w:space="0" w:color="auto"/>
        <w:bottom w:val="none" w:sz="0" w:space="0" w:color="auto"/>
        <w:right w:val="none" w:sz="0" w:space="0" w:color="auto"/>
      </w:divBdr>
    </w:div>
    <w:div w:id="1092362746">
      <w:bodyDiv w:val="1"/>
      <w:marLeft w:val="0"/>
      <w:marRight w:val="0"/>
      <w:marTop w:val="0"/>
      <w:marBottom w:val="0"/>
      <w:divBdr>
        <w:top w:val="none" w:sz="0" w:space="0" w:color="auto"/>
        <w:left w:val="none" w:sz="0" w:space="0" w:color="auto"/>
        <w:bottom w:val="none" w:sz="0" w:space="0" w:color="auto"/>
        <w:right w:val="none" w:sz="0" w:space="0" w:color="auto"/>
      </w:divBdr>
    </w:div>
    <w:div w:id="1092624975">
      <w:bodyDiv w:val="1"/>
      <w:marLeft w:val="0"/>
      <w:marRight w:val="0"/>
      <w:marTop w:val="0"/>
      <w:marBottom w:val="0"/>
      <w:divBdr>
        <w:top w:val="none" w:sz="0" w:space="0" w:color="auto"/>
        <w:left w:val="none" w:sz="0" w:space="0" w:color="auto"/>
        <w:bottom w:val="none" w:sz="0" w:space="0" w:color="auto"/>
        <w:right w:val="none" w:sz="0" w:space="0" w:color="auto"/>
      </w:divBdr>
    </w:div>
    <w:div w:id="1157066166">
      <w:bodyDiv w:val="1"/>
      <w:marLeft w:val="0"/>
      <w:marRight w:val="0"/>
      <w:marTop w:val="0"/>
      <w:marBottom w:val="0"/>
      <w:divBdr>
        <w:top w:val="none" w:sz="0" w:space="0" w:color="auto"/>
        <w:left w:val="none" w:sz="0" w:space="0" w:color="auto"/>
        <w:bottom w:val="none" w:sz="0" w:space="0" w:color="auto"/>
        <w:right w:val="none" w:sz="0" w:space="0" w:color="auto"/>
      </w:divBdr>
    </w:div>
    <w:div w:id="1160849451">
      <w:bodyDiv w:val="1"/>
      <w:marLeft w:val="0"/>
      <w:marRight w:val="0"/>
      <w:marTop w:val="0"/>
      <w:marBottom w:val="0"/>
      <w:divBdr>
        <w:top w:val="none" w:sz="0" w:space="0" w:color="auto"/>
        <w:left w:val="none" w:sz="0" w:space="0" w:color="auto"/>
        <w:bottom w:val="none" w:sz="0" w:space="0" w:color="auto"/>
        <w:right w:val="none" w:sz="0" w:space="0" w:color="auto"/>
      </w:divBdr>
    </w:div>
    <w:div w:id="1180435746">
      <w:bodyDiv w:val="1"/>
      <w:marLeft w:val="0"/>
      <w:marRight w:val="0"/>
      <w:marTop w:val="0"/>
      <w:marBottom w:val="0"/>
      <w:divBdr>
        <w:top w:val="none" w:sz="0" w:space="0" w:color="auto"/>
        <w:left w:val="none" w:sz="0" w:space="0" w:color="auto"/>
        <w:bottom w:val="none" w:sz="0" w:space="0" w:color="auto"/>
        <w:right w:val="none" w:sz="0" w:space="0" w:color="auto"/>
      </w:divBdr>
    </w:div>
    <w:div w:id="1230074000">
      <w:bodyDiv w:val="1"/>
      <w:marLeft w:val="0"/>
      <w:marRight w:val="0"/>
      <w:marTop w:val="0"/>
      <w:marBottom w:val="0"/>
      <w:divBdr>
        <w:top w:val="none" w:sz="0" w:space="0" w:color="auto"/>
        <w:left w:val="none" w:sz="0" w:space="0" w:color="auto"/>
        <w:bottom w:val="none" w:sz="0" w:space="0" w:color="auto"/>
        <w:right w:val="none" w:sz="0" w:space="0" w:color="auto"/>
      </w:divBdr>
    </w:div>
    <w:div w:id="1238327506">
      <w:bodyDiv w:val="1"/>
      <w:marLeft w:val="0"/>
      <w:marRight w:val="0"/>
      <w:marTop w:val="0"/>
      <w:marBottom w:val="0"/>
      <w:divBdr>
        <w:top w:val="none" w:sz="0" w:space="0" w:color="auto"/>
        <w:left w:val="none" w:sz="0" w:space="0" w:color="auto"/>
        <w:bottom w:val="none" w:sz="0" w:space="0" w:color="auto"/>
        <w:right w:val="none" w:sz="0" w:space="0" w:color="auto"/>
      </w:divBdr>
    </w:div>
    <w:div w:id="1238782001">
      <w:bodyDiv w:val="1"/>
      <w:marLeft w:val="0"/>
      <w:marRight w:val="0"/>
      <w:marTop w:val="0"/>
      <w:marBottom w:val="0"/>
      <w:divBdr>
        <w:top w:val="none" w:sz="0" w:space="0" w:color="auto"/>
        <w:left w:val="none" w:sz="0" w:space="0" w:color="auto"/>
        <w:bottom w:val="none" w:sz="0" w:space="0" w:color="auto"/>
        <w:right w:val="none" w:sz="0" w:space="0" w:color="auto"/>
      </w:divBdr>
    </w:div>
    <w:div w:id="1243179442">
      <w:bodyDiv w:val="1"/>
      <w:marLeft w:val="0"/>
      <w:marRight w:val="0"/>
      <w:marTop w:val="0"/>
      <w:marBottom w:val="0"/>
      <w:divBdr>
        <w:top w:val="none" w:sz="0" w:space="0" w:color="auto"/>
        <w:left w:val="none" w:sz="0" w:space="0" w:color="auto"/>
        <w:bottom w:val="none" w:sz="0" w:space="0" w:color="auto"/>
        <w:right w:val="none" w:sz="0" w:space="0" w:color="auto"/>
      </w:divBdr>
    </w:div>
    <w:div w:id="1327979815">
      <w:bodyDiv w:val="1"/>
      <w:marLeft w:val="0"/>
      <w:marRight w:val="0"/>
      <w:marTop w:val="0"/>
      <w:marBottom w:val="0"/>
      <w:divBdr>
        <w:top w:val="none" w:sz="0" w:space="0" w:color="auto"/>
        <w:left w:val="none" w:sz="0" w:space="0" w:color="auto"/>
        <w:bottom w:val="none" w:sz="0" w:space="0" w:color="auto"/>
        <w:right w:val="none" w:sz="0" w:space="0" w:color="auto"/>
      </w:divBdr>
    </w:div>
    <w:div w:id="1368487259">
      <w:bodyDiv w:val="1"/>
      <w:marLeft w:val="0"/>
      <w:marRight w:val="0"/>
      <w:marTop w:val="0"/>
      <w:marBottom w:val="0"/>
      <w:divBdr>
        <w:top w:val="none" w:sz="0" w:space="0" w:color="auto"/>
        <w:left w:val="none" w:sz="0" w:space="0" w:color="auto"/>
        <w:bottom w:val="none" w:sz="0" w:space="0" w:color="auto"/>
        <w:right w:val="none" w:sz="0" w:space="0" w:color="auto"/>
      </w:divBdr>
    </w:div>
    <w:div w:id="1399286768">
      <w:bodyDiv w:val="1"/>
      <w:marLeft w:val="0"/>
      <w:marRight w:val="0"/>
      <w:marTop w:val="0"/>
      <w:marBottom w:val="0"/>
      <w:divBdr>
        <w:top w:val="none" w:sz="0" w:space="0" w:color="auto"/>
        <w:left w:val="none" w:sz="0" w:space="0" w:color="auto"/>
        <w:bottom w:val="none" w:sz="0" w:space="0" w:color="auto"/>
        <w:right w:val="none" w:sz="0" w:space="0" w:color="auto"/>
      </w:divBdr>
    </w:div>
    <w:div w:id="1502046310">
      <w:bodyDiv w:val="1"/>
      <w:marLeft w:val="0"/>
      <w:marRight w:val="0"/>
      <w:marTop w:val="0"/>
      <w:marBottom w:val="0"/>
      <w:divBdr>
        <w:top w:val="none" w:sz="0" w:space="0" w:color="auto"/>
        <w:left w:val="none" w:sz="0" w:space="0" w:color="auto"/>
        <w:bottom w:val="none" w:sz="0" w:space="0" w:color="auto"/>
        <w:right w:val="none" w:sz="0" w:space="0" w:color="auto"/>
      </w:divBdr>
    </w:div>
    <w:div w:id="1522283942">
      <w:bodyDiv w:val="1"/>
      <w:marLeft w:val="0"/>
      <w:marRight w:val="0"/>
      <w:marTop w:val="0"/>
      <w:marBottom w:val="0"/>
      <w:divBdr>
        <w:top w:val="none" w:sz="0" w:space="0" w:color="auto"/>
        <w:left w:val="none" w:sz="0" w:space="0" w:color="auto"/>
        <w:bottom w:val="none" w:sz="0" w:space="0" w:color="auto"/>
        <w:right w:val="none" w:sz="0" w:space="0" w:color="auto"/>
      </w:divBdr>
    </w:div>
    <w:div w:id="1527593431">
      <w:bodyDiv w:val="1"/>
      <w:marLeft w:val="0"/>
      <w:marRight w:val="0"/>
      <w:marTop w:val="0"/>
      <w:marBottom w:val="0"/>
      <w:divBdr>
        <w:top w:val="none" w:sz="0" w:space="0" w:color="auto"/>
        <w:left w:val="none" w:sz="0" w:space="0" w:color="auto"/>
        <w:bottom w:val="none" w:sz="0" w:space="0" w:color="auto"/>
        <w:right w:val="none" w:sz="0" w:space="0" w:color="auto"/>
      </w:divBdr>
    </w:div>
    <w:div w:id="1533568588">
      <w:bodyDiv w:val="1"/>
      <w:marLeft w:val="0"/>
      <w:marRight w:val="0"/>
      <w:marTop w:val="0"/>
      <w:marBottom w:val="0"/>
      <w:divBdr>
        <w:top w:val="none" w:sz="0" w:space="0" w:color="auto"/>
        <w:left w:val="none" w:sz="0" w:space="0" w:color="auto"/>
        <w:bottom w:val="none" w:sz="0" w:space="0" w:color="auto"/>
        <w:right w:val="none" w:sz="0" w:space="0" w:color="auto"/>
      </w:divBdr>
    </w:div>
    <w:div w:id="1571188118">
      <w:bodyDiv w:val="1"/>
      <w:marLeft w:val="0"/>
      <w:marRight w:val="0"/>
      <w:marTop w:val="0"/>
      <w:marBottom w:val="0"/>
      <w:divBdr>
        <w:top w:val="none" w:sz="0" w:space="0" w:color="auto"/>
        <w:left w:val="none" w:sz="0" w:space="0" w:color="auto"/>
        <w:bottom w:val="none" w:sz="0" w:space="0" w:color="auto"/>
        <w:right w:val="none" w:sz="0" w:space="0" w:color="auto"/>
      </w:divBdr>
    </w:div>
    <w:div w:id="1579902554">
      <w:bodyDiv w:val="1"/>
      <w:marLeft w:val="0"/>
      <w:marRight w:val="0"/>
      <w:marTop w:val="0"/>
      <w:marBottom w:val="0"/>
      <w:divBdr>
        <w:top w:val="none" w:sz="0" w:space="0" w:color="auto"/>
        <w:left w:val="none" w:sz="0" w:space="0" w:color="auto"/>
        <w:bottom w:val="none" w:sz="0" w:space="0" w:color="auto"/>
        <w:right w:val="none" w:sz="0" w:space="0" w:color="auto"/>
      </w:divBdr>
    </w:div>
    <w:div w:id="1582134974">
      <w:bodyDiv w:val="1"/>
      <w:marLeft w:val="0"/>
      <w:marRight w:val="0"/>
      <w:marTop w:val="0"/>
      <w:marBottom w:val="0"/>
      <w:divBdr>
        <w:top w:val="none" w:sz="0" w:space="0" w:color="auto"/>
        <w:left w:val="none" w:sz="0" w:space="0" w:color="auto"/>
        <w:bottom w:val="none" w:sz="0" w:space="0" w:color="auto"/>
        <w:right w:val="none" w:sz="0" w:space="0" w:color="auto"/>
      </w:divBdr>
    </w:div>
    <w:div w:id="1733578109">
      <w:bodyDiv w:val="1"/>
      <w:marLeft w:val="0"/>
      <w:marRight w:val="0"/>
      <w:marTop w:val="0"/>
      <w:marBottom w:val="0"/>
      <w:divBdr>
        <w:top w:val="none" w:sz="0" w:space="0" w:color="auto"/>
        <w:left w:val="none" w:sz="0" w:space="0" w:color="auto"/>
        <w:bottom w:val="none" w:sz="0" w:space="0" w:color="auto"/>
        <w:right w:val="none" w:sz="0" w:space="0" w:color="auto"/>
      </w:divBdr>
    </w:div>
    <w:div w:id="1739592787">
      <w:bodyDiv w:val="1"/>
      <w:marLeft w:val="0"/>
      <w:marRight w:val="0"/>
      <w:marTop w:val="0"/>
      <w:marBottom w:val="0"/>
      <w:divBdr>
        <w:top w:val="none" w:sz="0" w:space="0" w:color="auto"/>
        <w:left w:val="none" w:sz="0" w:space="0" w:color="auto"/>
        <w:bottom w:val="none" w:sz="0" w:space="0" w:color="auto"/>
        <w:right w:val="none" w:sz="0" w:space="0" w:color="auto"/>
      </w:divBdr>
    </w:div>
    <w:div w:id="1744255186">
      <w:bodyDiv w:val="1"/>
      <w:marLeft w:val="0"/>
      <w:marRight w:val="0"/>
      <w:marTop w:val="0"/>
      <w:marBottom w:val="0"/>
      <w:divBdr>
        <w:top w:val="none" w:sz="0" w:space="0" w:color="auto"/>
        <w:left w:val="none" w:sz="0" w:space="0" w:color="auto"/>
        <w:bottom w:val="none" w:sz="0" w:space="0" w:color="auto"/>
        <w:right w:val="none" w:sz="0" w:space="0" w:color="auto"/>
      </w:divBdr>
    </w:div>
    <w:div w:id="1781220073">
      <w:bodyDiv w:val="1"/>
      <w:marLeft w:val="0"/>
      <w:marRight w:val="0"/>
      <w:marTop w:val="0"/>
      <w:marBottom w:val="0"/>
      <w:divBdr>
        <w:top w:val="none" w:sz="0" w:space="0" w:color="auto"/>
        <w:left w:val="none" w:sz="0" w:space="0" w:color="auto"/>
        <w:bottom w:val="none" w:sz="0" w:space="0" w:color="auto"/>
        <w:right w:val="none" w:sz="0" w:space="0" w:color="auto"/>
      </w:divBdr>
    </w:div>
    <w:div w:id="1835679158">
      <w:bodyDiv w:val="1"/>
      <w:marLeft w:val="0"/>
      <w:marRight w:val="0"/>
      <w:marTop w:val="0"/>
      <w:marBottom w:val="0"/>
      <w:divBdr>
        <w:top w:val="none" w:sz="0" w:space="0" w:color="auto"/>
        <w:left w:val="none" w:sz="0" w:space="0" w:color="auto"/>
        <w:bottom w:val="none" w:sz="0" w:space="0" w:color="auto"/>
        <w:right w:val="none" w:sz="0" w:space="0" w:color="auto"/>
      </w:divBdr>
    </w:div>
    <w:div w:id="1864509647">
      <w:bodyDiv w:val="1"/>
      <w:marLeft w:val="0"/>
      <w:marRight w:val="0"/>
      <w:marTop w:val="0"/>
      <w:marBottom w:val="0"/>
      <w:divBdr>
        <w:top w:val="none" w:sz="0" w:space="0" w:color="auto"/>
        <w:left w:val="none" w:sz="0" w:space="0" w:color="auto"/>
        <w:bottom w:val="none" w:sz="0" w:space="0" w:color="auto"/>
        <w:right w:val="none" w:sz="0" w:space="0" w:color="auto"/>
      </w:divBdr>
    </w:div>
    <w:div w:id="1889025665">
      <w:bodyDiv w:val="1"/>
      <w:marLeft w:val="0"/>
      <w:marRight w:val="0"/>
      <w:marTop w:val="0"/>
      <w:marBottom w:val="0"/>
      <w:divBdr>
        <w:top w:val="none" w:sz="0" w:space="0" w:color="auto"/>
        <w:left w:val="none" w:sz="0" w:space="0" w:color="auto"/>
        <w:bottom w:val="none" w:sz="0" w:space="0" w:color="auto"/>
        <w:right w:val="none" w:sz="0" w:space="0" w:color="auto"/>
      </w:divBdr>
    </w:div>
    <w:div w:id="1899124720">
      <w:bodyDiv w:val="1"/>
      <w:marLeft w:val="0"/>
      <w:marRight w:val="0"/>
      <w:marTop w:val="0"/>
      <w:marBottom w:val="0"/>
      <w:divBdr>
        <w:top w:val="none" w:sz="0" w:space="0" w:color="auto"/>
        <w:left w:val="none" w:sz="0" w:space="0" w:color="auto"/>
        <w:bottom w:val="none" w:sz="0" w:space="0" w:color="auto"/>
        <w:right w:val="none" w:sz="0" w:space="0" w:color="auto"/>
      </w:divBdr>
      <w:divsChild>
        <w:div w:id="533420738">
          <w:marLeft w:val="0"/>
          <w:marRight w:val="0"/>
          <w:marTop w:val="0"/>
          <w:marBottom w:val="0"/>
          <w:divBdr>
            <w:top w:val="none" w:sz="0" w:space="0" w:color="auto"/>
            <w:left w:val="none" w:sz="0" w:space="0" w:color="auto"/>
            <w:bottom w:val="none" w:sz="0" w:space="0" w:color="auto"/>
            <w:right w:val="none" w:sz="0" w:space="0" w:color="auto"/>
          </w:divBdr>
          <w:divsChild>
            <w:div w:id="1252663022">
              <w:marLeft w:val="0"/>
              <w:marRight w:val="0"/>
              <w:marTop w:val="0"/>
              <w:marBottom w:val="0"/>
              <w:divBdr>
                <w:top w:val="none" w:sz="0" w:space="0" w:color="auto"/>
                <w:left w:val="none" w:sz="0" w:space="0" w:color="auto"/>
                <w:bottom w:val="none" w:sz="0" w:space="0" w:color="auto"/>
                <w:right w:val="none" w:sz="0" w:space="0" w:color="auto"/>
              </w:divBdr>
              <w:divsChild>
                <w:div w:id="81398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360581">
      <w:bodyDiv w:val="1"/>
      <w:marLeft w:val="0"/>
      <w:marRight w:val="0"/>
      <w:marTop w:val="0"/>
      <w:marBottom w:val="0"/>
      <w:divBdr>
        <w:top w:val="none" w:sz="0" w:space="0" w:color="auto"/>
        <w:left w:val="none" w:sz="0" w:space="0" w:color="auto"/>
        <w:bottom w:val="none" w:sz="0" w:space="0" w:color="auto"/>
        <w:right w:val="none" w:sz="0" w:space="0" w:color="auto"/>
      </w:divBdr>
    </w:div>
    <w:div w:id="1904414447">
      <w:bodyDiv w:val="1"/>
      <w:marLeft w:val="0"/>
      <w:marRight w:val="0"/>
      <w:marTop w:val="0"/>
      <w:marBottom w:val="0"/>
      <w:divBdr>
        <w:top w:val="none" w:sz="0" w:space="0" w:color="auto"/>
        <w:left w:val="none" w:sz="0" w:space="0" w:color="auto"/>
        <w:bottom w:val="none" w:sz="0" w:space="0" w:color="auto"/>
        <w:right w:val="none" w:sz="0" w:space="0" w:color="auto"/>
      </w:divBdr>
    </w:div>
    <w:div w:id="1910577910">
      <w:bodyDiv w:val="1"/>
      <w:marLeft w:val="0"/>
      <w:marRight w:val="0"/>
      <w:marTop w:val="0"/>
      <w:marBottom w:val="0"/>
      <w:divBdr>
        <w:top w:val="none" w:sz="0" w:space="0" w:color="auto"/>
        <w:left w:val="none" w:sz="0" w:space="0" w:color="auto"/>
        <w:bottom w:val="none" w:sz="0" w:space="0" w:color="auto"/>
        <w:right w:val="none" w:sz="0" w:space="0" w:color="auto"/>
      </w:divBdr>
    </w:div>
    <w:div w:id="1913007062">
      <w:bodyDiv w:val="1"/>
      <w:marLeft w:val="0"/>
      <w:marRight w:val="0"/>
      <w:marTop w:val="0"/>
      <w:marBottom w:val="0"/>
      <w:divBdr>
        <w:top w:val="none" w:sz="0" w:space="0" w:color="auto"/>
        <w:left w:val="none" w:sz="0" w:space="0" w:color="auto"/>
        <w:bottom w:val="none" w:sz="0" w:space="0" w:color="auto"/>
        <w:right w:val="none" w:sz="0" w:space="0" w:color="auto"/>
      </w:divBdr>
    </w:div>
    <w:div w:id="1926448793">
      <w:bodyDiv w:val="1"/>
      <w:marLeft w:val="0"/>
      <w:marRight w:val="0"/>
      <w:marTop w:val="0"/>
      <w:marBottom w:val="0"/>
      <w:divBdr>
        <w:top w:val="none" w:sz="0" w:space="0" w:color="auto"/>
        <w:left w:val="none" w:sz="0" w:space="0" w:color="auto"/>
        <w:bottom w:val="none" w:sz="0" w:space="0" w:color="auto"/>
        <w:right w:val="none" w:sz="0" w:space="0" w:color="auto"/>
      </w:divBdr>
    </w:div>
    <w:div w:id="1955474710">
      <w:bodyDiv w:val="1"/>
      <w:marLeft w:val="0"/>
      <w:marRight w:val="0"/>
      <w:marTop w:val="0"/>
      <w:marBottom w:val="0"/>
      <w:divBdr>
        <w:top w:val="none" w:sz="0" w:space="0" w:color="auto"/>
        <w:left w:val="none" w:sz="0" w:space="0" w:color="auto"/>
        <w:bottom w:val="none" w:sz="0" w:space="0" w:color="auto"/>
        <w:right w:val="none" w:sz="0" w:space="0" w:color="auto"/>
      </w:divBdr>
    </w:div>
    <w:div w:id="1991519873">
      <w:bodyDiv w:val="1"/>
      <w:marLeft w:val="0"/>
      <w:marRight w:val="0"/>
      <w:marTop w:val="0"/>
      <w:marBottom w:val="0"/>
      <w:divBdr>
        <w:top w:val="none" w:sz="0" w:space="0" w:color="auto"/>
        <w:left w:val="none" w:sz="0" w:space="0" w:color="auto"/>
        <w:bottom w:val="none" w:sz="0" w:space="0" w:color="auto"/>
        <w:right w:val="none" w:sz="0" w:space="0" w:color="auto"/>
      </w:divBdr>
    </w:div>
    <w:div w:id="2044743406">
      <w:bodyDiv w:val="1"/>
      <w:marLeft w:val="0"/>
      <w:marRight w:val="0"/>
      <w:marTop w:val="0"/>
      <w:marBottom w:val="0"/>
      <w:divBdr>
        <w:top w:val="none" w:sz="0" w:space="0" w:color="auto"/>
        <w:left w:val="none" w:sz="0" w:space="0" w:color="auto"/>
        <w:bottom w:val="none" w:sz="0" w:space="0" w:color="auto"/>
        <w:right w:val="none" w:sz="0" w:space="0" w:color="auto"/>
      </w:divBdr>
    </w:div>
    <w:div w:id="2060786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capr.12080" TargetMode="External"/><Relationship Id="rId13" Type="http://schemas.openxmlformats.org/officeDocument/2006/relationships/hyperlink" Target="https://doi.org/10.1080/03069885.2012.705817" TargetMode="External"/><Relationship Id="rId18" Type="http://schemas.openxmlformats.org/officeDocument/2006/relationships/hyperlink" Target="https://doi.org/10.1080/15401383.2011.55731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dx.doi.org/10.11575/PRISM/37385" TargetMode="External"/><Relationship Id="rId12" Type="http://schemas.openxmlformats.org/officeDocument/2006/relationships/hyperlink" Target="https://doi.org/10.1037/int0000096" TargetMode="External"/><Relationship Id="rId17" Type="http://schemas.openxmlformats.org/officeDocument/2006/relationships/hyperlink" Target="https://doi.org/10.1002/j.1556-6978.1994.tb00307.x" TargetMode="External"/><Relationship Id="rId2" Type="http://schemas.openxmlformats.org/officeDocument/2006/relationships/styles" Target="styles.xml"/><Relationship Id="rId16" Type="http://schemas.openxmlformats.org/officeDocument/2006/relationships/hyperlink" Target="https://doi.org/10.1080/15401383.2016.1246993"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375/jrc.17.1.26" TargetMode="External"/><Relationship Id="rId11" Type="http://schemas.openxmlformats.org/officeDocument/2006/relationships/hyperlink" Target="https://doi.org/10.1037/int0000072" TargetMode="External"/><Relationship Id="rId5" Type="http://schemas.openxmlformats.org/officeDocument/2006/relationships/hyperlink" Target="https://doi-org.ezproxy.uwtsd.ac.uk/10.1002/capr.12280" TargetMode="External"/><Relationship Id="rId15" Type="http://schemas.openxmlformats.org/officeDocument/2006/relationships/hyperlink" Target="https://www.youtube.com/watch?v=Qpfm5sY0OX0" TargetMode="External"/><Relationship Id="rId10" Type="http://schemas.openxmlformats.org/officeDocument/2006/relationships/hyperlink" Target="https://doi.org/10.1080/14779757.2002.9688279" TargetMode="External"/><Relationship Id="rId19" Type="http://schemas.openxmlformats.org/officeDocument/2006/relationships/hyperlink" Target="https://doi.org/10.1080/14779757.2018.1527243" TargetMode="External"/><Relationship Id="rId4" Type="http://schemas.openxmlformats.org/officeDocument/2006/relationships/webSettings" Target="webSettings.xml"/><Relationship Id="rId9" Type="http://schemas.openxmlformats.org/officeDocument/2006/relationships/hyperlink" Target="https://doi.org/10.1080/14639947.2017.1373437" TargetMode="External"/><Relationship Id="rId14" Type="http://schemas.openxmlformats.org/officeDocument/2006/relationships/hyperlink" Target="https://doi.org/10.1007/s10447-005-90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1714</TotalTime>
  <Pages>11</Pages>
  <Words>3625</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Elinor Hughes (1809963)</dc:creator>
  <cp:keywords/>
  <dc:description/>
  <cp:lastModifiedBy>Cerys Elinor Hughes (1809963)</cp:lastModifiedBy>
  <cp:revision>411</cp:revision>
  <dcterms:created xsi:type="dcterms:W3CDTF">2021-01-12T14:16:00Z</dcterms:created>
  <dcterms:modified xsi:type="dcterms:W3CDTF">2021-02-13T19:26:00Z</dcterms:modified>
</cp:coreProperties>
</file>