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0FE7B9" w14:textId="77777777" w:rsidR="00C50C82" w:rsidRPr="00D9567F" w:rsidRDefault="00C50C82" w:rsidP="00D9567F">
      <w:pPr>
        <w:spacing w:line="360" w:lineRule="auto"/>
        <w:jc w:val="center"/>
        <w:rPr>
          <w:rFonts w:cstheme="minorHAnsi"/>
          <w:b/>
          <w:sz w:val="96"/>
          <w:szCs w:val="24"/>
          <w:u w:val="single"/>
        </w:rPr>
      </w:pPr>
    </w:p>
    <w:p w14:paraId="4BA65ADF" w14:textId="57C68CD4" w:rsidR="00C50C82" w:rsidRPr="00D9567F" w:rsidRDefault="00C50C82" w:rsidP="00D9567F">
      <w:pPr>
        <w:spacing w:before="100" w:beforeAutospacing="1" w:after="100" w:afterAutospacing="1" w:line="240" w:lineRule="auto"/>
        <w:jc w:val="center"/>
        <w:rPr>
          <w:rFonts w:eastAsia="Times New Roman" w:cstheme="minorHAnsi"/>
          <w:b/>
          <w:color w:val="000000"/>
          <w:sz w:val="96"/>
          <w:szCs w:val="24"/>
          <w:lang w:eastAsia="en-GB"/>
        </w:rPr>
      </w:pPr>
      <w:r w:rsidRPr="00D9567F">
        <w:rPr>
          <w:rFonts w:eastAsia="Times New Roman" w:cstheme="minorHAnsi"/>
          <w:b/>
          <w:color w:val="000000"/>
          <w:sz w:val="96"/>
          <w:szCs w:val="24"/>
          <w:lang w:eastAsia="en-GB"/>
        </w:rPr>
        <w:t>Yr Athro Ymholgar</w:t>
      </w:r>
    </w:p>
    <w:p w14:paraId="47F8F44E" w14:textId="0D5EFD83" w:rsidR="00C50C82" w:rsidRPr="00D9567F" w:rsidRDefault="00C50C82" w:rsidP="00D9567F">
      <w:pPr>
        <w:spacing w:before="100" w:beforeAutospacing="1" w:after="100" w:afterAutospacing="1" w:line="240" w:lineRule="auto"/>
        <w:jc w:val="center"/>
        <w:rPr>
          <w:rFonts w:eastAsia="Times New Roman" w:cstheme="minorHAnsi"/>
          <w:b/>
          <w:color w:val="000000"/>
          <w:sz w:val="96"/>
          <w:szCs w:val="24"/>
          <w:lang w:eastAsia="en-GB"/>
        </w:rPr>
      </w:pPr>
      <w:r w:rsidRPr="00D9567F">
        <w:rPr>
          <w:rFonts w:eastAsia="Times New Roman" w:cstheme="minorHAnsi"/>
          <w:b/>
          <w:color w:val="000000"/>
          <w:sz w:val="96"/>
          <w:szCs w:val="24"/>
          <w:lang w:eastAsia="en-GB"/>
        </w:rPr>
        <w:t>Modiwl: ECP</w:t>
      </w:r>
      <w:r w:rsidR="00D9567F" w:rsidRPr="00D9567F">
        <w:rPr>
          <w:rFonts w:eastAsia="Times New Roman" w:cstheme="minorHAnsi"/>
          <w:b/>
          <w:color w:val="000000"/>
          <w:sz w:val="96"/>
          <w:szCs w:val="24"/>
          <w:lang w:eastAsia="en-GB"/>
        </w:rPr>
        <w:t>P7</w:t>
      </w:r>
      <w:r w:rsidRPr="00D9567F">
        <w:rPr>
          <w:rFonts w:eastAsia="Times New Roman" w:cstheme="minorHAnsi"/>
          <w:b/>
          <w:color w:val="000000"/>
          <w:sz w:val="96"/>
          <w:szCs w:val="24"/>
          <w:lang w:eastAsia="en-GB"/>
        </w:rPr>
        <w:t>001-C</w:t>
      </w:r>
      <w:r w:rsidR="00D9567F" w:rsidRPr="00D9567F">
        <w:rPr>
          <w:rFonts w:eastAsia="Times New Roman" w:cstheme="minorHAnsi"/>
          <w:b/>
          <w:color w:val="000000"/>
          <w:sz w:val="96"/>
          <w:szCs w:val="24"/>
          <w:lang w:eastAsia="en-GB"/>
        </w:rPr>
        <w:t xml:space="preserve"> </w:t>
      </w:r>
    </w:p>
    <w:p w14:paraId="6FD93FC1" w14:textId="76AB29A2" w:rsidR="00C50C82" w:rsidRPr="00D9567F" w:rsidRDefault="00C50C82" w:rsidP="00D9567F">
      <w:pPr>
        <w:spacing w:before="100" w:beforeAutospacing="1" w:after="100" w:afterAutospacing="1" w:line="240" w:lineRule="auto"/>
        <w:jc w:val="center"/>
        <w:rPr>
          <w:rFonts w:eastAsia="Times New Roman" w:cstheme="minorHAnsi"/>
          <w:b/>
          <w:color w:val="000000"/>
          <w:sz w:val="96"/>
          <w:szCs w:val="24"/>
          <w:lang w:eastAsia="en-GB"/>
        </w:rPr>
      </w:pPr>
      <w:r w:rsidRPr="00D9567F">
        <w:rPr>
          <w:rFonts w:eastAsia="Times New Roman" w:cstheme="minorHAnsi"/>
          <w:b/>
          <w:color w:val="000000"/>
          <w:sz w:val="96"/>
          <w:szCs w:val="24"/>
          <w:lang w:eastAsia="en-GB"/>
        </w:rPr>
        <w:t xml:space="preserve">Grŵp: </w:t>
      </w:r>
      <w:r w:rsidR="00D9567F" w:rsidRPr="00D9567F">
        <w:rPr>
          <w:rFonts w:eastAsia="Times New Roman" w:cstheme="minorHAnsi"/>
          <w:b/>
          <w:color w:val="000000"/>
          <w:sz w:val="96"/>
          <w:szCs w:val="24"/>
          <w:lang w:eastAsia="en-GB"/>
        </w:rPr>
        <w:t>C</w:t>
      </w:r>
    </w:p>
    <w:p w14:paraId="7C6FB6F6" w14:textId="22D9E7CF" w:rsidR="00C50C82" w:rsidRPr="00D9567F" w:rsidRDefault="00C50C82" w:rsidP="00D9567F">
      <w:pPr>
        <w:spacing w:before="100" w:beforeAutospacing="1" w:after="100" w:afterAutospacing="1" w:line="240" w:lineRule="auto"/>
        <w:jc w:val="center"/>
        <w:rPr>
          <w:rFonts w:eastAsia="Times New Roman" w:cstheme="minorHAnsi"/>
          <w:b/>
          <w:color w:val="000000"/>
          <w:sz w:val="96"/>
          <w:szCs w:val="24"/>
          <w:lang w:eastAsia="en-GB"/>
        </w:rPr>
      </w:pPr>
      <w:r w:rsidRPr="00D9567F">
        <w:rPr>
          <w:rFonts w:eastAsia="Times New Roman" w:cstheme="minorHAnsi"/>
          <w:b/>
          <w:color w:val="000000"/>
          <w:sz w:val="96"/>
          <w:szCs w:val="24"/>
          <w:lang w:eastAsia="en-GB"/>
        </w:rPr>
        <w:t xml:space="preserve">Nifer o eiriau: </w:t>
      </w:r>
      <w:r w:rsidR="00D9567F" w:rsidRPr="00D9567F">
        <w:rPr>
          <w:rFonts w:eastAsia="Times New Roman" w:cstheme="minorHAnsi"/>
          <w:b/>
          <w:color w:val="000000"/>
          <w:sz w:val="96"/>
          <w:szCs w:val="24"/>
          <w:lang w:eastAsia="en-GB"/>
        </w:rPr>
        <w:t>5,6</w:t>
      </w:r>
      <w:r w:rsidR="00D453FB">
        <w:rPr>
          <w:rFonts w:eastAsia="Times New Roman" w:cstheme="minorHAnsi"/>
          <w:b/>
          <w:color w:val="000000"/>
          <w:sz w:val="96"/>
          <w:szCs w:val="24"/>
          <w:lang w:eastAsia="en-GB"/>
        </w:rPr>
        <w:t>00</w:t>
      </w:r>
    </w:p>
    <w:p w14:paraId="3FB3EEE5" w14:textId="77777777" w:rsidR="00C50C82" w:rsidRDefault="00C50C82" w:rsidP="002607CC">
      <w:pPr>
        <w:spacing w:line="360" w:lineRule="auto"/>
        <w:jc w:val="center"/>
        <w:rPr>
          <w:rFonts w:cstheme="minorHAnsi"/>
          <w:b/>
          <w:sz w:val="24"/>
          <w:szCs w:val="24"/>
          <w:u w:val="single"/>
        </w:rPr>
      </w:pPr>
    </w:p>
    <w:p w14:paraId="689FC0CD" w14:textId="77777777" w:rsidR="00C50C82" w:rsidRDefault="00C50C82" w:rsidP="002607CC">
      <w:pPr>
        <w:spacing w:line="360" w:lineRule="auto"/>
        <w:jc w:val="center"/>
        <w:rPr>
          <w:rFonts w:cstheme="minorHAnsi"/>
          <w:b/>
          <w:sz w:val="24"/>
          <w:szCs w:val="24"/>
          <w:u w:val="single"/>
        </w:rPr>
      </w:pPr>
    </w:p>
    <w:p w14:paraId="49C081F9" w14:textId="77777777" w:rsidR="00C50C82" w:rsidRDefault="00C50C82" w:rsidP="002607CC">
      <w:pPr>
        <w:spacing w:line="360" w:lineRule="auto"/>
        <w:jc w:val="center"/>
        <w:rPr>
          <w:rFonts w:cstheme="minorHAnsi"/>
          <w:b/>
          <w:sz w:val="24"/>
          <w:szCs w:val="24"/>
          <w:u w:val="single"/>
        </w:rPr>
      </w:pPr>
    </w:p>
    <w:p w14:paraId="35687ADA" w14:textId="77777777" w:rsidR="00C50C82" w:rsidRDefault="00C50C82" w:rsidP="002607CC">
      <w:pPr>
        <w:spacing w:line="360" w:lineRule="auto"/>
        <w:jc w:val="center"/>
        <w:rPr>
          <w:rFonts w:cstheme="minorHAnsi"/>
          <w:b/>
          <w:sz w:val="24"/>
          <w:szCs w:val="24"/>
          <w:u w:val="single"/>
        </w:rPr>
      </w:pPr>
    </w:p>
    <w:p w14:paraId="506CE89A" w14:textId="77777777" w:rsidR="00C50C82" w:rsidRDefault="00C50C82" w:rsidP="002607CC">
      <w:pPr>
        <w:spacing w:line="360" w:lineRule="auto"/>
        <w:jc w:val="center"/>
        <w:rPr>
          <w:rFonts w:cstheme="minorHAnsi"/>
          <w:b/>
          <w:sz w:val="24"/>
          <w:szCs w:val="24"/>
          <w:u w:val="single"/>
        </w:rPr>
      </w:pPr>
    </w:p>
    <w:p w14:paraId="6FE8806F" w14:textId="77777777" w:rsidR="00C50C82" w:rsidRDefault="00C50C82" w:rsidP="002607CC">
      <w:pPr>
        <w:spacing w:line="360" w:lineRule="auto"/>
        <w:jc w:val="center"/>
        <w:rPr>
          <w:rFonts w:cstheme="minorHAnsi"/>
          <w:b/>
          <w:sz w:val="24"/>
          <w:szCs w:val="24"/>
          <w:u w:val="single"/>
        </w:rPr>
      </w:pPr>
    </w:p>
    <w:p w14:paraId="5A96997C" w14:textId="77777777" w:rsidR="00C50C82" w:rsidRDefault="00C50C82" w:rsidP="002607CC">
      <w:pPr>
        <w:spacing w:line="360" w:lineRule="auto"/>
        <w:jc w:val="center"/>
        <w:rPr>
          <w:rFonts w:cstheme="minorHAnsi"/>
          <w:b/>
          <w:sz w:val="24"/>
          <w:szCs w:val="24"/>
          <w:u w:val="single"/>
        </w:rPr>
      </w:pPr>
    </w:p>
    <w:p w14:paraId="17BBFAA5" w14:textId="77777777" w:rsidR="00C50C82" w:rsidRDefault="00C50C82" w:rsidP="002607CC">
      <w:pPr>
        <w:spacing w:line="360" w:lineRule="auto"/>
        <w:jc w:val="center"/>
        <w:rPr>
          <w:rFonts w:cstheme="minorHAnsi"/>
          <w:b/>
          <w:sz w:val="24"/>
          <w:szCs w:val="24"/>
          <w:u w:val="single"/>
        </w:rPr>
      </w:pPr>
    </w:p>
    <w:p w14:paraId="0282B4A9" w14:textId="77777777" w:rsidR="00D9567F" w:rsidRDefault="00D9567F" w:rsidP="00D9567F">
      <w:pPr>
        <w:spacing w:line="360" w:lineRule="auto"/>
        <w:rPr>
          <w:rFonts w:cstheme="minorHAnsi"/>
          <w:b/>
          <w:sz w:val="24"/>
          <w:szCs w:val="24"/>
          <w:u w:val="single"/>
        </w:rPr>
      </w:pPr>
    </w:p>
    <w:p w14:paraId="28DE2940" w14:textId="77777777" w:rsidR="00931390" w:rsidRPr="00D453FB" w:rsidRDefault="00931390" w:rsidP="00D453FB">
      <w:pPr>
        <w:spacing w:line="360" w:lineRule="auto"/>
        <w:jc w:val="center"/>
        <w:rPr>
          <w:rFonts w:cstheme="minorHAnsi"/>
          <w:b/>
          <w:sz w:val="24"/>
          <w:szCs w:val="24"/>
          <w:u w:val="single"/>
        </w:rPr>
      </w:pPr>
      <w:r w:rsidRPr="002607CC">
        <w:rPr>
          <w:rFonts w:cstheme="minorHAnsi"/>
          <w:b/>
          <w:sz w:val="24"/>
          <w:szCs w:val="24"/>
          <w:u w:val="single"/>
        </w:rPr>
        <w:lastRenderedPageBreak/>
        <w:t xml:space="preserve">Sut </w:t>
      </w:r>
      <w:r w:rsidRPr="00D453FB">
        <w:rPr>
          <w:rFonts w:cstheme="minorHAnsi"/>
          <w:b/>
          <w:sz w:val="24"/>
          <w:szCs w:val="24"/>
          <w:u w:val="single"/>
        </w:rPr>
        <w:t>allwn wella ymglymiad plant o fewn gwe</w:t>
      </w:r>
      <w:r w:rsidR="00C50C82" w:rsidRPr="00D453FB">
        <w:rPr>
          <w:rFonts w:cstheme="minorHAnsi"/>
          <w:b/>
          <w:sz w:val="24"/>
          <w:szCs w:val="24"/>
          <w:u w:val="single"/>
        </w:rPr>
        <w:t>r</w:t>
      </w:r>
      <w:r w:rsidRPr="00D453FB">
        <w:rPr>
          <w:rFonts w:cstheme="minorHAnsi"/>
          <w:b/>
          <w:sz w:val="24"/>
          <w:szCs w:val="24"/>
          <w:u w:val="single"/>
        </w:rPr>
        <w:t>si trwy ddefnyddio canmoliaeth ar lafar mewn ystafell dosbarth Cyfnod Sylfaen?</w:t>
      </w:r>
    </w:p>
    <w:p w14:paraId="732E4775" w14:textId="77777777" w:rsidR="00D249FA" w:rsidRPr="00D453FB" w:rsidRDefault="001678C0" w:rsidP="00D453FB">
      <w:pPr>
        <w:spacing w:line="360" w:lineRule="auto"/>
        <w:rPr>
          <w:rFonts w:cstheme="minorHAnsi"/>
          <w:sz w:val="24"/>
          <w:szCs w:val="24"/>
          <w:u w:val="single"/>
        </w:rPr>
      </w:pPr>
      <w:r w:rsidRPr="00D453FB">
        <w:rPr>
          <w:rFonts w:cstheme="minorHAnsi"/>
          <w:b/>
          <w:sz w:val="24"/>
          <w:szCs w:val="24"/>
          <w:u w:val="single"/>
        </w:rPr>
        <w:t>Nod yr ymchwil</w:t>
      </w:r>
    </w:p>
    <w:p w14:paraId="7BEFE4CC" w14:textId="77777777" w:rsidR="00D9567F" w:rsidRPr="00D453FB" w:rsidRDefault="00D9567F" w:rsidP="00D453FB">
      <w:pPr>
        <w:autoSpaceDE w:val="0"/>
        <w:autoSpaceDN w:val="0"/>
        <w:adjustRightInd w:val="0"/>
        <w:spacing w:line="360" w:lineRule="auto"/>
        <w:rPr>
          <w:rFonts w:cstheme="minorHAnsi"/>
          <w:sz w:val="24"/>
          <w:szCs w:val="24"/>
          <w:u w:val="single"/>
        </w:rPr>
      </w:pPr>
      <w:r w:rsidRPr="00D453FB">
        <w:rPr>
          <w:rFonts w:cstheme="minorHAnsi"/>
          <w:sz w:val="24"/>
          <w:szCs w:val="24"/>
        </w:rPr>
        <w:t xml:space="preserve">Y mater sydd o ddiddordeb i mi yn ystod y traethawd hir hwn yw’r effaith o ganmoliaeth ar lafar ar ymglymiad plant yn yr ystafell dosbarth. Nod yr ymchwil yw dod at gasgliad sydd yn cefnogi neu’n gwrthod yr effaith mae canmoliaeth yn cael ar blant mewn gwirionedd. Wrth gwblhau'r ail ran o PAP 1 mewn dosbarth Cyfnod Sylfaen, mae hi wedi dod yn amlwg bod canmoliaeth yn cael ei ddefnyddio fel teclyn i gael plant i gydymffurfio â’r hyn sydd yn ddisgwyliedig ohonynt. </w:t>
      </w:r>
    </w:p>
    <w:p w14:paraId="78359D95" w14:textId="03F4904C" w:rsidR="00D9567F" w:rsidRPr="00D453FB" w:rsidRDefault="00D9567F" w:rsidP="00D453FB">
      <w:pPr>
        <w:autoSpaceDE w:val="0"/>
        <w:autoSpaceDN w:val="0"/>
        <w:adjustRightInd w:val="0"/>
        <w:spacing w:line="360" w:lineRule="auto"/>
        <w:rPr>
          <w:rFonts w:cstheme="minorHAnsi"/>
          <w:sz w:val="24"/>
          <w:szCs w:val="24"/>
        </w:rPr>
      </w:pPr>
      <w:r w:rsidRPr="00D453FB">
        <w:rPr>
          <w:rFonts w:cstheme="minorHAnsi"/>
          <w:sz w:val="24"/>
          <w:szCs w:val="24"/>
        </w:rPr>
        <w:t xml:space="preserve">Prif ffocws yr ymchwil yw arsylwi ymglymiad unigolion trwy gydol gwersi er mwyn darganfod sut maent yn ymateb i ganmoliaeth ac os mae hyn yn cael unrhyw effaith ar gyfraniad nhw i’r wers. Ceisiwyd darganfod hyn trwy ddewis tri phlentyn sydd yn gynrychioladol o’r dosbarth a’i harsylwi drwy ddefnyddio graddfa Leuven trwy gydol y wers. </w:t>
      </w:r>
    </w:p>
    <w:p w14:paraId="713AF638" w14:textId="77777777" w:rsidR="000F48D5" w:rsidRPr="00D453FB" w:rsidRDefault="000F48D5" w:rsidP="00D453FB">
      <w:pPr>
        <w:spacing w:line="360" w:lineRule="auto"/>
        <w:rPr>
          <w:rFonts w:cstheme="minorHAnsi"/>
          <w:b/>
          <w:color w:val="212121"/>
          <w:sz w:val="24"/>
          <w:szCs w:val="24"/>
        </w:rPr>
      </w:pPr>
    </w:p>
    <w:p w14:paraId="37FFBE65" w14:textId="77777777" w:rsidR="00D9567F" w:rsidRPr="00D453FB" w:rsidRDefault="001678C0" w:rsidP="00D453FB">
      <w:pPr>
        <w:pStyle w:val="NormalWeb"/>
        <w:spacing w:line="360" w:lineRule="auto"/>
        <w:rPr>
          <w:rFonts w:asciiTheme="minorHAnsi" w:hAnsiTheme="minorHAnsi" w:cstheme="minorHAnsi"/>
          <w:b/>
          <w:color w:val="000000"/>
          <w:u w:val="single"/>
        </w:rPr>
      </w:pPr>
      <w:r w:rsidRPr="00D453FB">
        <w:rPr>
          <w:rFonts w:asciiTheme="minorHAnsi" w:hAnsiTheme="minorHAnsi" w:cstheme="minorHAnsi"/>
          <w:b/>
          <w:color w:val="000000"/>
          <w:u w:val="single"/>
        </w:rPr>
        <w:t xml:space="preserve">Cyd-destun yr ymchwil </w:t>
      </w:r>
    </w:p>
    <w:p w14:paraId="3BF2442B" w14:textId="2F6104BE" w:rsidR="00D9567F" w:rsidRPr="00D453FB" w:rsidRDefault="00D9567F" w:rsidP="00D453FB">
      <w:pPr>
        <w:pStyle w:val="NormalWeb"/>
        <w:spacing w:line="360" w:lineRule="auto"/>
        <w:rPr>
          <w:rFonts w:asciiTheme="minorHAnsi" w:hAnsiTheme="minorHAnsi" w:cstheme="minorHAnsi"/>
          <w:b/>
          <w:color w:val="000000"/>
          <w:u w:val="single"/>
        </w:rPr>
      </w:pPr>
      <w:r w:rsidRPr="00D453FB">
        <w:rPr>
          <w:rFonts w:asciiTheme="minorHAnsi" w:hAnsiTheme="minorHAnsi" w:cstheme="minorHAnsi"/>
          <w:color w:val="000000"/>
        </w:rPr>
        <w:t xml:space="preserve">Cynhaliwyd yr ymchwil o fewn dwy ysgol wahanol. Lleolir yr ysgol gynradd Gymraeg gyntaf sef ‘Ysgol A’ ym mhentref bach, gwledig yn Sir Gaerfyrddin. Mynychwyd yr ysgol gan 248 o ddisgyblion ac yn ôl Estyn (2014) daw tua 60% o’r disgyblion o gartrefi lle siaradir Cymraeg fel iaith gyntaf. Mae gan tua 5% o’r disgyblion yr hawl i brydau ysgol am ddim ac mae’r canran hyn yn sylweddol is na’r cyfartaledd cenedlaethol. Mae gan 66% o ddisgyblion anghenion dysgu ychwanegol, sy’n uwch na’r ffigwr cenedlaethol, ac mae gan deg disgybl ddatganiad o anghenion addysgol arbennig (Estyn, 2014). </w:t>
      </w:r>
    </w:p>
    <w:p w14:paraId="582DECE0" w14:textId="77777777" w:rsidR="00D9567F" w:rsidRPr="00D453FB" w:rsidRDefault="00D9567F" w:rsidP="00D453FB">
      <w:pPr>
        <w:autoSpaceDE w:val="0"/>
        <w:autoSpaceDN w:val="0"/>
        <w:adjustRightInd w:val="0"/>
        <w:spacing w:before="100" w:after="100" w:line="360" w:lineRule="auto"/>
        <w:rPr>
          <w:rFonts w:cstheme="minorHAnsi"/>
          <w:color w:val="000000"/>
          <w:sz w:val="24"/>
          <w:szCs w:val="24"/>
        </w:rPr>
      </w:pPr>
      <w:r w:rsidRPr="00D453FB">
        <w:rPr>
          <w:rFonts w:cstheme="minorHAnsi"/>
          <w:color w:val="000000"/>
          <w:sz w:val="24"/>
          <w:szCs w:val="24"/>
        </w:rPr>
        <w:t xml:space="preserve">Yn wahanol i’r ysgol gyntaf, mae’r ail ysgol gynradd Gymraeg, sef ‘Ysgol B’, yn ysgol drefol sydd wedi’i leoli ar gyrion Abertawe. Mae’n ysgol fawr gyda 482 o ddisgyblion yn ei mynychu a Chymraeg yw prif gyfrwng bywyd a gwaith yr ysgol er taw dim ond deg y </w:t>
      </w:r>
      <w:proofErr w:type="gramStart"/>
      <w:r w:rsidRPr="00D453FB">
        <w:rPr>
          <w:rFonts w:cstheme="minorHAnsi"/>
          <w:color w:val="000000"/>
          <w:sz w:val="24"/>
          <w:szCs w:val="24"/>
        </w:rPr>
        <w:t>cant</w:t>
      </w:r>
      <w:proofErr w:type="gramEnd"/>
      <w:r w:rsidRPr="00D453FB">
        <w:rPr>
          <w:rFonts w:cstheme="minorHAnsi"/>
          <w:color w:val="000000"/>
          <w:sz w:val="24"/>
          <w:szCs w:val="24"/>
        </w:rPr>
        <w:t xml:space="preserve"> o ddisgyblion daw o gartrefi Cymraeg. Yn debyg i Ysgol A, mae’r nifer o ddisgyblion sydd yn derbyn prydau ysgol am ddim yn llawer is na’r ganran genedlaethol o 18%, gyda 7% yn unig yn ei dderbyn (Estyn, 2018).</w:t>
      </w:r>
    </w:p>
    <w:p w14:paraId="6D9C9464" w14:textId="77777777" w:rsidR="00D9567F" w:rsidRPr="00D453FB" w:rsidRDefault="00D9567F" w:rsidP="00D453FB">
      <w:pPr>
        <w:spacing w:line="360" w:lineRule="auto"/>
        <w:rPr>
          <w:rFonts w:cstheme="minorHAnsi"/>
          <w:b/>
          <w:color w:val="212121"/>
          <w:sz w:val="24"/>
          <w:szCs w:val="24"/>
          <w:u w:val="single"/>
        </w:rPr>
      </w:pPr>
    </w:p>
    <w:p w14:paraId="3DEFD6C7" w14:textId="62FBB6B1" w:rsidR="000F48D5" w:rsidRPr="00D453FB" w:rsidRDefault="002866B0" w:rsidP="00D453FB">
      <w:pPr>
        <w:spacing w:line="360" w:lineRule="auto"/>
        <w:rPr>
          <w:rFonts w:cstheme="minorHAnsi"/>
          <w:b/>
          <w:color w:val="212121"/>
          <w:sz w:val="24"/>
          <w:szCs w:val="24"/>
          <w:u w:val="single"/>
        </w:rPr>
      </w:pPr>
      <w:r w:rsidRPr="00D453FB">
        <w:rPr>
          <w:rFonts w:cstheme="minorHAnsi"/>
          <w:b/>
          <w:color w:val="212121"/>
          <w:sz w:val="24"/>
          <w:szCs w:val="24"/>
          <w:u w:val="single"/>
        </w:rPr>
        <w:t>Trosolwg byr o lenyddiaeth berthnasol</w:t>
      </w:r>
    </w:p>
    <w:p w14:paraId="5EDD58C9" w14:textId="77777777" w:rsidR="00D9567F" w:rsidRPr="00D453FB" w:rsidRDefault="00D9567F" w:rsidP="00D453FB">
      <w:pPr>
        <w:autoSpaceDE w:val="0"/>
        <w:autoSpaceDN w:val="0"/>
        <w:adjustRightInd w:val="0"/>
        <w:spacing w:line="360" w:lineRule="auto"/>
        <w:rPr>
          <w:rFonts w:cstheme="minorHAnsi"/>
          <w:color w:val="212121"/>
          <w:sz w:val="24"/>
          <w:szCs w:val="24"/>
        </w:rPr>
      </w:pPr>
      <w:r w:rsidRPr="00D453FB">
        <w:rPr>
          <w:rFonts w:cstheme="minorHAnsi"/>
          <w:color w:val="212121"/>
          <w:sz w:val="24"/>
          <w:szCs w:val="24"/>
        </w:rPr>
        <w:t xml:space="preserve">Mae canmoliaeth yn strategaeth ddosbarth dibynadwy y gellir ei ddefnyddio'n hawdd gan athrawon ar draws pob blwyddyn ysgol. Serch hynny, ar ôl mwy na phedwar degawd o ymchwil ar y defnydd o ganmoliaeth yn yr ystafell ddosbarth, mae anghytundeb mawr yn parhau o fewn llenyddiaeth. Ar hyn o bryd yn y wasg boblogaidd ac academaidd, mae dadl yn bodoli ynghylch y defnyddioldeb a'r niwed posibl o ganmol plant ifanc (Bayat, 2011). Ymchwiliais ymhellach i hyn er mwyn ceisio deall pam bydd rhai yn erbyn y defnydd o ganmoliaeth o fewn yr ystafell dosbarth a beth yw’r effaith o’i ddefnyddio yn gyson wrth weithio gyda phlant ifanc. </w:t>
      </w:r>
    </w:p>
    <w:p w14:paraId="6B0D0ADE" w14:textId="1577FE65" w:rsidR="00A3509A" w:rsidRPr="00D453FB" w:rsidRDefault="00D9567F" w:rsidP="00D453FB">
      <w:pPr>
        <w:spacing w:line="360" w:lineRule="auto"/>
        <w:rPr>
          <w:rFonts w:cstheme="minorHAnsi"/>
          <w:color w:val="212121"/>
          <w:sz w:val="24"/>
          <w:szCs w:val="24"/>
        </w:rPr>
      </w:pPr>
      <w:r w:rsidRPr="00D453FB">
        <w:rPr>
          <w:rFonts w:cstheme="minorHAnsi"/>
          <w:color w:val="212121"/>
          <w:sz w:val="24"/>
          <w:szCs w:val="24"/>
        </w:rPr>
        <w:t xml:space="preserve">Diffiniwyd canmoliaeth fel ffordd o gymeradwyo gwerth neu fynegi cymeradwyaeth neu edmygedd (Brophy, 1981). Os mae athrawon yn canmol ymddygiadau priodol plant ac yn anwybyddu ei hymddygiad negyddol, bydd y plant yn dysgu taw’r ffordd orau i gael sylw’r athro/athrawes yw drwy ymddwyn mewn ffordd gadarnhaol (Conroy </w:t>
      </w:r>
      <w:r w:rsidRPr="00D453FB">
        <w:rPr>
          <w:rFonts w:cstheme="minorHAnsi"/>
          <w:i/>
          <w:iCs/>
          <w:color w:val="212121"/>
          <w:sz w:val="24"/>
          <w:szCs w:val="24"/>
        </w:rPr>
        <w:t>et al</w:t>
      </w:r>
      <w:r w:rsidRPr="00D453FB">
        <w:rPr>
          <w:rFonts w:cstheme="minorHAnsi"/>
          <w:color w:val="212121"/>
          <w:sz w:val="24"/>
          <w:szCs w:val="24"/>
        </w:rPr>
        <w:t>, 2009). Cefnogodd y darlleniad yma ein cwestiwn ymchwil wrth iddo ddisgrifio canmoliaeth mewn ffordd sydd yn ddefnyddiol ac effeithiol ar gyfer annog ymddygiad positif o fewn y dosbarth. Yn ôl Hitz a Driscoll (1989) mae’r rhan fwyaf o addysgwyr plentyndod cynnar yn defnyddio canmoliaeth i feithrin hunan-barch, annibyniaeth, hunanddibyniaeth, cyflawniad, a chymhelliant ar gyfer dysgu. Defnyddiwyd rhan fwyaf o athrawon canmoliaeth er mwyn gwella’r cynnydd tuag at y nodau hyn. Er hynny, mae’r ymchwil gyfredol yn peri'r posibilrwydd y gallai rhai defnyddiau cyffredin o ganmol cael effeithiau negyddol mewn rhai neu bob un o’r meysydd hyn.</w:t>
      </w:r>
    </w:p>
    <w:p w14:paraId="686100DE" w14:textId="77777777" w:rsidR="00D9567F" w:rsidRPr="00D453FB" w:rsidRDefault="00D9567F" w:rsidP="00D453FB">
      <w:pPr>
        <w:autoSpaceDE w:val="0"/>
        <w:autoSpaceDN w:val="0"/>
        <w:adjustRightInd w:val="0"/>
        <w:spacing w:line="360" w:lineRule="auto"/>
        <w:rPr>
          <w:rFonts w:cstheme="minorHAnsi"/>
          <w:color w:val="212121"/>
          <w:sz w:val="24"/>
          <w:szCs w:val="24"/>
        </w:rPr>
      </w:pPr>
      <w:r w:rsidRPr="00D453FB">
        <w:rPr>
          <w:rFonts w:cstheme="minorHAnsi"/>
          <w:color w:val="212121"/>
          <w:sz w:val="24"/>
          <w:szCs w:val="24"/>
        </w:rPr>
        <w:t xml:space="preserve">Er bod athrawon yn hoffus iawn o ddefnyddio canmoliaeth yn yr ystafell dosbarth, mae ymchwilwyr wedi canfod na fyddant bob amser yn eu defnyddio’n aml neu’n effeithiol (Conroy </w:t>
      </w:r>
      <w:r w:rsidRPr="00D453FB">
        <w:rPr>
          <w:rFonts w:cstheme="minorHAnsi"/>
          <w:i/>
          <w:iCs/>
          <w:color w:val="212121"/>
          <w:sz w:val="24"/>
          <w:szCs w:val="24"/>
        </w:rPr>
        <w:t>et al</w:t>
      </w:r>
      <w:r w:rsidRPr="00D453FB">
        <w:rPr>
          <w:rFonts w:cstheme="minorHAnsi"/>
          <w:color w:val="212121"/>
          <w:sz w:val="24"/>
          <w:szCs w:val="24"/>
        </w:rPr>
        <w:t xml:space="preserve">, 2009). Dywedir Burnett a Mandel (2010), dylid rhoi ystyriaeth ofalus i’r math o ganmoliaeth ac adborth a ddefnyddir gan athrawon yn eu hystafelloedd dosbarth a phryd a sut y dylid ei ddefnyddio. Cefnogir hyn gan Hattie a Timperley (2007) wrth iddynt nodi bod adborth personol, megis ‘ymdrech dda’ a ‘da iawn ti’ fel arfer yn mynegi gwerthusiadau a theimladau cadarnhaol am y myfyriwr ond nid oes ganddo lawer o wybodaeth sy’n ymwneud â thasgau. Dadleua taw anaml y caiff y math hwn o adborth ei throsi i gynyddu </w:t>
      </w:r>
      <w:r w:rsidRPr="00D453FB">
        <w:rPr>
          <w:rFonts w:cstheme="minorHAnsi"/>
          <w:color w:val="212121"/>
          <w:sz w:val="24"/>
          <w:szCs w:val="24"/>
        </w:rPr>
        <w:lastRenderedPageBreak/>
        <w:t>ymgysylltiad, ymroddiad i ddysgu, hunan-ganfyddiadau gwell neu ddealltwriaeth ddyfnach am y dasg. Felly, mae Hattie a Timperely o’r farn nid yw canmoliaeth gyffredinol a roddir i fyfyrwyr yn debygol o fod yn effeithiol ar gyfer dysgu neu ar gyfer datblygiad cyffredinol.</w:t>
      </w:r>
    </w:p>
    <w:p w14:paraId="030FFC88" w14:textId="58F53ADB" w:rsidR="00DD6F5F" w:rsidRPr="00D453FB" w:rsidRDefault="00DD6F5F" w:rsidP="00D453FB">
      <w:pPr>
        <w:spacing w:line="360" w:lineRule="auto"/>
        <w:rPr>
          <w:rFonts w:cstheme="minorHAnsi"/>
          <w:color w:val="212121"/>
          <w:sz w:val="24"/>
          <w:szCs w:val="24"/>
        </w:rPr>
      </w:pPr>
    </w:p>
    <w:p w14:paraId="5CF3E62C" w14:textId="77777777" w:rsidR="00D9567F" w:rsidRPr="00D453FB" w:rsidRDefault="00D9567F"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rPr>
        <w:t>Serch hynny, dadleua Brophy (1981) taw un fantais o ddefnyddio canmoliaeth yw ei bod hi’n caniat</w:t>
      </w:r>
      <w:r w:rsidRPr="00D453FB">
        <w:rPr>
          <w:rFonts w:cstheme="minorHAnsi"/>
          <w:color w:val="212121"/>
          <w:sz w:val="24"/>
          <w:szCs w:val="24"/>
          <w:lang w:val="cy-GB"/>
        </w:rPr>
        <w:t xml:space="preserve">áu datganiad uniongyrchol o’r ymagwedd rhwng yr ymddygiad a’r atgyfnerthiad. Hynny yw, yn y weithred o ganmoliaeth, gall athrawon nodi’r ymddygiad penodol y maent yn ceisio ei atgyfnerthu. Yn yr un modd, cytuna Brophy â Hitz a Driscoll wrth iddo esbonio bod canmoliaeth yn dechneg ddymunol o fewn y dosbarth am nid yw’n unig yn cael ei ddefnyddio i fod yn atgyfnerthiad effeithiol, ond credir ei fod yn rhoi anogaeth i fyfyrwyr, i helpu adeiladu hunan-barch ac i greu perthynas agos ymhlith athrawon a’i disgyblion (2010). </w:t>
      </w:r>
    </w:p>
    <w:p w14:paraId="13D20EBD" w14:textId="77777777" w:rsidR="00D9567F" w:rsidRPr="00D453FB" w:rsidRDefault="00D9567F" w:rsidP="00D453FB">
      <w:pPr>
        <w:autoSpaceDE w:val="0"/>
        <w:autoSpaceDN w:val="0"/>
        <w:adjustRightInd w:val="0"/>
        <w:spacing w:line="360" w:lineRule="auto"/>
        <w:rPr>
          <w:rFonts w:cstheme="minorHAnsi"/>
          <w:color w:val="212121"/>
          <w:sz w:val="24"/>
          <w:szCs w:val="24"/>
          <w:lang w:val="cy-GB"/>
        </w:rPr>
      </w:pPr>
    </w:p>
    <w:p w14:paraId="7C8C1996" w14:textId="77777777" w:rsidR="00D9567F" w:rsidRPr="00D453FB" w:rsidRDefault="00D9567F"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lang w:val="cy-GB"/>
        </w:rPr>
        <w:t>Ar y llaw arall, mae Brophy yn cytuno gydag ymchwilwyr eraill wrth iddo ddadlau nid yw’r ffaith bod canmoliaeth yn gweithredu fel atgyfnerthwr o reidrwydd yn golygu ei fod yn llwyddiannus yn gwneud hyn ar bob adeg. Byddai ymarferwyr adeileddol yn dadlau bod canmoliaeth mewn unrhyw ffurf yn creu hierarchaeth a chystadleuaeth o fewn yr ystafell ddosbarth ac nid yw’n cael effaith ar ddysgu mewn gwirionedd (Robins, 2012). Cytuna Hitz a Driscoll (1989) gyda hyn wrth iddynt ddadlau bod gan rai datganiadau canmoliaeth y potensial i leihau hunanhyder myfyrwyr. Yn ogystal, mae rhai ymchwilwyr wedi canfod bod canmoliaeth yn gallu lleihau hunan-gymhelliant ac yn achosi plant i ddibynnu ar wobrau yn hytrach na ffocysu ar beth sydd yn bwysig. Cytuna Brophy gyda hyn wrth iddo ddatgan gall canmoliaeth aneffeithiol ddinistrio chwilfrydedd a dymuniad naturiol myfyrwyr wrth iddynt ganolbwyntio’n fwy ar wobrwyon anghenid yn hytrach na’r gwobrau cynhenid sy’n deillio o’r dasg ei hun (1981).</w:t>
      </w:r>
    </w:p>
    <w:p w14:paraId="75131B7E" w14:textId="77777777" w:rsidR="00D9567F" w:rsidRPr="00D453FB" w:rsidRDefault="00D9567F"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lang w:val="cy-GB"/>
        </w:rPr>
        <w:t xml:space="preserve">Fodd bynnag, mae dal i fod llawer o dystiolaeth sydd yn cefnogi’r ffaith bod canmoliaeth yn effeithiol, yn enwedig ymhlith plant ifanc. Dywed Robins (2012), bod canmoliaeth yn gymhelliant pwerus ac mae unrhyw un sy’n gweithio gyda neu’n treulio amser gyda phlant yn gwybod bod canmoliaeth yn gweithio. Mae’n ffordd o wella ymddygiad, annog arferion gwaith da a chynhyrchu dysgwyr cyfoes. Yn ogystal â chanmoliaeth ar lafar, mae plant yn mwynhau derbyn sticeri, tystysgrifau ac amrywiaeth o wobrwyon eraill a’r effaith mae’r holl </w:t>
      </w:r>
      <w:r w:rsidRPr="00D453FB">
        <w:rPr>
          <w:rFonts w:cstheme="minorHAnsi"/>
          <w:color w:val="212121"/>
          <w:sz w:val="24"/>
          <w:szCs w:val="24"/>
          <w:lang w:val="cy-GB"/>
        </w:rPr>
        <w:lastRenderedPageBreak/>
        <w:t>bethau hyn yn cael ar blant, boed yn gadarnhaol neu’n negyddol, yw beth y byddaf yn ei drafod ymhellach ymlaen.</w:t>
      </w:r>
    </w:p>
    <w:p w14:paraId="2E4A894C" w14:textId="7C82013F" w:rsidR="006615E8" w:rsidRPr="00D453FB" w:rsidRDefault="006615E8" w:rsidP="00D453FB">
      <w:pPr>
        <w:spacing w:line="360" w:lineRule="auto"/>
        <w:rPr>
          <w:rFonts w:cstheme="minorHAnsi"/>
          <w:color w:val="212121"/>
          <w:sz w:val="24"/>
          <w:szCs w:val="24"/>
          <w:u w:val="single"/>
          <w:bdr w:val="none" w:sz="0" w:space="0" w:color="auto" w:frame="1"/>
          <w:lang w:val="cy-GB"/>
        </w:rPr>
      </w:pPr>
    </w:p>
    <w:p w14:paraId="2276C985" w14:textId="472B5604" w:rsidR="006615E8" w:rsidRPr="00D453FB" w:rsidRDefault="00D378E2" w:rsidP="00D453FB">
      <w:pPr>
        <w:spacing w:line="360" w:lineRule="auto"/>
        <w:rPr>
          <w:rFonts w:cstheme="minorHAnsi"/>
          <w:b/>
          <w:color w:val="212121"/>
          <w:sz w:val="24"/>
          <w:szCs w:val="24"/>
          <w:bdr w:val="none" w:sz="0" w:space="0" w:color="auto" w:frame="1"/>
          <w:lang w:val="cy-GB"/>
        </w:rPr>
      </w:pPr>
      <w:r w:rsidRPr="00D453FB">
        <w:rPr>
          <w:rFonts w:cstheme="minorHAnsi"/>
          <w:b/>
          <w:color w:val="212121"/>
          <w:sz w:val="24"/>
          <w:szCs w:val="24"/>
          <w:u w:val="single"/>
          <w:bdr w:val="none" w:sz="0" w:space="0" w:color="auto" w:frame="1"/>
          <w:lang w:val="cy-GB"/>
        </w:rPr>
        <w:t>Esboniad o’ch dyluniad astudiaeth gwers</w:t>
      </w:r>
    </w:p>
    <w:p w14:paraId="308F0B86" w14:textId="002F4B29" w:rsidR="00F020C5" w:rsidRPr="00D453FB" w:rsidRDefault="00F020C5"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lang w:val="cy-GB"/>
        </w:rPr>
        <w:t xml:space="preserve">Yn ôl Dudley, mae athrawon llwyddiannus, i raddau, yn ddall i’r hyn sydd yn mynd ymlaen yn eu hystafelloedd dosbarth. Nid yw hyn yn meddwl ei fod yn methu fel athrawon, ond yn ganlyniad o brosesau sydd wedi eu galluogi i fod yn athrawon llwyddiannus (2014). Un fantais o astudiaeth gwers yw ei fod yn helpu athrawon profiadol yn ogystal â dibrofiad i ddysgu mwy amdano’i hunain ac amdano’r ffordd mae’r disgyblion yn dysgu. Awgryma Dudley ei fod yn rhoi’r cyfle i athrawon i weld agweddau o ddysgu disgyblion trwy lygaid pobl eraill ac yn eu gorfodi i fod yn ymwybodol o bethau ni fyddent yn ymwybodol o fel arfer (Dudley, 2014). Wrth baratoi ar gyfer ein hastudiaeth gwers, penderfynom gymryd yr hyn a ddywedir gan Dudley mewn i ystyriaeth gan geisio dod o hyd i’r ffordd orau i gynnal astudiaeth gwers lwyddiannus. Felly, er mwyn cynnal ymchwil llwyddiannus, defnyddiwyd gwahanol fathau o strategaethau megis arsylwi, grŵp ffocws a myfyrio.  </w:t>
      </w:r>
    </w:p>
    <w:p w14:paraId="4313F77C" w14:textId="700A2889" w:rsidR="00203E5F" w:rsidRPr="00D453FB" w:rsidRDefault="00203E5F" w:rsidP="00D453FB">
      <w:pPr>
        <w:spacing w:line="360" w:lineRule="auto"/>
        <w:rPr>
          <w:rFonts w:cstheme="minorHAnsi"/>
          <w:b/>
          <w:color w:val="212121"/>
          <w:sz w:val="24"/>
          <w:szCs w:val="24"/>
          <w:bdr w:val="none" w:sz="0" w:space="0" w:color="auto" w:frame="1"/>
          <w:lang w:val="cy-GB"/>
        </w:rPr>
      </w:pPr>
    </w:p>
    <w:p w14:paraId="50C20BDA" w14:textId="6E2C8924" w:rsidR="00203E5F" w:rsidRPr="00D453FB" w:rsidRDefault="00203E5F" w:rsidP="00D453FB">
      <w:pPr>
        <w:spacing w:line="360" w:lineRule="auto"/>
        <w:rPr>
          <w:rFonts w:cstheme="minorHAnsi"/>
          <w:b/>
          <w:i/>
          <w:color w:val="212121"/>
          <w:sz w:val="24"/>
          <w:szCs w:val="24"/>
          <w:bdr w:val="none" w:sz="0" w:space="0" w:color="auto" w:frame="1"/>
          <w:lang w:val="cy-GB"/>
        </w:rPr>
      </w:pPr>
      <w:r w:rsidRPr="00D453FB">
        <w:rPr>
          <w:rFonts w:cstheme="minorHAnsi"/>
          <w:b/>
          <w:i/>
          <w:color w:val="212121"/>
          <w:sz w:val="24"/>
          <w:szCs w:val="24"/>
          <w:bdr w:val="none" w:sz="0" w:space="0" w:color="auto" w:frame="1"/>
          <w:lang w:val="cy-GB"/>
        </w:rPr>
        <w:t>Arsylwi</w:t>
      </w:r>
    </w:p>
    <w:p w14:paraId="46A4093D" w14:textId="77777777" w:rsidR="00F020C5" w:rsidRPr="00D453FB" w:rsidRDefault="00F020C5"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lang w:val="cy-GB"/>
        </w:rPr>
        <w:t>Esbonia Kaluwich (2015) ein bod yn defnyddio arsylwi yn y gwyddorau cymdeithasol fel dull ar gyfer casglu data am bobl, prosesau a diwylliannau. Mae’n offeryn a ddefnyddir yn rheolaidd gan athrawon i gasglu data o fewn eu hystafelloedd dosbarth.</w:t>
      </w:r>
    </w:p>
    <w:p w14:paraId="1E033BCF" w14:textId="77777777" w:rsidR="00F020C5" w:rsidRPr="00D453FB" w:rsidRDefault="00F020C5"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lang w:val="cy-GB"/>
        </w:rPr>
        <w:t>Byddwn yn cymryd safbwynt arsylwyr fel cyfranogwr. Golyga hyn bod yr ymchwilydd yn medru arsylwi ar grŵp dan astudiaeth heb fod yn aelod o’r grŵp. Mae aelodau’r grŵp yn ymwybodol bod arsylwad yn cymryd lle. Serch hynny, ni fydd yr ymchwilydd yn cymryd rhan neu’n siarad â’r plant ar bwrpas, ond ni fydd yr ymchwilydd yn eu hanwybyddu chwaith.</w:t>
      </w:r>
    </w:p>
    <w:p w14:paraId="7D1A3515" w14:textId="77777777" w:rsidR="00F020C5" w:rsidRPr="00D453FB" w:rsidRDefault="00F020C5" w:rsidP="00D453FB">
      <w:pPr>
        <w:autoSpaceDE w:val="0"/>
        <w:autoSpaceDN w:val="0"/>
        <w:adjustRightInd w:val="0"/>
        <w:spacing w:line="360" w:lineRule="auto"/>
        <w:rPr>
          <w:rFonts w:cstheme="minorHAnsi"/>
          <w:color w:val="212121"/>
          <w:sz w:val="24"/>
          <w:szCs w:val="24"/>
          <w:lang w:val="cy-GB"/>
        </w:rPr>
      </w:pPr>
    </w:p>
    <w:p w14:paraId="78EA5699" w14:textId="7D158D57" w:rsidR="00A3509A" w:rsidRPr="00D453FB" w:rsidRDefault="00F020C5" w:rsidP="00D453FB">
      <w:pPr>
        <w:spacing w:line="360" w:lineRule="auto"/>
        <w:rPr>
          <w:rFonts w:cstheme="minorHAnsi"/>
          <w:color w:val="212121"/>
          <w:sz w:val="24"/>
          <w:szCs w:val="24"/>
          <w:bdr w:val="none" w:sz="0" w:space="0" w:color="auto" w:frame="1"/>
          <w:lang w:val="cy-GB"/>
        </w:rPr>
      </w:pPr>
      <w:r w:rsidRPr="00D453FB">
        <w:rPr>
          <w:rFonts w:cstheme="minorHAnsi"/>
          <w:color w:val="212121"/>
          <w:sz w:val="24"/>
          <w:szCs w:val="24"/>
          <w:lang w:val="cy-GB"/>
        </w:rPr>
        <w:t xml:space="preserve">Defnyddir cyfnodau amser er mwyn cofnodi beth sydd yn digwydd a phryd gan arsylwi ar y gweithgareddau sydd yn digwydd o’n cwmpas. Penderfynom ar y fath hon o ddull am ei fod yn ein galluogi i gofnodi’n gyflym ond yn darparu llawer o wybodaeth ar yr un pryd. Er mwyn </w:t>
      </w:r>
      <w:r w:rsidRPr="00D453FB">
        <w:rPr>
          <w:rFonts w:cstheme="minorHAnsi"/>
          <w:color w:val="212121"/>
          <w:sz w:val="24"/>
          <w:szCs w:val="24"/>
          <w:lang w:val="cy-GB"/>
        </w:rPr>
        <w:lastRenderedPageBreak/>
        <w:t>ateb ein cwestiwn ymchwil, defnydd</w:t>
      </w:r>
      <w:r w:rsidR="00292AEA" w:rsidRPr="00D453FB">
        <w:rPr>
          <w:rFonts w:cstheme="minorHAnsi"/>
          <w:color w:val="212121"/>
          <w:sz w:val="24"/>
          <w:szCs w:val="24"/>
          <w:lang w:val="cy-GB"/>
        </w:rPr>
        <w:t>iwyd</w:t>
      </w:r>
      <w:r w:rsidRPr="00D453FB">
        <w:rPr>
          <w:rFonts w:cstheme="minorHAnsi"/>
          <w:color w:val="212121"/>
          <w:sz w:val="24"/>
          <w:szCs w:val="24"/>
          <w:lang w:val="cy-GB"/>
        </w:rPr>
        <w:t xml:space="preserve"> </w:t>
      </w:r>
      <w:r w:rsidR="00292AEA" w:rsidRPr="00D453FB">
        <w:rPr>
          <w:rFonts w:cstheme="minorHAnsi"/>
          <w:color w:val="212121"/>
          <w:sz w:val="24"/>
          <w:szCs w:val="24"/>
          <w:lang w:val="cy-GB"/>
        </w:rPr>
        <w:t>Gr</w:t>
      </w:r>
      <w:r w:rsidRPr="00D453FB">
        <w:rPr>
          <w:rFonts w:cstheme="minorHAnsi"/>
          <w:color w:val="212121"/>
          <w:sz w:val="24"/>
          <w:szCs w:val="24"/>
          <w:lang w:val="cy-GB"/>
        </w:rPr>
        <w:t>addfa Ymglymiad Leuven, a ddatblygwyd gan yr Athro Ferre Leavers. Yn ôl Bertram a Pascal, nid yw ymglymiad yn digwydd pan fo’r gweithgareddau’n rhy hawdd neu’n rhy anodd. Awgryma Vygotsky (1962) ei fod wedi’i leoli ar ymyl galluoedd plentyn, neu yn y ‘Parth Datblygiad Procsimol’.</w:t>
      </w:r>
    </w:p>
    <w:p w14:paraId="7B5DA5DC" w14:textId="77777777" w:rsidR="00F020C5" w:rsidRPr="00D453FB" w:rsidRDefault="00F020C5"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lang w:val="cy-GB"/>
        </w:rPr>
        <w:t xml:space="preserve">Caiff y data ansoddol a chasglwyd cael ei ddefnyddio i ymchwilio’n bellach i’r pwnc ac i weld os a sut mae canmoliaeth yn effeithio ar gyfraniad ac ymglymiad disgyblion yn nosbarth Cyfnod Sylfaen. Wrth gasglu’r data ansoddol, maen ein galluogi i werthuso ymglymiad disgyblion mewn gwahanol sefyllfaoedd a chymharu canlyniadau o fewn y tair ysgol wahanol. </w:t>
      </w:r>
    </w:p>
    <w:p w14:paraId="52B0D4E5" w14:textId="77777777" w:rsidR="00F020C5" w:rsidRPr="00D453FB" w:rsidRDefault="00F020C5" w:rsidP="00D453FB">
      <w:pPr>
        <w:autoSpaceDE w:val="0"/>
        <w:autoSpaceDN w:val="0"/>
        <w:adjustRightInd w:val="0"/>
        <w:spacing w:line="360" w:lineRule="auto"/>
        <w:rPr>
          <w:rFonts w:cstheme="minorHAnsi"/>
          <w:color w:val="212121"/>
          <w:sz w:val="24"/>
          <w:szCs w:val="24"/>
          <w:lang w:val="cy-GB"/>
        </w:rPr>
      </w:pPr>
    </w:p>
    <w:p w14:paraId="64E4254A" w14:textId="6024A994" w:rsidR="00F020C5" w:rsidRPr="00D453FB" w:rsidRDefault="00F020C5"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lang w:val="cy-GB"/>
        </w:rPr>
        <w:t>Dywed Dudley (2015) fod ail ddysgu’r wers yn datblygu dealltwriaeth llawer mwy cyflawn o sut mae plant yn dysgu. Serch hynny, cynlluniwyd tair gwers wahanol ar gyfer y tair astudiaeth gwers</w:t>
      </w:r>
      <w:r w:rsidR="00292AEA" w:rsidRPr="00D453FB">
        <w:rPr>
          <w:rFonts w:cstheme="minorHAnsi"/>
          <w:color w:val="212121"/>
          <w:sz w:val="24"/>
          <w:szCs w:val="24"/>
          <w:lang w:val="cy-GB"/>
        </w:rPr>
        <w:t>.</w:t>
      </w:r>
      <w:r w:rsidRPr="00D453FB">
        <w:rPr>
          <w:rFonts w:cstheme="minorHAnsi"/>
          <w:color w:val="212121"/>
          <w:sz w:val="24"/>
          <w:szCs w:val="24"/>
          <w:lang w:val="cy-GB"/>
        </w:rPr>
        <w:t xml:space="preserve"> Gall hyn arwain at gwestiynu dibynadwyedd yr astudiaeth gan nad yw’n hollol ddilys. Er hyn, rydyn yn parhau i ganolbwyntio ar yr un mater dan sylw o fewn pob gwers ac mae hyn yn ffactor gyson trwy gydol yr astudiaeth. Yn ogystal, cymerwyd pob astudiaeth wers mewn ystafell dosbarth gwreiddiol y plant er mwyn sicrhau eu bod yn gyfforddus ac yn ymddwyn yn naturiol. Dywed Dudley (2015)</w:t>
      </w:r>
      <w:r w:rsidR="00292AEA" w:rsidRPr="00D453FB">
        <w:rPr>
          <w:rFonts w:cstheme="minorHAnsi"/>
          <w:color w:val="212121"/>
          <w:sz w:val="24"/>
          <w:szCs w:val="24"/>
          <w:lang w:val="cy-GB"/>
        </w:rPr>
        <w:t>,</w:t>
      </w:r>
      <w:r w:rsidRPr="00D453FB">
        <w:rPr>
          <w:rFonts w:cstheme="minorHAnsi"/>
          <w:color w:val="212121"/>
          <w:sz w:val="24"/>
          <w:szCs w:val="24"/>
          <w:lang w:val="cy-GB"/>
        </w:rPr>
        <w:t xml:space="preserve"> </w:t>
      </w:r>
      <w:r w:rsidR="00292AEA" w:rsidRPr="00D453FB">
        <w:rPr>
          <w:rFonts w:cstheme="minorHAnsi"/>
          <w:color w:val="212121"/>
          <w:sz w:val="24"/>
          <w:szCs w:val="24"/>
          <w:lang w:val="cy-GB"/>
        </w:rPr>
        <w:t>e</w:t>
      </w:r>
      <w:r w:rsidRPr="00D453FB">
        <w:rPr>
          <w:rFonts w:cstheme="minorHAnsi"/>
          <w:color w:val="212121"/>
          <w:sz w:val="24"/>
          <w:szCs w:val="24"/>
          <w:lang w:val="cy-GB"/>
        </w:rPr>
        <w:t>r mwyn i’r ymchwil i weithio’n llwyddiannus, dylai astudiaeth wers digwydd o fewn amgylchedd sydd yn gyfarwydd i’r disgyblion.</w:t>
      </w:r>
    </w:p>
    <w:p w14:paraId="31633BF4" w14:textId="77777777" w:rsidR="00F020C5" w:rsidRPr="00D453FB" w:rsidRDefault="00F020C5" w:rsidP="00D453FB">
      <w:pPr>
        <w:spacing w:line="360" w:lineRule="auto"/>
        <w:rPr>
          <w:rFonts w:cstheme="minorHAnsi"/>
          <w:b/>
          <w:i/>
          <w:color w:val="212121"/>
          <w:sz w:val="24"/>
          <w:szCs w:val="24"/>
          <w:lang w:val="cy-GB"/>
        </w:rPr>
      </w:pPr>
    </w:p>
    <w:p w14:paraId="2A66116D" w14:textId="3BBBDEE8" w:rsidR="00BC7381" w:rsidRPr="00D453FB" w:rsidRDefault="00BC7381" w:rsidP="00D453FB">
      <w:pPr>
        <w:spacing w:line="360" w:lineRule="auto"/>
        <w:rPr>
          <w:rFonts w:cstheme="minorHAnsi"/>
          <w:b/>
          <w:i/>
          <w:color w:val="212121"/>
          <w:sz w:val="24"/>
          <w:szCs w:val="24"/>
          <w:bdr w:val="none" w:sz="0" w:space="0" w:color="auto" w:frame="1"/>
          <w:lang w:val="cy-GB"/>
        </w:rPr>
      </w:pPr>
      <w:r w:rsidRPr="00D453FB">
        <w:rPr>
          <w:rFonts w:cstheme="minorHAnsi"/>
          <w:b/>
          <w:i/>
          <w:color w:val="212121"/>
          <w:sz w:val="24"/>
          <w:szCs w:val="24"/>
          <w:bdr w:val="none" w:sz="0" w:space="0" w:color="auto" w:frame="1"/>
          <w:lang w:val="cy-GB"/>
        </w:rPr>
        <w:t>Grŵp Ffocws</w:t>
      </w:r>
    </w:p>
    <w:p w14:paraId="6307EFFE" w14:textId="77777777" w:rsidR="00F020C5" w:rsidRPr="00D453FB" w:rsidRDefault="00F020C5"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lang w:val="cy-GB"/>
        </w:rPr>
        <w:t xml:space="preserve">Wrth i’r arsylwadau dod i ben, cynhaliwyd cyfweliadau gyda grwpiau ffocws. Dywed Estyn (2016) bod gan yr ysgolion mwyaf effeithiol ethos lle caiff cyfranogiad disgyblion ei werthfawrogi’n fawr ym mhob maes gwaith, ac mae grwpiau ffocws yn dod o dan y cyfranogiad hwn. Diffiniwyd Krueger grwpiau ffocws fel ‘drafodaeth a gynlluniwyd yn ofalus er mwyn cael canfyddiadau ar faes o ddiddordeb diffiniedig mewn amgylchedd caniataol, heb fod yn fygythiol’ (1988).  </w:t>
      </w:r>
    </w:p>
    <w:p w14:paraId="428EC2E2" w14:textId="2C007C33" w:rsidR="00F020C5" w:rsidRPr="00D453FB" w:rsidRDefault="00F020C5"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lang w:val="cy-GB"/>
        </w:rPr>
        <w:t>Er wnaethom gynllunio’r drafodaeth a pharatowyd ambell gwestiwn o flaen llaw</w:t>
      </w:r>
      <w:r w:rsidRPr="00D453FB">
        <w:rPr>
          <w:rFonts w:cstheme="minorHAnsi"/>
          <w:color w:val="FF0000"/>
          <w:sz w:val="24"/>
          <w:szCs w:val="24"/>
          <w:lang w:val="cy-GB"/>
        </w:rPr>
        <w:t xml:space="preserve"> </w:t>
      </w:r>
      <w:r w:rsidRPr="00D453FB">
        <w:rPr>
          <w:rFonts w:cstheme="minorHAnsi"/>
          <w:sz w:val="24"/>
          <w:szCs w:val="24"/>
          <w:lang w:val="cy-GB"/>
        </w:rPr>
        <w:t xml:space="preserve">(gwêl atodiad 1), </w:t>
      </w:r>
      <w:r w:rsidRPr="00D453FB">
        <w:rPr>
          <w:rFonts w:cstheme="minorHAnsi"/>
          <w:color w:val="212121"/>
          <w:sz w:val="24"/>
          <w:szCs w:val="24"/>
          <w:lang w:val="cy-GB"/>
        </w:rPr>
        <w:t xml:space="preserve">penderfynwyd cynnal cyfweliadau lled-strwythuredig. Golyga hyn bod mwy o </w:t>
      </w:r>
      <w:r w:rsidRPr="00D453FB">
        <w:rPr>
          <w:rFonts w:cstheme="minorHAnsi"/>
          <w:color w:val="212121"/>
          <w:sz w:val="24"/>
          <w:szCs w:val="24"/>
          <w:lang w:val="cy-GB"/>
        </w:rPr>
        <w:lastRenderedPageBreak/>
        <w:t xml:space="preserve">gyfle i’r plant i arwain y drafodaeth yn hytrach na’r cyfwelwyr yn gofyn cwestiynau trwy gydol y cyfweliad. Mantais arall o gynnal cyfweliadau lled-strwythuredig yw ei bod hi’n rhoi’r cyfle i’r plant i ehangu ar eu hatebion ac yn rhoi pwyslais ar lais y disgybl. Yn ogystal â hyn mae’n rhoi’r ymdeimlad i’r plant taw nhw sy’n arwain y drafodaeth ac yn rhoi’r rhyddid i’r cyfwelwyr i addasu’r cwestiynau gan ddibynnu ar ba gyfeiriad mae’r drafodaeth yn mynd. Mae’r dull hyn </w:t>
      </w:r>
      <w:r w:rsidR="00662C2D" w:rsidRPr="00D453FB">
        <w:rPr>
          <w:rFonts w:cstheme="minorHAnsi"/>
          <w:color w:val="212121"/>
          <w:sz w:val="24"/>
          <w:szCs w:val="24"/>
          <w:lang w:val="cy-GB"/>
        </w:rPr>
        <w:t xml:space="preserve">yn </w:t>
      </w:r>
      <w:r w:rsidRPr="00D453FB">
        <w:rPr>
          <w:rFonts w:cstheme="minorHAnsi"/>
          <w:color w:val="212121"/>
          <w:sz w:val="24"/>
          <w:szCs w:val="24"/>
          <w:lang w:val="cy-GB"/>
        </w:rPr>
        <w:t xml:space="preserve">caniatáu’r ymchwilydd i arsylwi’r cyfranogwyr wrth allu gofyn cwestiynau pellach (Morgan, 1996). </w:t>
      </w:r>
    </w:p>
    <w:p w14:paraId="5EE9A342"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Ceisiwyd dewis sampl gynrychioladol o fewn y tri dosbarth gwahanol. Golyga hyn ein bod yn dewis plant o alluoedd gwahanol, hynny yw, gallu uchel, gallu canolig a gallu isel. I sicrhau dilysrwydd y sampl, trafodwn gyda’r athrawes dosbarth er mwyn dewis y sampl gynrychioladol orau o’r dosbarth hynny. Cytuna Burchard a Daniel (2017) gyda’r ffordd hyn o ddewis sampl gynrychioladol wrth iddynt ddweud taw’r ffordd deg o wneud hyn yw drwy ddewis tri disgybl yn ôl thema’r ymchwil i gynrychioli tri chategori o fyfyrwyr. Wrth gasglu data yn y ffordd hon mae modd cyffredinoli’r ymchwil gan gymhwyso canlyniadau’r ymchwil i achosion neu sefyllfaoedd y tu hwnt i’r rhai </w:t>
      </w:r>
      <w:proofErr w:type="gramStart"/>
      <w:r w:rsidRPr="00D453FB">
        <w:rPr>
          <w:rFonts w:cstheme="minorHAnsi"/>
          <w:sz w:val="24"/>
          <w:szCs w:val="24"/>
        </w:rPr>
        <w:t>a</w:t>
      </w:r>
      <w:proofErr w:type="gramEnd"/>
      <w:r w:rsidRPr="00D453FB">
        <w:rPr>
          <w:rFonts w:cstheme="minorHAnsi"/>
          <w:sz w:val="24"/>
          <w:szCs w:val="24"/>
        </w:rPr>
        <w:t xml:space="preserve"> archwiliwyd yn yr astudiaeth.</w:t>
      </w:r>
    </w:p>
    <w:p w14:paraId="4428F557" w14:textId="77777777" w:rsidR="00F020C5" w:rsidRPr="00D453FB" w:rsidRDefault="00F020C5" w:rsidP="00D453FB">
      <w:pPr>
        <w:autoSpaceDE w:val="0"/>
        <w:autoSpaceDN w:val="0"/>
        <w:adjustRightInd w:val="0"/>
        <w:spacing w:line="360" w:lineRule="auto"/>
        <w:rPr>
          <w:rFonts w:cstheme="minorHAnsi"/>
          <w:sz w:val="24"/>
          <w:szCs w:val="24"/>
        </w:rPr>
      </w:pPr>
    </w:p>
    <w:p w14:paraId="7258E6B1" w14:textId="3BF2FBB2"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Er mwyn sicrhau bod y disgyblion yn teimlo’n gyfforddus yn ystod y cyfweliad byddwn yn ei chynnal mewn llefydd sydd yn gyfarwydd iddynt megis yr ystafell dosbarth a’r hafan sydd yn bodoli tu fas i’r ystafelloedd dosbarth. Cynhaliwyd y cyfarfodydd yn y llefydd hyn er mwyn cynnal cyfweliad mewn modd naturiol, lle mae’r plant yn gallu siarad yn agored heb gael eu dychrynu.</w:t>
      </w:r>
    </w:p>
    <w:p w14:paraId="5796F734" w14:textId="77777777" w:rsidR="00F020C5" w:rsidRPr="00D453FB" w:rsidRDefault="00F020C5" w:rsidP="00D453FB">
      <w:pPr>
        <w:autoSpaceDE w:val="0"/>
        <w:autoSpaceDN w:val="0"/>
        <w:adjustRightInd w:val="0"/>
        <w:spacing w:line="360" w:lineRule="auto"/>
        <w:rPr>
          <w:rFonts w:cstheme="minorHAnsi"/>
          <w:sz w:val="24"/>
          <w:szCs w:val="24"/>
        </w:rPr>
      </w:pPr>
    </w:p>
    <w:p w14:paraId="55967D1A" w14:textId="73AEA40B"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Cyn cynnal y cyfweliad, danfonwn llyth</w:t>
      </w:r>
      <w:r w:rsidR="00662C2D" w:rsidRPr="00D453FB">
        <w:rPr>
          <w:rFonts w:cstheme="minorHAnsi"/>
          <w:sz w:val="24"/>
          <w:szCs w:val="24"/>
        </w:rPr>
        <w:t>y</w:t>
      </w:r>
      <w:r w:rsidRPr="00D453FB">
        <w:rPr>
          <w:rFonts w:cstheme="minorHAnsi"/>
          <w:sz w:val="24"/>
          <w:szCs w:val="24"/>
        </w:rPr>
        <w:t xml:space="preserve">r adref i rieni/gwarchodwyr y plant sydd wedi cael eu dewis i fod yn rhan o’r cyfweliad. Mae’r llythyr yn esbonio’n union beth mae’r ymchwil yn ceisio darganfod a pwy union ydyn ni. Ar ôl derbyn caniatâd, gallwn fynd ymlaen gyda’r cyfweliadau. </w:t>
      </w:r>
    </w:p>
    <w:p w14:paraId="24857F1C"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Cyn cychwyn y cyfweliadau, gofynnwyd i’r disgyblion i roi eu bodiau i fyny neu i lawr i sicrhau eu bod am gymryd rhan yn y cyfweliad. Yn ogystal, eglurwyd iddynt fod ganddynt yr hawl i adael y cyfweliad ar unrhyw adeg os nad ydynt am fod yna rhagor. Wrth esbonio’r </w:t>
      </w:r>
      <w:r w:rsidRPr="00D453FB">
        <w:rPr>
          <w:rFonts w:cstheme="minorHAnsi"/>
          <w:sz w:val="24"/>
          <w:szCs w:val="24"/>
        </w:rPr>
        <w:lastRenderedPageBreak/>
        <w:t xml:space="preserve">termau hyn, gobeithiwyd bod y disgyblion yn adnabod eu hawliau ac yn gwybod sut i weithredu arnynt. Hefyd, defnyddiwyd ipad ysgol i recordio’r cyfweliadau. Penderfynwyd ar y dull hwn oherwydd mae’r cyfweliadau yn cael eu cynnal gyda phlant ifanc felly bydd well gennym ni i wrando nôl ar y cyfweliad yn hytrach nag ysgrifennu tra bod y plant yn siarad. </w:t>
      </w:r>
    </w:p>
    <w:p w14:paraId="7FB2025A" w14:textId="77777777" w:rsidR="00F020C5" w:rsidRPr="00D453FB" w:rsidRDefault="00F020C5" w:rsidP="00D453FB">
      <w:pPr>
        <w:spacing w:line="360" w:lineRule="auto"/>
        <w:rPr>
          <w:rFonts w:cstheme="minorHAnsi"/>
          <w:b/>
          <w:i/>
          <w:sz w:val="24"/>
          <w:szCs w:val="24"/>
        </w:rPr>
      </w:pPr>
    </w:p>
    <w:p w14:paraId="4BBA32BF" w14:textId="37A2E82E" w:rsidR="00797C3F" w:rsidRPr="00D453FB" w:rsidRDefault="00854C07" w:rsidP="00D453FB">
      <w:pPr>
        <w:spacing w:line="360" w:lineRule="auto"/>
        <w:rPr>
          <w:rFonts w:cstheme="minorHAnsi"/>
          <w:b/>
          <w:i/>
          <w:sz w:val="24"/>
          <w:szCs w:val="24"/>
        </w:rPr>
      </w:pPr>
      <w:r w:rsidRPr="00D453FB">
        <w:rPr>
          <w:rFonts w:cstheme="minorHAnsi"/>
          <w:b/>
          <w:i/>
          <w:sz w:val="24"/>
          <w:szCs w:val="24"/>
        </w:rPr>
        <w:t xml:space="preserve">Myfyrio </w:t>
      </w:r>
    </w:p>
    <w:p w14:paraId="36CA59A3"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Yn ôl Llywodraeth Cymru (2015) caiff myfyrio o fewn addysg cael ei ddiffinio fel “Proses o ddysgu hunangyfeiriol ‘o’r gwaelod i fyny’ sy’n gallu bod yn ffurfiol neu’n anffurfiol ac yn unigolyddol neu’n gydweithredol ei natur.” Mae Brookfield (1995) yn dadlau bod angen ffocws penodol arnom - digwyddiad beirniadol- os ydym am ddeall yr hyn sy’n gysylltiedig â beth yw’r manteision o fod yn athro sy’n adlewyrchu’n feirniadol. Cytunwyd Llywodraeth Cymru gyda hyn wrth iddynt ddweud “yn aml iawn, rydym yn myfyrio er mwyn ystyried pethau’n fanylach, ac, fel arfer, at bwrpas penodol” (2015).</w:t>
      </w:r>
    </w:p>
    <w:p w14:paraId="07A9CF89" w14:textId="0BDD9EE8" w:rsidR="003C415D" w:rsidRPr="00D453FB" w:rsidRDefault="00F020C5" w:rsidP="00D453FB">
      <w:pPr>
        <w:spacing w:line="360" w:lineRule="auto"/>
        <w:rPr>
          <w:rFonts w:cstheme="minorHAnsi"/>
          <w:b/>
          <w:sz w:val="24"/>
          <w:szCs w:val="24"/>
          <w:u w:val="single"/>
        </w:rPr>
      </w:pPr>
      <w:r w:rsidRPr="00D453FB">
        <w:rPr>
          <w:rFonts w:cstheme="minorHAnsi"/>
          <w:sz w:val="24"/>
          <w:szCs w:val="24"/>
        </w:rPr>
        <w:t xml:space="preserve">Yn dilyn y cyfweliadau, y peth cyntaf i fyfyrio bydd y recordiad. Wrth adfyfyrio ar hyn, gallwn echdynnu gwybodaeth a data ansoddol er mwyn dod at gasgliad neu ganlyniad. Yna, bydd angen myfyrio ar y profiad cyfan. Defnyddiwyd </w:t>
      </w:r>
      <w:r w:rsidRPr="00D453FB">
        <w:rPr>
          <w:rFonts w:cstheme="minorHAnsi"/>
          <w:color w:val="212121"/>
          <w:sz w:val="24"/>
          <w:szCs w:val="24"/>
        </w:rPr>
        <w:t xml:space="preserve">Model Chwe Cham Gibbs (1988) </w:t>
      </w:r>
      <w:r w:rsidRPr="00D453FB">
        <w:rPr>
          <w:rFonts w:cstheme="minorHAnsi"/>
          <w:sz w:val="24"/>
          <w:szCs w:val="24"/>
        </w:rPr>
        <w:t>i helpu gyda hyn. Mae’r cylch myfyriol yn cynnwys chwe cham: disgrifiad; teimladau; gwerthusiad; dadansoddiad; casgliad; a chynllun gweithredu. Wrth addasu’r cylch i greu tabl adfyfyriol, ysgrifennwyd sylwadau amdano’r profiad er mwyn adlewyrchu ar y broses (gwêl atodiad 2).</w:t>
      </w:r>
    </w:p>
    <w:p w14:paraId="3829EBB6" w14:textId="77777777" w:rsidR="00662C2D" w:rsidRPr="00D453FB" w:rsidRDefault="00662C2D" w:rsidP="00D453FB">
      <w:pPr>
        <w:spacing w:line="360" w:lineRule="auto"/>
        <w:rPr>
          <w:rFonts w:cstheme="minorHAnsi"/>
          <w:b/>
          <w:sz w:val="24"/>
          <w:szCs w:val="24"/>
          <w:u w:val="single"/>
        </w:rPr>
      </w:pPr>
    </w:p>
    <w:p w14:paraId="702AEAA5" w14:textId="0DD825AC" w:rsidR="00FE45F5" w:rsidRPr="00D453FB" w:rsidRDefault="00405159" w:rsidP="00D453FB">
      <w:pPr>
        <w:spacing w:line="360" w:lineRule="auto"/>
        <w:rPr>
          <w:rFonts w:cstheme="minorHAnsi"/>
          <w:color w:val="FF0000"/>
          <w:sz w:val="24"/>
          <w:szCs w:val="24"/>
        </w:rPr>
      </w:pPr>
      <w:r w:rsidRPr="00D453FB">
        <w:rPr>
          <w:rFonts w:cstheme="minorHAnsi"/>
          <w:b/>
          <w:sz w:val="24"/>
          <w:szCs w:val="24"/>
          <w:u w:val="single"/>
        </w:rPr>
        <w:t>Ystyriaeth moesegol</w:t>
      </w:r>
    </w:p>
    <w:p w14:paraId="5DA963B5"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Wrth ymgymryd ag ymchwil o fewn addysg mae’n hanfodol i ystyried materion moesegol. Cyn dechrau’r ymchwil, darllenwyd canllawiau BERA (2018), Cod Ymarfer Moeseg ac Integredd Ymchwil PCYDDS 2017-2020, a Chyngor Gweithly Addysg (EWC). Mae’r dogfennau canllaw moesegol hyn yn sicrhau bod gofynion moesegol y disgyblion yn cael ei chwrdd.</w:t>
      </w:r>
    </w:p>
    <w:p w14:paraId="46630A25" w14:textId="77777777" w:rsidR="00F020C5" w:rsidRPr="00D453FB" w:rsidRDefault="00F020C5" w:rsidP="00D453FB">
      <w:pPr>
        <w:autoSpaceDE w:val="0"/>
        <w:autoSpaceDN w:val="0"/>
        <w:adjustRightInd w:val="0"/>
        <w:spacing w:line="360" w:lineRule="auto"/>
        <w:rPr>
          <w:rFonts w:cstheme="minorHAnsi"/>
          <w:sz w:val="24"/>
          <w:szCs w:val="24"/>
        </w:rPr>
      </w:pPr>
    </w:p>
    <w:p w14:paraId="6088FCCA" w14:textId="03AE9FAE"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Bydd rhiant pob cyfranogwr yn derbyn llythyr caniatâd a fydd hyn yn esbonio’r broses. Sicrheir bod y llythyr caniatâd wedi ei lenwi cyn dechrau’r ymchwil. Mae’n bosib gall </w:t>
      </w:r>
      <w:r w:rsidRPr="00D453FB">
        <w:rPr>
          <w:rFonts w:cstheme="minorHAnsi"/>
          <w:sz w:val="24"/>
          <w:szCs w:val="24"/>
        </w:rPr>
        <w:lastRenderedPageBreak/>
        <w:t>cyfranogwyr teimlo o dan bwysau yn ystod y broses felly byddwn yn sicrhau eu bod yn ymwybodol o’r ffaith eu bod yn gallu tynnu mas ar unrhyw adeg. Er mwyn sicrhau bod y rhieni a’r cyfranogwyr yn deall yn union beth sy’n digwydd, byddwn yn dosbarthu taflen gwybodaeth i esbonio</w:t>
      </w:r>
      <w:r w:rsidR="00662C2D" w:rsidRPr="00D453FB">
        <w:rPr>
          <w:rFonts w:cstheme="minorHAnsi"/>
          <w:sz w:val="24"/>
          <w:szCs w:val="24"/>
        </w:rPr>
        <w:t xml:space="preserve"> iddynt</w:t>
      </w:r>
      <w:r w:rsidRPr="00D453FB">
        <w:rPr>
          <w:rFonts w:cstheme="minorHAnsi"/>
          <w:sz w:val="24"/>
          <w:szCs w:val="24"/>
        </w:rPr>
        <w:t xml:space="preserve">. </w:t>
      </w:r>
    </w:p>
    <w:p w14:paraId="73A9CDEA" w14:textId="544D8B8F" w:rsidR="00013DB6" w:rsidRPr="00D453FB" w:rsidRDefault="00013DB6" w:rsidP="00D453FB">
      <w:pPr>
        <w:autoSpaceDE w:val="0"/>
        <w:autoSpaceDN w:val="0"/>
        <w:adjustRightInd w:val="0"/>
        <w:spacing w:line="360" w:lineRule="auto"/>
        <w:rPr>
          <w:rFonts w:cstheme="minorHAnsi"/>
          <w:sz w:val="24"/>
          <w:szCs w:val="24"/>
          <w:lang w:eastAsia="en-GB"/>
        </w:rPr>
      </w:pPr>
    </w:p>
    <w:p w14:paraId="76AFA4C2" w14:textId="2C245F55"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Er mwyn sicrhau dileu unrhyw risg i’r disgyblion, cynhaliwyd y cyfweliadau mewn man cyhoeddus sydd yn gyfarwydd iddynt. Yn ogystal </w:t>
      </w:r>
      <w:r w:rsidR="00662C2D" w:rsidRPr="00D453FB">
        <w:rPr>
          <w:rFonts w:cstheme="minorHAnsi"/>
          <w:sz w:val="24"/>
          <w:szCs w:val="24"/>
        </w:rPr>
        <w:t>â</w:t>
      </w:r>
      <w:r w:rsidRPr="00D453FB">
        <w:rPr>
          <w:rFonts w:cstheme="minorHAnsi"/>
          <w:sz w:val="24"/>
          <w:szCs w:val="24"/>
        </w:rPr>
        <w:t xml:space="preserve"> hyn, wrth recordio’r cyfweliad, defnyddiwyd dyfais ysgol, sef ipad, er mwyn sicrhau nad ydynt yn recordio unrhyw beth ar ddyfais bersonol. Ar ôl gwrando nôl ar y cyfweliad, bydd y recordiad yn cael ei ddileu (BERA, 2018). </w:t>
      </w:r>
    </w:p>
    <w:p w14:paraId="6EBE4279"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Ni rannir enwau’r disgyblion na’r ysgolion trwy gydol yr ymchwil er mwyn sicrhau cyfrinachedd. Cyfeirir at y disgyblion sydd yn cymryd rhan fel ‘Disgybl 1’, ‘Disgybl 2’ a ‘Disgybl 3’, a’r ysgolion sydd yn cymryd rhan fel ‘Ysgol A’ ac ‘Ysgol B’. </w:t>
      </w:r>
    </w:p>
    <w:p w14:paraId="6DF1F8B1" w14:textId="74E9806A" w:rsidR="00270F38" w:rsidRPr="00D453FB" w:rsidRDefault="00F020C5" w:rsidP="00D453FB">
      <w:pPr>
        <w:spacing w:before="100" w:beforeAutospacing="1" w:after="100" w:afterAutospacing="1" w:line="360" w:lineRule="auto"/>
        <w:rPr>
          <w:rFonts w:eastAsia="Times New Roman" w:cstheme="minorHAnsi"/>
          <w:color w:val="000000"/>
          <w:sz w:val="24"/>
          <w:szCs w:val="24"/>
          <w:lang w:eastAsia="en-GB"/>
        </w:rPr>
      </w:pPr>
      <w:r w:rsidRPr="00D453FB">
        <w:rPr>
          <w:rFonts w:cstheme="minorHAnsi"/>
          <w:sz w:val="24"/>
          <w:szCs w:val="24"/>
        </w:rPr>
        <w:t>Bydd y data yn cael eu storio’n ddiogel ar gyfrifiadur/cofbin sydd yn cael eu diogelu gan gyfrinair. Cedwir y data hwn nes dyddiad terfynol yr aseiniad, yna bydd hi’n cael ei ddileu.</w:t>
      </w:r>
    </w:p>
    <w:p w14:paraId="06B3B210" w14:textId="77777777" w:rsidR="00262E21" w:rsidRPr="00D453FB" w:rsidRDefault="00262E21" w:rsidP="00D453FB">
      <w:pPr>
        <w:spacing w:line="360" w:lineRule="auto"/>
        <w:rPr>
          <w:rFonts w:cstheme="minorHAnsi"/>
          <w:b/>
          <w:sz w:val="24"/>
          <w:szCs w:val="24"/>
          <w:u w:val="single"/>
        </w:rPr>
      </w:pPr>
    </w:p>
    <w:p w14:paraId="6058A25D" w14:textId="3B7B4CBE" w:rsidR="002822DE" w:rsidRPr="00D453FB" w:rsidRDefault="006F473E" w:rsidP="00D453FB">
      <w:pPr>
        <w:spacing w:line="360" w:lineRule="auto"/>
        <w:rPr>
          <w:rFonts w:cstheme="minorHAnsi"/>
          <w:b/>
          <w:sz w:val="24"/>
          <w:szCs w:val="24"/>
          <w:u w:val="single"/>
        </w:rPr>
      </w:pPr>
      <w:r w:rsidRPr="00D453FB">
        <w:rPr>
          <w:rFonts w:cstheme="minorHAnsi"/>
          <w:b/>
          <w:sz w:val="24"/>
          <w:szCs w:val="24"/>
          <w:u w:val="single"/>
        </w:rPr>
        <w:t>Astudiaeth gwers 1 – canlyniadau a dadansoddiad</w:t>
      </w:r>
    </w:p>
    <w:p w14:paraId="646529B8"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Cynhaliwyd astudiaeth gwers un yn ysgol A o fewn dosbarth Blwyddyn 2 â 21 o blant. Nod y wers oedd mesur gan ddefnyddio centimedr. </w:t>
      </w:r>
    </w:p>
    <w:p w14:paraId="17FE75E0"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Cymerwyd y wers hon gan ymchwilydd 3. Wrth i’r ymchwilydd cyflwyno’r wers roedd hi’n amlwg i weld bod canmoliaeth yn dechneg ffafriol yn y dosbarth hwn. Roedd yr ymchwilydd yn canmol y disgyblion am amrywiaeth o bethau megis ateb yn dda, rhoi llaw i fyny a gweithio fel dosbarth. </w:t>
      </w:r>
    </w:p>
    <w:p w14:paraId="6D6E1334" w14:textId="77777777" w:rsidR="00F954C5" w:rsidRPr="00D453FB" w:rsidRDefault="00F954C5" w:rsidP="00D453FB">
      <w:pPr>
        <w:spacing w:line="360" w:lineRule="auto"/>
        <w:rPr>
          <w:rFonts w:cstheme="minorHAnsi"/>
          <w:sz w:val="24"/>
          <w:szCs w:val="24"/>
        </w:rPr>
      </w:pPr>
    </w:p>
    <w:p w14:paraId="32593205"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Cyn cychwyn y wers, rhannwyd y dosbarth cyfan mewn i bedwar grŵp yn ôl gallu’r disgyblion. Tasg grŵp un oedd darganfod mesuriadau gan ddefnyddio toes. Rhoddodd hwn y cyfle i’r disgyblion i ddysgu drwy arbrofi gan ddefnyddio’r dechneg treial a gwall. Bu rhaid i </w:t>
      </w:r>
      <w:r w:rsidRPr="00D453FB">
        <w:rPr>
          <w:rFonts w:cstheme="minorHAnsi"/>
          <w:sz w:val="24"/>
          <w:szCs w:val="24"/>
        </w:rPr>
        <w:lastRenderedPageBreak/>
        <w:t xml:space="preserve">grŵp dau defnyddio’r ipads a’i thasg oedd chwarae gêm cysylltu ar yr ipads. Bwriad y gêm oedd cysylltu gwrthrychau gyda’r mesuriadau cywir gan ddefnyddio’r pren mesur digidol.  Tasg grŵp tri oedd defnyddio pegiau sŵn i gysylltu mesuriadau ar lafar i fesuriadau ysgrifenedig ar y pren mesur. Y grŵp olaf, sef grŵp pedwar, oedd y grŵp ffocws. Tasg y grŵp hwn oedd amcangyfrif mesuriadau gwrthrychau yn y dosbarth ac yna eu gwirio. Yna, byddent yn darganfod yr amrediad rhwng y gwrthrych hiraf a byrraf.  </w:t>
      </w:r>
    </w:p>
    <w:p w14:paraId="7FDB1550" w14:textId="12CD8AC9" w:rsidR="001650BD" w:rsidRPr="00D453FB" w:rsidRDefault="001650BD" w:rsidP="00D453FB">
      <w:pPr>
        <w:spacing w:line="360" w:lineRule="auto"/>
        <w:rPr>
          <w:rFonts w:cstheme="minorHAnsi"/>
          <w:sz w:val="24"/>
          <w:szCs w:val="24"/>
        </w:rPr>
      </w:pPr>
    </w:p>
    <w:p w14:paraId="5952E7D3"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Trwy gydol y tasgau uchod bu rhaid i’r plant i feddwl yn annibynnol, gwneud cysylltiadau rhwng yr adnoddau a’r gwaith a dilyn cyfarwyddiadau. Gan daw hyn oedd y tro cyntaf i mi eistedd mewn yn y wers, roedd hi’n amlwg bod ymchwilydd tri wedi bod yn canmol y disgyblion am eu hymdrechion mewn sesiynau blaenorol. Gwelais hyn wrth i’r disgyblion gweithio’n effeithiol o fewn y grwpiau ac yn edrych ar yr athrawes (ymchwilydd tri) am ganmoliaeth ar ôl cwblhau’r dasg. Roedd hyn yn arbennig o wir gyda’r grŵp ffocws wrth i’r ymchwilydd canmol y disgyblion yn gyson. Defnyddiwyd siart seren er mwyn gwobrwyo’r rhai sydd wedi cwblhau gwaith gwych yn ystod y sesiwn ac roedd hi’n amlwg bod y disgyblion yn hoff iawn o’r ffordd yma o dderbyn canmoliaeth.</w:t>
      </w:r>
    </w:p>
    <w:p w14:paraId="420ACC40" w14:textId="00677E2A" w:rsidR="001650BD" w:rsidRPr="00D453FB" w:rsidRDefault="001650BD" w:rsidP="00D453FB">
      <w:pPr>
        <w:spacing w:line="360" w:lineRule="auto"/>
        <w:rPr>
          <w:rFonts w:cstheme="minorHAnsi"/>
          <w:sz w:val="24"/>
          <w:szCs w:val="24"/>
        </w:rPr>
      </w:pPr>
    </w:p>
    <w:p w14:paraId="7891D309" w14:textId="08769664" w:rsidR="00F020C5" w:rsidRPr="00D453FB" w:rsidRDefault="00F020C5" w:rsidP="00D453FB">
      <w:pPr>
        <w:spacing w:line="360" w:lineRule="auto"/>
        <w:rPr>
          <w:rFonts w:cstheme="minorHAnsi"/>
          <w:sz w:val="24"/>
          <w:szCs w:val="24"/>
        </w:rPr>
      </w:pPr>
      <w:r w:rsidRPr="00D453FB">
        <w:rPr>
          <w:rFonts w:cstheme="minorHAnsi"/>
          <w:sz w:val="24"/>
          <w:szCs w:val="24"/>
        </w:rPr>
        <w:t>Wrth adlewyrchu ar y wers gwelwyd bod ychydig o bethau a all cael eu haddasu ar gyfer tro nesaf. Er roedd y cyflwyniad yn effeithiol ac yn esiampl dda o’r defnydd o ganmoliaeth, penderfynwyd nad oedd digon o ganmoliaeth yn cael ei rhoi wrth i’r wers mynd yn ei flaen. Yn ystod y cyflwyniad roedd ymglymiad disgybl un, disgybl dau a disgybl tri yn uchel iawn ac roedd hwn o ganlyniad i gysondeb canmoliaeth yr ymchwilydd. Gwnaeth ymglymiad disgybl dau aros ar rif pump, sef y lefel uchaf, trwy gydol y wers heb lawer o ddefnydd o ganmoliaeth gyson. Gwnaeth ymglymiad disgybl un a disgybl tri amrywio. Cafwyd canmoliaeth effaith cadarnhaol ar ymglymiad disgybl un wrth i’w lefel o ymglymiad cynyddu ar ôl derbyn canmoliaeth ar lafar gan ymchwilydd tri. Am yr hanner olaf o’r wers, ni wnaeth ymglymiad di</w:t>
      </w:r>
      <w:r w:rsidR="00662C2D" w:rsidRPr="00D453FB">
        <w:rPr>
          <w:rFonts w:cstheme="minorHAnsi"/>
          <w:sz w:val="24"/>
          <w:szCs w:val="24"/>
        </w:rPr>
        <w:t>sgy</w:t>
      </w:r>
      <w:r w:rsidRPr="00D453FB">
        <w:rPr>
          <w:rFonts w:cstheme="minorHAnsi"/>
          <w:sz w:val="24"/>
          <w:szCs w:val="24"/>
        </w:rPr>
        <w:t xml:space="preserve">bl tri codi neu ollwng. Sylwyd taw’r rheswm dros hyn oedd diffyg canmoliaeth bersonol oddi wrth yr ymchwilydd yn yr achos hwn.  </w:t>
      </w:r>
    </w:p>
    <w:p w14:paraId="66F78ACE" w14:textId="706860FA" w:rsidR="00FE3C1C" w:rsidRPr="00D453FB" w:rsidRDefault="00F020C5" w:rsidP="00D453FB">
      <w:pPr>
        <w:spacing w:line="360" w:lineRule="auto"/>
        <w:rPr>
          <w:rFonts w:cstheme="minorHAnsi"/>
          <w:color w:val="212121"/>
          <w:sz w:val="24"/>
          <w:szCs w:val="24"/>
          <w:bdr w:val="none" w:sz="0" w:space="0" w:color="auto" w:frame="1"/>
          <w:lang w:val="cy-GB"/>
        </w:rPr>
      </w:pPr>
      <w:r w:rsidRPr="00D453FB">
        <w:rPr>
          <w:rFonts w:cstheme="minorHAnsi"/>
          <w:sz w:val="24"/>
          <w:szCs w:val="24"/>
        </w:rPr>
        <w:t xml:space="preserve">Yn ogystal â hyn, gwelwyd bod angen addasu ein dulliau ymchwil er mwyn casglu tystiolaeth yn fwy effeithiol. Er roedd graddfa Leuven wedi gweithio’n iawn, gwnaeth yr astudiaeth </w:t>
      </w:r>
      <w:r w:rsidRPr="00D453FB">
        <w:rPr>
          <w:rFonts w:cstheme="minorHAnsi"/>
          <w:sz w:val="24"/>
          <w:szCs w:val="24"/>
        </w:rPr>
        <w:lastRenderedPageBreak/>
        <w:t>gwers hon arwain at wneud ychydig o addasiadau i’r ffordd cymerwyd nodiadau. Yn ystod yr arsylwad hwn, buom yn cofnodi lefel ymglymiad pob plentyn pob pum munud (gwêl atodiad 3). Wrth gofnodi yn y modd hwn, nid oedd y cofnodion yn hollol ddibynadwy. Mae’n anodd canolbwyntio ar dri phlentyn ar yr un amser a rhoi eich holl sylw iddynt. Felly, penderfynwyd neilltuo amseroedd gwahanol ar gyfer y tri phlentyn erbyn yr astudiaeth wers nesaf.</w:t>
      </w:r>
    </w:p>
    <w:p w14:paraId="0DEC1E8A" w14:textId="77777777" w:rsidR="00D453FB" w:rsidRDefault="00D453FB" w:rsidP="00D453FB">
      <w:pPr>
        <w:spacing w:line="360" w:lineRule="auto"/>
        <w:rPr>
          <w:rFonts w:cstheme="minorHAnsi"/>
          <w:b/>
          <w:sz w:val="24"/>
          <w:szCs w:val="24"/>
          <w:u w:val="single"/>
        </w:rPr>
      </w:pPr>
    </w:p>
    <w:p w14:paraId="53D16161" w14:textId="3767386A" w:rsidR="00A31869" w:rsidRPr="00D453FB" w:rsidRDefault="00A31869" w:rsidP="00D453FB">
      <w:pPr>
        <w:spacing w:line="360" w:lineRule="auto"/>
        <w:rPr>
          <w:rFonts w:cstheme="minorHAnsi"/>
          <w:b/>
          <w:sz w:val="24"/>
          <w:szCs w:val="24"/>
          <w:u w:val="single"/>
        </w:rPr>
      </w:pPr>
      <w:r w:rsidRPr="00D453FB">
        <w:rPr>
          <w:rFonts w:cstheme="minorHAnsi"/>
          <w:b/>
          <w:sz w:val="24"/>
          <w:szCs w:val="24"/>
          <w:u w:val="single"/>
        </w:rPr>
        <w:t>Astudiaeth gwers 2 – canlyniadau a dadansoddiad</w:t>
      </w:r>
    </w:p>
    <w:p w14:paraId="0A8CDF7D" w14:textId="77777777" w:rsidR="00662C2D"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Cynhaliwyd yr ail astudiaeth gwers mewn ysgol B gan ymchwilydd un. Roedd hi’n ddosbarth meithrin ac roedd 32 o blant yn y dosbarth. </w:t>
      </w:r>
    </w:p>
    <w:p w14:paraId="218D4B17" w14:textId="29CF2360"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 Dechreuwyd y wers gyda’r disgyblion i gyd yn eistedd ar y carped ar gyfer tasg poethi. Thema’r dosbarth oedd blodau a’i henwau. Er mwyn cadw’r disgyblion ar ddihun, defnyddiodd ymchwilydd dau ffyn lolipop. Roedd hi’n amlwg gweld bod pob plentyn am gael tro i fynd lan i’r bwrdd gwyn rhyngweithiol er mwyn ateb cwestiwn. Roedd rhai yn deall y syniad o ddefnyddio ffyn lolipop ond roedd nifer yn dal i roi ei dwylo i fyny neu weiddi allan. Wrth i ymchwilydd dau canmol y rhai </w:t>
      </w:r>
      <w:proofErr w:type="gramStart"/>
      <w:r w:rsidRPr="00D453FB">
        <w:rPr>
          <w:rFonts w:cstheme="minorHAnsi"/>
          <w:sz w:val="24"/>
          <w:szCs w:val="24"/>
        </w:rPr>
        <w:t>a</w:t>
      </w:r>
      <w:proofErr w:type="gramEnd"/>
      <w:r w:rsidRPr="00D453FB">
        <w:rPr>
          <w:rFonts w:cstheme="minorHAnsi"/>
          <w:sz w:val="24"/>
          <w:szCs w:val="24"/>
        </w:rPr>
        <w:t xml:space="preserve"> oedd yn eistedd yn dawel, roedd yn cael effaith cadarnhaol ar ymddygiad gweddill y dosbarth. </w:t>
      </w:r>
    </w:p>
    <w:p w14:paraId="65599052"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Nod y wers oedd darganfod llythrennau ar flodau yn yr amgylchedd allanol ac yna dod o hyd i’r llythrennau priodol er mwyn ffurfio geiriau tric a chlic. Yn lle dewis grŵp ffocws penodol ar gyfer y dasg hon, fe wnaeth yr ymchwilydd dewis plant ar hap trwy gydol y wers, gan ddim ond tasg fer oedd hi. Am y grŵp cyntaf, dewiswyd y tri phlentyn roeddwn yn arsylwi. Fe wnaeth hyn ein galluogi i gymryd nodiadau manwl gan ddefnyddio graddfa Leuven. Ar ddechrau’r dasg roedd y tri phlentyn yn awyddus ac roeddent wedi ymglymu i’r wers. Wrth iddynt ddeall bod ganddyn nhw’r cyfle i fynd mas i’r awyr agored, fe wnaeth ymglymiad pob plentyn i’r wers cynyddu i’r uchaf gallai fod (gwêl atodiad 4).</w:t>
      </w:r>
    </w:p>
    <w:p w14:paraId="5F8671F6" w14:textId="77777777" w:rsidR="00F020C5" w:rsidRPr="00D453FB" w:rsidRDefault="00F020C5" w:rsidP="00D453FB">
      <w:pPr>
        <w:spacing w:line="360" w:lineRule="auto"/>
        <w:rPr>
          <w:rFonts w:cstheme="minorHAnsi"/>
          <w:sz w:val="24"/>
          <w:szCs w:val="24"/>
        </w:rPr>
      </w:pPr>
    </w:p>
    <w:p w14:paraId="0DE93527"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Yn y dosbarth roedd dwy ardal wahanol o gyfoethogi yn cael ei weithredu. Mewn un ardal bu rhaid i’r disgyblion torri a gludo i greu cenhinen. Golyga hyn eu bod yn defnyddio sgiliau echddygol manwl. Roedd cynorthwyydd yn yr ardal gyda’r plant a bu’r disgyblion yn ei fodelu. Roedd llawer o ganmoliaeth ar lafar yn digwydd yn yr ardal hon. </w:t>
      </w:r>
    </w:p>
    <w:p w14:paraId="3FA1BC6C"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lastRenderedPageBreak/>
        <w:t>Tasg cyfoethogi arall oedd creu ddawns gwerin gyda chefnogaeth cynorthwyydd. Wrth wneud hyn roedd y disgyblion yn ymarfer nifer o sgiliau. Trwy ddefnyddio gwahanol rannau’r corf roeddent yn defnyddio sgiliau echddygol bras, sgiliau cydbwysedd, sgiliau rhifedd er mwyn cyfrif camau ac yn cysylltu symudiadau gyda chyfarwyddiadau.</w:t>
      </w:r>
    </w:p>
    <w:p w14:paraId="70421F63" w14:textId="60635CEE"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Wrth i’r tri phlentyn dod mewn ar ôl wneud tasg mas tu fas, roedd rhaid iddynt gwblhau tasg mewn tu fewn. Gan ddefnyddio gwybodaeth flaenorol o greu geiriau, roedd rhaid iddynt greu gair gan ddefnyddio cardiau fflach ac ysgrifennu’r gair i lawr. Wrth i’r dasg hyn mynd yn ei flaen, roedd hi’n amlwg gweld bod plentyn dau a phlentyn tri wedi dechrau colli diddordeb. Roedd plentyn un, ar y llaw arall, yn parhau i fwynhau’r wers ac yn trio ei orau glas i blesio’r athrawes (ymchwilydd un)</w:t>
      </w:r>
      <w:r w:rsidRPr="00D453FB">
        <w:rPr>
          <w:rFonts w:cstheme="minorHAnsi"/>
          <w:sz w:val="24"/>
          <w:szCs w:val="24"/>
        </w:rPr>
        <w:t>.</w:t>
      </w:r>
    </w:p>
    <w:p w14:paraId="75DF60A8" w14:textId="77777777" w:rsidR="00F020C5" w:rsidRPr="00D453FB" w:rsidRDefault="00F020C5" w:rsidP="00D453FB">
      <w:pPr>
        <w:autoSpaceDE w:val="0"/>
        <w:autoSpaceDN w:val="0"/>
        <w:adjustRightInd w:val="0"/>
        <w:spacing w:line="360" w:lineRule="auto"/>
        <w:rPr>
          <w:rFonts w:cstheme="minorHAnsi"/>
          <w:color w:val="212121"/>
          <w:sz w:val="24"/>
          <w:szCs w:val="24"/>
        </w:rPr>
      </w:pPr>
    </w:p>
    <w:p w14:paraId="50C8175B" w14:textId="0903E7C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Wrth adfyfyrio ar y wers, gwelwyd bod lle i wella er mwyn gweithio tuag at ddefnyddio mwy o ganmoliaeth yn ystod y wers. Er wnaeth ymchwilydd dau defnyddio canmoliaeth yn gyson mewn amrywiaeth o ffurf megis ar lafar, rhoi ‘high 5’ i’r disgyblion wrth ateb yn gywir, a symud pegiau i fyny ar y siart ymddygiad, mae lle i’w ddefnyddio’n amlach. Cytunwyd bod hi’n syniad da i atgoffa’r plant o’r wahanol ardaloedd o fewn y dosbarth cyn gofyn iddynt i adael y carped. Wrth wneud hyn, mae’n bosib gwella rheolaeth dosbarth ac i greu fwy o drefn yn ystod y wers gan nad yw sylw’r athrawes yn gallu bod ar bob plentyn. </w:t>
      </w:r>
    </w:p>
    <w:p w14:paraId="23880E11" w14:textId="605D6FB3" w:rsidR="00E17E8F" w:rsidRPr="00D453FB" w:rsidRDefault="00E17E8F" w:rsidP="00D453FB">
      <w:pPr>
        <w:spacing w:line="360" w:lineRule="auto"/>
        <w:rPr>
          <w:rFonts w:cstheme="minorHAnsi"/>
          <w:sz w:val="24"/>
          <w:szCs w:val="24"/>
        </w:rPr>
      </w:pPr>
    </w:p>
    <w:p w14:paraId="34D34210" w14:textId="4B6CAAFB" w:rsidR="003A61EF" w:rsidRPr="00D453FB" w:rsidRDefault="003A61EF" w:rsidP="00D453FB">
      <w:pPr>
        <w:spacing w:line="360" w:lineRule="auto"/>
        <w:rPr>
          <w:rFonts w:cstheme="minorHAnsi"/>
          <w:b/>
          <w:sz w:val="24"/>
          <w:szCs w:val="24"/>
          <w:u w:val="single"/>
        </w:rPr>
      </w:pPr>
      <w:r w:rsidRPr="00D453FB">
        <w:rPr>
          <w:rFonts w:cstheme="minorHAnsi"/>
          <w:b/>
          <w:sz w:val="24"/>
          <w:szCs w:val="24"/>
          <w:u w:val="single"/>
        </w:rPr>
        <w:t>Astudiaeth gwers 3 – canlyniadau a dadansoddiad</w:t>
      </w:r>
    </w:p>
    <w:p w14:paraId="26CD4115" w14:textId="50E6A648"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Cynhaliwyd astudiaeth gwers tri, a’r astudiaeth gwers olaf, yn yr un ysgol ag astudiaeth gwers dau, sef ysgol B. Roedd gan y dosbarth 33 o ddisgyblion, ac fel astudiaeth gwers un, cynhaliwyd mewn </w:t>
      </w:r>
      <w:r w:rsidR="0078617D" w:rsidRPr="00D453FB">
        <w:rPr>
          <w:rFonts w:cstheme="minorHAnsi"/>
          <w:sz w:val="24"/>
          <w:szCs w:val="24"/>
        </w:rPr>
        <w:t xml:space="preserve">dosbarth </w:t>
      </w:r>
      <w:r w:rsidRPr="00D453FB">
        <w:rPr>
          <w:rFonts w:cstheme="minorHAnsi"/>
          <w:sz w:val="24"/>
          <w:szCs w:val="24"/>
        </w:rPr>
        <w:t xml:space="preserve">blwyddyn dau. Roedd y dosbarth hwn yn ddosbarth prysur gyda nifer o gymeriadau mawr â phersonoliaethau cryf. </w:t>
      </w:r>
    </w:p>
    <w:p w14:paraId="7531BE14"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Nod y wers oedd idiomau a thasg y grŵp ffocws oedd cysylltu’r idiom gyda’i ystyr cywir ac yna ysgrifennu brawddegau amdano Chwedl Branwen gan ddefnyddio’r idiomau perthnasol o fewn y cyd-destun cywir.  Wrth gwblhau’r meini prawf llwyddiant ar ddiwedd y wers, gan ddefnyddio goleuadau traffig, gwelwn fod pawb wedi deall a chyrraedd nod y wers</w:t>
      </w:r>
      <w:r w:rsidRPr="00D453FB">
        <w:rPr>
          <w:rFonts w:cstheme="minorHAnsi"/>
          <w:sz w:val="24"/>
          <w:szCs w:val="24"/>
        </w:rPr>
        <w:t>.</w:t>
      </w:r>
    </w:p>
    <w:p w14:paraId="1552AE34" w14:textId="56E6F429"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lastRenderedPageBreak/>
        <w:t xml:space="preserve">Defnyddiwyd gwahanol fathau o ganmoliaeth o fewn y dosbarth. Yn gyntaf roedd canmoliaeth ar lafar. Roedd hi’n amlwg bod y disgyblion yn mwynhau derbyn canmoliaeth o’r fath hyn wrth iddynt ymateb yn gadarnhaol iddo. Hefyd, roedd siart ymddygiad lle'r oedd y plant yn medru symud y pegiau i fyny neu i lawr yn dibynnu ar eu hymddygiad ac ymglymiad i’r wers. Yn ogystal â hyn roedd sticeri yn cael ei rhoi allan am ateb cwestiynau a thacluso ac roedd system wobrwyo lle fydd y disgyblion yn rhoi cragen yn flwch ei thîm nhw os oedd ymchwilydd dau yn dweud wrthynt. </w:t>
      </w:r>
    </w:p>
    <w:p w14:paraId="0BAA4AFD"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Roedd y plant wedi ymateb yn gadarnhaol i’r wers a chyflawnodd pawb y nod. Roedd rhaid i’r plant i feddwl yn annibynnol, adeiladu ar wybodaeth flaenorol a modelu’r athrawes. Sylwyd bod plentyn un a phlentyn dau yn dangos mwy o ymglymiad trwy’r wers gyfan nag oedd plentyn tri. Serch hynny, roedd y tri phlentyn yn ymateb yn gadarnhaol iawn i ganmoliaeth ac wrth atgoffa nhw o’r siart a’r system wobrwyo, roedd yn eu sbarduno i gyfrannu’n fwy i’r wers ac i weithio’n galed. Er hynny, nid oedd angen llawer o berswadio ar blentyn un i barhau gyda’i gwaith nac i gyfrannu i’r wers (gwêl atodiad 5).</w:t>
      </w:r>
    </w:p>
    <w:p w14:paraId="023A98E8" w14:textId="47936CA3" w:rsidR="00A3509A" w:rsidRPr="00D453FB" w:rsidRDefault="00F020C5" w:rsidP="00D453FB">
      <w:pPr>
        <w:spacing w:line="360" w:lineRule="auto"/>
        <w:rPr>
          <w:rFonts w:cstheme="minorHAnsi"/>
          <w:sz w:val="24"/>
          <w:szCs w:val="24"/>
        </w:rPr>
      </w:pPr>
      <w:r w:rsidRPr="00D453FB">
        <w:rPr>
          <w:rFonts w:cstheme="minorHAnsi"/>
          <w:sz w:val="24"/>
          <w:szCs w:val="24"/>
        </w:rPr>
        <w:t>Dysgwyd o’r wers bod angen defnyddio canmoliaeth yn fwy cyson, yn enwedig er mwyn uwcholeuo ymddygiad da er mwyn dangos esiampl i bawb yn y dosbarth. Yn ogystal â hyn, bydd hi’n syniad i atgoffa’r disgyblion o reolau’r dosbarth er mwyn ceisio atgyfnerthu beth sydd yn ddisgwyliedig</w:t>
      </w:r>
      <w:r w:rsidR="0078617D" w:rsidRPr="00D453FB">
        <w:rPr>
          <w:rFonts w:cstheme="minorHAnsi"/>
          <w:sz w:val="24"/>
          <w:szCs w:val="24"/>
        </w:rPr>
        <w:t xml:space="preserve"> ohonynt</w:t>
      </w:r>
      <w:r w:rsidRPr="00D453FB">
        <w:rPr>
          <w:rFonts w:cstheme="minorHAnsi"/>
          <w:sz w:val="24"/>
          <w:szCs w:val="24"/>
        </w:rPr>
        <w:t xml:space="preserve"> yn ystod gwersi.</w:t>
      </w:r>
    </w:p>
    <w:p w14:paraId="6FAD89C5" w14:textId="77777777" w:rsidR="00A3509A" w:rsidRPr="00D453FB" w:rsidRDefault="00A3509A" w:rsidP="00D453FB">
      <w:pPr>
        <w:spacing w:line="360" w:lineRule="auto"/>
        <w:rPr>
          <w:rFonts w:cstheme="minorHAnsi"/>
          <w:sz w:val="24"/>
          <w:szCs w:val="24"/>
        </w:rPr>
      </w:pPr>
    </w:p>
    <w:p w14:paraId="14E3F0E3" w14:textId="1D08A4F8" w:rsidR="00DD6F5F" w:rsidRPr="00D453FB" w:rsidRDefault="00A61E49" w:rsidP="00D453FB">
      <w:pPr>
        <w:spacing w:line="360" w:lineRule="auto"/>
        <w:rPr>
          <w:rFonts w:cstheme="minorHAnsi"/>
          <w:b/>
          <w:color w:val="212121"/>
          <w:sz w:val="24"/>
          <w:szCs w:val="24"/>
          <w:u w:val="single"/>
        </w:rPr>
      </w:pPr>
      <w:r w:rsidRPr="00D453FB">
        <w:rPr>
          <w:rFonts w:cstheme="minorHAnsi"/>
          <w:b/>
          <w:color w:val="212121"/>
          <w:sz w:val="24"/>
          <w:szCs w:val="24"/>
          <w:u w:val="single"/>
        </w:rPr>
        <w:t>Trafod canfyddiadau ymchwil mewn perthynas â llenyddiaeth ac ymchwil cysylltiedig</w:t>
      </w:r>
    </w:p>
    <w:p w14:paraId="1DC06C20" w14:textId="21354130" w:rsidR="00A3509A" w:rsidRPr="00D453FB" w:rsidRDefault="00F020C5" w:rsidP="00D453FB">
      <w:pPr>
        <w:spacing w:line="360" w:lineRule="auto"/>
        <w:rPr>
          <w:rFonts w:cstheme="minorHAnsi"/>
          <w:color w:val="212121"/>
          <w:sz w:val="24"/>
          <w:szCs w:val="24"/>
        </w:rPr>
      </w:pPr>
      <w:r w:rsidRPr="00D453FB">
        <w:rPr>
          <w:rFonts w:cstheme="minorHAnsi"/>
          <w:color w:val="212121"/>
          <w:sz w:val="24"/>
          <w:szCs w:val="24"/>
        </w:rPr>
        <w:t xml:space="preserve">Yn ystod yr ymchwil hyn darganfuwyd bod plant yn ymateb yn gadarnhaol iawn i ganmoliaeth, yn llawer gwell na beth maen nhw’n ymateb i gael eu ceryddu. Gwelwyd bod canmoliaeth yn cael effaith ar ymddygiad mwyafrif o blant ond nid cymaint ar ymglymiad. Wrth ganolbwyntio ar y naw plentyn o fewn yr astudiaethau gwersi, roedd hi’n glir i weld bod diffyg canolbwyntio yn digwydd yn aml gyda phlant ifanc. Gall hyn fod oherwydd amrywiaeth o ffactorau megis, diffyg diddordeb, pethau arall are eu meddyliau, diffyg hunanhyder a.y.b.   </w:t>
      </w:r>
    </w:p>
    <w:p w14:paraId="605AB174" w14:textId="4A44E5F0" w:rsidR="00A3509A" w:rsidRPr="00D453FB" w:rsidRDefault="002C5DE0" w:rsidP="00D453FB">
      <w:pPr>
        <w:spacing w:line="360" w:lineRule="auto"/>
        <w:rPr>
          <w:rFonts w:cstheme="minorHAnsi"/>
          <w:color w:val="212121"/>
          <w:sz w:val="24"/>
          <w:szCs w:val="24"/>
        </w:rPr>
      </w:pPr>
      <w:r w:rsidRPr="00D453FB">
        <w:rPr>
          <w:rFonts w:cstheme="minorHAnsi"/>
          <w:color w:val="212121"/>
          <w:sz w:val="24"/>
          <w:szCs w:val="24"/>
        </w:rPr>
        <w:t xml:space="preserve">Mae’r cwestiwn ymchwil yn ffocysu ar ganmoliaeth ar lafar, ond wrth i’r ymchwil mynd yn ei flaen, penderfynom herio canmoliaeth ar lafar gyda’r mathau eraill o ganmoliaeth, megis </w:t>
      </w:r>
      <w:r w:rsidRPr="00D453FB">
        <w:rPr>
          <w:rFonts w:cstheme="minorHAnsi"/>
          <w:color w:val="212121"/>
          <w:sz w:val="24"/>
          <w:szCs w:val="24"/>
        </w:rPr>
        <w:lastRenderedPageBreak/>
        <w:t>sticeri a gwobrwy</w:t>
      </w:r>
      <w:r w:rsidR="0078617D" w:rsidRPr="00D453FB">
        <w:rPr>
          <w:rFonts w:cstheme="minorHAnsi"/>
          <w:color w:val="212121"/>
          <w:sz w:val="24"/>
          <w:szCs w:val="24"/>
        </w:rPr>
        <w:t>o</w:t>
      </w:r>
      <w:r w:rsidRPr="00D453FB">
        <w:rPr>
          <w:rFonts w:cstheme="minorHAnsi"/>
          <w:color w:val="212121"/>
          <w:sz w:val="24"/>
          <w:szCs w:val="24"/>
        </w:rPr>
        <w:t>. Wrth gynnal y cyfweliadau, roedd y canlyniadau yn amrywio. Dywed pob plentyn o ysgol B o’r dosbarth meithrin eu bod gwell ganddyn nhw sticeri na’r athrawes yn dweud ‘da iawn’ neu ‘gwaith arbennig’ wrthynt. Gwelwyd symudiad yn yr agwedd hon wrth symud i fyny i ochr uchaf Cyfnod Sylfaen. Cynhaliwyd astudiaeth gwers mewn dau ddosbarth blwyddyn dau mewn dwy ysgol wahanol. Er wnaeth tri allan o’r chwech o blant dweud bod gwell ganddynt sticeri, fe wnaeth yr hanner arall cymryd persbectif gwahanol. Dywed un plentyn o ysgol B bod gwell ganddyn nhw dderbyn canmoliaeth ar lafar “oherwydd mae sticeri yn gallu cwympo bant ond mae da iawn yn wneud i ni deimlo’n dda mewn tu fewn”. Dywed plentyn arall o ysgol A bod canmoliaeth yn ffordd dda o’u herio ac i deimlo fel eu bod yn gallu gwneud unrhyw</w:t>
      </w:r>
      <w:r w:rsidR="0078617D" w:rsidRPr="00D453FB">
        <w:rPr>
          <w:rFonts w:cstheme="minorHAnsi"/>
          <w:color w:val="212121"/>
          <w:sz w:val="24"/>
          <w:szCs w:val="24"/>
        </w:rPr>
        <w:t xml:space="preserve"> </w:t>
      </w:r>
      <w:r w:rsidRPr="00D453FB">
        <w:rPr>
          <w:rFonts w:cstheme="minorHAnsi"/>
          <w:color w:val="212121"/>
          <w:sz w:val="24"/>
          <w:szCs w:val="24"/>
        </w:rPr>
        <w:t>beth sydd yn cael eu rhoi iddynt ac yn wneud iddynt i deimlo’n falch o’u hunain.</w:t>
      </w:r>
    </w:p>
    <w:p w14:paraId="7886ACB2" w14:textId="77777777" w:rsidR="002C5DE0" w:rsidRPr="00D453FB" w:rsidRDefault="002C5DE0" w:rsidP="00D453FB">
      <w:pPr>
        <w:autoSpaceDE w:val="0"/>
        <w:autoSpaceDN w:val="0"/>
        <w:adjustRightInd w:val="0"/>
        <w:spacing w:line="360" w:lineRule="auto"/>
        <w:rPr>
          <w:rFonts w:cstheme="minorHAnsi"/>
          <w:color w:val="212121"/>
          <w:sz w:val="24"/>
          <w:szCs w:val="24"/>
        </w:rPr>
      </w:pPr>
      <w:r w:rsidRPr="00D453FB">
        <w:rPr>
          <w:rFonts w:cstheme="minorHAnsi"/>
          <w:color w:val="212121"/>
          <w:sz w:val="24"/>
          <w:szCs w:val="24"/>
        </w:rPr>
        <w:t xml:space="preserve">Atgyfnerthwyd Hitz a Driscoll y canlyniadau hyn wrth iddynt awgrymu bod rhan fwyaf o fyfyrwyr yn ffynnu mewn amgylcheddau lle maent yn cael eu hannog ac yn derbyn canmoliaeth er mwyn gallu gwerthuso eu hymddygiad a’u gwaith eu hunain (1989). Gwelwyd hyn trwy gydol yr astudiaethau gwersi wrth i blant edrych am ganmoliaeth er mwyn sicrhau eu bod yn wneud y gorau gallai wneud. </w:t>
      </w:r>
    </w:p>
    <w:p w14:paraId="6573EB3C" w14:textId="619C29C4" w:rsidR="008023E2" w:rsidRPr="00D453FB" w:rsidRDefault="002C5DE0" w:rsidP="00D453FB">
      <w:pPr>
        <w:spacing w:line="360" w:lineRule="auto"/>
        <w:rPr>
          <w:rFonts w:cstheme="minorHAnsi"/>
          <w:color w:val="212121"/>
          <w:sz w:val="24"/>
          <w:szCs w:val="24"/>
        </w:rPr>
      </w:pPr>
      <w:r w:rsidRPr="00D453FB">
        <w:rPr>
          <w:rFonts w:cstheme="minorHAnsi"/>
          <w:color w:val="212121"/>
          <w:sz w:val="24"/>
          <w:szCs w:val="24"/>
        </w:rPr>
        <w:t>Ar y llaw arall, mae’r data a gasglwyd hefyd yn atgyfnerthu’r hyn a ddywedwyd gan Brophy (1981) wrth iddo ddadlau bod canmoliaeth yn gallu sefyll fel rhwystr i ddysgu effeithiol wrth i blant ffocysu gormod ar y wobr ar y diwedd yn hytrach na’r teimlad o falchder dylent deimlo ar ôl wneud rhywbeth yn llwyddiannus.</w:t>
      </w:r>
    </w:p>
    <w:p w14:paraId="172760D9" w14:textId="6AEC2235" w:rsidR="002C5DE0" w:rsidRPr="00D453FB" w:rsidRDefault="002C5DE0" w:rsidP="00D453FB">
      <w:pPr>
        <w:autoSpaceDE w:val="0"/>
        <w:autoSpaceDN w:val="0"/>
        <w:adjustRightInd w:val="0"/>
        <w:spacing w:line="360" w:lineRule="auto"/>
        <w:rPr>
          <w:rFonts w:cstheme="minorHAnsi"/>
          <w:color w:val="212121"/>
          <w:sz w:val="24"/>
          <w:szCs w:val="24"/>
        </w:rPr>
      </w:pPr>
      <w:r w:rsidRPr="00D453FB">
        <w:rPr>
          <w:rFonts w:cstheme="minorHAnsi"/>
          <w:color w:val="212121"/>
          <w:sz w:val="24"/>
          <w:szCs w:val="24"/>
        </w:rPr>
        <w:t>Wrth edrych nôl ar y dulliau a ddefnyddiwyd m</w:t>
      </w:r>
      <w:r w:rsidR="0078617D" w:rsidRPr="00D453FB">
        <w:rPr>
          <w:rFonts w:cstheme="minorHAnsi"/>
          <w:color w:val="212121"/>
          <w:sz w:val="24"/>
          <w:szCs w:val="24"/>
        </w:rPr>
        <w:t>ae</w:t>
      </w:r>
      <w:r w:rsidRPr="00D453FB">
        <w:rPr>
          <w:rFonts w:cstheme="minorHAnsi"/>
          <w:color w:val="212121"/>
          <w:sz w:val="24"/>
          <w:szCs w:val="24"/>
        </w:rPr>
        <w:t>’n bosib dod o hyd i gryfderau a chyfyngiadau. Defnyddiwyd graddfa Leuven ar gyfer bob astudiaeth gwers. Yn dilyn yr astudiaeth gwers gyntaf, penderfynwyd addasu’r ffordd roeddwn yn cofnodi ychydig er mwyn gwella’r dilysrwydd. Mae casglu data trwy ddefnyddio graddfeydd yn ddefnyddiol ac ond yn cymryd ychydig o amser i gwblhau, ond mae ganddo anfanteision. Wrth gofnodi ar raddfa, dim ond ychydig o wybodaeth sydd yn cael ei chofnodi. Er mwyn i hyn weithio’n effeithiol, mae’n hanfodol bod yr arsylwyr â dealltwriaeth gadarn o beth maen nhw’n ei graddio. Yn ogystal, gwnaeth yr astudiaethau gwersi ond cymryd lle unwaith o fewn tri dosbarth gwahanol. Nid yw hyn yn ffordd ddibynadwy iawn o gasglu data am ei bod hi’n anodd cymharu canlyniadau.</w:t>
      </w:r>
    </w:p>
    <w:p w14:paraId="632CC78F" w14:textId="18B2BE43" w:rsidR="00CF0A46" w:rsidRPr="00D453FB" w:rsidRDefault="00CF0A46" w:rsidP="00D453FB">
      <w:pPr>
        <w:pStyle w:val="HTMLPreformatted"/>
        <w:spacing w:line="360" w:lineRule="auto"/>
        <w:rPr>
          <w:rFonts w:asciiTheme="minorHAnsi" w:hAnsiTheme="minorHAnsi" w:cstheme="minorHAnsi"/>
          <w:color w:val="212121"/>
          <w:sz w:val="24"/>
          <w:szCs w:val="24"/>
          <w:u w:val="single"/>
        </w:rPr>
      </w:pPr>
    </w:p>
    <w:p w14:paraId="1C39CEAF" w14:textId="57FA5B1E" w:rsidR="000E61B3" w:rsidRPr="00D453FB" w:rsidRDefault="000E61B3" w:rsidP="00D453FB">
      <w:pPr>
        <w:pStyle w:val="HTMLPreformatted"/>
        <w:spacing w:line="360" w:lineRule="auto"/>
        <w:rPr>
          <w:rFonts w:asciiTheme="minorHAnsi" w:hAnsiTheme="minorHAnsi" w:cstheme="minorHAnsi"/>
          <w:b/>
          <w:color w:val="212121"/>
          <w:sz w:val="24"/>
          <w:szCs w:val="24"/>
          <w:u w:val="single"/>
        </w:rPr>
      </w:pPr>
      <w:r w:rsidRPr="00D453FB">
        <w:rPr>
          <w:rFonts w:asciiTheme="minorHAnsi" w:hAnsiTheme="minorHAnsi" w:cstheme="minorHAnsi"/>
          <w:b/>
          <w:color w:val="212121"/>
          <w:sz w:val="24"/>
          <w:szCs w:val="24"/>
          <w:u w:val="single"/>
        </w:rPr>
        <w:t>Casgliad</w:t>
      </w:r>
    </w:p>
    <w:p w14:paraId="05E3593B" w14:textId="573F1385"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r w:rsidRPr="00D453FB">
        <w:rPr>
          <w:rFonts w:cstheme="minorHAnsi"/>
          <w:color w:val="212121"/>
          <w:sz w:val="24"/>
          <w:szCs w:val="24"/>
        </w:rPr>
        <w:t xml:space="preserve">Wrth adfyfyrio ar yr ymchwil, teimlaf ei fod wedi bod o werth i gynnal yr astudiaethau gwers mewn dwy ysgol wahanol. Gwnaeth hyn ein galluogi i arsylwi gwahanol fathau o ddisgyblion mewn amgylcheddau gwahanol. Wrth fynd i ysgol wahanol roedd hi’n bosib deall </w:t>
      </w:r>
      <w:r w:rsidR="0078617D" w:rsidRPr="00D453FB">
        <w:rPr>
          <w:rFonts w:cstheme="minorHAnsi"/>
          <w:color w:val="212121"/>
          <w:sz w:val="24"/>
          <w:szCs w:val="24"/>
        </w:rPr>
        <w:t xml:space="preserve">sut </w:t>
      </w:r>
      <w:r w:rsidRPr="00D453FB">
        <w:rPr>
          <w:rFonts w:cstheme="minorHAnsi"/>
          <w:color w:val="212121"/>
          <w:sz w:val="24"/>
          <w:szCs w:val="24"/>
        </w:rPr>
        <w:t>mae ysgolion arall yn gweithredu er mwyn cyrraedd yr un nod.</w:t>
      </w:r>
    </w:p>
    <w:p w14:paraId="7DE2D44B"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p>
    <w:p w14:paraId="7846C4AF" w14:textId="6327F59C" w:rsidR="00642AEA" w:rsidRPr="00D453FB" w:rsidRDefault="002C5DE0" w:rsidP="00D453FB">
      <w:pPr>
        <w:pStyle w:val="HTMLPreformatted"/>
        <w:spacing w:line="360" w:lineRule="auto"/>
        <w:rPr>
          <w:rFonts w:asciiTheme="minorHAnsi" w:hAnsiTheme="minorHAnsi" w:cstheme="minorHAnsi"/>
          <w:color w:val="212121"/>
          <w:sz w:val="24"/>
          <w:szCs w:val="24"/>
        </w:rPr>
      </w:pPr>
      <w:r w:rsidRPr="00D453FB">
        <w:rPr>
          <w:rFonts w:asciiTheme="minorHAnsi" w:hAnsiTheme="minorHAnsi" w:cstheme="minorHAnsi"/>
          <w:color w:val="212121"/>
          <w:sz w:val="24"/>
          <w:szCs w:val="24"/>
        </w:rPr>
        <w:t>Yn ogystal, roedd hi’n braf arsylwi gwersi mewn dau ddosbarth gwahanol o fewn yr un ysgol. Roedd y dosbarthiadau hyn ar ochr arall y sbectrwm i’w gilydd, gydag un yn cynnwys aelodau ifancach yr ysgol, a’r llall yn cynnwys disgyblion hynaf y Cyfnod Sylfaen. Roedd trefn y gwersi hyn yn hollol wahanol i’w gilydd yn ogystal â’r data a gasglwyd. Daeth hi’n amlwg iawn bod canmoliaeth yn cael ei weld yn wahanol o fewn feddyliau plant oedrannau gwahanol ac mae’n golygu pethau gwahanol.</w:t>
      </w:r>
    </w:p>
    <w:p w14:paraId="0F0645BC" w14:textId="77777777" w:rsidR="002C5DE0" w:rsidRPr="00D453FB" w:rsidRDefault="002C5DE0" w:rsidP="00D453FB">
      <w:pPr>
        <w:pStyle w:val="HTMLPreformatted"/>
        <w:spacing w:line="360" w:lineRule="auto"/>
        <w:rPr>
          <w:rFonts w:asciiTheme="minorHAnsi" w:hAnsiTheme="minorHAnsi" w:cstheme="minorHAnsi"/>
          <w:color w:val="212121"/>
          <w:sz w:val="24"/>
          <w:szCs w:val="24"/>
        </w:rPr>
      </w:pPr>
    </w:p>
    <w:p w14:paraId="4BF74688"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r w:rsidRPr="00D453FB">
        <w:rPr>
          <w:rFonts w:cstheme="minorHAnsi"/>
          <w:color w:val="212121"/>
          <w:sz w:val="24"/>
          <w:szCs w:val="24"/>
        </w:rPr>
        <w:t xml:space="preserve">Teimlwyd ei fod wedi bod o werth i brofi gwers mewn dosbarth gyda llai o blant na’r dosbarthiadau rwyf wedi arfer â. Cafwyd y cyfle i rannu arfer da a syniadau ar sut i ddefnyddio canmoliaeth i reoli dosbarthiadau o feintiau gwahanol. </w:t>
      </w:r>
    </w:p>
    <w:p w14:paraId="6859A6B2"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p>
    <w:p w14:paraId="525CEBF4"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r w:rsidRPr="00D453FB">
        <w:rPr>
          <w:rFonts w:cstheme="minorHAnsi"/>
          <w:color w:val="212121"/>
          <w:sz w:val="24"/>
          <w:szCs w:val="24"/>
        </w:rPr>
        <w:t xml:space="preserve">Serch hynny, gwelwyd bod yr ymchwil wedi bod yn anodd i raddau. Arsylwyd gwers wahanol o fewn pob astudiaeth gwers, ar amseroedd gwahanol. Cynhaliwyd astudiaeth gwers un peth cyntaf yn y bore. Roedd y plant yn awyddus i ddysgu ac yn barod i wrando. Teimlwyd bod y canlyniadau orau wedi dod o’r wers hyn. Cynhaliwyd yr ail astudiaeth gwers yn y bore hefyd, ond gan daw plant meithrin oedd y rhain, roedd rhai wedi blino a ddim am gymryd rhan yn y wers. Cynhaliwyd yr astudiaeth gwers olaf yn y prynhawn. Roedd y plant yn hynod o gyffrous ac yn fywiog iawn. Yn ogystal, roedd hi’n agosáu at ddiwedd tymor ac roedd y llwyth gwaith yn dechrau tawelu o fewn y dosbarth felly nid oedd y disgyblion yn teimlo fel gwneud llawer o waith.  </w:t>
      </w:r>
    </w:p>
    <w:p w14:paraId="20735585" w14:textId="6E9CA661" w:rsidR="000E61B3" w:rsidRPr="00D453FB" w:rsidRDefault="000E61B3" w:rsidP="00D453FB">
      <w:pPr>
        <w:pStyle w:val="HTMLPreformatted"/>
        <w:spacing w:line="360" w:lineRule="auto"/>
        <w:rPr>
          <w:rFonts w:asciiTheme="minorHAnsi" w:hAnsiTheme="minorHAnsi" w:cstheme="minorHAnsi"/>
          <w:color w:val="212121"/>
          <w:sz w:val="24"/>
          <w:szCs w:val="24"/>
        </w:rPr>
      </w:pPr>
    </w:p>
    <w:p w14:paraId="4D535D6A"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r w:rsidRPr="00D453FB">
        <w:rPr>
          <w:rFonts w:cstheme="minorHAnsi"/>
          <w:color w:val="212121"/>
          <w:sz w:val="24"/>
          <w:szCs w:val="24"/>
        </w:rPr>
        <w:t xml:space="preserve">Teimlwyd bod y dull arsylwi yn ddilys wrth iddo roi’r cyfle i’r ymchwilwyr i gofnodi’n gyflym ac ar unwaith. Wrth ddefnyddio’r raddfa roedd modd adnabod y mathau o ymglymiad i edrych mas amdano a beth oedd yn addas i bob plentyn. Serch hynny, nid yw’n dull hollol ddibynadwy achos mae’r dull hyn yn gallu fod yn fater o farn. Gwelwyd bod nodiadau finnau </w:t>
      </w:r>
      <w:r w:rsidRPr="00D453FB">
        <w:rPr>
          <w:rFonts w:cstheme="minorHAnsi"/>
          <w:color w:val="212121"/>
          <w:sz w:val="24"/>
          <w:szCs w:val="24"/>
        </w:rPr>
        <w:lastRenderedPageBreak/>
        <w:t xml:space="preserve">a’r ymchwilwyr eraill yn gwahaniaethu ychydig wrth i ni gymryd persbectifau gwahanol wrth arsylwi’r disgyblion a’i ymglymiad yn ystod y gwersi. </w:t>
      </w:r>
    </w:p>
    <w:p w14:paraId="2614B62A" w14:textId="039D2102" w:rsidR="007F1A59" w:rsidRPr="00D453FB" w:rsidRDefault="007F1A59" w:rsidP="00D453FB">
      <w:pPr>
        <w:pStyle w:val="HTMLPreformatted"/>
        <w:spacing w:line="360" w:lineRule="auto"/>
        <w:rPr>
          <w:rFonts w:asciiTheme="minorHAnsi" w:hAnsiTheme="minorHAnsi" w:cstheme="minorHAnsi"/>
          <w:color w:val="212121"/>
          <w:sz w:val="24"/>
          <w:szCs w:val="24"/>
        </w:rPr>
      </w:pPr>
    </w:p>
    <w:p w14:paraId="6C412346"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r w:rsidRPr="00D453FB">
        <w:rPr>
          <w:rFonts w:cstheme="minorHAnsi"/>
          <w:color w:val="212121"/>
          <w:sz w:val="24"/>
          <w:szCs w:val="24"/>
        </w:rPr>
        <w:t>Gwelwyd bod y dull fwyaf defnyddiol a ddibynadwy trwy gydol yr ymchwiliad hwn oedd y cyfweliadau lled-strwythuredig. Gwnaeth hyn ein galluogi i gasglu data cynradd o’r plant eu hunain. Yn ogystal â dod o hyd i ddata hanfodol, rhoddwyd y cyfle i bwysleisio llais y disgybl. Gyda disgyblion blwyddyn dau roedd hi’n amlwg i weld eu bod yn mwynhau’r profiad a’r cyfle i ddweud eu barn bersonol. Rhoddwyd y disgyblion hyn atebion diddorol dros ben yn ogystal â chymysgwch o atebion. Un pryder oedd gennym oedd bod y disgyblion yn mynd i gael eu dylanwadu gan yr hyn a dywedodd eu cyfoedion, ond ni wnaeth hyn digwydd gyda blwyddyn dau. Ar y llaw arall, gwelwyd bod plant y meithrin wedi ymateb bach yn wahanol. Yn ddealladwy, nid oedd y disgyblion hyn yn ddigon aeddfed i wirioneddol deall y sefyllfa. Yn ystod y cyfweliad roedd llawer o eiliadau o dawelwch. Wrth adlewyrchu ar hyn, teimlwyd nad oedd recordio’r cyfweliad hyn wedi bod o fudd i ni fel ymchwilwyr oherwydd fe wnaeth y plant ymateb gan ysgwyd eu pennau yn aml iawn ac yn amlwg, nid yw hyn yn dangos trwy recordydd llais.</w:t>
      </w:r>
    </w:p>
    <w:p w14:paraId="62EAA0D7"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p>
    <w:p w14:paraId="5E2954A3"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r w:rsidRPr="00D453FB">
        <w:rPr>
          <w:rFonts w:cstheme="minorHAnsi"/>
          <w:color w:val="212121"/>
          <w:sz w:val="24"/>
          <w:szCs w:val="24"/>
        </w:rPr>
        <w:t>Os wneir yr ymchwil eto yn y dyfodol, sicrhawyd i gynllunio’r gwersi’n fwy effeithiol. Teimlwyd bydd fwy o ddilysrwydd wedi bod i’r ymchwil os oeddwn wedi dysgu’r un fath o wers tair gwaith. Yn ogystal, hoffwn gael y cyfle i ail-wneud y wers er mwyn gwella’r dibynadwyedd. Ar y cyfan, teimlwyd bod yr ymchwil wedi cadarnhau beth sydd yn cael ei ddweud yn barod gan lenyddiaeth ehangach. Serch hynny, teimlwyd fod yn fudd i’r dyfodol wrth i mi ddechrau ar y llwybr o ddysgu gan fy mod wedi gweld yn bersonol yr effaith cadarnhaol mae canmoliaeth yn cael ar ymglymiad plant ifanc, yn ogystal â’r ffyrdd y gall trechu’r hyn sydd yn bwysig mewn gwirionedd.</w:t>
      </w:r>
    </w:p>
    <w:p w14:paraId="3519A623" w14:textId="34074FA0" w:rsidR="00F965A3" w:rsidRPr="00D453FB" w:rsidRDefault="00F965A3" w:rsidP="00D453FB">
      <w:pPr>
        <w:pStyle w:val="HTMLPreformatted"/>
        <w:spacing w:line="360" w:lineRule="auto"/>
        <w:rPr>
          <w:rFonts w:asciiTheme="minorHAnsi" w:hAnsiTheme="minorHAnsi" w:cstheme="minorHAnsi"/>
          <w:color w:val="212121"/>
          <w:sz w:val="24"/>
          <w:szCs w:val="24"/>
        </w:rPr>
      </w:pPr>
    </w:p>
    <w:p w14:paraId="514F7177" w14:textId="77777777" w:rsidR="00D453FB" w:rsidRPr="00D453FB" w:rsidRDefault="00D453FB" w:rsidP="00D453FB">
      <w:pPr>
        <w:pStyle w:val="HTMLPreformatted"/>
        <w:spacing w:line="360" w:lineRule="auto"/>
        <w:rPr>
          <w:rFonts w:asciiTheme="minorHAnsi" w:hAnsiTheme="minorHAnsi" w:cstheme="minorHAnsi"/>
          <w:b/>
          <w:color w:val="212121"/>
          <w:sz w:val="24"/>
          <w:szCs w:val="24"/>
          <w:u w:val="single"/>
        </w:rPr>
      </w:pPr>
    </w:p>
    <w:p w14:paraId="17868ED6" w14:textId="05A97739" w:rsidR="00F965A3" w:rsidRPr="00D453FB" w:rsidRDefault="00F965A3" w:rsidP="00D453FB">
      <w:pPr>
        <w:pStyle w:val="HTMLPreformatted"/>
        <w:spacing w:line="360" w:lineRule="auto"/>
        <w:rPr>
          <w:rFonts w:asciiTheme="minorHAnsi" w:hAnsiTheme="minorHAnsi" w:cstheme="minorHAnsi"/>
          <w:b/>
          <w:color w:val="212121"/>
          <w:sz w:val="24"/>
          <w:szCs w:val="24"/>
          <w:u w:val="single"/>
        </w:rPr>
      </w:pPr>
      <w:r w:rsidRPr="00D453FB">
        <w:rPr>
          <w:rFonts w:asciiTheme="minorHAnsi" w:hAnsiTheme="minorHAnsi" w:cstheme="minorHAnsi"/>
          <w:b/>
          <w:color w:val="212121"/>
          <w:sz w:val="24"/>
          <w:szCs w:val="24"/>
          <w:u w:val="single"/>
        </w:rPr>
        <w:t>Argymhellion</w:t>
      </w:r>
    </w:p>
    <w:p w14:paraId="28204E4F"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r w:rsidRPr="00D453FB">
        <w:rPr>
          <w:rFonts w:cstheme="minorHAnsi"/>
          <w:color w:val="212121"/>
          <w:sz w:val="24"/>
          <w:szCs w:val="24"/>
        </w:rPr>
        <w:t xml:space="preserve">Mae’r astudiaeth hon yn ddefnyddiol i’r dyfodol er mwyn pwysleisio pa mor bwysig yw hi i ddefnyddio canmoliaeth yn gywir. Mae’r llinell rhwng canmoliaeth effeithiol a chanmoliaeth aneffeithiol yn hynod o denau ac er mae llenyddiaeth ar hyn o bryd yn awgrymu’r un peth, teimlwyd bod yr ymchwil hyn wedi ychwanegu ato o safbwynt gwahanol. Nid oes llawer o </w:t>
      </w:r>
      <w:r w:rsidRPr="00D453FB">
        <w:rPr>
          <w:rFonts w:cstheme="minorHAnsi"/>
          <w:color w:val="212121"/>
          <w:sz w:val="24"/>
          <w:szCs w:val="24"/>
        </w:rPr>
        <w:lastRenderedPageBreak/>
        <w:t>lenyddiaeth neu astudiaethau yn ffocysu ar ganmoliaeth ar lafar a’r effaith mae’n cael ar ymglymiad plant yn y Cyfnod Sylfaen. Wrth i’r astudiaeth mynd yn ei flaen, gwelwyd bod gwahaniaeth mawr rhwng canmoliaeth ar lafar a chanmoliaeth ffisegol megis derbyn sticer. Mae’n debyg bod y ddau yn cael effaith ar ymglymiad plant o fewn gwersi, ond mae’n dibynnu ar y plentyn ac felly mae’n hanfodol i adnabod eich dosbarth ac adnabod sut i gael y gorau allan o’ch disgyblion.</w:t>
      </w:r>
    </w:p>
    <w:p w14:paraId="7A68F633" w14:textId="77777777" w:rsidR="002C5DE0" w:rsidRPr="00D453FB" w:rsidRDefault="002C5DE0" w:rsidP="00D453FB">
      <w:pPr>
        <w:autoSpaceDE w:val="0"/>
        <w:autoSpaceDN w:val="0"/>
        <w:adjustRightInd w:val="0"/>
        <w:spacing w:line="360" w:lineRule="auto"/>
        <w:rPr>
          <w:rFonts w:cstheme="minorHAnsi"/>
          <w:color w:val="212121"/>
          <w:sz w:val="24"/>
          <w:szCs w:val="24"/>
        </w:rPr>
      </w:pPr>
    </w:p>
    <w:p w14:paraId="00B7ADFB"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r w:rsidRPr="00D453FB">
        <w:rPr>
          <w:rFonts w:cstheme="minorHAnsi"/>
          <w:color w:val="212121"/>
          <w:sz w:val="24"/>
          <w:szCs w:val="24"/>
        </w:rPr>
        <w:t>Mae’r canlyniadau o’r cyfweliadau lled-strwythuredig wedi dangos i ni fod plant yn gwerthfawrogi canmoliaeth mewn gwahanol ffyrdd. Serch hynny, mae’n bosib nad yw canmoliaeth yn cael unrhyw effaith ar ymglymiad rhai plant ac felly mae’n dibynnu ar y fath o ddosbarth sydd gennych.</w:t>
      </w:r>
    </w:p>
    <w:p w14:paraId="219A1D60"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p>
    <w:p w14:paraId="30659F47"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r w:rsidRPr="00D453FB">
        <w:rPr>
          <w:rFonts w:cstheme="minorHAnsi"/>
          <w:color w:val="212121"/>
          <w:sz w:val="24"/>
          <w:szCs w:val="24"/>
        </w:rPr>
        <w:t xml:space="preserve">Os cynhaliwyd unrhyw fath o astudiaeth debyg yn y dyfodol, bydd o fudd i gynnal yr ymchwil gyda dosbarthiadau o’r un oedran mewn nifer o wahanol ysgolion megis ysgolion bach, ysgolion dinas, ysgolion un rhyw a.y.b. Wrth ehangu’r amrywiaeth o ddisgyblion sydd yn cymryd rhan, mae’r tebygrwydd o gael ymchwil dibynadwy a dilys yn uwch.   </w:t>
      </w:r>
    </w:p>
    <w:p w14:paraId="12B245DC" w14:textId="5C2ECDB4" w:rsidR="00BE1D6F" w:rsidRPr="00D453FB" w:rsidRDefault="00BE1D6F" w:rsidP="00D453FB">
      <w:pPr>
        <w:pStyle w:val="HTMLPreformatted"/>
        <w:spacing w:line="360" w:lineRule="auto"/>
        <w:rPr>
          <w:rFonts w:asciiTheme="minorHAnsi" w:hAnsiTheme="minorHAnsi" w:cstheme="minorHAnsi"/>
          <w:color w:val="212121"/>
          <w:sz w:val="24"/>
          <w:szCs w:val="24"/>
        </w:rPr>
      </w:pPr>
    </w:p>
    <w:p w14:paraId="0A9668DB" w14:textId="77777777" w:rsidR="00BE1D6F" w:rsidRPr="00F965A3" w:rsidRDefault="00BE1D6F" w:rsidP="00CF0A46">
      <w:pPr>
        <w:pStyle w:val="HTMLPreformatted"/>
        <w:spacing w:line="360" w:lineRule="atLeast"/>
        <w:rPr>
          <w:rFonts w:ascii="Arial" w:hAnsi="Arial" w:cs="Arial"/>
          <w:color w:val="212121"/>
          <w:sz w:val="24"/>
          <w:szCs w:val="24"/>
        </w:rPr>
      </w:pPr>
    </w:p>
    <w:p w14:paraId="2A3AB060" w14:textId="288D272C" w:rsidR="007F1A59" w:rsidRDefault="007F1A59" w:rsidP="00CF0A46">
      <w:pPr>
        <w:pStyle w:val="HTMLPreformatted"/>
        <w:spacing w:line="360" w:lineRule="atLeast"/>
        <w:rPr>
          <w:rFonts w:ascii="Arial" w:hAnsi="Arial" w:cs="Arial"/>
          <w:color w:val="212121"/>
          <w:sz w:val="24"/>
          <w:szCs w:val="24"/>
        </w:rPr>
      </w:pPr>
    </w:p>
    <w:p w14:paraId="4A2483B9" w14:textId="004D2260" w:rsidR="007F1A59" w:rsidRDefault="007F1A59" w:rsidP="00CF0A46">
      <w:pPr>
        <w:pStyle w:val="HTMLPreformatted"/>
        <w:spacing w:line="360" w:lineRule="atLeast"/>
        <w:rPr>
          <w:rFonts w:ascii="Arial" w:hAnsi="Arial" w:cs="Arial"/>
          <w:color w:val="212121"/>
          <w:sz w:val="24"/>
          <w:szCs w:val="24"/>
        </w:rPr>
      </w:pPr>
    </w:p>
    <w:p w14:paraId="2A2C608B" w14:textId="038079A9" w:rsidR="0000671E" w:rsidRDefault="0000671E" w:rsidP="00CF0A46">
      <w:pPr>
        <w:pStyle w:val="HTMLPreformatted"/>
        <w:spacing w:line="360" w:lineRule="atLeast"/>
        <w:rPr>
          <w:rFonts w:ascii="Arial" w:hAnsi="Arial" w:cs="Arial"/>
          <w:color w:val="212121"/>
          <w:sz w:val="24"/>
          <w:szCs w:val="24"/>
        </w:rPr>
      </w:pPr>
    </w:p>
    <w:p w14:paraId="72C7FCFE" w14:textId="7D4189BE" w:rsidR="0000671E" w:rsidRDefault="0000671E" w:rsidP="00CF0A46">
      <w:pPr>
        <w:pStyle w:val="HTMLPreformatted"/>
        <w:spacing w:line="360" w:lineRule="atLeast"/>
        <w:rPr>
          <w:rFonts w:ascii="Arial" w:hAnsi="Arial" w:cs="Arial"/>
          <w:color w:val="212121"/>
          <w:sz w:val="24"/>
          <w:szCs w:val="24"/>
        </w:rPr>
      </w:pPr>
    </w:p>
    <w:p w14:paraId="564E2666" w14:textId="0F23F1F2" w:rsidR="0000671E" w:rsidRDefault="0000671E" w:rsidP="00CF0A46">
      <w:pPr>
        <w:pStyle w:val="HTMLPreformatted"/>
        <w:spacing w:line="360" w:lineRule="atLeast"/>
        <w:rPr>
          <w:rFonts w:ascii="Arial" w:hAnsi="Arial" w:cs="Arial"/>
          <w:color w:val="212121"/>
          <w:sz w:val="24"/>
          <w:szCs w:val="24"/>
        </w:rPr>
      </w:pPr>
    </w:p>
    <w:p w14:paraId="7105910D" w14:textId="7D9A8C24" w:rsidR="0000671E" w:rsidRDefault="0000671E" w:rsidP="00CF0A46">
      <w:pPr>
        <w:pStyle w:val="HTMLPreformatted"/>
        <w:spacing w:line="360" w:lineRule="atLeast"/>
        <w:rPr>
          <w:rFonts w:ascii="Arial" w:hAnsi="Arial" w:cs="Arial"/>
          <w:color w:val="212121"/>
          <w:sz w:val="24"/>
          <w:szCs w:val="24"/>
        </w:rPr>
      </w:pPr>
    </w:p>
    <w:p w14:paraId="2CFF3AFD" w14:textId="5686C3C4" w:rsidR="0000671E" w:rsidRDefault="0000671E" w:rsidP="00CF0A46">
      <w:pPr>
        <w:pStyle w:val="HTMLPreformatted"/>
        <w:spacing w:line="360" w:lineRule="atLeast"/>
        <w:rPr>
          <w:rFonts w:ascii="Arial" w:hAnsi="Arial" w:cs="Arial"/>
          <w:color w:val="212121"/>
          <w:sz w:val="24"/>
          <w:szCs w:val="24"/>
        </w:rPr>
      </w:pPr>
    </w:p>
    <w:p w14:paraId="0B111777" w14:textId="29BDDADE" w:rsidR="0000671E" w:rsidRDefault="0000671E" w:rsidP="00CF0A46">
      <w:pPr>
        <w:pStyle w:val="HTMLPreformatted"/>
        <w:spacing w:line="360" w:lineRule="atLeast"/>
        <w:rPr>
          <w:rFonts w:ascii="Arial" w:hAnsi="Arial" w:cs="Arial"/>
          <w:color w:val="212121"/>
          <w:sz w:val="24"/>
          <w:szCs w:val="24"/>
        </w:rPr>
      </w:pPr>
    </w:p>
    <w:p w14:paraId="738237AF" w14:textId="659F27E3" w:rsidR="0000671E" w:rsidRDefault="0000671E" w:rsidP="00CF0A46">
      <w:pPr>
        <w:pStyle w:val="HTMLPreformatted"/>
        <w:spacing w:line="360" w:lineRule="atLeast"/>
        <w:rPr>
          <w:rFonts w:ascii="Arial" w:hAnsi="Arial" w:cs="Arial"/>
          <w:color w:val="212121"/>
          <w:sz w:val="24"/>
          <w:szCs w:val="24"/>
        </w:rPr>
      </w:pPr>
    </w:p>
    <w:p w14:paraId="506ECB0A" w14:textId="77777777" w:rsidR="00D453FB" w:rsidRDefault="00D453FB" w:rsidP="002C5DE0">
      <w:pPr>
        <w:ind w:left="720" w:hanging="360"/>
        <w:rPr>
          <w:b/>
          <w:i/>
          <w:sz w:val="24"/>
        </w:rPr>
      </w:pPr>
    </w:p>
    <w:p w14:paraId="10057CE3" w14:textId="77777777" w:rsidR="00D453FB" w:rsidRDefault="00D453FB" w:rsidP="002C5DE0">
      <w:pPr>
        <w:ind w:left="720" w:hanging="360"/>
        <w:rPr>
          <w:b/>
          <w:i/>
          <w:sz w:val="24"/>
        </w:rPr>
      </w:pPr>
    </w:p>
    <w:p w14:paraId="0F53248B" w14:textId="77777777" w:rsidR="00D453FB" w:rsidRDefault="00D453FB" w:rsidP="002C5DE0">
      <w:pPr>
        <w:ind w:left="720" w:hanging="360"/>
        <w:rPr>
          <w:b/>
          <w:i/>
          <w:sz w:val="24"/>
        </w:rPr>
      </w:pPr>
    </w:p>
    <w:p w14:paraId="39AC69F2" w14:textId="77777777" w:rsidR="00D453FB" w:rsidRDefault="00D453FB" w:rsidP="002C5DE0">
      <w:pPr>
        <w:ind w:left="720" w:hanging="360"/>
        <w:rPr>
          <w:b/>
          <w:i/>
          <w:sz w:val="24"/>
        </w:rPr>
      </w:pPr>
    </w:p>
    <w:p w14:paraId="2BF9BCE7" w14:textId="77777777" w:rsidR="00D453FB" w:rsidRDefault="00D453FB" w:rsidP="002C5DE0">
      <w:pPr>
        <w:ind w:left="720" w:hanging="360"/>
        <w:rPr>
          <w:b/>
          <w:i/>
          <w:sz w:val="24"/>
        </w:rPr>
      </w:pPr>
    </w:p>
    <w:p w14:paraId="30E7672D" w14:textId="77777777" w:rsidR="00D453FB" w:rsidRDefault="00D453FB" w:rsidP="002C5DE0">
      <w:pPr>
        <w:ind w:left="720" w:hanging="360"/>
        <w:rPr>
          <w:b/>
          <w:i/>
          <w:sz w:val="24"/>
        </w:rPr>
      </w:pPr>
    </w:p>
    <w:p w14:paraId="5BF0B311" w14:textId="26D0BCCA" w:rsidR="002C5DE0" w:rsidRPr="004B7E33" w:rsidRDefault="002C5DE0" w:rsidP="002C5DE0">
      <w:pPr>
        <w:ind w:left="720" w:hanging="360"/>
        <w:rPr>
          <w:b/>
          <w:i/>
          <w:sz w:val="24"/>
        </w:rPr>
      </w:pPr>
      <w:bookmarkStart w:id="0" w:name="_GoBack"/>
      <w:bookmarkEnd w:id="0"/>
      <w:r w:rsidRPr="004B7E33">
        <w:rPr>
          <w:b/>
          <w:i/>
          <w:sz w:val="24"/>
        </w:rPr>
        <w:lastRenderedPageBreak/>
        <w:t>Llyfryddiaet</w:t>
      </w:r>
      <w:r>
        <w:rPr>
          <w:b/>
          <w:i/>
          <w:sz w:val="24"/>
        </w:rPr>
        <w:t>h</w:t>
      </w:r>
    </w:p>
    <w:p w14:paraId="3C1280F2" w14:textId="77777777" w:rsidR="002C5DE0" w:rsidRDefault="002C5DE0" w:rsidP="002C5DE0">
      <w:pPr>
        <w:pStyle w:val="ListParagraph"/>
        <w:numPr>
          <w:ilvl w:val="0"/>
          <w:numId w:val="9"/>
        </w:numPr>
        <w:spacing w:after="160" w:line="259" w:lineRule="auto"/>
        <w:rPr>
          <w:rFonts w:cstheme="minorHAnsi"/>
          <w:color w:val="333333"/>
          <w:sz w:val="24"/>
          <w:szCs w:val="24"/>
        </w:rPr>
      </w:pPr>
      <w:r w:rsidRPr="007A4A67">
        <w:rPr>
          <w:rFonts w:cstheme="minorHAnsi"/>
          <w:color w:val="333333"/>
          <w:sz w:val="24"/>
          <w:szCs w:val="24"/>
        </w:rPr>
        <w:t xml:space="preserve">Bayat, M. (2011). ‘Clarifying Issues Regarding the Use of Praise </w:t>
      </w:r>
      <w:proofErr w:type="gramStart"/>
      <w:r w:rsidRPr="007A4A67">
        <w:rPr>
          <w:rFonts w:cstheme="minorHAnsi"/>
          <w:color w:val="333333"/>
          <w:sz w:val="24"/>
          <w:szCs w:val="24"/>
        </w:rPr>
        <w:t>With</w:t>
      </w:r>
      <w:proofErr w:type="gramEnd"/>
      <w:r w:rsidRPr="007A4A67">
        <w:rPr>
          <w:rFonts w:cstheme="minorHAnsi"/>
          <w:color w:val="333333"/>
          <w:sz w:val="24"/>
          <w:szCs w:val="24"/>
        </w:rPr>
        <w:t xml:space="preserve"> Young Children’, yn </w:t>
      </w:r>
      <w:r w:rsidRPr="007A4A67">
        <w:rPr>
          <w:rFonts w:cstheme="minorHAnsi"/>
          <w:i/>
          <w:iCs/>
          <w:color w:val="333333"/>
          <w:sz w:val="24"/>
          <w:szCs w:val="24"/>
          <w:bdr w:val="none" w:sz="0" w:space="0" w:color="auto" w:frame="1"/>
        </w:rPr>
        <w:t>Topics in Early Childhood Special Education</w:t>
      </w:r>
      <w:r w:rsidRPr="007A4A67">
        <w:rPr>
          <w:rFonts w:cstheme="minorHAnsi"/>
          <w:color w:val="333333"/>
          <w:sz w:val="24"/>
          <w:szCs w:val="24"/>
        </w:rPr>
        <w:t xml:space="preserve">, </w:t>
      </w:r>
      <w:r w:rsidRPr="007A4A67">
        <w:rPr>
          <w:rFonts w:cstheme="minorHAnsi"/>
          <w:i/>
          <w:iCs/>
          <w:color w:val="333333"/>
          <w:sz w:val="24"/>
          <w:szCs w:val="24"/>
          <w:bdr w:val="none" w:sz="0" w:space="0" w:color="auto" w:frame="1"/>
        </w:rPr>
        <w:t>31</w:t>
      </w:r>
      <w:r w:rsidRPr="007A4A67">
        <w:rPr>
          <w:rFonts w:cstheme="minorHAnsi"/>
          <w:color w:val="333333"/>
          <w:sz w:val="24"/>
          <w:szCs w:val="24"/>
        </w:rPr>
        <w:t xml:space="preserve">(2), 121–128. </w:t>
      </w:r>
    </w:p>
    <w:p w14:paraId="2CE9A1BA" w14:textId="77777777" w:rsidR="002C5DE0" w:rsidRDefault="002C5DE0" w:rsidP="002C5DE0">
      <w:pPr>
        <w:pStyle w:val="NormalWeb"/>
        <w:numPr>
          <w:ilvl w:val="0"/>
          <w:numId w:val="9"/>
        </w:numPr>
        <w:rPr>
          <w:rFonts w:asciiTheme="minorHAnsi" w:hAnsiTheme="minorHAnsi" w:cstheme="minorHAnsi"/>
          <w:color w:val="000000"/>
        </w:rPr>
      </w:pPr>
      <w:r w:rsidRPr="007A4A67">
        <w:rPr>
          <w:rFonts w:asciiTheme="minorHAnsi" w:hAnsiTheme="minorHAnsi" w:cstheme="minorHAnsi"/>
          <w:color w:val="000000"/>
        </w:rPr>
        <w:t xml:space="preserve">BERA (2018) Ethical guidelines for education [Ar-lein]. Ar Gael: </w:t>
      </w:r>
      <w:hyperlink r:id="rId7" w:history="1">
        <w:r w:rsidRPr="007A4A67">
          <w:rPr>
            <w:rStyle w:val="Hyperlink"/>
            <w:rFonts w:asciiTheme="minorHAnsi" w:hAnsiTheme="minorHAnsi" w:cstheme="minorHAnsi"/>
          </w:rPr>
          <w:t>http://content.yudu.com/Library/A2xnp5/Bera/resources/index.htm?referrerUrl=http://free.yudu.com/item/details/2023387/Bera</w:t>
        </w:r>
      </w:hyperlink>
      <w:r w:rsidRPr="007A4A67">
        <w:rPr>
          <w:rFonts w:asciiTheme="minorHAnsi" w:hAnsiTheme="minorHAnsi" w:cstheme="minorHAnsi"/>
          <w:color w:val="000000"/>
        </w:rPr>
        <w:t xml:space="preserve">  [Mynediad ar 28/02/19]. </w:t>
      </w:r>
    </w:p>
    <w:p w14:paraId="19EE1FEF" w14:textId="77777777" w:rsidR="002C5DE0" w:rsidRPr="004B7E33" w:rsidRDefault="002C5DE0" w:rsidP="002C5DE0">
      <w:pPr>
        <w:pStyle w:val="ListParagraph"/>
        <w:numPr>
          <w:ilvl w:val="0"/>
          <w:numId w:val="9"/>
        </w:numPr>
        <w:spacing w:after="160" w:line="259" w:lineRule="auto"/>
        <w:rPr>
          <w:rFonts w:cstheme="minorHAnsi"/>
          <w:color w:val="888888"/>
          <w:sz w:val="24"/>
          <w:szCs w:val="24"/>
        </w:rPr>
      </w:pPr>
      <w:r w:rsidRPr="007A4A67">
        <w:rPr>
          <w:rFonts w:cstheme="minorHAnsi"/>
          <w:sz w:val="24"/>
          <w:szCs w:val="24"/>
        </w:rPr>
        <w:t xml:space="preserve">Bertram, T. a Pascal, C, </w:t>
      </w:r>
      <w:r w:rsidRPr="007A4A67">
        <w:rPr>
          <w:rFonts w:cstheme="minorHAnsi"/>
          <w:i/>
          <w:sz w:val="24"/>
          <w:szCs w:val="24"/>
        </w:rPr>
        <w:t xml:space="preserve">Effective Early Learning Programme Child Involvement Scale. </w:t>
      </w:r>
      <w:r w:rsidRPr="007A4A67">
        <w:rPr>
          <w:rFonts w:cstheme="minorHAnsi"/>
          <w:sz w:val="24"/>
          <w:szCs w:val="24"/>
        </w:rPr>
        <w:t xml:space="preserve">Birmingham: University College Worcester. [Ar-lein] Ar Gael: </w:t>
      </w:r>
      <w:hyperlink r:id="rId8" w:history="1">
        <w:r w:rsidRPr="007A4A67">
          <w:rPr>
            <w:rStyle w:val="Hyperlink"/>
            <w:rFonts w:cstheme="minorHAnsi"/>
            <w:sz w:val="24"/>
            <w:szCs w:val="24"/>
          </w:rPr>
          <w:t>http://www.littlestarnursery.co.uk/wp-content/uploads/2014/05/leuven-scales.pdf</w:t>
        </w:r>
      </w:hyperlink>
      <w:r w:rsidRPr="007A4A67">
        <w:rPr>
          <w:rFonts w:cstheme="minorHAnsi"/>
          <w:sz w:val="24"/>
          <w:szCs w:val="24"/>
        </w:rPr>
        <w:t xml:space="preserve"> [Mynediad ar 01/03/19]</w:t>
      </w:r>
    </w:p>
    <w:p w14:paraId="5F4BD29D" w14:textId="77777777" w:rsidR="002C5DE0" w:rsidRDefault="002C5DE0" w:rsidP="002C5DE0">
      <w:pPr>
        <w:pStyle w:val="ListParagraph"/>
        <w:numPr>
          <w:ilvl w:val="0"/>
          <w:numId w:val="9"/>
        </w:numPr>
        <w:spacing w:after="160" w:line="259" w:lineRule="auto"/>
        <w:rPr>
          <w:rFonts w:cstheme="minorHAnsi"/>
          <w:sz w:val="24"/>
          <w:szCs w:val="24"/>
        </w:rPr>
      </w:pPr>
      <w:r w:rsidRPr="007A4A67">
        <w:rPr>
          <w:rFonts w:cstheme="minorHAnsi"/>
          <w:sz w:val="24"/>
          <w:szCs w:val="24"/>
        </w:rPr>
        <w:t xml:space="preserve">Brookfield, S. (1995) </w:t>
      </w:r>
      <w:r w:rsidRPr="007A4A67">
        <w:rPr>
          <w:rFonts w:cstheme="minorHAnsi"/>
          <w:i/>
          <w:sz w:val="24"/>
          <w:szCs w:val="24"/>
        </w:rPr>
        <w:t>Becoming a critically reflective teacher</w:t>
      </w:r>
      <w:r w:rsidRPr="007A4A67">
        <w:rPr>
          <w:rFonts w:cstheme="minorHAnsi"/>
          <w:sz w:val="24"/>
          <w:szCs w:val="24"/>
        </w:rPr>
        <w:t>. Jossey-Bass: San Francisco.</w:t>
      </w:r>
    </w:p>
    <w:p w14:paraId="7ADBB31D" w14:textId="77777777" w:rsidR="002C5DE0" w:rsidRDefault="002C5DE0" w:rsidP="002C5DE0">
      <w:pPr>
        <w:pStyle w:val="ListParagraph"/>
        <w:numPr>
          <w:ilvl w:val="0"/>
          <w:numId w:val="9"/>
        </w:numPr>
        <w:spacing w:after="160" w:line="259" w:lineRule="auto"/>
        <w:rPr>
          <w:rFonts w:cstheme="minorHAnsi"/>
          <w:color w:val="333333"/>
          <w:sz w:val="24"/>
          <w:szCs w:val="24"/>
        </w:rPr>
      </w:pPr>
      <w:r w:rsidRPr="007A4A67">
        <w:rPr>
          <w:rFonts w:cstheme="minorHAnsi"/>
          <w:color w:val="333333"/>
          <w:sz w:val="24"/>
          <w:szCs w:val="24"/>
        </w:rPr>
        <w:t xml:space="preserve">Brophy, J. (1981) ‘Teacher Praise: A Functional Analysis’, yn </w:t>
      </w:r>
      <w:r w:rsidRPr="007A4A67">
        <w:rPr>
          <w:rFonts w:cstheme="minorHAnsi"/>
          <w:i/>
          <w:color w:val="333333"/>
          <w:sz w:val="24"/>
          <w:szCs w:val="24"/>
        </w:rPr>
        <w:t xml:space="preserve">Review of Educational Research. </w:t>
      </w:r>
      <w:r w:rsidRPr="007A4A67">
        <w:rPr>
          <w:rFonts w:cstheme="minorHAnsi"/>
          <w:color w:val="333333"/>
          <w:sz w:val="24"/>
          <w:szCs w:val="24"/>
        </w:rPr>
        <w:t>Michigan: American Educational Research Association.</w:t>
      </w:r>
    </w:p>
    <w:p w14:paraId="597356D2" w14:textId="77777777" w:rsidR="002C5DE0" w:rsidRDefault="002C5DE0" w:rsidP="002C5DE0">
      <w:pPr>
        <w:pStyle w:val="ListParagraph"/>
        <w:numPr>
          <w:ilvl w:val="0"/>
          <w:numId w:val="9"/>
        </w:numPr>
        <w:spacing w:after="160" w:line="259" w:lineRule="auto"/>
        <w:rPr>
          <w:rFonts w:cstheme="minorHAnsi"/>
          <w:sz w:val="24"/>
          <w:szCs w:val="24"/>
        </w:rPr>
      </w:pPr>
      <w:r w:rsidRPr="007A4A67">
        <w:rPr>
          <w:rFonts w:cstheme="minorHAnsi"/>
          <w:sz w:val="24"/>
          <w:szCs w:val="24"/>
        </w:rPr>
        <w:t xml:space="preserve">Burnett, P. a Mandel. (2010) </w:t>
      </w:r>
      <w:r w:rsidRPr="007A4A67">
        <w:rPr>
          <w:rFonts w:cstheme="minorHAnsi"/>
          <w:i/>
          <w:sz w:val="24"/>
          <w:szCs w:val="24"/>
        </w:rPr>
        <w:t xml:space="preserve">Praise and Feedback in the Primary Classroom. </w:t>
      </w:r>
      <w:r w:rsidRPr="007A4A67">
        <w:rPr>
          <w:rFonts w:cstheme="minorHAnsi"/>
          <w:sz w:val="24"/>
          <w:szCs w:val="24"/>
        </w:rPr>
        <w:t xml:space="preserve">Awstralia: Australian Journal of Educational &amp; Development Psychology. </w:t>
      </w:r>
    </w:p>
    <w:p w14:paraId="38D696B9" w14:textId="77777777" w:rsidR="002C5DE0" w:rsidRDefault="002C5DE0" w:rsidP="002C5DE0">
      <w:pPr>
        <w:pStyle w:val="ListParagraph"/>
        <w:numPr>
          <w:ilvl w:val="0"/>
          <w:numId w:val="9"/>
        </w:numPr>
        <w:spacing w:after="160" w:line="259" w:lineRule="auto"/>
        <w:rPr>
          <w:rFonts w:cstheme="minorHAnsi"/>
          <w:sz w:val="24"/>
          <w:szCs w:val="24"/>
        </w:rPr>
      </w:pPr>
      <w:r w:rsidRPr="007A4A67">
        <w:rPr>
          <w:rFonts w:cstheme="minorHAnsi"/>
          <w:sz w:val="24"/>
          <w:szCs w:val="24"/>
        </w:rPr>
        <w:t xml:space="preserve">Conroy, M.A et al. (2009) </w:t>
      </w:r>
      <w:r w:rsidRPr="007A4A67">
        <w:rPr>
          <w:rFonts w:cstheme="minorHAnsi"/>
          <w:i/>
          <w:sz w:val="24"/>
          <w:szCs w:val="24"/>
        </w:rPr>
        <w:t xml:space="preserve">Creating a Positive Classroom Atmosphere: Teacher’s Use of Effective Praise and Feedback. </w:t>
      </w:r>
      <w:r w:rsidRPr="007A4A67">
        <w:rPr>
          <w:rFonts w:cstheme="minorHAnsi"/>
          <w:sz w:val="24"/>
          <w:szCs w:val="24"/>
        </w:rPr>
        <w:t>[Ar-Lein] Ar Gae</w:t>
      </w:r>
      <w:r>
        <w:rPr>
          <w:rFonts w:cstheme="minorHAnsi"/>
          <w:sz w:val="24"/>
          <w:szCs w:val="24"/>
        </w:rPr>
        <w:t>l</w:t>
      </w:r>
      <w:r w:rsidRPr="007A4A67">
        <w:rPr>
          <w:rFonts w:cstheme="minorHAnsi"/>
          <w:sz w:val="24"/>
          <w:szCs w:val="24"/>
        </w:rPr>
        <w:t xml:space="preserve">: </w:t>
      </w:r>
      <w:hyperlink r:id="rId9" w:history="1">
        <w:r w:rsidRPr="007A4A67">
          <w:rPr>
            <w:rStyle w:val="Hyperlink"/>
            <w:rFonts w:cstheme="minorHAnsi"/>
            <w:sz w:val="24"/>
            <w:szCs w:val="24"/>
          </w:rPr>
          <w:t>file:///C:/Users/alice/AppData/Local/Packages/Microsoft.MicrosoftEdge_8wekyb3d8bbwe/TempState/Downloads/Conroyetal2009BB%20(1).pdf</w:t>
        </w:r>
      </w:hyperlink>
      <w:r w:rsidRPr="007A4A67">
        <w:rPr>
          <w:rFonts w:cstheme="minorHAnsi"/>
          <w:sz w:val="24"/>
          <w:szCs w:val="24"/>
        </w:rPr>
        <w:t xml:space="preserve"> [Mynediad 01/03/19].</w:t>
      </w:r>
    </w:p>
    <w:p w14:paraId="1B610848" w14:textId="77777777" w:rsidR="002C5DE0" w:rsidRDefault="002C5DE0" w:rsidP="002C5DE0">
      <w:pPr>
        <w:pStyle w:val="NormalWeb"/>
        <w:numPr>
          <w:ilvl w:val="0"/>
          <w:numId w:val="9"/>
        </w:numPr>
        <w:rPr>
          <w:rFonts w:asciiTheme="minorHAnsi" w:hAnsiTheme="minorHAnsi" w:cstheme="minorHAnsi"/>
          <w:color w:val="000000"/>
        </w:rPr>
      </w:pPr>
      <w:r w:rsidRPr="007A4A67">
        <w:rPr>
          <w:rFonts w:asciiTheme="minorHAnsi" w:hAnsiTheme="minorHAnsi" w:cstheme="minorHAnsi"/>
          <w:color w:val="000000"/>
        </w:rPr>
        <w:t xml:space="preserve">Dudley, P. (2015). Lesson Study: a handbook. 1st ed. [Ar-lein] Ar </w:t>
      </w:r>
      <w:proofErr w:type="gramStart"/>
      <w:r w:rsidRPr="007A4A67">
        <w:rPr>
          <w:rFonts w:asciiTheme="minorHAnsi" w:hAnsiTheme="minorHAnsi" w:cstheme="minorHAnsi"/>
          <w:color w:val="000000"/>
        </w:rPr>
        <w:t>gael::</w:t>
      </w:r>
      <w:proofErr w:type="gramEnd"/>
      <w:r w:rsidRPr="007A4A67">
        <w:rPr>
          <w:rFonts w:asciiTheme="minorHAnsi" w:hAnsiTheme="minorHAnsi" w:cstheme="minorHAnsi"/>
          <w:color w:val="000000"/>
        </w:rPr>
        <w:t xml:space="preserve"> </w:t>
      </w:r>
      <w:r w:rsidRPr="007A4A67">
        <w:rPr>
          <w:rFonts w:asciiTheme="minorHAnsi" w:hAnsiTheme="minorHAnsi" w:cstheme="minorHAnsi"/>
          <w:color w:val="4472C4" w:themeColor="accent1"/>
          <w:u w:val="single"/>
        </w:rPr>
        <w:t xml:space="preserve">http://lessonstudy.co.uk/wp-content/uploads/2012/03/new-handbook-revisedMay14.pdf  </w:t>
      </w:r>
      <w:r w:rsidRPr="007A4A67">
        <w:rPr>
          <w:rFonts w:asciiTheme="minorHAnsi" w:hAnsiTheme="minorHAnsi" w:cstheme="minorHAnsi"/>
        </w:rPr>
        <w:t>[</w:t>
      </w:r>
      <w:r w:rsidRPr="007A4A67">
        <w:rPr>
          <w:rFonts w:asciiTheme="minorHAnsi" w:hAnsiTheme="minorHAnsi" w:cstheme="minorHAnsi"/>
          <w:color w:val="000000"/>
        </w:rPr>
        <w:t xml:space="preserve">Mynediad ar 01/03/19]. </w:t>
      </w:r>
    </w:p>
    <w:p w14:paraId="74877A29" w14:textId="77777777" w:rsidR="002C5DE0" w:rsidRDefault="002C5DE0" w:rsidP="002C5DE0">
      <w:pPr>
        <w:pStyle w:val="ListParagraph"/>
        <w:numPr>
          <w:ilvl w:val="0"/>
          <w:numId w:val="9"/>
        </w:numPr>
        <w:spacing w:after="160" w:line="259" w:lineRule="auto"/>
        <w:rPr>
          <w:rFonts w:cstheme="minorHAnsi"/>
          <w:sz w:val="24"/>
          <w:szCs w:val="24"/>
        </w:rPr>
      </w:pPr>
      <w:r w:rsidRPr="007A4A67">
        <w:rPr>
          <w:rFonts w:cstheme="minorHAnsi"/>
          <w:sz w:val="24"/>
          <w:szCs w:val="24"/>
        </w:rPr>
        <w:t xml:space="preserve">ESTYN (2014) </w:t>
      </w:r>
      <w:r w:rsidRPr="007A4A67">
        <w:rPr>
          <w:rFonts w:cstheme="minorHAnsi"/>
          <w:i/>
          <w:sz w:val="24"/>
          <w:szCs w:val="24"/>
        </w:rPr>
        <w:t xml:space="preserve">Adroddiad ar Ysgol A, </w:t>
      </w:r>
      <w:r w:rsidRPr="007A4A67">
        <w:rPr>
          <w:rFonts w:cstheme="minorHAnsi"/>
          <w:sz w:val="24"/>
          <w:szCs w:val="24"/>
        </w:rPr>
        <w:t>Caerdydd: Estyn.</w:t>
      </w:r>
    </w:p>
    <w:p w14:paraId="0C666617" w14:textId="77777777" w:rsidR="002C5DE0" w:rsidRDefault="002C5DE0" w:rsidP="002C5DE0">
      <w:pPr>
        <w:pStyle w:val="ListParagraph"/>
        <w:numPr>
          <w:ilvl w:val="0"/>
          <w:numId w:val="9"/>
        </w:numPr>
        <w:spacing w:after="160" w:line="259" w:lineRule="auto"/>
        <w:rPr>
          <w:rFonts w:cstheme="minorHAnsi"/>
          <w:sz w:val="24"/>
          <w:szCs w:val="24"/>
        </w:rPr>
      </w:pPr>
      <w:r w:rsidRPr="007A4A67">
        <w:rPr>
          <w:rFonts w:cstheme="minorHAnsi"/>
          <w:sz w:val="24"/>
          <w:szCs w:val="24"/>
        </w:rPr>
        <w:t xml:space="preserve">ESTYN (2018) </w:t>
      </w:r>
      <w:r w:rsidRPr="007A4A67">
        <w:rPr>
          <w:rFonts w:cstheme="minorHAnsi"/>
          <w:i/>
          <w:sz w:val="24"/>
          <w:szCs w:val="24"/>
        </w:rPr>
        <w:t xml:space="preserve">Adroddiad ar Ysgol B, </w:t>
      </w:r>
      <w:r w:rsidRPr="007A4A67">
        <w:rPr>
          <w:rFonts w:cstheme="minorHAnsi"/>
          <w:sz w:val="24"/>
          <w:szCs w:val="24"/>
        </w:rPr>
        <w:t>Caerdydd: Estyn.</w:t>
      </w:r>
    </w:p>
    <w:p w14:paraId="4F67491C" w14:textId="77777777" w:rsidR="002C5DE0" w:rsidRDefault="002C5DE0" w:rsidP="002C5DE0">
      <w:pPr>
        <w:pStyle w:val="ListParagraph"/>
        <w:numPr>
          <w:ilvl w:val="0"/>
          <w:numId w:val="9"/>
        </w:numPr>
        <w:spacing w:after="160" w:line="259" w:lineRule="auto"/>
        <w:rPr>
          <w:rFonts w:cstheme="minorHAnsi"/>
          <w:sz w:val="24"/>
          <w:szCs w:val="24"/>
        </w:rPr>
      </w:pPr>
      <w:r w:rsidRPr="007A4A67">
        <w:rPr>
          <w:rFonts w:cstheme="minorHAnsi"/>
          <w:sz w:val="24"/>
          <w:szCs w:val="24"/>
        </w:rPr>
        <w:t xml:space="preserve">Hitz, R. a Driscoll, A. (1989) ‘Young Children’, yn </w:t>
      </w:r>
      <w:r w:rsidRPr="007A4A67">
        <w:rPr>
          <w:rFonts w:cstheme="minorHAnsi"/>
          <w:i/>
          <w:sz w:val="24"/>
          <w:szCs w:val="24"/>
        </w:rPr>
        <w:t xml:space="preserve">Praise: Implications for Early Childhood Teachers. </w:t>
      </w:r>
      <w:r w:rsidRPr="007A4A67">
        <w:rPr>
          <w:rFonts w:cstheme="minorHAnsi"/>
          <w:sz w:val="24"/>
          <w:szCs w:val="24"/>
        </w:rPr>
        <w:t xml:space="preserve">43(5), tt. 6-13. [Ar-lein] Ar Gael: </w:t>
      </w:r>
      <w:hyperlink r:id="rId10" w:history="1">
        <w:r w:rsidRPr="007A4A67">
          <w:rPr>
            <w:rStyle w:val="Hyperlink"/>
            <w:rFonts w:cstheme="minorHAnsi"/>
            <w:sz w:val="24"/>
            <w:szCs w:val="24"/>
          </w:rPr>
          <w:t>https://eric.ed.gov/?id=EJ373912&amp;fbclid=IwAR2S_9bZuRvlDm7k1i1_V_e_FHuHIWJ-I2Vj_EIuPq8KtLOgUlVUMI04COU</w:t>
        </w:r>
      </w:hyperlink>
      <w:r w:rsidRPr="007A4A67">
        <w:rPr>
          <w:rFonts w:cstheme="minorHAnsi"/>
          <w:sz w:val="24"/>
          <w:szCs w:val="24"/>
        </w:rPr>
        <w:t xml:space="preserve"> [Mynediad ar 27/02/19].</w:t>
      </w:r>
    </w:p>
    <w:p w14:paraId="486C9F52" w14:textId="77777777" w:rsidR="002C5DE0" w:rsidRDefault="002C5DE0" w:rsidP="002C5DE0">
      <w:pPr>
        <w:pStyle w:val="ListParagraph"/>
        <w:rPr>
          <w:rFonts w:eastAsia="Times New Roman" w:cstheme="minorHAnsi"/>
          <w:color w:val="000000"/>
          <w:sz w:val="24"/>
          <w:szCs w:val="24"/>
          <w:lang w:eastAsia="en-GB"/>
        </w:rPr>
      </w:pPr>
      <w:hyperlink r:id="rId11" w:history="1">
        <w:r w:rsidRPr="0061305A">
          <w:rPr>
            <w:rStyle w:val="Hyperlink"/>
            <w:rFonts w:eastAsia="Times New Roman" w:cstheme="minorHAnsi"/>
            <w:sz w:val="24"/>
            <w:szCs w:val="24"/>
            <w:lang w:eastAsia="en-GB"/>
          </w:rPr>
          <w:t>https://learning.gov.wales/docs/learningwales/publications/150611-reflective-practice-booklet-cy.pdf</w:t>
        </w:r>
      </w:hyperlink>
      <w:r w:rsidRPr="007A4A67">
        <w:rPr>
          <w:rFonts w:eastAsia="Times New Roman" w:cstheme="minorHAnsi"/>
          <w:color w:val="000000"/>
          <w:sz w:val="24"/>
          <w:szCs w:val="24"/>
          <w:lang w:eastAsia="en-GB"/>
        </w:rPr>
        <w:t xml:space="preserve"> [Mynediad 28/02/2019].</w:t>
      </w:r>
    </w:p>
    <w:p w14:paraId="0A28F910" w14:textId="77777777" w:rsidR="002C5DE0" w:rsidRDefault="002C5DE0" w:rsidP="002C5DE0">
      <w:pPr>
        <w:pStyle w:val="ListParagraph"/>
        <w:numPr>
          <w:ilvl w:val="0"/>
          <w:numId w:val="9"/>
        </w:numPr>
        <w:spacing w:before="120" w:after="160" w:line="259" w:lineRule="auto"/>
        <w:rPr>
          <w:rFonts w:cstheme="minorHAnsi"/>
          <w:bCs/>
          <w:sz w:val="24"/>
          <w:szCs w:val="24"/>
        </w:rPr>
      </w:pPr>
      <w:r w:rsidRPr="007A4A67">
        <w:rPr>
          <w:rFonts w:cstheme="minorHAnsi"/>
          <w:bCs/>
          <w:sz w:val="24"/>
          <w:szCs w:val="24"/>
        </w:rPr>
        <w:t xml:space="preserve">Julien, B., a Daniel, M, (2017) ‘Lesson Study . . . and its effects’, </w:t>
      </w:r>
      <w:r w:rsidRPr="007A4A67">
        <w:rPr>
          <w:rFonts w:cstheme="minorHAnsi"/>
          <w:bCs/>
          <w:i/>
          <w:sz w:val="24"/>
          <w:szCs w:val="24"/>
        </w:rPr>
        <w:t xml:space="preserve">Hellenic Journal of Research in Education. </w:t>
      </w:r>
      <w:r w:rsidRPr="007A4A67">
        <w:rPr>
          <w:rFonts w:cstheme="minorHAnsi"/>
          <w:bCs/>
          <w:sz w:val="24"/>
          <w:szCs w:val="24"/>
        </w:rPr>
        <w:t>Switzerland: University of Teacher Education.</w:t>
      </w:r>
    </w:p>
    <w:p w14:paraId="60E7A058" w14:textId="77777777" w:rsidR="002C5DE0" w:rsidRDefault="002C5DE0" w:rsidP="002C5DE0">
      <w:pPr>
        <w:pStyle w:val="ListParagraph"/>
        <w:numPr>
          <w:ilvl w:val="0"/>
          <w:numId w:val="9"/>
        </w:numPr>
        <w:spacing w:after="160" w:line="259" w:lineRule="auto"/>
        <w:rPr>
          <w:rFonts w:eastAsia="Times New Roman" w:cstheme="minorHAnsi"/>
          <w:color w:val="000000"/>
          <w:sz w:val="24"/>
          <w:szCs w:val="24"/>
          <w:lang w:eastAsia="en-GB"/>
        </w:rPr>
      </w:pPr>
      <w:r w:rsidRPr="007A4A67">
        <w:rPr>
          <w:rFonts w:eastAsia="Times New Roman" w:cstheme="minorHAnsi"/>
          <w:color w:val="000000"/>
          <w:sz w:val="24"/>
          <w:szCs w:val="24"/>
          <w:lang w:eastAsia="en-GB"/>
        </w:rPr>
        <w:t xml:space="preserve">Kawulich, B. (2015) ‘Collecting Data Through Observation’, yn </w:t>
      </w:r>
      <w:r w:rsidRPr="007A4A67">
        <w:rPr>
          <w:rFonts w:eastAsia="Times New Roman" w:cstheme="minorHAnsi"/>
          <w:i/>
          <w:color w:val="000000"/>
          <w:sz w:val="24"/>
          <w:szCs w:val="24"/>
          <w:lang w:eastAsia="en-GB"/>
        </w:rPr>
        <w:t xml:space="preserve">Doing Social Research: A global context. </w:t>
      </w:r>
      <w:r w:rsidRPr="007A4A67">
        <w:rPr>
          <w:rFonts w:eastAsia="Times New Roman" w:cstheme="minorHAnsi"/>
          <w:color w:val="000000"/>
          <w:sz w:val="24"/>
          <w:szCs w:val="24"/>
          <w:lang w:eastAsia="en-GB"/>
        </w:rPr>
        <w:t>University of West Georgia: McGraw Hill.</w:t>
      </w:r>
    </w:p>
    <w:p w14:paraId="30FF3F63" w14:textId="77777777" w:rsidR="002C5DE0" w:rsidRDefault="002C5DE0" w:rsidP="002C5DE0">
      <w:pPr>
        <w:pStyle w:val="ListParagraph"/>
        <w:numPr>
          <w:ilvl w:val="0"/>
          <w:numId w:val="9"/>
        </w:numPr>
        <w:spacing w:after="160" w:line="259" w:lineRule="auto"/>
        <w:rPr>
          <w:rFonts w:eastAsia="Times New Roman" w:cstheme="minorHAnsi"/>
          <w:color w:val="000000"/>
          <w:sz w:val="24"/>
          <w:szCs w:val="24"/>
          <w:lang w:eastAsia="en-GB"/>
        </w:rPr>
      </w:pPr>
      <w:r w:rsidRPr="007A4A67">
        <w:rPr>
          <w:rFonts w:eastAsia="Times New Roman" w:cstheme="minorHAnsi"/>
          <w:color w:val="000000"/>
          <w:sz w:val="24"/>
          <w:szCs w:val="24"/>
          <w:lang w:eastAsia="en-GB"/>
        </w:rPr>
        <w:t xml:space="preserve">Llywodreaeth Cymru. (2015) </w:t>
      </w:r>
      <w:r w:rsidRPr="007A4A67">
        <w:rPr>
          <w:rFonts w:eastAsia="Times New Roman" w:cstheme="minorHAnsi"/>
          <w:i/>
          <w:color w:val="000000"/>
          <w:sz w:val="24"/>
          <w:szCs w:val="24"/>
          <w:lang w:eastAsia="en-GB"/>
        </w:rPr>
        <w:t xml:space="preserve">Ymarfer Myfyriol. </w:t>
      </w:r>
      <w:r w:rsidRPr="007A4A67">
        <w:rPr>
          <w:rFonts w:eastAsia="Times New Roman" w:cstheme="minorHAnsi"/>
          <w:color w:val="000000"/>
          <w:sz w:val="24"/>
          <w:szCs w:val="24"/>
          <w:lang w:eastAsia="en-GB"/>
        </w:rPr>
        <w:t xml:space="preserve">[Ar-lein] Ar Gael: </w:t>
      </w:r>
    </w:p>
    <w:p w14:paraId="4B2F96A0" w14:textId="77777777" w:rsidR="002C5DE0" w:rsidRDefault="002C5DE0" w:rsidP="002C5DE0">
      <w:pPr>
        <w:pStyle w:val="ListParagraph"/>
        <w:numPr>
          <w:ilvl w:val="0"/>
          <w:numId w:val="9"/>
        </w:numPr>
        <w:spacing w:after="160" w:line="259" w:lineRule="auto"/>
        <w:rPr>
          <w:rFonts w:cstheme="minorHAnsi"/>
          <w:sz w:val="24"/>
          <w:szCs w:val="24"/>
        </w:rPr>
      </w:pPr>
      <w:r w:rsidRPr="007A4A67">
        <w:rPr>
          <w:rFonts w:cstheme="minorHAnsi"/>
          <w:sz w:val="24"/>
          <w:szCs w:val="24"/>
        </w:rPr>
        <w:t xml:space="preserve">McIntyre, D., Pedder, D., &amp; Rudduck, J. (2005) </w:t>
      </w:r>
      <w:r w:rsidRPr="007A4A67">
        <w:rPr>
          <w:rFonts w:cstheme="minorHAnsi"/>
          <w:i/>
          <w:sz w:val="24"/>
          <w:szCs w:val="24"/>
        </w:rPr>
        <w:t xml:space="preserve">Pupil voice: Comfortable and uncomfortable learnings for teachers. </w:t>
      </w:r>
      <w:r w:rsidRPr="007A4A67">
        <w:rPr>
          <w:rFonts w:cstheme="minorHAnsi"/>
          <w:sz w:val="24"/>
          <w:szCs w:val="24"/>
        </w:rPr>
        <w:t>Cambridge: Research Papers in Education.</w:t>
      </w:r>
    </w:p>
    <w:p w14:paraId="7BB253E9" w14:textId="77777777" w:rsidR="002C5DE0" w:rsidRDefault="002C5DE0" w:rsidP="002C5DE0">
      <w:pPr>
        <w:pStyle w:val="ListParagraph"/>
        <w:numPr>
          <w:ilvl w:val="0"/>
          <w:numId w:val="9"/>
        </w:numPr>
        <w:spacing w:after="160" w:line="259" w:lineRule="auto"/>
        <w:rPr>
          <w:rFonts w:cstheme="minorHAnsi"/>
          <w:sz w:val="24"/>
          <w:szCs w:val="24"/>
        </w:rPr>
      </w:pPr>
      <w:r w:rsidRPr="007A4A67">
        <w:rPr>
          <w:rFonts w:cstheme="minorHAnsi"/>
          <w:sz w:val="24"/>
          <w:szCs w:val="24"/>
        </w:rPr>
        <w:t xml:space="preserve">Robins, G. (2012) </w:t>
      </w:r>
      <w:r w:rsidRPr="007A4A67">
        <w:rPr>
          <w:rFonts w:cstheme="minorHAnsi"/>
          <w:i/>
          <w:sz w:val="24"/>
          <w:szCs w:val="24"/>
        </w:rPr>
        <w:t xml:space="preserve">Praise, Motivation and the Child. </w:t>
      </w:r>
      <w:r w:rsidRPr="007A4A67">
        <w:rPr>
          <w:rFonts w:cstheme="minorHAnsi"/>
          <w:sz w:val="24"/>
          <w:szCs w:val="24"/>
        </w:rPr>
        <w:t>1</w:t>
      </w:r>
      <w:r w:rsidRPr="007A4A67">
        <w:rPr>
          <w:rFonts w:cstheme="minorHAnsi"/>
          <w:sz w:val="24"/>
          <w:szCs w:val="24"/>
          <w:vertAlign w:val="superscript"/>
        </w:rPr>
        <w:t>st</w:t>
      </w:r>
      <w:r w:rsidRPr="007A4A67">
        <w:rPr>
          <w:rFonts w:cstheme="minorHAnsi"/>
          <w:sz w:val="24"/>
          <w:szCs w:val="24"/>
        </w:rPr>
        <w:t xml:space="preserve"> Ed. Llundain: Routledge.</w:t>
      </w:r>
    </w:p>
    <w:p w14:paraId="0027CFE8" w14:textId="02059EA9" w:rsidR="002C5DE0" w:rsidRPr="00D453FB" w:rsidRDefault="002C5DE0" w:rsidP="00D453FB">
      <w:pPr>
        <w:pStyle w:val="ListParagraph"/>
        <w:numPr>
          <w:ilvl w:val="0"/>
          <w:numId w:val="9"/>
        </w:numPr>
        <w:spacing w:after="160" w:line="259" w:lineRule="auto"/>
        <w:rPr>
          <w:rFonts w:cstheme="minorHAnsi"/>
          <w:sz w:val="24"/>
          <w:szCs w:val="24"/>
        </w:rPr>
      </w:pPr>
      <w:r w:rsidRPr="007A4A67">
        <w:rPr>
          <w:rFonts w:cstheme="minorHAnsi"/>
          <w:sz w:val="24"/>
          <w:szCs w:val="24"/>
        </w:rPr>
        <w:t xml:space="preserve">Rosanna, L.B., (2006) ‘A Practical Guide to Focus-Group Research’, yn </w:t>
      </w:r>
      <w:r w:rsidRPr="007A4A67">
        <w:rPr>
          <w:rFonts w:cstheme="minorHAnsi"/>
          <w:i/>
          <w:sz w:val="24"/>
          <w:szCs w:val="24"/>
        </w:rPr>
        <w:t>Journal of Geography in Higher Education</w:t>
      </w:r>
      <w:r w:rsidRPr="007A4A67">
        <w:rPr>
          <w:rFonts w:cstheme="minorHAnsi"/>
          <w:sz w:val="24"/>
          <w:szCs w:val="24"/>
        </w:rPr>
        <w:t xml:space="preserve">, 30(3), tt- 463-475, DOI: 10.1080/03098260600927575 </w:t>
      </w:r>
    </w:p>
    <w:sectPr w:rsidR="002C5DE0" w:rsidRPr="00D453FB">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35A906" w14:textId="77777777" w:rsidR="00D9567F" w:rsidRDefault="00D9567F" w:rsidP="00D9567F">
      <w:pPr>
        <w:spacing w:after="0" w:line="240" w:lineRule="auto"/>
      </w:pPr>
      <w:r>
        <w:separator/>
      </w:r>
    </w:p>
  </w:endnote>
  <w:endnote w:type="continuationSeparator" w:id="0">
    <w:p w14:paraId="6BEF6CCE" w14:textId="77777777" w:rsidR="00D9567F" w:rsidRDefault="00D9567F" w:rsidP="00D9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0820291"/>
      <w:docPartObj>
        <w:docPartGallery w:val="Page Numbers (Bottom of Page)"/>
        <w:docPartUnique/>
      </w:docPartObj>
    </w:sdtPr>
    <w:sdtEndPr>
      <w:rPr>
        <w:noProof/>
      </w:rPr>
    </w:sdtEndPr>
    <w:sdtContent>
      <w:p w14:paraId="75D3FA16" w14:textId="658287BD" w:rsidR="00D9567F" w:rsidRDefault="00D956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C30A35" w14:textId="77777777" w:rsidR="00D9567F" w:rsidRDefault="00D956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F658B4" w14:textId="77777777" w:rsidR="00D9567F" w:rsidRDefault="00D9567F" w:rsidP="00D9567F">
      <w:pPr>
        <w:spacing w:after="0" w:line="240" w:lineRule="auto"/>
      </w:pPr>
      <w:r>
        <w:separator/>
      </w:r>
    </w:p>
  </w:footnote>
  <w:footnote w:type="continuationSeparator" w:id="0">
    <w:p w14:paraId="69453095" w14:textId="77777777" w:rsidR="00D9567F" w:rsidRDefault="00D9567F" w:rsidP="00D956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59EC1D" w14:textId="751EA910" w:rsidR="00D9567F" w:rsidRDefault="00D9567F">
    <w:pPr>
      <w:pStyle w:val="Header"/>
    </w:pPr>
    <w:r>
      <w:tab/>
    </w:r>
    <w:r>
      <w:tab/>
      <w:t>1004349</w:t>
    </w:r>
  </w:p>
  <w:p w14:paraId="4C242A81" w14:textId="77777777" w:rsidR="00D9567F" w:rsidRDefault="00D956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1141FE"/>
    <w:multiLevelType w:val="hybridMultilevel"/>
    <w:tmpl w:val="F4D8C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3D3FD5"/>
    <w:multiLevelType w:val="hybridMultilevel"/>
    <w:tmpl w:val="868ADACE"/>
    <w:lvl w:ilvl="0" w:tplc="4FD636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502CA1"/>
    <w:multiLevelType w:val="hybridMultilevel"/>
    <w:tmpl w:val="AF468598"/>
    <w:lvl w:ilvl="0" w:tplc="155A5A50">
      <w:start w:val="250"/>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92320E"/>
    <w:multiLevelType w:val="hybridMultilevel"/>
    <w:tmpl w:val="482065AE"/>
    <w:lvl w:ilvl="0" w:tplc="155A5A50">
      <w:start w:val="250"/>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FE786A"/>
    <w:multiLevelType w:val="hybridMultilevel"/>
    <w:tmpl w:val="C76E5834"/>
    <w:lvl w:ilvl="0" w:tplc="4B46274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F577184"/>
    <w:multiLevelType w:val="hybridMultilevel"/>
    <w:tmpl w:val="5796A226"/>
    <w:lvl w:ilvl="0" w:tplc="B4EA298C">
      <w:start w:val="2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7"/>
  </w:num>
  <w:num w:numId="4">
    <w:abstractNumId w:val="2"/>
  </w:num>
  <w:num w:numId="5">
    <w:abstractNumId w:val="6"/>
  </w:num>
  <w:num w:numId="6">
    <w:abstractNumId w:val="0"/>
  </w:num>
  <w:num w:numId="7">
    <w:abstractNumId w:val="5"/>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12A"/>
    <w:rsid w:val="0000671E"/>
    <w:rsid w:val="00013DB6"/>
    <w:rsid w:val="000372FF"/>
    <w:rsid w:val="000403CD"/>
    <w:rsid w:val="000932DA"/>
    <w:rsid w:val="000C1671"/>
    <w:rsid w:val="000E61B3"/>
    <w:rsid w:val="000E7882"/>
    <w:rsid w:val="000F48D5"/>
    <w:rsid w:val="0013756D"/>
    <w:rsid w:val="001650BD"/>
    <w:rsid w:val="00166468"/>
    <w:rsid w:val="001678C0"/>
    <w:rsid w:val="00190AFC"/>
    <w:rsid w:val="001B7A5D"/>
    <w:rsid w:val="001D7A1C"/>
    <w:rsid w:val="001F60E9"/>
    <w:rsid w:val="00203E5F"/>
    <w:rsid w:val="002134FF"/>
    <w:rsid w:val="00224739"/>
    <w:rsid w:val="00243BE9"/>
    <w:rsid w:val="00251459"/>
    <w:rsid w:val="002607CC"/>
    <w:rsid w:val="00262E21"/>
    <w:rsid w:val="00270F38"/>
    <w:rsid w:val="002822DE"/>
    <w:rsid w:val="00284F93"/>
    <w:rsid w:val="002866B0"/>
    <w:rsid w:val="00292AEA"/>
    <w:rsid w:val="002B2C42"/>
    <w:rsid w:val="002C5DE0"/>
    <w:rsid w:val="002C64A5"/>
    <w:rsid w:val="002E2840"/>
    <w:rsid w:val="002F4DAC"/>
    <w:rsid w:val="00310FCE"/>
    <w:rsid w:val="00323201"/>
    <w:rsid w:val="00382E82"/>
    <w:rsid w:val="003A1036"/>
    <w:rsid w:val="003A61EF"/>
    <w:rsid w:val="003C415D"/>
    <w:rsid w:val="003F196C"/>
    <w:rsid w:val="00405159"/>
    <w:rsid w:val="00407CED"/>
    <w:rsid w:val="00430B65"/>
    <w:rsid w:val="00432292"/>
    <w:rsid w:val="00465764"/>
    <w:rsid w:val="004716DA"/>
    <w:rsid w:val="00481164"/>
    <w:rsid w:val="004871CC"/>
    <w:rsid w:val="00495ABE"/>
    <w:rsid w:val="004F546B"/>
    <w:rsid w:val="00531906"/>
    <w:rsid w:val="00532949"/>
    <w:rsid w:val="00536021"/>
    <w:rsid w:val="005E216C"/>
    <w:rsid w:val="005E5978"/>
    <w:rsid w:val="00630B93"/>
    <w:rsid w:val="00640C1D"/>
    <w:rsid w:val="00642AEA"/>
    <w:rsid w:val="006615E8"/>
    <w:rsid w:val="00662C2D"/>
    <w:rsid w:val="006B086F"/>
    <w:rsid w:val="006F473E"/>
    <w:rsid w:val="00705EFF"/>
    <w:rsid w:val="007063D8"/>
    <w:rsid w:val="0072657E"/>
    <w:rsid w:val="0074193B"/>
    <w:rsid w:val="0078617D"/>
    <w:rsid w:val="007875E8"/>
    <w:rsid w:val="0079346B"/>
    <w:rsid w:val="007934E3"/>
    <w:rsid w:val="00797C3F"/>
    <w:rsid w:val="007A0DAE"/>
    <w:rsid w:val="007A3647"/>
    <w:rsid w:val="007B002E"/>
    <w:rsid w:val="007C61E5"/>
    <w:rsid w:val="007F1A59"/>
    <w:rsid w:val="008023E2"/>
    <w:rsid w:val="008231DB"/>
    <w:rsid w:val="008235E3"/>
    <w:rsid w:val="00837446"/>
    <w:rsid w:val="00854C07"/>
    <w:rsid w:val="00855A07"/>
    <w:rsid w:val="008737B1"/>
    <w:rsid w:val="008D543F"/>
    <w:rsid w:val="008E14FC"/>
    <w:rsid w:val="008F4158"/>
    <w:rsid w:val="00931390"/>
    <w:rsid w:val="00933C78"/>
    <w:rsid w:val="00937BAE"/>
    <w:rsid w:val="00945295"/>
    <w:rsid w:val="00980BEB"/>
    <w:rsid w:val="0098748E"/>
    <w:rsid w:val="009A018C"/>
    <w:rsid w:val="009A4B26"/>
    <w:rsid w:val="009B112A"/>
    <w:rsid w:val="009D4668"/>
    <w:rsid w:val="00A31869"/>
    <w:rsid w:val="00A3509A"/>
    <w:rsid w:val="00A539E8"/>
    <w:rsid w:val="00A61E49"/>
    <w:rsid w:val="00A627E9"/>
    <w:rsid w:val="00A64455"/>
    <w:rsid w:val="00A67F02"/>
    <w:rsid w:val="00A706F4"/>
    <w:rsid w:val="00AF34B9"/>
    <w:rsid w:val="00B15214"/>
    <w:rsid w:val="00B3097A"/>
    <w:rsid w:val="00B638AC"/>
    <w:rsid w:val="00B76932"/>
    <w:rsid w:val="00B91D98"/>
    <w:rsid w:val="00BC7381"/>
    <w:rsid w:val="00BD0E6A"/>
    <w:rsid w:val="00BD3A7C"/>
    <w:rsid w:val="00BE1D6F"/>
    <w:rsid w:val="00C36917"/>
    <w:rsid w:val="00C410E8"/>
    <w:rsid w:val="00C50C82"/>
    <w:rsid w:val="00C52284"/>
    <w:rsid w:val="00CD3C35"/>
    <w:rsid w:val="00CF0A46"/>
    <w:rsid w:val="00D249FA"/>
    <w:rsid w:val="00D378E2"/>
    <w:rsid w:val="00D453FB"/>
    <w:rsid w:val="00D9567F"/>
    <w:rsid w:val="00DA4D91"/>
    <w:rsid w:val="00DA7525"/>
    <w:rsid w:val="00DD6F5F"/>
    <w:rsid w:val="00E17E8F"/>
    <w:rsid w:val="00E41741"/>
    <w:rsid w:val="00E418A0"/>
    <w:rsid w:val="00ED1EC5"/>
    <w:rsid w:val="00ED2E1A"/>
    <w:rsid w:val="00F020C5"/>
    <w:rsid w:val="00F357E8"/>
    <w:rsid w:val="00F36EEC"/>
    <w:rsid w:val="00F46B1F"/>
    <w:rsid w:val="00F71491"/>
    <w:rsid w:val="00F77E5F"/>
    <w:rsid w:val="00F954C5"/>
    <w:rsid w:val="00F965A3"/>
    <w:rsid w:val="00FA5DA3"/>
    <w:rsid w:val="00FE3C1C"/>
    <w:rsid w:val="00FE4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A2549"/>
  <w15:chartTrackingRefBased/>
  <w15:docId w15:val="{71558C26-66A6-4F76-A938-7E16C1846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48D5"/>
    <w:pPr>
      <w:spacing w:after="200" w:line="276" w:lineRule="auto"/>
      <w:ind w:left="720"/>
      <w:contextualSpacing/>
    </w:pPr>
  </w:style>
  <w:style w:type="paragraph" w:styleId="NormalWeb">
    <w:name w:val="Normal (Web)"/>
    <w:basedOn w:val="Normal"/>
    <w:uiPriority w:val="99"/>
    <w:unhideWhenUsed/>
    <w:rsid w:val="00ED2E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855A0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855A07"/>
    <w:rPr>
      <w:rFonts w:ascii="Courier New" w:eastAsia="Times New Roman" w:hAnsi="Courier New" w:cs="Courier New"/>
      <w:sz w:val="20"/>
      <w:szCs w:val="20"/>
      <w:lang w:eastAsia="en-GB"/>
    </w:rPr>
  </w:style>
  <w:style w:type="table" w:styleId="TableGrid">
    <w:name w:val="Table Grid"/>
    <w:basedOn w:val="TableNormal"/>
    <w:uiPriority w:val="59"/>
    <w:rsid w:val="0040515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C64A5"/>
    <w:rPr>
      <w:sz w:val="16"/>
      <w:szCs w:val="16"/>
    </w:rPr>
  </w:style>
  <w:style w:type="character" w:styleId="Hyperlink">
    <w:name w:val="Hyperlink"/>
    <w:basedOn w:val="DefaultParagraphFont"/>
    <w:uiPriority w:val="99"/>
    <w:unhideWhenUsed/>
    <w:rsid w:val="00A64455"/>
    <w:rPr>
      <w:color w:val="0563C1" w:themeColor="hyperlink"/>
      <w:u w:val="single"/>
    </w:rPr>
  </w:style>
  <w:style w:type="paragraph" w:styleId="Header">
    <w:name w:val="header"/>
    <w:basedOn w:val="Normal"/>
    <w:link w:val="HeaderChar"/>
    <w:uiPriority w:val="99"/>
    <w:unhideWhenUsed/>
    <w:rsid w:val="00D956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67F"/>
  </w:style>
  <w:style w:type="paragraph" w:styleId="Footer">
    <w:name w:val="footer"/>
    <w:basedOn w:val="Normal"/>
    <w:link w:val="FooterChar"/>
    <w:uiPriority w:val="99"/>
    <w:unhideWhenUsed/>
    <w:rsid w:val="00D956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6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671063">
      <w:bodyDiv w:val="1"/>
      <w:marLeft w:val="0"/>
      <w:marRight w:val="0"/>
      <w:marTop w:val="0"/>
      <w:marBottom w:val="0"/>
      <w:divBdr>
        <w:top w:val="none" w:sz="0" w:space="0" w:color="auto"/>
        <w:left w:val="none" w:sz="0" w:space="0" w:color="auto"/>
        <w:bottom w:val="none" w:sz="0" w:space="0" w:color="auto"/>
        <w:right w:val="none" w:sz="0" w:space="0" w:color="auto"/>
      </w:divBdr>
      <w:divsChild>
        <w:div w:id="1218515859">
          <w:marLeft w:val="0"/>
          <w:marRight w:val="0"/>
          <w:marTop w:val="0"/>
          <w:marBottom w:val="0"/>
          <w:divBdr>
            <w:top w:val="none" w:sz="0" w:space="0" w:color="auto"/>
            <w:left w:val="none" w:sz="0" w:space="0" w:color="auto"/>
            <w:bottom w:val="none" w:sz="0" w:space="0" w:color="auto"/>
            <w:right w:val="none" w:sz="0" w:space="0" w:color="auto"/>
          </w:divBdr>
        </w:div>
      </w:divsChild>
    </w:div>
    <w:div w:id="112284284">
      <w:bodyDiv w:val="1"/>
      <w:marLeft w:val="0"/>
      <w:marRight w:val="0"/>
      <w:marTop w:val="0"/>
      <w:marBottom w:val="0"/>
      <w:divBdr>
        <w:top w:val="none" w:sz="0" w:space="0" w:color="auto"/>
        <w:left w:val="none" w:sz="0" w:space="0" w:color="auto"/>
        <w:bottom w:val="none" w:sz="0" w:space="0" w:color="auto"/>
        <w:right w:val="none" w:sz="0" w:space="0" w:color="auto"/>
      </w:divBdr>
    </w:div>
    <w:div w:id="121197034">
      <w:bodyDiv w:val="1"/>
      <w:marLeft w:val="0"/>
      <w:marRight w:val="0"/>
      <w:marTop w:val="0"/>
      <w:marBottom w:val="0"/>
      <w:divBdr>
        <w:top w:val="none" w:sz="0" w:space="0" w:color="auto"/>
        <w:left w:val="none" w:sz="0" w:space="0" w:color="auto"/>
        <w:bottom w:val="none" w:sz="0" w:space="0" w:color="auto"/>
        <w:right w:val="none" w:sz="0" w:space="0" w:color="auto"/>
      </w:divBdr>
      <w:divsChild>
        <w:div w:id="1146901126">
          <w:marLeft w:val="0"/>
          <w:marRight w:val="0"/>
          <w:marTop w:val="0"/>
          <w:marBottom w:val="0"/>
          <w:divBdr>
            <w:top w:val="none" w:sz="0" w:space="0" w:color="auto"/>
            <w:left w:val="none" w:sz="0" w:space="0" w:color="auto"/>
            <w:bottom w:val="none" w:sz="0" w:space="0" w:color="auto"/>
            <w:right w:val="none" w:sz="0" w:space="0" w:color="auto"/>
          </w:divBdr>
        </w:div>
      </w:divsChild>
    </w:div>
    <w:div w:id="122618507">
      <w:bodyDiv w:val="1"/>
      <w:marLeft w:val="0"/>
      <w:marRight w:val="0"/>
      <w:marTop w:val="0"/>
      <w:marBottom w:val="0"/>
      <w:divBdr>
        <w:top w:val="none" w:sz="0" w:space="0" w:color="auto"/>
        <w:left w:val="none" w:sz="0" w:space="0" w:color="auto"/>
        <w:bottom w:val="none" w:sz="0" w:space="0" w:color="auto"/>
        <w:right w:val="none" w:sz="0" w:space="0" w:color="auto"/>
      </w:divBdr>
      <w:divsChild>
        <w:div w:id="1269778857">
          <w:marLeft w:val="0"/>
          <w:marRight w:val="0"/>
          <w:marTop w:val="0"/>
          <w:marBottom w:val="0"/>
          <w:divBdr>
            <w:top w:val="none" w:sz="0" w:space="0" w:color="auto"/>
            <w:left w:val="none" w:sz="0" w:space="0" w:color="auto"/>
            <w:bottom w:val="none" w:sz="0" w:space="0" w:color="auto"/>
            <w:right w:val="none" w:sz="0" w:space="0" w:color="auto"/>
          </w:divBdr>
        </w:div>
      </w:divsChild>
    </w:div>
    <w:div w:id="181672578">
      <w:bodyDiv w:val="1"/>
      <w:marLeft w:val="0"/>
      <w:marRight w:val="0"/>
      <w:marTop w:val="0"/>
      <w:marBottom w:val="0"/>
      <w:divBdr>
        <w:top w:val="none" w:sz="0" w:space="0" w:color="auto"/>
        <w:left w:val="none" w:sz="0" w:space="0" w:color="auto"/>
        <w:bottom w:val="none" w:sz="0" w:space="0" w:color="auto"/>
        <w:right w:val="none" w:sz="0" w:space="0" w:color="auto"/>
      </w:divBdr>
    </w:div>
    <w:div w:id="262763920">
      <w:bodyDiv w:val="1"/>
      <w:marLeft w:val="0"/>
      <w:marRight w:val="0"/>
      <w:marTop w:val="0"/>
      <w:marBottom w:val="0"/>
      <w:divBdr>
        <w:top w:val="none" w:sz="0" w:space="0" w:color="auto"/>
        <w:left w:val="none" w:sz="0" w:space="0" w:color="auto"/>
        <w:bottom w:val="none" w:sz="0" w:space="0" w:color="auto"/>
        <w:right w:val="none" w:sz="0" w:space="0" w:color="auto"/>
      </w:divBdr>
      <w:divsChild>
        <w:div w:id="1895777352">
          <w:marLeft w:val="0"/>
          <w:marRight w:val="0"/>
          <w:marTop w:val="0"/>
          <w:marBottom w:val="0"/>
          <w:divBdr>
            <w:top w:val="none" w:sz="0" w:space="0" w:color="auto"/>
            <w:left w:val="none" w:sz="0" w:space="0" w:color="auto"/>
            <w:bottom w:val="none" w:sz="0" w:space="0" w:color="auto"/>
            <w:right w:val="none" w:sz="0" w:space="0" w:color="auto"/>
          </w:divBdr>
        </w:div>
      </w:divsChild>
    </w:div>
    <w:div w:id="271085835">
      <w:bodyDiv w:val="1"/>
      <w:marLeft w:val="0"/>
      <w:marRight w:val="0"/>
      <w:marTop w:val="0"/>
      <w:marBottom w:val="0"/>
      <w:divBdr>
        <w:top w:val="none" w:sz="0" w:space="0" w:color="auto"/>
        <w:left w:val="none" w:sz="0" w:space="0" w:color="auto"/>
        <w:bottom w:val="none" w:sz="0" w:space="0" w:color="auto"/>
        <w:right w:val="none" w:sz="0" w:space="0" w:color="auto"/>
      </w:divBdr>
    </w:div>
    <w:div w:id="287322062">
      <w:bodyDiv w:val="1"/>
      <w:marLeft w:val="0"/>
      <w:marRight w:val="0"/>
      <w:marTop w:val="0"/>
      <w:marBottom w:val="0"/>
      <w:divBdr>
        <w:top w:val="none" w:sz="0" w:space="0" w:color="auto"/>
        <w:left w:val="none" w:sz="0" w:space="0" w:color="auto"/>
        <w:bottom w:val="none" w:sz="0" w:space="0" w:color="auto"/>
        <w:right w:val="none" w:sz="0" w:space="0" w:color="auto"/>
      </w:divBdr>
    </w:div>
    <w:div w:id="401686251">
      <w:bodyDiv w:val="1"/>
      <w:marLeft w:val="0"/>
      <w:marRight w:val="0"/>
      <w:marTop w:val="0"/>
      <w:marBottom w:val="0"/>
      <w:divBdr>
        <w:top w:val="none" w:sz="0" w:space="0" w:color="auto"/>
        <w:left w:val="none" w:sz="0" w:space="0" w:color="auto"/>
        <w:bottom w:val="none" w:sz="0" w:space="0" w:color="auto"/>
        <w:right w:val="none" w:sz="0" w:space="0" w:color="auto"/>
      </w:divBdr>
    </w:div>
    <w:div w:id="410465592">
      <w:bodyDiv w:val="1"/>
      <w:marLeft w:val="0"/>
      <w:marRight w:val="0"/>
      <w:marTop w:val="0"/>
      <w:marBottom w:val="0"/>
      <w:divBdr>
        <w:top w:val="none" w:sz="0" w:space="0" w:color="auto"/>
        <w:left w:val="none" w:sz="0" w:space="0" w:color="auto"/>
        <w:bottom w:val="none" w:sz="0" w:space="0" w:color="auto"/>
        <w:right w:val="none" w:sz="0" w:space="0" w:color="auto"/>
      </w:divBdr>
    </w:div>
    <w:div w:id="428744161">
      <w:bodyDiv w:val="1"/>
      <w:marLeft w:val="0"/>
      <w:marRight w:val="0"/>
      <w:marTop w:val="0"/>
      <w:marBottom w:val="0"/>
      <w:divBdr>
        <w:top w:val="none" w:sz="0" w:space="0" w:color="auto"/>
        <w:left w:val="none" w:sz="0" w:space="0" w:color="auto"/>
        <w:bottom w:val="none" w:sz="0" w:space="0" w:color="auto"/>
        <w:right w:val="none" w:sz="0" w:space="0" w:color="auto"/>
      </w:divBdr>
    </w:div>
    <w:div w:id="521363675">
      <w:bodyDiv w:val="1"/>
      <w:marLeft w:val="0"/>
      <w:marRight w:val="0"/>
      <w:marTop w:val="0"/>
      <w:marBottom w:val="0"/>
      <w:divBdr>
        <w:top w:val="none" w:sz="0" w:space="0" w:color="auto"/>
        <w:left w:val="none" w:sz="0" w:space="0" w:color="auto"/>
        <w:bottom w:val="none" w:sz="0" w:space="0" w:color="auto"/>
        <w:right w:val="none" w:sz="0" w:space="0" w:color="auto"/>
      </w:divBdr>
      <w:divsChild>
        <w:div w:id="270161246">
          <w:marLeft w:val="0"/>
          <w:marRight w:val="0"/>
          <w:marTop w:val="0"/>
          <w:marBottom w:val="0"/>
          <w:divBdr>
            <w:top w:val="none" w:sz="0" w:space="0" w:color="auto"/>
            <w:left w:val="none" w:sz="0" w:space="0" w:color="auto"/>
            <w:bottom w:val="none" w:sz="0" w:space="0" w:color="auto"/>
            <w:right w:val="none" w:sz="0" w:space="0" w:color="auto"/>
          </w:divBdr>
        </w:div>
      </w:divsChild>
    </w:div>
    <w:div w:id="528645339">
      <w:bodyDiv w:val="1"/>
      <w:marLeft w:val="0"/>
      <w:marRight w:val="0"/>
      <w:marTop w:val="0"/>
      <w:marBottom w:val="0"/>
      <w:divBdr>
        <w:top w:val="none" w:sz="0" w:space="0" w:color="auto"/>
        <w:left w:val="none" w:sz="0" w:space="0" w:color="auto"/>
        <w:bottom w:val="none" w:sz="0" w:space="0" w:color="auto"/>
        <w:right w:val="none" w:sz="0" w:space="0" w:color="auto"/>
      </w:divBdr>
    </w:div>
    <w:div w:id="583149325">
      <w:bodyDiv w:val="1"/>
      <w:marLeft w:val="0"/>
      <w:marRight w:val="0"/>
      <w:marTop w:val="0"/>
      <w:marBottom w:val="0"/>
      <w:divBdr>
        <w:top w:val="none" w:sz="0" w:space="0" w:color="auto"/>
        <w:left w:val="none" w:sz="0" w:space="0" w:color="auto"/>
        <w:bottom w:val="none" w:sz="0" w:space="0" w:color="auto"/>
        <w:right w:val="none" w:sz="0" w:space="0" w:color="auto"/>
      </w:divBdr>
    </w:div>
    <w:div w:id="608050494">
      <w:bodyDiv w:val="1"/>
      <w:marLeft w:val="0"/>
      <w:marRight w:val="0"/>
      <w:marTop w:val="0"/>
      <w:marBottom w:val="0"/>
      <w:divBdr>
        <w:top w:val="none" w:sz="0" w:space="0" w:color="auto"/>
        <w:left w:val="none" w:sz="0" w:space="0" w:color="auto"/>
        <w:bottom w:val="none" w:sz="0" w:space="0" w:color="auto"/>
        <w:right w:val="none" w:sz="0" w:space="0" w:color="auto"/>
      </w:divBdr>
      <w:divsChild>
        <w:div w:id="1790321834">
          <w:marLeft w:val="0"/>
          <w:marRight w:val="0"/>
          <w:marTop w:val="0"/>
          <w:marBottom w:val="0"/>
          <w:divBdr>
            <w:top w:val="none" w:sz="0" w:space="0" w:color="auto"/>
            <w:left w:val="none" w:sz="0" w:space="0" w:color="auto"/>
            <w:bottom w:val="none" w:sz="0" w:space="0" w:color="auto"/>
            <w:right w:val="none" w:sz="0" w:space="0" w:color="auto"/>
          </w:divBdr>
        </w:div>
      </w:divsChild>
    </w:div>
    <w:div w:id="619996208">
      <w:bodyDiv w:val="1"/>
      <w:marLeft w:val="0"/>
      <w:marRight w:val="0"/>
      <w:marTop w:val="0"/>
      <w:marBottom w:val="0"/>
      <w:divBdr>
        <w:top w:val="none" w:sz="0" w:space="0" w:color="auto"/>
        <w:left w:val="none" w:sz="0" w:space="0" w:color="auto"/>
        <w:bottom w:val="none" w:sz="0" w:space="0" w:color="auto"/>
        <w:right w:val="none" w:sz="0" w:space="0" w:color="auto"/>
      </w:divBdr>
    </w:div>
    <w:div w:id="631061069">
      <w:bodyDiv w:val="1"/>
      <w:marLeft w:val="0"/>
      <w:marRight w:val="0"/>
      <w:marTop w:val="0"/>
      <w:marBottom w:val="0"/>
      <w:divBdr>
        <w:top w:val="none" w:sz="0" w:space="0" w:color="auto"/>
        <w:left w:val="none" w:sz="0" w:space="0" w:color="auto"/>
        <w:bottom w:val="none" w:sz="0" w:space="0" w:color="auto"/>
        <w:right w:val="none" w:sz="0" w:space="0" w:color="auto"/>
      </w:divBdr>
    </w:div>
    <w:div w:id="656609618">
      <w:bodyDiv w:val="1"/>
      <w:marLeft w:val="0"/>
      <w:marRight w:val="0"/>
      <w:marTop w:val="0"/>
      <w:marBottom w:val="0"/>
      <w:divBdr>
        <w:top w:val="none" w:sz="0" w:space="0" w:color="auto"/>
        <w:left w:val="none" w:sz="0" w:space="0" w:color="auto"/>
        <w:bottom w:val="none" w:sz="0" w:space="0" w:color="auto"/>
        <w:right w:val="none" w:sz="0" w:space="0" w:color="auto"/>
      </w:divBdr>
      <w:divsChild>
        <w:div w:id="81069771">
          <w:marLeft w:val="0"/>
          <w:marRight w:val="0"/>
          <w:marTop w:val="0"/>
          <w:marBottom w:val="0"/>
          <w:divBdr>
            <w:top w:val="none" w:sz="0" w:space="0" w:color="auto"/>
            <w:left w:val="none" w:sz="0" w:space="0" w:color="auto"/>
            <w:bottom w:val="none" w:sz="0" w:space="0" w:color="auto"/>
            <w:right w:val="none" w:sz="0" w:space="0" w:color="auto"/>
          </w:divBdr>
        </w:div>
      </w:divsChild>
    </w:div>
    <w:div w:id="668099301">
      <w:bodyDiv w:val="1"/>
      <w:marLeft w:val="0"/>
      <w:marRight w:val="0"/>
      <w:marTop w:val="0"/>
      <w:marBottom w:val="0"/>
      <w:divBdr>
        <w:top w:val="none" w:sz="0" w:space="0" w:color="auto"/>
        <w:left w:val="none" w:sz="0" w:space="0" w:color="auto"/>
        <w:bottom w:val="none" w:sz="0" w:space="0" w:color="auto"/>
        <w:right w:val="none" w:sz="0" w:space="0" w:color="auto"/>
      </w:divBdr>
      <w:divsChild>
        <w:div w:id="2019690314">
          <w:marLeft w:val="0"/>
          <w:marRight w:val="0"/>
          <w:marTop w:val="0"/>
          <w:marBottom w:val="0"/>
          <w:divBdr>
            <w:top w:val="none" w:sz="0" w:space="0" w:color="auto"/>
            <w:left w:val="none" w:sz="0" w:space="0" w:color="auto"/>
            <w:bottom w:val="none" w:sz="0" w:space="0" w:color="auto"/>
            <w:right w:val="none" w:sz="0" w:space="0" w:color="auto"/>
          </w:divBdr>
        </w:div>
      </w:divsChild>
    </w:div>
    <w:div w:id="712387807">
      <w:bodyDiv w:val="1"/>
      <w:marLeft w:val="0"/>
      <w:marRight w:val="0"/>
      <w:marTop w:val="0"/>
      <w:marBottom w:val="0"/>
      <w:divBdr>
        <w:top w:val="none" w:sz="0" w:space="0" w:color="auto"/>
        <w:left w:val="none" w:sz="0" w:space="0" w:color="auto"/>
        <w:bottom w:val="none" w:sz="0" w:space="0" w:color="auto"/>
        <w:right w:val="none" w:sz="0" w:space="0" w:color="auto"/>
      </w:divBdr>
      <w:divsChild>
        <w:div w:id="1772772740">
          <w:marLeft w:val="0"/>
          <w:marRight w:val="0"/>
          <w:marTop w:val="0"/>
          <w:marBottom w:val="0"/>
          <w:divBdr>
            <w:top w:val="none" w:sz="0" w:space="0" w:color="auto"/>
            <w:left w:val="none" w:sz="0" w:space="0" w:color="auto"/>
            <w:bottom w:val="none" w:sz="0" w:space="0" w:color="auto"/>
            <w:right w:val="none" w:sz="0" w:space="0" w:color="auto"/>
          </w:divBdr>
        </w:div>
      </w:divsChild>
    </w:div>
    <w:div w:id="761296245">
      <w:bodyDiv w:val="1"/>
      <w:marLeft w:val="0"/>
      <w:marRight w:val="0"/>
      <w:marTop w:val="0"/>
      <w:marBottom w:val="0"/>
      <w:divBdr>
        <w:top w:val="none" w:sz="0" w:space="0" w:color="auto"/>
        <w:left w:val="none" w:sz="0" w:space="0" w:color="auto"/>
        <w:bottom w:val="none" w:sz="0" w:space="0" w:color="auto"/>
        <w:right w:val="none" w:sz="0" w:space="0" w:color="auto"/>
      </w:divBdr>
      <w:divsChild>
        <w:div w:id="1523668729">
          <w:marLeft w:val="0"/>
          <w:marRight w:val="0"/>
          <w:marTop w:val="0"/>
          <w:marBottom w:val="0"/>
          <w:divBdr>
            <w:top w:val="none" w:sz="0" w:space="0" w:color="auto"/>
            <w:left w:val="none" w:sz="0" w:space="0" w:color="auto"/>
            <w:bottom w:val="none" w:sz="0" w:space="0" w:color="auto"/>
            <w:right w:val="none" w:sz="0" w:space="0" w:color="auto"/>
          </w:divBdr>
        </w:div>
      </w:divsChild>
    </w:div>
    <w:div w:id="797265927">
      <w:bodyDiv w:val="1"/>
      <w:marLeft w:val="0"/>
      <w:marRight w:val="0"/>
      <w:marTop w:val="0"/>
      <w:marBottom w:val="0"/>
      <w:divBdr>
        <w:top w:val="none" w:sz="0" w:space="0" w:color="auto"/>
        <w:left w:val="none" w:sz="0" w:space="0" w:color="auto"/>
        <w:bottom w:val="none" w:sz="0" w:space="0" w:color="auto"/>
        <w:right w:val="none" w:sz="0" w:space="0" w:color="auto"/>
      </w:divBdr>
    </w:div>
    <w:div w:id="834076821">
      <w:bodyDiv w:val="1"/>
      <w:marLeft w:val="0"/>
      <w:marRight w:val="0"/>
      <w:marTop w:val="0"/>
      <w:marBottom w:val="0"/>
      <w:divBdr>
        <w:top w:val="none" w:sz="0" w:space="0" w:color="auto"/>
        <w:left w:val="none" w:sz="0" w:space="0" w:color="auto"/>
        <w:bottom w:val="none" w:sz="0" w:space="0" w:color="auto"/>
        <w:right w:val="none" w:sz="0" w:space="0" w:color="auto"/>
      </w:divBdr>
    </w:div>
    <w:div w:id="836073376">
      <w:bodyDiv w:val="1"/>
      <w:marLeft w:val="0"/>
      <w:marRight w:val="0"/>
      <w:marTop w:val="0"/>
      <w:marBottom w:val="0"/>
      <w:divBdr>
        <w:top w:val="none" w:sz="0" w:space="0" w:color="auto"/>
        <w:left w:val="none" w:sz="0" w:space="0" w:color="auto"/>
        <w:bottom w:val="none" w:sz="0" w:space="0" w:color="auto"/>
        <w:right w:val="none" w:sz="0" w:space="0" w:color="auto"/>
      </w:divBdr>
    </w:div>
    <w:div w:id="950552675">
      <w:bodyDiv w:val="1"/>
      <w:marLeft w:val="0"/>
      <w:marRight w:val="0"/>
      <w:marTop w:val="0"/>
      <w:marBottom w:val="0"/>
      <w:divBdr>
        <w:top w:val="none" w:sz="0" w:space="0" w:color="auto"/>
        <w:left w:val="none" w:sz="0" w:space="0" w:color="auto"/>
        <w:bottom w:val="none" w:sz="0" w:space="0" w:color="auto"/>
        <w:right w:val="none" w:sz="0" w:space="0" w:color="auto"/>
      </w:divBdr>
    </w:div>
    <w:div w:id="1044520691">
      <w:bodyDiv w:val="1"/>
      <w:marLeft w:val="0"/>
      <w:marRight w:val="0"/>
      <w:marTop w:val="0"/>
      <w:marBottom w:val="0"/>
      <w:divBdr>
        <w:top w:val="none" w:sz="0" w:space="0" w:color="auto"/>
        <w:left w:val="none" w:sz="0" w:space="0" w:color="auto"/>
        <w:bottom w:val="none" w:sz="0" w:space="0" w:color="auto"/>
        <w:right w:val="none" w:sz="0" w:space="0" w:color="auto"/>
      </w:divBdr>
      <w:divsChild>
        <w:div w:id="53899290">
          <w:marLeft w:val="0"/>
          <w:marRight w:val="0"/>
          <w:marTop w:val="0"/>
          <w:marBottom w:val="0"/>
          <w:divBdr>
            <w:top w:val="none" w:sz="0" w:space="0" w:color="auto"/>
            <w:left w:val="none" w:sz="0" w:space="0" w:color="auto"/>
            <w:bottom w:val="none" w:sz="0" w:space="0" w:color="auto"/>
            <w:right w:val="none" w:sz="0" w:space="0" w:color="auto"/>
          </w:divBdr>
        </w:div>
      </w:divsChild>
    </w:div>
    <w:div w:id="1067536322">
      <w:bodyDiv w:val="1"/>
      <w:marLeft w:val="0"/>
      <w:marRight w:val="0"/>
      <w:marTop w:val="0"/>
      <w:marBottom w:val="0"/>
      <w:divBdr>
        <w:top w:val="none" w:sz="0" w:space="0" w:color="auto"/>
        <w:left w:val="none" w:sz="0" w:space="0" w:color="auto"/>
        <w:bottom w:val="none" w:sz="0" w:space="0" w:color="auto"/>
        <w:right w:val="none" w:sz="0" w:space="0" w:color="auto"/>
      </w:divBdr>
      <w:divsChild>
        <w:div w:id="622615136">
          <w:marLeft w:val="0"/>
          <w:marRight w:val="0"/>
          <w:marTop w:val="0"/>
          <w:marBottom w:val="0"/>
          <w:divBdr>
            <w:top w:val="none" w:sz="0" w:space="0" w:color="auto"/>
            <w:left w:val="none" w:sz="0" w:space="0" w:color="auto"/>
            <w:bottom w:val="none" w:sz="0" w:space="0" w:color="auto"/>
            <w:right w:val="none" w:sz="0" w:space="0" w:color="auto"/>
          </w:divBdr>
        </w:div>
      </w:divsChild>
    </w:div>
    <w:div w:id="1107039438">
      <w:bodyDiv w:val="1"/>
      <w:marLeft w:val="0"/>
      <w:marRight w:val="0"/>
      <w:marTop w:val="0"/>
      <w:marBottom w:val="0"/>
      <w:divBdr>
        <w:top w:val="none" w:sz="0" w:space="0" w:color="auto"/>
        <w:left w:val="none" w:sz="0" w:space="0" w:color="auto"/>
        <w:bottom w:val="none" w:sz="0" w:space="0" w:color="auto"/>
        <w:right w:val="none" w:sz="0" w:space="0" w:color="auto"/>
      </w:divBdr>
      <w:divsChild>
        <w:div w:id="95945933">
          <w:marLeft w:val="0"/>
          <w:marRight w:val="0"/>
          <w:marTop w:val="0"/>
          <w:marBottom w:val="0"/>
          <w:divBdr>
            <w:top w:val="none" w:sz="0" w:space="0" w:color="auto"/>
            <w:left w:val="none" w:sz="0" w:space="0" w:color="auto"/>
            <w:bottom w:val="none" w:sz="0" w:space="0" w:color="auto"/>
            <w:right w:val="none" w:sz="0" w:space="0" w:color="auto"/>
          </w:divBdr>
        </w:div>
      </w:divsChild>
    </w:div>
    <w:div w:id="1156805688">
      <w:bodyDiv w:val="1"/>
      <w:marLeft w:val="0"/>
      <w:marRight w:val="0"/>
      <w:marTop w:val="0"/>
      <w:marBottom w:val="0"/>
      <w:divBdr>
        <w:top w:val="none" w:sz="0" w:space="0" w:color="auto"/>
        <w:left w:val="none" w:sz="0" w:space="0" w:color="auto"/>
        <w:bottom w:val="none" w:sz="0" w:space="0" w:color="auto"/>
        <w:right w:val="none" w:sz="0" w:space="0" w:color="auto"/>
      </w:divBdr>
      <w:divsChild>
        <w:div w:id="1736930357">
          <w:marLeft w:val="0"/>
          <w:marRight w:val="0"/>
          <w:marTop w:val="0"/>
          <w:marBottom w:val="0"/>
          <w:divBdr>
            <w:top w:val="none" w:sz="0" w:space="0" w:color="auto"/>
            <w:left w:val="none" w:sz="0" w:space="0" w:color="auto"/>
            <w:bottom w:val="none" w:sz="0" w:space="0" w:color="auto"/>
            <w:right w:val="none" w:sz="0" w:space="0" w:color="auto"/>
          </w:divBdr>
        </w:div>
      </w:divsChild>
    </w:div>
    <w:div w:id="1165051618">
      <w:bodyDiv w:val="1"/>
      <w:marLeft w:val="0"/>
      <w:marRight w:val="0"/>
      <w:marTop w:val="0"/>
      <w:marBottom w:val="0"/>
      <w:divBdr>
        <w:top w:val="none" w:sz="0" w:space="0" w:color="auto"/>
        <w:left w:val="none" w:sz="0" w:space="0" w:color="auto"/>
        <w:bottom w:val="none" w:sz="0" w:space="0" w:color="auto"/>
        <w:right w:val="none" w:sz="0" w:space="0" w:color="auto"/>
      </w:divBdr>
      <w:divsChild>
        <w:div w:id="892545282">
          <w:marLeft w:val="0"/>
          <w:marRight w:val="0"/>
          <w:marTop w:val="0"/>
          <w:marBottom w:val="0"/>
          <w:divBdr>
            <w:top w:val="none" w:sz="0" w:space="0" w:color="auto"/>
            <w:left w:val="none" w:sz="0" w:space="0" w:color="auto"/>
            <w:bottom w:val="none" w:sz="0" w:space="0" w:color="auto"/>
            <w:right w:val="none" w:sz="0" w:space="0" w:color="auto"/>
          </w:divBdr>
        </w:div>
      </w:divsChild>
    </w:div>
    <w:div w:id="1183516184">
      <w:bodyDiv w:val="1"/>
      <w:marLeft w:val="0"/>
      <w:marRight w:val="0"/>
      <w:marTop w:val="0"/>
      <w:marBottom w:val="0"/>
      <w:divBdr>
        <w:top w:val="none" w:sz="0" w:space="0" w:color="auto"/>
        <w:left w:val="none" w:sz="0" w:space="0" w:color="auto"/>
        <w:bottom w:val="none" w:sz="0" w:space="0" w:color="auto"/>
        <w:right w:val="none" w:sz="0" w:space="0" w:color="auto"/>
      </w:divBdr>
      <w:divsChild>
        <w:div w:id="1358047073">
          <w:marLeft w:val="0"/>
          <w:marRight w:val="0"/>
          <w:marTop w:val="0"/>
          <w:marBottom w:val="0"/>
          <w:divBdr>
            <w:top w:val="none" w:sz="0" w:space="0" w:color="auto"/>
            <w:left w:val="none" w:sz="0" w:space="0" w:color="auto"/>
            <w:bottom w:val="none" w:sz="0" w:space="0" w:color="auto"/>
            <w:right w:val="none" w:sz="0" w:space="0" w:color="auto"/>
          </w:divBdr>
        </w:div>
      </w:divsChild>
    </w:div>
    <w:div w:id="1267812775">
      <w:bodyDiv w:val="1"/>
      <w:marLeft w:val="0"/>
      <w:marRight w:val="0"/>
      <w:marTop w:val="0"/>
      <w:marBottom w:val="0"/>
      <w:divBdr>
        <w:top w:val="none" w:sz="0" w:space="0" w:color="auto"/>
        <w:left w:val="none" w:sz="0" w:space="0" w:color="auto"/>
        <w:bottom w:val="none" w:sz="0" w:space="0" w:color="auto"/>
        <w:right w:val="none" w:sz="0" w:space="0" w:color="auto"/>
      </w:divBdr>
      <w:divsChild>
        <w:div w:id="810368373">
          <w:marLeft w:val="0"/>
          <w:marRight w:val="0"/>
          <w:marTop w:val="0"/>
          <w:marBottom w:val="0"/>
          <w:divBdr>
            <w:top w:val="none" w:sz="0" w:space="0" w:color="auto"/>
            <w:left w:val="none" w:sz="0" w:space="0" w:color="auto"/>
            <w:bottom w:val="none" w:sz="0" w:space="0" w:color="auto"/>
            <w:right w:val="none" w:sz="0" w:space="0" w:color="auto"/>
          </w:divBdr>
        </w:div>
      </w:divsChild>
    </w:div>
    <w:div w:id="1280257472">
      <w:bodyDiv w:val="1"/>
      <w:marLeft w:val="0"/>
      <w:marRight w:val="0"/>
      <w:marTop w:val="0"/>
      <w:marBottom w:val="0"/>
      <w:divBdr>
        <w:top w:val="none" w:sz="0" w:space="0" w:color="auto"/>
        <w:left w:val="none" w:sz="0" w:space="0" w:color="auto"/>
        <w:bottom w:val="none" w:sz="0" w:space="0" w:color="auto"/>
        <w:right w:val="none" w:sz="0" w:space="0" w:color="auto"/>
      </w:divBdr>
      <w:divsChild>
        <w:div w:id="1070693050">
          <w:marLeft w:val="0"/>
          <w:marRight w:val="0"/>
          <w:marTop w:val="0"/>
          <w:marBottom w:val="0"/>
          <w:divBdr>
            <w:top w:val="none" w:sz="0" w:space="0" w:color="auto"/>
            <w:left w:val="none" w:sz="0" w:space="0" w:color="auto"/>
            <w:bottom w:val="none" w:sz="0" w:space="0" w:color="auto"/>
            <w:right w:val="none" w:sz="0" w:space="0" w:color="auto"/>
          </w:divBdr>
        </w:div>
      </w:divsChild>
    </w:div>
    <w:div w:id="1319116681">
      <w:bodyDiv w:val="1"/>
      <w:marLeft w:val="0"/>
      <w:marRight w:val="0"/>
      <w:marTop w:val="0"/>
      <w:marBottom w:val="0"/>
      <w:divBdr>
        <w:top w:val="none" w:sz="0" w:space="0" w:color="auto"/>
        <w:left w:val="none" w:sz="0" w:space="0" w:color="auto"/>
        <w:bottom w:val="none" w:sz="0" w:space="0" w:color="auto"/>
        <w:right w:val="none" w:sz="0" w:space="0" w:color="auto"/>
      </w:divBdr>
      <w:divsChild>
        <w:div w:id="1301109151">
          <w:marLeft w:val="0"/>
          <w:marRight w:val="0"/>
          <w:marTop w:val="0"/>
          <w:marBottom w:val="0"/>
          <w:divBdr>
            <w:top w:val="none" w:sz="0" w:space="0" w:color="auto"/>
            <w:left w:val="none" w:sz="0" w:space="0" w:color="auto"/>
            <w:bottom w:val="none" w:sz="0" w:space="0" w:color="auto"/>
            <w:right w:val="none" w:sz="0" w:space="0" w:color="auto"/>
          </w:divBdr>
        </w:div>
      </w:divsChild>
    </w:div>
    <w:div w:id="1407994765">
      <w:bodyDiv w:val="1"/>
      <w:marLeft w:val="0"/>
      <w:marRight w:val="0"/>
      <w:marTop w:val="0"/>
      <w:marBottom w:val="0"/>
      <w:divBdr>
        <w:top w:val="none" w:sz="0" w:space="0" w:color="auto"/>
        <w:left w:val="none" w:sz="0" w:space="0" w:color="auto"/>
        <w:bottom w:val="none" w:sz="0" w:space="0" w:color="auto"/>
        <w:right w:val="none" w:sz="0" w:space="0" w:color="auto"/>
      </w:divBdr>
      <w:divsChild>
        <w:div w:id="166555611">
          <w:marLeft w:val="0"/>
          <w:marRight w:val="0"/>
          <w:marTop w:val="0"/>
          <w:marBottom w:val="0"/>
          <w:divBdr>
            <w:top w:val="none" w:sz="0" w:space="0" w:color="auto"/>
            <w:left w:val="none" w:sz="0" w:space="0" w:color="auto"/>
            <w:bottom w:val="none" w:sz="0" w:space="0" w:color="auto"/>
            <w:right w:val="none" w:sz="0" w:space="0" w:color="auto"/>
          </w:divBdr>
        </w:div>
      </w:divsChild>
    </w:div>
    <w:div w:id="1417558380">
      <w:bodyDiv w:val="1"/>
      <w:marLeft w:val="0"/>
      <w:marRight w:val="0"/>
      <w:marTop w:val="0"/>
      <w:marBottom w:val="0"/>
      <w:divBdr>
        <w:top w:val="none" w:sz="0" w:space="0" w:color="auto"/>
        <w:left w:val="none" w:sz="0" w:space="0" w:color="auto"/>
        <w:bottom w:val="none" w:sz="0" w:space="0" w:color="auto"/>
        <w:right w:val="none" w:sz="0" w:space="0" w:color="auto"/>
      </w:divBdr>
      <w:divsChild>
        <w:div w:id="950746582">
          <w:marLeft w:val="0"/>
          <w:marRight w:val="0"/>
          <w:marTop w:val="0"/>
          <w:marBottom w:val="0"/>
          <w:divBdr>
            <w:top w:val="none" w:sz="0" w:space="0" w:color="auto"/>
            <w:left w:val="none" w:sz="0" w:space="0" w:color="auto"/>
            <w:bottom w:val="none" w:sz="0" w:space="0" w:color="auto"/>
            <w:right w:val="none" w:sz="0" w:space="0" w:color="auto"/>
          </w:divBdr>
        </w:div>
      </w:divsChild>
    </w:div>
    <w:div w:id="1431468073">
      <w:bodyDiv w:val="1"/>
      <w:marLeft w:val="0"/>
      <w:marRight w:val="0"/>
      <w:marTop w:val="0"/>
      <w:marBottom w:val="0"/>
      <w:divBdr>
        <w:top w:val="none" w:sz="0" w:space="0" w:color="auto"/>
        <w:left w:val="none" w:sz="0" w:space="0" w:color="auto"/>
        <w:bottom w:val="none" w:sz="0" w:space="0" w:color="auto"/>
        <w:right w:val="none" w:sz="0" w:space="0" w:color="auto"/>
      </w:divBdr>
    </w:div>
    <w:div w:id="1439065247">
      <w:bodyDiv w:val="1"/>
      <w:marLeft w:val="0"/>
      <w:marRight w:val="0"/>
      <w:marTop w:val="0"/>
      <w:marBottom w:val="0"/>
      <w:divBdr>
        <w:top w:val="none" w:sz="0" w:space="0" w:color="auto"/>
        <w:left w:val="none" w:sz="0" w:space="0" w:color="auto"/>
        <w:bottom w:val="none" w:sz="0" w:space="0" w:color="auto"/>
        <w:right w:val="none" w:sz="0" w:space="0" w:color="auto"/>
      </w:divBdr>
      <w:divsChild>
        <w:div w:id="1375807316">
          <w:marLeft w:val="0"/>
          <w:marRight w:val="0"/>
          <w:marTop w:val="0"/>
          <w:marBottom w:val="0"/>
          <w:divBdr>
            <w:top w:val="none" w:sz="0" w:space="0" w:color="auto"/>
            <w:left w:val="none" w:sz="0" w:space="0" w:color="auto"/>
            <w:bottom w:val="none" w:sz="0" w:space="0" w:color="auto"/>
            <w:right w:val="none" w:sz="0" w:space="0" w:color="auto"/>
          </w:divBdr>
        </w:div>
      </w:divsChild>
    </w:div>
    <w:div w:id="1492333597">
      <w:bodyDiv w:val="1"/>
      <w:marLeft w:val="0"/>
      <w:marRight w:val="0"/>
      <w:marTop w:val="0"/>
      <w:marBottom w:val="0"/>
      <w:divBdr>
        <w:top w:val="none" w:sz="0" w:space="0" w:color="auto"/>
        <w:left w:val="none" w:sz="0" w:space="0" w:color="auto"/>
        <w:bottom w:val="none" w:sz="0" w:space="0" w:color="auto"/>
        <w:right w:val="none" w:sz="0" w:space="0" w:color="auto"/>
      </w:divBdr>
      <w:divsChild>
        <w:div w:id="1434865258">
          <w:marLeft w:val="0"/>
          <w:marRight w:val="0"/>
          <w:marTop w:val="0"/>
          <w:marBottom w:val="0"/>
          <w:divBdr>
            <w:top w:val="none" w:sz="0" w:space="0" w:color="auto"/>
            <w:left w:val="none" w:sz="0" w:space="0" w:color="auto"/>
            <w:bottom w:val="none" w:sz="0" w:space="0" w:color="auto"/>
            <w:right w:val="none" w:sz="0" w:space="0" w:color="auto"/>
          </w:divBdr>
        </w:div>
      </w:divsChild>
    </w:div>
    <w:div w:id="1568881972">
      <w:bodyDiv w:val="1"/>
      <w:marLeft w:val="0"/>
      <w:marRight w:val="0"/>
      <w:marTop w:val="0"/>
      <w:marBottom w:val="0"/>
      <w:divBdr>
        <w:top w:val="none" w:sz="0" w:space="0" w:color="auto"/>
        <w:left w:val="none" w:sz="0" w:space="0" w:color="auto"/>
        <w:bottom w:val="none" w:sz="0" w:space="0" w:color="auto"/>
        <w:right w:val="none" w:sz="0" w:space="0" w:color="auto"/>
      </w:divBdr>
      <w:divsChild>
        <w:div w:id="1740593024">
          <w:marLeft w:val="0"/>
          <w:marRight w:val="0"/>
          <w:marTop w:val="0"/>
          <w:marBottom w:val="0"/>
          <w:divBdr>
            <w:top w:val="none" w:sz="0" w:space="0" w:color="auto"/>
            <w:left w:val="none" w:sz="0" w:space="0" w:color="auto"/>
            <w:bottom w:val="none" w:sz="0" w:space="0" w:color="auto"/>
            <w:right w:val="none" w:sz="0" w:space="0" w:color="auto"/>
          </w:divBdr>
        </w:div>
      </w:divsChild>
    </w:div>
    <w:div w:id="1835030882">
      <w:bodyDiv w:val="1"/>
      <w:marLeft w:val="0"/>
      <w:marRight w:val="0"/>
      <w:marTop w:val="0"/>
      <w:marBottom w:val="0"/>
      <w:divBdr>
        <w:top w:val="none" w:sz="0" w:space="0" w:color="auto"/>
        <w:left w:val="none" w:sz="0" w:space="0" w:color="auto"/>
        <w:bottom w:val="none" w:sz="0" w:space="0" w:color="auto"/>
        <w:right w:val="none" w:sz="0" w:space="0" w:color="auto"/>
      </w:divBdr>
      <w:divsChild>
        <w:div w:id="1673608746">
          <w:marLeft w:val="0"/>
          <w:marRight w:val="0"/>
          <w:marTop w:val="0"/>
          <w:marBottom w:val="0"/>
          <w:divBdr>
            <w:top w:val="none" w:sz="0" w:space="0" w:color="auto"/>
            <w:left w:val="none" w:sz="0" w:space="0" w:color="auto"/>
            <w:bottom w:val="none" w:sz="0" w:space="0" w:color="auto"/>
            <w:right w:val="none" w:sz="0" w:space="0" w:color="auto"/>
          </w:divBdr>
        </w:div>
      </w:divsChild>
    </w:div>
    <w:div w:id="1846939653">
      <w:bodyDiv w:val="1"/>
      <w:marLeft w:val="0"/>
      <w:marRight w:val="0"/>
      <w:marTop w:val="0"/>
      <w:marBottom w:val="0"/>
      <w:divBdr>
        <w:top w:val="none" w:sz="0" w:space="0" w:color="auto"/>
        <w:left w:val="none" w:sz="0" w:space="0" w:color="auto"/>
        <w:bottom w:val="none" w:sz="0" w:space="0" w:color="auto"/>
        <w:right w:val="none" w:sz="0" w:space="0" w:color="auto"/>
      </w:divBdr>
      <w:divsChild>
        <w:div w:id="584530447">
          <w:marLeft w:val="0"/>
          <w:marRight w:val="0"/>
          <w:marTop w:val="0"/>
          <w:marBottom w:val="0"/>
          <w:divBdr>
            <w:top w:val="none" w:sz="0" w:space="0" w:color="auto"/>
            <w:left w:val="none" w:sz="0" w:space="0" w:color="auto"/>
            <w:bottom w:val="none" w:sz="0" w:space="0" w:color="auto"/>
            <w:right w:val="none" w:sz="0" w:space="0" w:color="auto"/>
          </w:divBdr>
        </w:div>
      </w:divsChild>
    </w:div>
    <w:div w:id="1851288614">
      <w:bodyDiv w:val="1"/>
      <w:marLeft w:val="0"/>
      <w:marRight w:val="0"/>
      <w:marTop w:val="0"/>
      <w:marBottom w:val="0"/>
      <w:divBdr>
        <w:top w:val="none" w:sz="0" w:space="0" w:color="auto"/>
        <w:left w:val="none" w:sz="0" w:space="0" w:color="auto"/>
        <w:bottom w:val="none" w:sz="0" w:space="0" w:color="auto"/>
        <w:right w:val="none" w:sz="0" w:space="0" w:color="auto"/>
      </w:divBdr>
      <w:divsChild>
        <w:div w:id="426927828">
          <w:marLeft w:val="0"/>
          <w:marRight w:val="0"/>
          <w:marTop w:val="0"/>
          <w:marBottom w:val="0"/>
          <w:divBdr>
            <w:top w:val="none" w:sz="0" w:space="0" w:color="auto"/>
            <w:left w:val="none" w:sz="0" w:space="0" w:color="auto"/>
            <w:bottom w:val="none" w:sz="0" w:space="0" w:color="auto"/>
            <w:right w:val="none" w:sz="0" w:space="0" w:color="auto"/>
          </w:divBdr>
        </w:div>
      </w:divsChild>
    </w:div>
    <w:div w:id="1874683948">
      <w:bodyDiv w:val="1"/>
      <w:marLeft w:val="0"/>
      <w:marRight w:val="0"/>
      <w:marTop w:val="0"/>
      <w:marBottom w:val="0"/>
      <w:divBdr>
        <w:top w:val="none" w:sz="0" w:space="0" w:color="auto"/>
        <w:left w:val="none" w:sz="0" w:space="0" w:color="auto"/>
        <w:bottom w:val="none" w:sz="0" w:space="0" w:color="auto"/>
        <w:right w:val="none" w:sz="0" w:space="0" w:color="auto"/>
      </w:divBdr>
    </w:div>
    <w:div w:id="1877304992">
      <w:bodyDiv w:val="1"/>
      <w:marLeft w:val="0"/>
      <w:marRight w:val="0"/>
      <w:marTop w:val="0"/>
      <w:marBottom w:val="0"/>
      <w:divBdr>
        <w:top w:val="none" w:sz="0" w:space="0" w:color="auto"/>
        <w:left w:val="none" w:sz="0" w:space="0" w:color="auto"/>
        <w:bottom w:val="none" w:sz="0" w:space="0" w:color="auto"/>
        <w:right w:val="none" w:sz="0" w:space="0" w:color="auto"/>
      </w:divBdr>
    </w:div>
    <w:div w:id="1895044703">
      <w:bodyDiv w:val="1"/>
      <w:marLeft w:val="0"/>
      <w:marRight w:val="0"/>
      <w:marTop w:val="0"/>
      <w:marBottom w:val="0"/>
      <w:divBdr>
        <w:top w:val="none" w:sz="0" w:space="0" w:color="auto"/>
        <w:left w:val="none" w:sz="0" w:space="0" w:color="auto"/>
        <w:bottom w:val="none" w:sz="0" w:space="0" w:color="auto"/>
        <w:right w:val="none" w:sz="0" w:space="0" w:color="auto"/>
      </w:divBdr>
    </w:div>
    <w:div w:id="2018729324">
      <w:bodyDiv w:val="1"/>
      <w:marLeft w:val="0"/>
      <w:marRight w:val="0"/>
      <w:marTop w:val="0"/>
      <w:marBottom w:val="0"/>
      <w:divBdr>
        <w:top w:val="none" w:sz="0" w:space="0" w:color="auto"/>
        <w:left w:val="none" w:sz="0" w:space="0" w:color="auto"/>
        <w:bottom w:val="none" w:sz="0" w:space="0" w:color="auto"/>
        <w:right w:val="none" w:sz="0" w:space="0" w:color="auto"/>
      </w:divBdr>
      <w:divsChild>
        <w:div w:id="519007853">
          <w:marLeft w:val="0"/>
          <w:marRight w:val="0"/>
          <w:marTop w:val="0"/>
          <w:marBottom w:val="0"/>
          <w:divBdr>
            <w:top w:val="none" w:sz="0" w:space="0" w:color="auto"/>
            <w:left w:val="none" w:sz="0" w:space="0" w:color="auto"/>
            <w:bottom w:val="none" w:sz="0" w:space="0" w:color="auto"/>
            <w:right w:val="none" w:sz="0" w:space="0" w:color="auto"/>
          </w:divBdr>
        </w:div>
      </w:divsChild>
    </w:div>
    <w:div w:id="2066370198">
      <w:bodyDiv w:val="1"/>
      <w:marLeft w:val="0"/>
      <w:marRight w:val="0"/>
      <w:marTop w:val="0"/>
      <w:marBottom w:val="0"/>
      <w:divBdr>
        <w:top w:val="none" w:sz="0" w:space="0" w:color="auto"/>
        <w:left w:val="none" w:sz="0" w:space="0" w:color="auto"/>
        <w:bottom w:val="none" w:sz="0" w:space="0" w:color="auto"/>
        <w:right w:val="none" w:sz="0" w:space="0" w:color="auto"/>
      </w:divBdr>
    </w:div>
    <w:div w:id="2103211488">
      <w:bodyDiv w:val="1"/>
      <w:marLeft w:val="0"/>
      <w:marRight w:val="0"/>
      <w:marTop w:val="0"/>
      <w:marBottom w:val="0"/>
      <w:divBdr>
        <w:top w:val="none" w:sz="0" w:space="0" w:color="auto"/>
        <w:left w:val="none" w:sz="0" w:space="0" w:color="auto"/>
        <w:bottom w:val="none" w:sz="0" w:space="0" w:color="auto"/>
        <w:right w:val="none" w:sz="0" w:space="0" w:color="auto"/>
      </w:divBdr>
    </w:div>
    <w:div w:id="2115637116">
      <w:bodyDiv w:val="1"/>
      <w:marLeft w:val="0"/>
      <w:marRight w:val="0"/>
      <w:marTop w:val="0"/>
      <w:marBottom w:val="0"/>
      <w:divBdr>
        <w:top w:val="none" w:sz="0" w:space="0" w:color="auto"/>
        <w:left w:val="none" w:sz="0" w:space="0" w:color="auto"/>
        <w:bottom w:val="none" w:sz="0" w:space="0" w:color="auto"/>
        <w:right w:val="none" w:sz="0" w:space="0" w:color="auto"/>
      </w:divBdr>
      <w:divsChild>
        <w:div w:id="356738705">
          <w:marLeft w:val="0"/>
          <w:marRight w:val="0"/>
          <w:marTop w:val="0"/>
          <w:marBottom w:val="0"/>
          <w:divBdr>
            <w:top w:val="none" w:sz="0" w:space="0" w:color="auto"/>
            <w:left w:val="none" w:sz="0" w:space="0" w:color="auto"/>
            <w:bottom w:val="none" w:sz="0" w:space="0" w:color="auto"/>
            <w:right w:val="none" w:sz="0" w:space="0" w:color="auto"/>
          </w:divBdr>
        </w:div>
      </w:divsChild>
    </w:div>
    <w:div w:id="2145921748">
      <w:bodyDiv w:val="1"/>
      <w:marLeft w:val="0"/>
      <w:marRight w:val="0"/>
      <w:marTop w:val="0"/>
      <w:marBottom w:val="0"/>
      <w:divBdr>
        <w:top w:val="none" w:sz="0" w:space="0" w:color="auto"/>
        <w:left w:val="none" w:sz="0" w:space="0" w:color="auto"/>
        <w:bottom w:val="none" w:sz="0" w:space="0" w:color="auto"/>
        <w:right w:val="none" w:sz="0" w:space="0" w:color="auto"/>
      </w:divBdr>
      <w:divsChild>
        <w:div w:id="4716738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ittlestarnursery.co.uk/wp-content/uploads/2014/05/leuven-scales.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content.yudu.com/Library/A2xnp5/Bera/resources/index.htm?referrerUrl=http://free.yudu.com/item/details/2023387/Bera"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gov.wales/docs/learningwales/publications/150611-reflective-practice-booklet-cy.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ric.ed.gov/?id=EJ373912&amp;fbclid=IwAR2S_9bZuRvlDm7k1i1_V_e_FHuHIWJ-I2Vj_EIuPq8KtLOgUlVUMI04COU" TargetMode="External"/><Relationship Id="rId4" Type="http://schemas.openxmlformats.org/officeDocument/2006/relationships/webSettings" Target="webSettings.xml"/><Relationship Id="rId9" Type="http://schemas.openxmlformats.org/officeDocument/2006/relationships/hyperlink" Target="file:///C:/Users/alice/AppData/Local/Packages/Microsoft.MicrosoftEdge_8wekyb3d8bbwe/TempState/Downloads/Conroyetal2009BB%20(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18</Pages>
  <Words>5529</Words>
  <Characters>31519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Cole</dc:creator>
  <cp:keywords/>
  <dc:description/>
  <cp:lastModifiedBy>Alice Cole</cp:lastModifiedBy>
  <cp:revision>7</cp:revision>
  <dcterms:created xsi:type="dcterms:W3CDTF">2019-03-04T07:49:00Z</dcterms:created>
  <dcterms:modified xsi:type="dcterms:W3CDTF">2019-03-04T17:48:00Z</dcterms:modified>
</cp:coreProperties>
</file>