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BF27F" w14:textId="77777777" w:rsidR="003A7C7D" w:rsidRPr="001913C3" w:rsidRDefault="003A7C7D" w:rsidP="003A7C7D">
      <w:pPr>
        <w:spacing w:line="324" w:lineRule="exact"/>
        <w:jc w:val="both"/>
        <w:rPr>
          <w:rFonts w:ascii="Times New Roman" w:eastAsia="Times New Roman" w:hAnsi="Times New Roman" w:cs="Times New Roman"/>
          <w:b/>
          <w:bCs/>
          <w:color w:val="1F3864" w:themeColor="accent1" w:themeShade="80"/>
          <w:kern w:val="0"/>
          <w:sz w:val="18"/>
          <w:szCs w:val="18"/>
          <w:lang w:eastAsia="en-US"/>
          <w14:ligatures w14:val="none"/>
        </w:rPr>
      </w:pPr>
      <w:r w:rsidRPr="001913C3">
        <w:rPr>
          <w:rFonts w:ascii="Times New Roman" w:eastAsia="Times New Roman" w:hAnsi="Times New Roman" w:cs="Times New Roman"/>
          <w:b/>
          <w:bCs/>
          <w:color w:val="1F3864" w:themeColor="accent1" w:themeShade="80"/>
          <w:kern w:val="0"/>
          <w:sz w:val="18"/>
          <w:szCs w:val="18"/>
          <w:lang w:eastAsia="en-US"/>
          <w14:ligatures w14:val="none"/>
        </w:rPr>
        <w:t xml:space="preserve">Student name: </w:t>
      </w:r>
      <w:proofErr w:type="spellStart"/>
      <w:r w:rsidRPr="001913C3">
        <w:rPr>
          <w:rFonts w:ascii="Times New Roman" w:eastAsia="Times New Roman" w:hAnsi="Times New Roman" w:cs="Times New Roman"/>
          <w:b/>
          <w:bCs/>
          <w:color w:val="1F3864" w:themeColor="accent1" w:themeShade="80"/>
          <w:kern w:val="0"/>
          <w:sz w:val="18"/>
          <w:szCs w:val="18"/>
          <w:lang w:eastAsia="en-US"/>
          <w14:ligatures w14:val="none"/>
        </w:rPr>
        <w:t>Sandie</w:t>
      </w:r>
      <w:proofErr w:type="spellEnd"/>
      <w:r w:rsidRPr="001913C3">
        <w:rPr>
          <w:rFonts w:ascii="Times New Roman" w:eastAsia="Times New Roman" w:hAnsi="Times New Roman" w:cs="Times New Roman"/>
          <w:b/>
          <w:bCs/>
          <w:color w:val="1F3864" w:themeColor="accent1" w:themeShade="80"/>
          <w:kern w:val="0"/>
          <w:sz w:val="18"/>
          <w:szCs w:val="18"/>
          <w:lang w:eastAsia="en-US"/>
          <w14:ligatures w14:val="none"/>
        </w:rPr>
        <w:t xml:space="preserve"> James </w:t>
      </w:r>
      <w:proofErr w:type="spellStart"/>
      <w:r w:rsidRPr="001913C3">
        <w:rPr>
          <w:rFonts w:ascii="Times New Roman" w:eastAsia="Times New Roman" w:hAnsi="Times New Roman" w:cs="Times New Roman"/>
          <w:b/>
          <w:bCs/>
          <w:color w:val="1F3864" w:themeColor="accent1" w:themeShade="80"/>
          <w:kern w:val="0"/>
          <w:sz w:val="18"/>
          <w:szCs w:val="18"/>
          <w:lang w:eastAsia="en-US"/>
          <w14:ligatures w14:val="none"/>
        </w:rPr>
        <w:t>Escol</w:t>
      </w:r>
      <w:proofErr w:type="spellEnd"/>
      <w:r w:rsidRPr="001913C3">
        <w:rPr>
          <w:rFonts w:ascii="Times New Roman" w:eastAsia="Times New Roman" w:hAnsi="Times New Roman" w:cs="Times New Roman"/>
          <w:b/>
          <w:bCs/>
          <w:color w:val="1F3864" w:themeColor="accent1" w:themeShade="80"/>
          <w:kern w:val="0"/>
          <w:sz w:val="18"/>
          <w:szCs w:val="18"/>
          <w:lang w:eastAsia="en-US"/>
          <w14:ligatures w14:val="none"/>
        </w:rPr>
        <w:t xml:space="preserve"> </w:t>
      </w:r>
    </w:p>
    <w:p w14:paraId="2A526348" w14:textId="0D13219F" w:rsidR="00A04A43" w:rsidRPr="001913C3" w:rsidRDefault="003A7C7D" w:rsidP="003A7C7D">
      <w:pPr>
        <w:spacing w:line="324" w:lineRule="exact"/>
        <w:jc w:val="both"/>
        <w:rPr>
          <w:rFonts w:ascii="Times New Roman" w:eastAsia="Times New Roman" w:hAnsi="Times New Roman" w:cs="Times New Roman"/>
          <w:b/>
          <w:bCs/>
          <w:color w:val="1F3864" w:themeColor="accent1" w:themeShade="80"/>
          <w:kern w:val="0"/>
          <w:sz w:val="18"/>
          <w:szCs w:val="18"/>
          <w:lang w:eastAsia="en-US"/>
          <w14:ligatures w14:val="none"/>
        </w:rPr>
      </w:pPr>
      <w:r w:rsidRPr="001913C3">
        <w:rPr>
          <w:rFonts w:ascii="Times New Roman" w:eastAsia="Times New Roman" w:hAnsi="Times New Roman" w:cs="Times New Roman"/>
          <w:b/>
          <w:bCs/>
          <w:color w:val="1F3864" w:themeColor="accent1" w:themeShade="80"/>
          <w:kern w:val="0"/>
          <w:sz w:val="18"/>
          <w:szCs w:val="18"/>
          <w:lang w:eastAsia="en-US"/>
          <w14:ligatures w14:val="none"/>
        </w:rPr>
        <w:t>Student ID number: 2223946</w:t>
      </w:r>
    </w:p>
    <w:p w14:paraId="798DB064" w14:textId="34592269" w:rsidR="00A1405D" w:rsidRPr="001913C3" w:rsidRDefault="003A7C7D" w:rsidP="00A04A43">
      <w:pPr>
        <w:pStyle w:val="p1"/>
        <w:divId w:val="1510680615"/>
        <w:rPr>
          <w:rStyle w:val="s1"/>
          <w:color w:val="1F3864" w:themeColor="accent1" w:themeShade="80"/>
        </w:rPr>
      </w:pPr>
      <w:r w:rsidRPr="001913C3">
        <w:rPr>
          <w:rFonts w:ascii="Times New Roman" w:eastAsia="Times New Roman" w:hAnsi="Times New Roman"/>
          <w:b/>
          <w:bCs/>
          <w:color w:val="1F3864" w:themeColor="accent1" w:themeShade="80"/>
          <w:lang w:eastAsia="en-US"/>
        </w:rPr>
        <w:t xml:space="preserve">Module code: </w:t>
      </w:r>
      <w:r w:rsidR="00DA0036" w:rsidRPr="001913C3">
        <w:rPr>
          <w:rFonts w:ascii="Times New Roman" w:eastAsia="Times New Roman" w:hAnsi="Times New Roman"/>
          <w:b/>
          <w:bCs/>
          <w:color w:val="1F3864" w:themeColor="accent1" w:themeShade="80"/>
          <w:lang w:eastAsia="en-US"/>
        </w:rPr>
        <w:t>BMPL4009</w:t>
      </w:r>
      <w:r w:rsidR="00A04A43" w:rsidRPr="001913C3">
        <w:rPr>
          <w:rFonts w:ascii="Times New Roman" w:eastAsia="Times New Roman" w:hAnsi="Times New Roman"/>
          <w:b/>
          <w:bCs/>
          <w:color w:val="1F3864" w:themeColor="accent1" w:themeShade="80"/>
          <w:lang w:eastAsia="en-US"/>
        </w:rPr>
        <w:t xml:space="preserve"> </w:t>
      </w:r>
    </w:p>
    <w:p w14:paraId="3056BFBD" w14:textId="12BD97FA" w:rsidR="00A04A43" w:rsidRPr="001913C3" w:rsidRDefault="00A04A43" w:rsidP="00736E96">
      <w:pPr>
        <w:pStyle w:val="p1"/>
        <w:divId w:val="1217275921"/>
        <w:rPr>
          <w:b/>
          <w:bCs/>
          <w:color w:val="1F3864" w:themeColor="accent1" w:themeShade="80"/>
        </w:rPr>
      </w:pPr>
      <w:r w:rsidRPr="001913C3">
        <w:rPr>
          <w:rStyle w:val="s1"/>
          <w:b/>
          <w:bCs/>
          <w:color w:val="1F3864" w:themeColor="accent1" w:themeShade="80"/>
        </w:rPr>
        <w:t>Assignment Title:</w:t>
      </w:r>
      <w:r w:rsidR="00736E96" w:rsidRPr="001913C3">
        <w:rPr>
          <w:rStyle w:val="s1"/>
          <w:b/>
          <w:bCs/>
          <w:color w:val="1F3864" w:themeColor="accent1" w:themeShade="80"/>
        </w:rPr>
        <w:t xml:space="preserve"> Scenario question</w:t>
      </w:r>
    </w:p>
    <w:p w14:paraId="3B98519B" w14:textId="4E694FF7" w:rsidR="003A7C7D" w:rsidRPr="001913C3" w:rsidRDefault="003A7C7D" w:rsidP="00A629BF">
      <w:pPr>
        <w:pStyle w:val="p1"/>
        <w:divId w:val="2000839524"/>
        <w:rPr>
          <w:rStyle w:val="s1"/>
          <w:b/>
          <w:bCs/>
          <w:color w:val="1F3864" w:themeColor="accent1" w:themeShade="80"/>
        </w:rPr>
      </w:pPr>
      <w:r w:rsidRPr="001913C3">
        <w:rPr>
          <w:rFonts w:ascii="Times New Roman" w:eastAsia="Times New Roman" w:hAnsi="Times New Roman"/>
          <w:b/>
          <w:bCs/>
          <w:color w:val="1F3864" w:themeColor="accent1" w:themeShade="80"/>
          <w:lang w:eastAsia="en-US"/>
        </w:rPr>
        <w:t xml:space="preserve">Lecturer: </w:t>
      </w:r>
      <w:r w:rsidR="00C51C86" w:rsidRPr="001913C3">
        <w:rPr>
          <w:rStyle w:val="s1"/>
          <w:b/>
          <w:bCs/>
          <w:color w:val="1F3864" w:themeColor="accent1" w:themeShade="80"/>
        </w:rPr>
        <w:t>Laura Humphries</w:t>
      </w:r>
    </w:p>
    <w:p w14:paraId="266307F1" w14:textId="77777777" w:rsidR="00A629BF" w:rsidRPr="001913C3" w:rsidRDefault="00A629BF" w:rsidP="00A629BF">
      <w:pPr>
        <w:pStyle w:val="p1"/>
        <w:divId w:val="2000839524"/>
        <w:rPr>
          <w:b/>
          <w:bCs/>
          <w:color w:val="1F3864" w:themeColor="accent1" w:themeShade="80"/>
        </w:rPr>
      </w:pPr>
    </w:p>
    <w:p w14:paraId="07BAB7C0" w14:textId="28B073B3" w:rsidR="00076381" w:rsidRPr="00076381" w:rsidRDefault="00076381" w:rsidP="00076381">
      <w:pPr>
        <w:spacing w:before="180"/>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1F4E79"/>
          <w:kern w:val="0"/>
          <w:sz w:val="36"/>
          <w:szCs w:val="36"/>
          <w14:ligatures w14:val="none"/>
        </w:rPr>
        <w:t>Introduction </w:t>
      </w:r>
    </w:p>
    <w:p w14:paraId="212802D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701AD8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In the context of the United Kingdom, Carla's acts in the case study include a serious criminal offence, namely causing serious damage with intent under Section 18 of the Offences Against the Person Act 1861. This crime is defined as intentionally causing great physical injury while acting in violation of the law. Jamie was seriously injured when Carla stabbed him in the chest, satisfying both the men’s </w:t>
      </w:r>
      <w:proofErr w:type="spellStart"/>
      <w:r w:rsidRPr="00076381">
        <w:rPr>
          <w:rFonts w:ascii="Times New Roman" w:hAnsi="Times New Roman" w:cs="Times New Roman"/>
          <w:color w:val="000000"/>
          <w:kern w:val="0"/>
          <w:sz w:val="27"/>
          <w:szCs w:val="27"/>
          <w14:ligatures w14:val="none"/>
        </w:rPr>
        <w:t>rea</w:t>
      </w:r>
      <w:proofErr w:type="spellEnd"/>
      <w:r w:rsidRPr="00076381">
        <w:rPr>
          <w:rFonts w:ascii="Times New Roman" w:hAnsi="Times New Roman" w:cs="Times New Roman"/>
          <w:color w:val="000000"/>
          <w:kern w:val="0"/>
          <w:sz w:val="27"/>
          <w:szCs w:val="27"/>
          <w14:ligatures w14:val="none"/>
        </w:rPr>
        <w:t xml:space="preserve"> and </w:t>
      </w:r>
      <w:proofErr w:type="spellStart"/>
      <w:r w:rsidRPr="00076381">
        <w:rPr>
          <w:rFonts w:ascii="Times New Roman" w:hAnsi="Times New Roman" w:cs="Times New Roman"/>
          <w:color w:val="000000"/>
          <w:kern w:val="0"/>
          <w:sz w:val="27"/>
          <w:szCs w:val="27"/>
          <w14:ligatures w14:val="none"/>
        </w:rPr>
        <w:t>actus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reus</w:t>
      </w:r>
      <w:proofErr w:type="spellEnd"/>
      <w:r w:rsidRPr="00076381">
        <w:rPr>
          <w:rFonts w:ascii="Times New Roman" w:hAnsi="Times New Roman" w:cs="Times New Roman"/>
          <w:color w:val="000000"/>
          <w:kern w:val="0"/>
          <w:sz w:val="27"/>
          <w:szCs w:val="27"/>
          <w14:ligatures w14:val="none"/>
        </w:rPr>
        <w:t xml:space="preserve"> requirements for this offence.</w:t>
      </w:r>
    </w:p>
    <w:p w14:paraId="366AC918"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9B1684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 xml:space="preserve">Potential </w:t>
      </w:r>
      <w:proofErr w:type="spellStart"/>
      <w:r w:rsidRPr="00076381">
        <w:rPr>
          <w:rFonts w:ascii="Times New Roman" w:hAnsi="Times New Roman" w:cs="Times New Roman"/>
          <w:b/>
          <w:bCs/>
          <w:color w:val="000000"/>
          <w:kern w:val="0"/>
          <w:sz w:val="27"/>
          <w:szCs w:val="27"/>
          <w14:ligatures w14:val="none"/>
        </w:rPr>
        <w:t>Offenses</w:t>
      </w:r>
      <w:proofErr w:type="spellEnd"/>
      <w:r w:rsidRPr="00076381">
        <w:rPr>
          <w:rFonts w:ascii="Times New Roman" w:hAnsi="Times New Roman" w:cs="Times New Roman"/>
          <w:b/>
          <w:bCs/>
          <w:color w:val="000000"/>
          <w:kern w:val="0"/>
          <w:sz w:val="27"/>
          <w:szCs w:val="27"/>
          <w14:ligatures w14:val="none"/>
        </w:rPr>
        <w:t>:</w:t>
      </w:r>
    </w:p>
    <w:p w14:paraId="65FA150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46049D75"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Section 18 Offence: Intentionally Causing Serious Injury</w:t>
      </w:r>
    </w:p>
    <w:p w14:paraId="3A196008"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A85D42A" w14:textId="77777777" w:rsidR="00076381" w:rsidRPr="00076381" w:rsidRDefault="00076381" w:rsidP="00076381">
      <w:pPr>
        <w:jc w:val="both"/>
        <w:rPr>
          <w:rFonts w:ascii="-webkit-standard" w:hAnsi="-webkit-standard" w:cs="Times New Roman"/>
          <w:color w:val="000000"/>
          <w:kern w:val="0"/>
          <w:sz w:val="27"/>
          <w:szCs w:val="27"/>
          <w14:ligatures w14:val="none"/>
        </w:rPr>
      </w:pPr>
      <w:proofErr w:type="spellStart"/>
      <w:r w:rsidRPr="00076381">
        <w:rPr>
          <w:rFonts w:ascii="Times New Roman" w:hAnsi="Times New Roman" w:cs="Times New Roman"/>
          <w:color w:val="000000"/>
          <w:kern w:val="0"/>
          <w:sz w:val="27"/>
          <w:szCs w:val="27"/>
          <w14:ligatures w14:val="none"/>
        </w:rPr>
        <w:t>Actus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Reus</w:t>
      </w:r>
      <w:proofErr w:type="spellEnd"/>
      <w:r w:rsidRPr="00076381">
        <w:rPr>
          <w:rFonts w:ascii="Times New Roman" w:hAnsi="Times New Roman" w:cs="Times New Roman"/>
          <w:color w:val="000000"/>
          <w:kern w:val="0"/>
          <w:sz w:val="27"/>
          <w:szCs w:val="27"/>
          <w14:ligatures w14:val="none"/>
        </w:rPr>
        <w:t xml:space="preserve">: The act of stabbing Jamie in the chest is the </w:t>
      </w:r>
      <w:proofErr w:type="spellStart"/>
      <w:r w:rsidRPr="00076381">
        <w:rPr>
          <w:rFonts w:ascii="Times New Roman" w:hAnsi="Times New Roman" w:cs="Times New Roman"/>
          <w:color w:val="000000"/>
          <w:kern w:val="0"/>
          <w:sz w:val="27"/>
          <w:szCs w:val="27"/>
          <w14:ligatures w14:val="none"/>
        </w:rPr>
        <w:t>Actus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Reus</w:t>
      </w:r>
      <w:proofErr w:type="spellEnd"/>
      <w:r w:rsidRPr="00076381">
        <w:rPr>
          <w:rFonts w:ascii="Times New Roman" w:hAnsi="Times New Roman" w:cs="Times New Roman"/>
          <w:color w:val="000000"/>
          <w:kern w:val="0"/>
          <w:sz w:val="27"/>
          <w:szCs w:val="27"/>
          <w14:ligatures w14:val="none"/>
        </w:rPr>
        <w:t>.</w:t>
      </w:r>
    </w:p>
    <w:p w14:paraId="7B295779"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Men's Rea: Wilfulness to inflict significant damage or carelessness regarding the possibility of such harm.</w:t>
      </w:r>
    </w:p>
    <w:p w14:paraId="7C0DC5B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76650E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Murder Attempt or Assault: Carla may also face charges of assault or attempted murder, depending on the details of the case and the extent of Jamie's injuries.</w:t>
      </w:r>
    </w:p>
    <w:p w14:paraId="6B3A5E8B"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949F64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Potential Defences:</w:t>
      </w:r>
    </w:p>
    <w:p w14:paraId="6579DE5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0F5322D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Defence of Oneself:</w:t>
      </w:r>
    </w:p>
    <w:p w14:paraId="036D7D2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A665D1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Carla might contend that she acted in </w:t>
      </w:r>
      <w:proofErr w:type="spellStart"/>
      <w:r w:rsidRPr="00076381">
        <w:rPr>
          <w:rFonts w:ascii="Times New Roman" w:hAnsi="Times New Roman" w:cs="Times New Roman"/>
          <w:color w:val="000000"/>
          <w:kern w:val="0"/>
          <w:sz w:val="27"/>
          <w:szCs w:val="27"/>
          <w14:ligatures w14:val="none"/>
        </w:rPr>
        <w:t>self-defense</w:t>
      </w:r>
      <w:proofErr w:type="spellEnd"/>
      <w:r w:rsidRPr="00076381">
        <w:rPr>
          <w:rFonts w:ascii="Times New Roman" w:hAnsi="Times New Roman" w:cs="Times New Roman"/>
          <w:color w:val="000000"/>
          <w:kern w:val="0"/>
          <w:sz w:val="27"/>
          <w:szCs w:val="27"/>
          <w14:ligatures w14:val="none"/>
        </w:rPr>
        <w:t>, stating that she had a legitimate fear that her life was in risk at the time or that she had to defend herself against grave danger.</w:t>
      </w:r>
    </w:p>
    <w:p w14:paraId="640D153D"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64F4AA9C"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Provocation</w:t>
      </w:r>
    </w:p>
    <w:p w14:paraId="194220A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8EA80EE"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Given Jamie's admission of adultery and the emotional pain he inflicted during the altercation, Carla may try to rely on the defence of provocation. However, establishing this defence has become more difficult due to modifications made to the legislation by the Coroners and Justice Act of 2009[1].</w:t>
      </w:r>
    </w:p>
    <w:p w14:paraId="7760E60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5B6583E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Relevance of Carla's Emotional State and Jamie's Confession:</w:t>
      </w:r>
    </w:p>
    <w:p w14:paraId="6081AA8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6976E72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Reduced Accountability</w:t>
      </w:r>
    </w:p>
    <w:p w14:paraId="118FEB7D"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lastRenderedPageBreak/>
        <w:t> </w:t>
      </w:r>
    </w:p>
    <w:p w14:paraId="5949E61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Under Section 2 of the Homicide Act 1957, Carla's emotional condition may be relevant to a defence of reduced culpability, which might lower the charge from murder to manslaughter.</w:t>
      </w:r>
    </w:p>
    <w:p w14:paraId="030CC55E"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BFC65CB"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CD9CA88"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Effect on Penalty:</w:t>
      </w:r>
    </w:p>
    <w:p w14:paraId="0A3B8D3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29A5273C"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Even while Carla's mental suffering might not clear her, it might be taken into consideration during sentencing and lessen the harshness of the sentence meted out.</w:t>
      </w:r>
    </w:p>
    <w:p w14:paraId="3FDF01BD"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69527A7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Criminal Procedures:</w:t>
      </w:r>
    </w:p>
    <w:p w14:paraId="1C2FFF2B"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85CDE59"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After the event, Carla would be arrested, evidence would be gathered, witness testimonies would be taken, and maybe a trial would be part of typical criminal proceedings. After reviewing the evidence, the Crown Prosecution Service (CPS) would choose what charges to press. The Criminal Procedure Rules would be followed during the legal process, guaranteeing a fair trial and obedience to the law.</w:t>
      </w:r>
    </w:p>
    <w:p w14:paraId="1DCAF259"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0DBFF71C" w14:textId="77777777" w:rsidR="00076381" w:rsidRPr="00076381" w:rsidRDefault="00076381" w:rsidP="00076381">
      <w:pPr>
        <w:spacing w:before="180"/>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1F4E79"/>
          <w:kern w:val="0"/>
          <w:sz w:val="36"/>
          <w:szCs w:val="36"/>
          <w14:ligatures w14:val="none"/>
        </w:rPr>
        <w:t>Offences and Defences</w:t>
      </w:r>
    </w:p>
    <w:p w14:paraId="1877982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F16009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Carla and Jamie's case study offers a complicated legal situation that raises questions about criminal responsibility and possible defences. The act of Carla stabbing Jamie is the main offence in question, and it can be examined in light of the Offences Against the Person Act 1861. In addition, possible </w:t>
      </w:r>
      <w:proofErr w:type="spellStart"/>
      <w:r w:rsidRPr="00076381">
        <w:rPr>
          <w:rFonts w:ascii="Times New Roman" w:hAnsi="Times New Roman" w:cs="Times New Roman"/>
          <w:color w:val="000000"/>
          <w:kern w:val="0"/>
          <w:sz w:val="27"/>
          <w:szCs w:val="27"/>
          <w14:ligatures w14:val="none"/>
        </w:rPr>
        <w:t>defenses</w:t>
      </w:r>
      <w:proofErr w:type="spellEnd"/>
      <w:r w:rsidRPr="00076381">
        <w:rPr>
          <w:rFonts w:ascii="Times New Roman" w:hAnsi="Times New Roman" w:cs="Times New Roman"/>
          <w:color w:val="000000"/>
          <w:kern w:val="0"/>
          <w:sz w:val="27"/>
          <w:szCs w:val="27"/>
          <w14:ligatures w14:val="none"/>
        </w:rPr>
        <w:t>—like provocation, diminished responsibility, and </w:t>
      </w:r>
      <w:proofErr w:type="spellStart"/>
      <w:r w:rsidRPr="00076381">
        <w:rPr>
          <w:rFonts w:ascii="Times New Roman" w:hAnsi="Times New Roman" w:cs="Times New Roman"/>
          <w:color w:val="000000"/>
          <w:kern w:val="0"/>
          <w:sz w:val="27"/>
          <w:szCs w:val="27"/>
          <w14:ligatures w14:val="none"/>
        </w:rPr>
        <w:t>self-defense</w:t>
      </w:r>
      <w:proofErr w:type="spellEnd"/>
      <w:r w:rsidRPr="00076381">
        <w:rPr>
          <w:rFonts w:ascii="Times New Roman" w:hAnsi="Times New Roman" w:cs="Times New Roman"/>
          <w:color w:val="000000"/>
          <w:kern w:val="0"/>
          <w:sz w:val="27"/>
          <w:szCs w:val="27"/>
          <w14:ligatures w14:val="none"/>
        </w:rPr>
        <w:t>—will be thoroughly evaluated in the context of pertinent statutes and case law.</w:t>
      </w:r>
    </w:p>
    <w:p w14:paraId="4A217F9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0227A7E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Offences Committed:</w:t>
      </w:r>
    </w:p>
    <w:p w14:paraId="46622F8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FC60E42"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 xml:space="preserve">The possibility of a crime under Section 18 of the Offences Against the Person Act 1861 is brought up by Carla's stabbing of Jamie. According to this provision, it is illegal and harmful to intentionally cause great physical damage with the purpose to do so. The causing of substantial injury is the </w:t>
      </w:r>
      <w:proofErr w:type="spellStart"/>
      <w:r w:rsidRPr="00076381">
        <w:rPr>
          <w:rFonts w:ascii="Times New Roman" w:hAnsi="Times New Roman" w:cs="Times New Roman"/>
          <w:color w:val="000000"/>
          <w:kern w:val="0"/>
          <w:sz w:val="27"/>
          <w:szCs w:val="27"/>
          <w14:ligatures w14:val="none"/>
        </w:rPr>
        <w:t>offense's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actus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reus</w:t>
      </w:r>
      <w:proofErr w:type="spellEnd"/>
      <w:r w:rsidRPr="00076381">
        <w:rPr>
          <w:rFonts w:ascii="Times New Roman" w:hAnsi="Times New Roman" w:cs="Times New Roman"/>
          <w:color w:val="000000"/>
          <w:kern w:val="0"/>
          <w:sz w:val="27"/>
          <w:szCs w:val="27"/>
          <w14:ligatures w14:val="none"/>
        </w:rPr>
        <w:t>, and the deliberate desire to do so is the mens </w:t>
      </w:r>
      <w:proofErr w:type="spellStart"/>
      <w:r w:rsidRPr="00076381">
        <w:rPr>
          <w:rFonts w:ascii="Times New Roman" w:hAnsi="Times New Roman" w:cs="Times New Roman"/>
          <w:color w:val="000000"/>
          <w:kern w:val="0"/>
          <w:sz w:val="27"/>
          <w:szCs w:val="27"/>
          <w14:ligatures w14:val="none"/>
        </w:rPr>
        <w:t>rea</w:t>
      </w:r>
      <w:proofErr w:type="spellEnd"/>
      <w:r w:rsidRPr="00076381">
        <w:rPr>
          <w:rFonts w:ascii="Times New Roman" w:hAnsi="Times New Roman" w:cs="Times New Roman"/>
          <w:color w:val="000000"/>
          <w:kern w:val="0"/>
          <w:sz w:val="27"/>
          <w:szCs w:val="27"/>
          <w14:ligatures w14:val="none"/>
        </w:rPr>
        <w:t xml:space="preserve"> [1].</w:t>
      </w:r>
    </w:p>
    <w:p w14:paraId="2C1DDE02"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0DAB90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Given the extent of Jamie's injuries, the charges may be upgraded to attempted murder or, in the very least, assault resulting in actual bodily damage. Carla's motivations, the severity of Jamie's injuries, and any proof of premeditation will all be important considerations in deciding on the right charge.</w:t>
      </w:r>
    </w:p>
    <w:p w14:paraId="31F86A1A"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220B424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Potential </w:t>
      </w:r>
      <w:proofErr w:type="spellStart"/>
      <w:r w:rsidRPr="00076381">
        <w:rPr>
          <w:rFonts w:ascii="Times New Roman" w:hAnsi="Times New Roman" w:cs="Times New Roman"/>
          <w:b/>
          <w:bCs/>
          <w:color w:val="000000"/>
          <w:kern w:val="0"/>
          <w:sz w:val="27"/>
          <w:szCs w:val="27"/>
          <w14:ligatures w14:val="none"/>
        </w:rPr>
        <w:t>Defenses</w:t>
      </w:r>
      <w:proofErr w:type="spellEnd"/>
      <w:r w:rsidRPr="00076381">
        <w:rPr>
          <w:rFonts w:ascii="Times New Roman" w:hAnsi="Times New Roman" w:cs="Times New Roman"/>
          <w:b/>
          <w:bCs/>
          <w:color w:val="000000"/>
          <w:kern w:val="0"/>
          <w:sz w:val="27"/>
          <w:szCs w:val="27"/>
          <w14:ligatures w14:val="none"/>
        </w:rPr>
        <w:t>:</w:t>
      </w:r>
    </w:p>
    <w:p w14:paraId="24F9BD8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BE814C5" w14:textId="77777777" w:rsidR="00076381" w:rsidRPr="00076381" w:rsidRDefault="00076381" w:rsidP="00076381">
      <w:pPr>
        <w:ind w:hanging="270"/>
        <w:jc w:val="both"/>
        <w:divId w:val="997876819"/>
        <w:rPr>
          <w:rFonts w:ascii="-webkit-standard" w:eastAsia="Times New Roman" w:hAnsi="-webkit-standard" w:cs="Times New Roman"/>
          <w:color w:val="000000"/>
          <w:kern w:val="0"/>
          <w:sz w:val="27"/>
          <w:szCs w:val="27"/>
          <w14:ligatures w14:val="none"/>
        </w:rPr>
      </w:pPr>
      <w:r w:rsidRPr="00076381">
        <w:rPr>
          <w:rFonts w:ascii="-webkit-standard" w:eastAsia="Times New Roman" w:hAnsi="-webkit-standard" w:cs="Times New Roman"/>
          <w:color w:val="000000"/>
          <w:kern w:val="0"/>
          <w:sz w:val="27"/>
          <w:szCs w:val="27"/>
          <w14:ligatures w14:val="none"/>
        </w:rPr>
        <w:lastRenderedPageBreak/>
        <w:t>1. </w:t>
      </w:r>
      <w:proofErr w:type="spellStart"/>
      <w:r w:rsidRPr="00076381">
        <w:rPr>
          <w:rFonts w:ascii="Times New Roman" w:eastAsia="Times New Roman" w:hAnsi="Times New Roman" w:cs="Times New Roman"/>
          <w:b/>
          <w:bCs/>
          <w:color w:val="000000"/>
          <w:kern w:val="0"/>
          <w:sz w:val="27"/>
          <w:szCs w:val="27"/>
          <w14:ligatures w14:val="none"/>
        </w:rPr>
        <w:t>Self-Defense</w:t>
      </w:r>
      <w:proofErr w:type="spellEnd"/>
      <w:r w:rsidRPr="00076381">
        <w:rPr>
          <w:rFonts w:ascii="Times New Roman" w:eastAsia="Times New Roman" w:hAnsi="Times New Roman" w:cs="Times New Roman"/>
          <w:b/>
          <w:bCs/>
          <w:color w:val="000000"/>
          <w:kern w:val="0"/>
          <w:sz w:val="27"/>
          <w:szCs w:val="27"/>
          <w14:ligatures w14:val="none"/>
        </w:rPr>
        <w:t>:</w:t>
      </w:r>
    </w:p>
    <w:p w14:paraId="31719CAA"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6E93EA17"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 xml:space="preserve">The possibility of a crime under Section 18 of the Offences Against the Person Act 1861 is brought up by Carla's stabbing of Jamie. According to this provision, it is illegal and harmful to intentionally cause great physical damage with the purpose to do so. The causing of substantial injury is the </w:t>
      </w:r>
      <w:proofErr w:type="spellStart"/>
      <w:r w:rsidRPr="00076381">
        <w:rPr>
          <w:rFonts w:ascii="Times New Roman" w:hAnsi="Times New Roman" w:cs="Times New Roman"/>
          <w:color w:val="000000"/>
          <w:kern w:val="0"/>
          <w:sz w:val="27"/>
          <w:szCs w:val="27"/>
          <w14:ligatures w14:val="none"/>
        </w:rPr>
        <w:t>offense's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actus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reus</w:t>
      </w:r>
      <w:proofErr w:type="spellEnd"/>
      <w:r w:rsidRPr="00076381">
        <w:rPr>
          <w:rFonts w:ascii="Times New Roman" w:hAnsi="Times New Roman" w:cs="Times New Roman"/>
          <w:color w:val="000000"/>
          <w:kern w:val="0"/>
          <w:sz w:val="27"/>
          <w:szCs w:val="27"/>
          <w14:ligatures w14:val="none"/>
        </w:rPr>
        <w:t>, and the deliberate desire to do so is the mens </w:t>
      </w:r>
      <w:proofErr w:type="spellStart"/>
      <w:r w:rsidRPr="00076381">
        <w:rPr>
          <w:rFonts w:ascii="Times New Roman" w:hAnsi="Times New Roman" w:cs="Times New Roman"/>
          <w:color w:val="000000"/>
          <w:kern w:val="0"/>
          <w:sz w:val="27"/>
          <w:szCs w:val="27"/>
          <w14:ligatures w14:val="none"/>
        </w:rPr>
        <w:t>rea</w:t>
      </w:r>
      <w:proofErr w:type="spellEnd"/>
      <w:r w:rsidRPr="00076381">
        <w:rPr>
          <w:rFonts w:ascii="Times New Roman" w:hAnsi="Times New Roman" w:cs="Times New Roman"/>
          <w:color w:val="000000"/>
          <w:kern w:val="0"/>
          <w:sz w:val="27"/>
          <w:szCs w:val="27"/>
          <w14:ligatures w14:val="none"/>
        </w:rPr>
        <w:t xml:space="preserve"> [1].</w:t>
      </w:r>
    </w:p>
    <w:p w14:paraId="3B88675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AF27A7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Given the extent of Jamie's injuries, the charges may be upgraded to attempted murder or, in the very least, assault resulting in actual bodily damage. Carla's motivations, the severity of Jamie's injuries, and any proof of premeditation will all be important considerations in deciding on the right charge.</w:t>
      </w:r>
    </w:p>
    <w:p w14:paraId="4350B74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0A93809A" w14:textId="77777777" w:rsidR="00076381" w:rsidRPr="00076381" w:rsidRDefault="00076381" w:rsidP="00076381">
      <w:pPr>
        <w:ind w:hanging="270"/>
        <w:jc w:val="both"/>
        <w:divId w:val="1866602662"/>
        <w:rPr>
          <w:rFonts w:ascii="-webkit-standard" w:eastAsia="Times New Roman" w:hAnsi="-webkit-standard" w:cs="Times New Roman"/>
          <w:color w:val="000000"/>
          <w:kern w:val="0"/>
          <w:sz w:val="27"/>
          <w:szCs w:val="27"/>
          <w14:ligatures w14:val="none"/>
        </w:rPr>
      </w:pPr>
      <w:r w:rsidRPr="00076381">
        <w:rPr>
          <w:rFonts w:ascii="-webkit-standard" w:eastAsia="Times New Roman" w:hAnsi="-webkit-standard" w:cs="Times New Roman"/>
          <w:color w:val="000000"/>
          <w:kern w:val="0"/>
          <w:sz w:val="27"/>
          <w:szCs w:val="27"/>
          <w14:ligatures w14:val="none"/>
        </w:rPr>
        <w:t>2. </w:t>
      </w:r>
      <w:r w:rsidRPr="00076381">
        <w:rPr>
          <w:rFonts w:ascii="Times New Roman" w:eastAsia="Times New Roman" w:hAnsi="Times New Roman" w:cs="Times New Roman"/>
          <w:b/>
          <w:bCs/>
          <w:color w:val="000000"/>
          <w:kern w:val="0"/>
          <w:sz w:val="27"/>
          <w:szCs w:val="27"/>
          <w14:ligatures w14:val="none"/>
        </w:rPr>
        <w:t>Provocation:</w:t>
      </w:r>
    </w:p>
    <w:p w14:paraId="57B93FB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8CDB939"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Because Jamie had admitted to being unfaithful during the altercation, Carla may think about relying on the defence of provocation. Provocation has often resulted in a lesser manslaughter charge. Nevertheless, this defence has been modified by the Coroners and Justice Act 2009, which now establishes a reasonable person's response to the circumstances and calls for a loss of control [3].</w:t>
      </w:r>
    </w:p>
    <w:p w14:paraId="0747C1F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66E7BBD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The 1949 case of R v. Duffy 1. An example of a case where the defence of provocation was allowed is All ER 932, in which the accused suffered from severe physical and mental abuse that resulted in a lack of self-control.</w:t>
      </w:r>
    </w:p>
    <w:p w14:paraId="631D6ADC"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A99789F" w14:textId="77777777" w:rsidR="00076381" w:rsidRPr="00076381" w:rsidRDefault="00076381" w:rsidP="00076381">
      <w:pPr>
        <w:ind w:hanging="270"/>
        <w:jc w:val="both"/>
        <w:divId w:val="439957590"/>
        <w:rPr>
          <w:rFonts w:ascii="-webkit-standard" w:eastAsia="Times New Roman" w:hAnsi="-webkit-standard" w:cs="Times New Roman"/>
          <w:color w:val="000000"/>
          <w:kern w:val="0"/>
          <w:sz w:val="27"/>
          <w:szCs w:val="27"/>
          <w14:ligatures w14:val="none"/>
        </w:rPr>
      </w:pPr>
      <w:r w:rsidRPr="00076381">
        <w:rPr>
          <w:rFonts w:ascii="-webkit-standard" w:eastAsia="Times New Roman" w:hAnsi="-webkit-standard" w:cs="Times New Roman"/>
          <w:color w:val="000000"/>
          <w:kern w:val="0"/>
          <w:sz w:val="27"/>
          <w:szCs w:val="27"/>
          <w14:ligatures w14:val="none"/>
        </w:rPr>
        <w:t>3. </w:t>
      </w:r>
      <w:r w:rsidRPr="00076381">
        <w:rPr>
          <w:rFonts w:ascii="Times New Roman" w:eastAsia="Times New Roman" w:hAnsi="Times New Roman" w:cs="Times New Roman"/>
          <w:b/>
          <w:bCs/>
          <w:color w:val="000000"/>
          <w:kern w:val="0"/>
          <w:sz w:val="27"/>
          <w:szCs w:val="27"/>
          <w14:ligatures w14:val="none"/>
        </w:rPr>
        <w:t>Diminished Responsibility</w:t>
      </w:r>
    </w:p>
    <w:p w14:paraId="6CB571E2"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07DECA3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Jamie's confession and Carla's emotional condition make the defence of diminished culpability under Section 2 of the Homicide Act 1957 potentially relevant. Evidence of a mental disorder that significantly hindered the accused's capacity to comprehend the nature of the act or to exert self-control is necessary for this defence.</w:t>
      </w:r>
    </w:p>
    <w:p w14:paraId="08FF5A4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4735EF5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The boundaries for reduced liability were defined in the seminal case of R v. Byrne [1960] 2 QB 396. In order to sustain this defence, the court underlined that a medical diagnosis of a recognised mental illness is required [4].</w:t>
      </w:r>
    </w:p>
    <w:p w14:paraId="7B2AB46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057427C"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Relevance of Carla's Emotional State and Jamie's Confession:</w:t>
      </w:r>
    </w:p>
    <w:p w14:paraId="1E9E66F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DDFE18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 xml:space="preserve">Carla's emotional condition may play a significant role in establishing her liability and the best line of defence. She might be able to use her emotional anguish from the disagreement to support her reduced culpability claim. The question for the court to decide was whether her mental state at the time of the offence satisfied the Byrne standards. Carla's mental condition may also be affected by Jamie's admission of adultery, which may be significant in the event of a provocation defence. The </w:t>
      </w:r>
      <w:r w:rsidRPr="00076381">
        <w:rPr>
          <w:rFonts w:ascii="Times New Roman" w:hAnsi="Times New Roman" w:cs="Times New Roman"/>
          <w:color w:val="000000"/>
          <w:kern w:val="0"/>
          <w:sz w:val="27"/>
          <w:szCs w:val="27"/>
          <w14:ligatures w14:val="none"/>
        </w:rPr>
        <w:lastRenderedPageBreak/>
        <w:t>Coroners and Justice Act of 2009's revised rules, however, call for a more careful evaluation of whether a reasonable person may have responded to the provocation in a similar manner.</w:t>
      </w:r>
    </w:p>
    <w:p w14:paraId="50DABCF2"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28F7AC2"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 xml:space="preserve">Comparative Analysis of </w:t>
      </w:r>
      <w:proofErr w:type="spellStart"/>
      <w:r w:rsidRPr="00076381">
        <w:rPr>
          <w:rFonts w:ascii="Times New Roman" w:hAnsi="Times New Roman" w:cs="Times New Roman"/>
          <w:b/>
          <w:bCs/>
          <w:color w:val="000000"/>
          <w:kern w:val="0"/>
          <w:sz w:val="27"/>
          <w:szCs w:val="27"/>
          <w14:ligatures w14:val="none"/>
        </w:rPr>
        <w:t>Defenses</w:t>
      </w:r>
      <w:proofErr w:type="spellEnd"/>
      <w:r w:rsidRPr="00076381">
        <w:rPr>
          <w:rFonts w:ascii="Times New Roman" w:hAnsi="Times New Roman" w:cs="Times New Roman"/>
          <w:b/>
          <w:bCs/>
          <w:color w:val="000000"/>
          <w:kern w:val="0"/>
          <w:sz w:val="27"/>
          <w:szCs w:val="27"/>
          <w14:ligatures w14:val="none"/>
        </w:rPr>
        <w:t>:</w:t>
      </w:r>
    </w:p>
    <w:p w14:paraId="0565656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DF0F7AB"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Even if provocation, diminished responsibility, and </w:t>
      </w:r>
      <w:proofErr w:type="spellStart"/>
      <w:r w:rsidRPr="00076381">
        <w:rPr>
          <w:rFonts w:ascii="Times New Roman" w:hAnsi="Times New Roman" w:cs="Times New Roman"/>
          <w:color w:val="000000"/>
          <w:kern w:val="0"/>
          <w:sz w:val="27"/>
          <w:szCs w:val="27"/>
          <w14:ligatures w14:val="none"/>
        </w:rPr>
        <w:t>self-defenseare</w:t>
      </w:r>
      <w:proofErr w:type="spellEnd"/>
      <w:r w:rsidRPr="00076381">
        <w:rPr>
          <w:rFonts w:ascii="Times New Roman" w:hAnsi="Times New Roman" w:cs="Times New Roman"/>
          <w:color w:val="000000"/>
          <w:kern w:val="0"/>
          <w:sz w:val="27"/>
          <w:szCs w:val="27"/>
          <w14:ligatures w14:val="none"/>
        </w:rPr>
        <w:t xml:space="preserve"> separate defences, they all have certain things in common, such the accused's subjective view of the situation and the appropriateness of their acts in light of it. The House of Lords stressed the significance of a subjective evaluation of the accused's mental state in situations including provocation in the case of R v. Holley [2005] UKHL 30 [5]. This ruling emphasises how important it is to consider the accused's point of view while assessing defences in crimes of passion.</w:t>
      </w:r>
    </w:p>
    <w:p w14:paraId="405A1245"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5A7BAEEA"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 xml:space="preserve">On the other hand, decreased responsibility necessitates a mental health evaluation of the accused. The R v. Golds [2014] EWCA </w:t>
      </w:r>
      <w:proofErr w:type="spellStart"/>
      <w:r w:rsidRPr="00076381">
        <w:rPr>
          <w:rFonts w:ascii="Times New Roman" w:hAnsi="Times New Roman" w:cs="Times New Roman"/>
          <w:color w:val="000000"/>
          <w:kern w:val="0"/>
          <w:sz w:val="27"/>
          <w:szCs w:val="27"/>
          <w14:ligatures w14:val="none"/>
        </w:rPr>
        <w:t>Crim</w:t>
      </w:r>
      <w:proofErr w:type="spellEnd"/>
      <w:r w:rsidRPr="00076381">
        <w:rPr>
          <w:rFonts w:ascii="Times New Roman" w:hAnsi="Times New Roman" w:cs="Times New Roman"/>
          <w:color w:val="000000"/>
          <w:kern w:val="0"/>
          <w:sz w:val="27"/>
          <w:szCs w:val="27"/>
          <w14:ligatures w14:val="none"/>
        </w:rPr>
        <w:t xml:space="preserve"> 748 case demonstrated that the court should carefully assess the influence of mental diseases on the evidence of reduced responsibility and that expert psychiatric testimony is essential to establishing accused's responsibility [6].</w:t>
      </w:r>
    </w:p>
    <w:p w14:paraId="55F23CA5"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490D668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b/>
          <w:bCs/>
          <w:color w:val="000000"/>
          <w:kern w:val="0"/>
          <w:sz w:val="27"/>
          <w:szCs w:val="27"/>
          <w14:ligatures w14:val="none"/>
        </w:rPr>
        <w:t>Legal Precedents and Case Law:</w:t>
      </w:r>
    </w:p>
    <w:p w14:paraId="222301B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404A31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Notable cases influence the legal environment around offences against the person and their corresponding defences. The court made it clear in R v. Cunningham [1957] 2 QB 396 that, for the purposes of the Offences Against the Person Act 1861, malice encompasses both the </w:t>
      </w:r>
      <w:proofErr w:type="spellStart"/>
      <w:r w:rsidRPr="00076381">
        <w:rPr>
          <w:rFonts w:ascii="Times New Roman" w:hAnsi="Times New Roman" w:cs="Times New Roman"/>
          <w:color w:val="000000"/>
          <w:kern w:val="0"/>
          <w:sz w:val="27"/>
          <w:szCs w:val="27"/>
          <w14:ligatures w14:val="none"/>
        </w:rPr>
        <w:t>willful</w:t>
      </w:r>
      <w:proofErr w:type="spellEnd"/>
      <w:r w:rsidRPr="00076381">
        <w:rPr>
          <w:rFonts w:ascii="Times New Roman" w:hAnsi="Times New Roman" w:cs="Times New Roman"/>
          <w:color w:val="000000"/>
          <w:kern w:val="0"/>
          <w:sz w:val="27"/>
          <w:szCs w:val="27"/>
          <w14:ligatures w14:val="none"/>
        </w:rPr>
        <w:t> disregard for the consequences and the desire to inflict injury [7]. Understanding the mens </w:t>
      </w:r>
      <w:proofErr w:type="spellStart"/>
      <w:r w:rsidRPr="00076381">
        <w:rPr>
          <w:rFonts w:ascii="Times New Roman" w:hAnsi="Times New Roman" w:cs="Times New Roman"/>
          <w:color w:val="000000"/>
          <w:kern w:val="0"/>
          <w:sz w:val="27"/>
          <w:szCs w:val="27"/>
          <w14:ligatures w14:val="none"/>
        </w:rPr>
        <w:t>rea</w:t>
      </w:r>
      <w:proofErr w:type="spellEnd"/>
      <w:r w:rsidRPr="00076381">
        <w:rPr>
          <w:rFonts w:ascii="Times New Roman" w:hAnsi="Times New Roman" w:cs="Times New Roman"/>
          <w:color w:val="000000"/>
          <w:kern w:val="0"/>
          <w:sz w:val="27"/>
          <w:szCs w:val="27"/>
          <w14:ligatures w14:val="none"/>
        </w:rPr>
        <w:t xml:space="preserve"> requirement in situations involving significant injury has been influenced by this ruling.</w:t>
      </w:r>
    </w:p>
    <w:p w14:paraId="30F08CC2"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754B031"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R v. Howe [1987] 1 AC 417 serves as an example of how the provocation defence has developed. In this instance, the House of Lords highlighted that the jury ought to consider whether the accused's loss of self-control was both abrupt and transient, connecting it to the rationality of the response [8]. This choice has had a lasting impact on the interpretation of provocation as a </w:t>
      </w:r>
      <w:proofErr w:type="spellStart"/>
      <w:r w:rsidRPr="00076381">
        <w:rPr>
          <w:rFonts w:ascii="Times New Roman" w:hAnsi="Times New Roman" w:cs="Times New Roman"/>
          <w:color w:val="000000"/>
          <w:kern w:val="0"/>
          <w:sz w:val="27"/>
          <w:szCs w:val="27"/>
          <w14:ligatures w14:val="none"/>
        </w:rPr>
        <w:t>defense</w:t>
      </w:r>
      <w:proofErr w:type="spellEnd"/>
      <w:r w:rsidRPr="00076381">
        <w:rPr>
          <w:rFonts w:ascii="Times New Roman" w:hAnsi="Times New Roman" w:cs="Times New Roman"/>
          <w:color w:val="000000"/>
          <w:kern w:val="0"/>
          <w:sz w:val="27"/>
          <w:szCs w:val="27"/>
          <w14:ligatures w14:val="none"/>
        </w:rPr>
        <w:t>.</w:t>
      </w:r>
    </w:p>
    <w:p w14:paraId="26F806BE"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142770AE" w14:textId="77777777" w:rsidR="00076381" w:rsidRPr="00076381" w:rsidRDefault="00076381" w:rsidP="00076381">
      <w:pPr>
        <w:spacing w:before="180"/>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1F4E79"/>
          <w:kern w:val="0"/>
          <w:sz w:val="36"/>
          <w:szCs w:val="36"/>
          <w14:ligatures w14:val="none"/>
        </w:rPr>
        <w:t>Conclusion </w:t>
      </w:r>
    </w:p>
    <w:p w14:paraId="481A8BE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3D758B0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In summary, a detailed legal examination of Carla and Jamie's case reveals a variety of possible criminal offences as well as sophisticated defences. The main crime, which is Carla stabbing Jamie, is under Section 18 of the Offences Against the Person Act 1861, which means that both the mens </w:t>
      </w:r>
      <w:proofErr w:type="spellStart"/>
      <w:r w:rsidRPr="00076381">
        <w:rPr>
          <w:rFonts w:ascii="Times New Roman" w:hAnsi="Times New Roman" w:cs="Times New Roman"/>
          <w:color w:val="000000"/>
          <w:kern w:val="0"/>
          <w:sz w:val="27"/>
          <w:szCs w:val="27"/>
          <w14:ligatures w14:val="none"/>
        </w:rPr>
        <w:t>rea</w:t>
      </w:r>
      <w:proofErr w:type="spellEnd"/>
      <w:r w:rsidRPr="00076381">
        <w:rPr>
          <w:rFonts w:ascii="Times New Roman" w:hAnsi="Times New Roman" w:cs="Times New Roman"/>
          <w:color w:val="000000"/>
          <w:kern w:val="0"/>
          <w:sz w:val="27"/>
          <w:szCs w:val="27"/>
          <w14:ligatures w14:val="none"/>
        </w:rPr>
        <w:t xml:space="preserve"> and </w:t>
      </w:r>
      <w:proofErr w:type="spellStart"/>
      <w:r w:rsidRPr="00076381">
        <w:rPr>
          <w:rFonts w:ascii="Times New Roman" w:hAnsi="Times New Roman" w:cs="Times New Roman"/>
          <w:color w:val="000000"/>
          <w:kern w:val="0"/>
          <w:sz w:val="27"/>
          <w:szCs w:val="27"/>
          <w14:ligatures w14:val="none"/>
        </w:rPr>
        <w:t>actus</w:t>
      </w:r>
      <w:proofErr w:type="spellEnd"/>
      <w:r w:rsidRPr="00076381">
        <w:rPr>
          <w:rFonts w:ascii="Times New Roman" w:hAnsi="Times New Roman" w:cs="Times New Roman"/>
          <w:color w:val="000000"/>
          <w:kern w:val="0"/>
          <w:sz w:val="27"/>
          <w:szCs w:val="27"/>
          <w14:ligatures w14:val="none"/>
        </w:rPr>
        <w:t xml:space="preserve"> </w:t>
      </w:r>
      <w:proofErr w:type="spellStart"/>
      <w:r w:rsidRPr="00076381">
        <w:rPr>
          <w:rFonts w:ascii="Times New Roman" w:hAnsi="Times New Roman" w:cs="Times New Roman"/>
          <w:color w:val="000000"/>
          <w:kern w:val="0"/>
          <w:sz w:val="27"/>
          <w:szCs w:val="27"/>
          <w14:ligatures w14:val="none"/>
        </w:rPr>
        <w:t>reus</w:t>
      </w:r>
      <w:proofErr w:type="spellEnd"/>
      <w:r w:rsidRPr="00076381">
        <w:rPr>
          <w:rFonts w:ascii="Times New Roman" w:hAnsi="Times New Roman" w:cs="Times New Roman"/>
          <w:color w:val="000000"/>
          <w:kern w:val="0"/>
          <w:sz w:val="27"/>
          <w:szCs w:val="27"/>
          <w14:ligatures w14:val="none"/>
        </w:rPr>
        <w:t xml:space="preserve"> aspects must be carefully considered. The severity of Jamie's injuries emphasises the seriousness </w:t>
      </w:r>
      <w:r w:rsidRPr="00076381">
        <w:rPr>
          <w:rFonts w:ascii="Times New Roman" w:hAnsi="Times New Roman" w:cs="Times New Roman"/>
          <w:color w:val="000000"/>
          <w:kern w:val="0"/>
          <w:sz w:val="27"/>
          <w:szCs w:val="27"/>
          <w14:ligatures w14:val="none"/>
        </w:rPr>
        <w:lastRenderedPageBreak/>
        <w:t>of the allegations, which, depending on the evidence, may even include attempted murder or assault resulting in actual bodily damage.</w:t>
      </w:r>
    </w:p>
    <w:p w14:paraId="6162BC1E"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23D7B66C"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Examining defences such reduced culpability, provocation, and </w:t>
      </w:r>
      <w:proofErr w:type="spellStart"/>
      <w:r w:rsidRPr="00076381">
        <w:rPr>
          <w:rFonts w:ascii="Times New Roman" w:hAnsi="Times New Roman" w:cs="Times New Roman"/>
          <w:color w:val="000000"/>
          <w:kern w:val="0"/>
          <w:sz w:val="27"/>
          <w:szCs w:val="27"/>
          <w14:ligatures w14:val="none"/>
        </w:rPr>
        <w:t>self-defense</w:t>
      </w:r>
      <w:proofErr w:type="spellEnd"/>
      <w:r w:rsidRPr="00076381">
        <w:rPr>
          <w:rFonts w:ascii="Times New Roman" w:hAnsi="Times New Roman" w:cs="Times New Roman"/>
          <w:color w:val="000000"/>
          <w:kern w:val="0"/>
          <w:sz w:val="27"/>
          <w:szCs w:val="27"/>
          <w14:ligatures w14:val="none"/>
        </w:rPr>
        <w:t xml:space="preserve"> adds levels of legal complexity to the case. Jamie's admission and Carla's emotional state are crucial factors to consider while analysing these defences. The comprehension of the relevant legal concepts is enhanced by the comparative study of prior instances, notably R v. </w:t>
      </w:r>
      <w:proofErr w:type="spellStart"/>
      <w:r w:rsidRPr="00076381">
        <w:rPr>
          <w:rFonts w:ascii="Times New Roman" w:hAnsi="Times New Roman" w:cs="Times New Roman"/>
          <w:color w:val="000000"/>
          <w:kern w:val="0"/>
          <w:sz w:val="27"/>
          <w:szCs w:val="27"/>
          <w14:ligatures w14:val="none"/>
        </w:rPr>
        <w:t>Owino</w:t>
      </w:r>
      <w:proofErr w:type="spellEnd"/>
      <w:r w:rsidRPr="00076381">
        <w:rPr>
          <w:rFonts w:ascii="Times New Roman" w:hAnsi="Times New Roman" w:cs="Times New Roman"/>
          <w:color w:val="000000"/>
          <w:kern w:val="0"/>
          <w:sz w:val="27"/>
          <w:szCs w:val="27"/>
          <w14:ligatures w14:val="none"/>
        </w:rPr>
        <w:t>, R v. Duffy, and R v. Holley.</w:t>
      </w:r>
    </w:p>
    <w:p w14:paraId="257E19D0"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1B10C7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The necessity for a careful assessment of </w:t>
      </w:r>
      <w:proofErr w:type="spellStart"/>
      <w:r w:rsidRPr="00076381">
        <w:rPr>
          <w:rFonts w:ascii="Times New Roman" w:hAnsi="Times New Roman" w:cs="Times New Roman"/>
          <w:color w:val="000000"/>
          <w:kern w:val="0"/>
          <w:sz w:val="27"/>
          <w:szCs w:val="27"/>
          <w14:ligatures w14:val="none"/>
        </w:rPr>
        <w:t>defenses</w:t>
      </w:r>
      <w:proofErr w:type="spellEnd"/>
      <w:r w:rsidRPr="00076381">
        <w:rPr>
          <w:rFonts w:ascii="Times New Roman" w:hAnsi="Times New Roman" w:cs="Times New Roman"/>
          <w:color w:val="000000"/>
          <w:kern w:val="0"/>
          <w:sz w:val="27"/>
          <w:szCs w:val="27"/>
          <w14:ligatures w14:val="none"/>
        </w:rPr>
        <w:t>—especially provocation—is highlighted by the Coroners and Justice Act of 2009, which demonstrates how the legal environment is changing. The provocation </w:t>
      </w:r>
      <w:proofErr w:type="spellStart"/>
      <w:r w:rsidRPr="00076381">
        <w:rPr>
          <w:rFonts w:ascii="Times New Roman" w:hAnsi="Times New Roman" w:cs="Times New Roman"/>
          <w:color w:val="000000"/>
          <w:kern w:val="0"/>
          <w:sz w:val="27"/>
          <w:szCs w:val="27"/>
          <w14:ligatures w14:val="none"/>
        </w:rPr>
        <w:t>defense's</w:t>
      </w:r>
      <w:proofErr w:type="spellEnd"/>
      <w:r w:rsidRPr="00076381">
        <w:rPr>
          <w:rFonts w:ascii="Times New Roman" w:hAnsi="Times New Roman" w:cs="Times New Roman"/>
          <w:color w:val="000000"/>
          <w:kern w:val="0"/>
          <w:sz w:val="27"/>
          <w:szCs w:val="27"/>
          <w14:ligatures w14:val="none"/>
        </w:rPr>
        <w:t> mechanics and the meaning of malice are both influenced by the R v. Cunningham and R v. Howe decisions. The course of the legal process will be determined by the careful analysis of the facts and the prudent application of the law when Carla's possible criminal responsibility comes to light. To reach a fair conclusion in this ethically and legally complicated matter, a complete and balanced approach is necessary to navigate the intricate interaction of legislation, case law, and unique circumstances.</w:t>
      </w:r>
    </w:p>
    <w:p w14:paraId="30380B25"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71106314" w14:textId="77777777" w:rsidR="00076381" w:rsidRPr="00076381" w:rsidRDefault="00076381" w:rsidP="00076381">
      <w:pPr>
        <w:spacing w:before="180"/>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1F4E79"/>
          <w:kern w:val="0"/>
          <w:sz w:val="36"/>
          <w:szCs w:val="36"/>
          <w14:ligatures w14:val="none"/>
        </w:rPr>
        <w:t>References </w:t>
      </w:r>
    </w:p>
    <w:p w14:paraId="1CB5F1E6"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webkit-standard" w:hAnsi="-webkit-standard" w:cs="Times New Roman"/>
          <w:color w:val="000000"/>
          <w:kern w:val="0"/>
          <w:sz w:val="27"/>
          <w:szCs w:val="27"/>
          <w14:ligatures w14:val="none"/>
        </w:rPr>
        <w:t> </w:t>
      </w:r>
    </w:p>
    <w:p w14:paraId="0B0DD328"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[1] Offences Against the Person Act 1861.</w:t>
      </w:r>
    </w:p>
    <w:p w14:paraId="2C6A6DC3"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 xml:space="preserve">[2] R v </w:t>
      </w:r>
      <w:proofErr w:type="spellStart"/>
      <w:r w:rsidRPr="00076381">
        <w:rPr>
          <w:rFonts w:ascii="Times New Roman" w:hAnsi="Times New Roman" w:cs="Times New Roman"/>
          <w:color w:val="000000"/>
          <w:kern w:val="0"/>
          <w:sz w:val="27"/>
          <w:szCs w:val="27"/>
          <w14:ligatures w14:val="none"/>
        </w:rPr>
        <w:t>Owino</w:t>
      </w:r>
      <w:proofErr w:type="spellEnd"/>
      <w:r w:rsidRPr="00076381">
        <w:rPr>
          <w:rFonts w:ascii="Times New Roman" w:hAnsi="Times New Roman" w:cs="Times New Roman"/>
          <w:color w:val="000000"/>
          <w:kern w:val="0"/>
          <w:sz w:val="27"/>
          <w:szCs w:val="27"/>
          <w14:ligatures w14:val="none"/>
        </w:rPr>
        <w:t xml:space="preserve"> [2008] EWCA </w:t>
      </w:r>
      <w:proofErr w:type="spellStart"/>
      <w:r w:rsidRPr="00076381">
        <w:rPr>
          <w:rFonts w:ascii="Times New Roman" w:hAnsi="Times New Roman" w:cs="Times New Roman"/>
          <w:color w:val="000000"/>
          <w:kern w:val="0"/>
          <w:sz w:val="27"/>
          <w:szCs w:val="27"/>
          <w14:ligatures w14:val="none"/>
        </w:rPr>
        <w:t>Crim</w:t>
      </w:r>
      <w:proofErr w:type="spellEnd"/>
      <w:r w:rsidRPr="00076381">
        <w:rPr>
          <w:rFonts w:ascii="Times New Roman" w:hAnsi="Times New Roman" w:cs="Times New Roman"/>
          <w:color w:val="000000"/>
          <w:kern w:val="0"/>
          <w:sz w:val="27"/>
          <w:szCs w:val="27"/>
          <w14:ligatures w14:val="none"/>
        </w:rPr>
        <w:t xml:space="preserve"> 1854.</w:t>
      </w:r>
    </w:p>
    <w:p w14:paraId="0A01AF94"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[3] Coroners and Justice Act 2009.</w:t>
      </w:r>
    </w:p>
    <w:p w14:paraId="7DB97D28"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[4] R v Byrne [1960] 2 QB 396.</w:t>
      </w:r>
    </w:p>
    <w:p w14:paraId="500350CE"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[5] R v Holley [2005] UKHL 30.</w:t>
      </w:r>
    </w:p>
    <w:p w14:paraId="2A3FD09E"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 xml:space="preserve">[6] R v Golds [2014] EWCA </w:t>
      </w:r>
      <w:proofErr w:type="spellStart"/>
      <w:r w:rsidRPr="00076381">
        <w:rPr>
          <w:rFonts w:ascii="Times New Roman" w:hAnsi="Times New Roman" w:cs="Times New Roman"/>
          <w:color w:val="000000"/>
          <w:kern w:val="0"/>
          <w:sz w:val="27"/>
          <w:szCs w:val="27"/>
          <w14:ligatures w14:val="none"/>
        </w:rPr>
        <w:t>Crim</w:t>
      </w:r>
      <w:proofErr w:type="spellEnd"/>
      <w:r w:rsidRPr="00076381">
        <w:rPr>
          <w:rFonts w:ascii="Times New Roman" w:hAnsi="Times New Roman" w:cs="Times New Roman"/>
          <w:color w:val="000000"/>
          <w:kern w:val="0"/>
          <w:sz w:val="27"/>
          <w:szCs w:val="27"/>
          <w14:ligatures w14:val="none"/>
        </w:rPr>
        <w:t xml:space="preserve"> 748.</w:t>
      </w:r>
    </w:p>
    <w:p w14:paraId="6D3318CF" w14:textId="77777777"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[7] R v Cunningham [1957] 2 QB 396.</w:t>
      </w:r>
    </w:p>
    <w:p w14:paraId="71953DF8" w14:textId="5E63848C" w:rsidR="00076381" w:rsidRPr="00076381" w:rsidRDefault="00076381" w:rsidP="00076381">
      <w:pPr>
        <w:jc w:val="both"/>
        <w:rPr>
          <w:rFonts w:ascii="-webkit-standard" w:hAnsi="-webkit-standard" w:cs="Times New Roman"/>
          <w:color w:val="000000"/>
          <w:kern w:val="0"/>
          <w:sz w:val="27"/>
          <w:szCs w:val="27"/>
          <w14:ligatures w14:val="none"/>
        </w:rPr>
      </w:pPr>
      <w:r w:rsidRPr="00076381">
        <w:rPr>
          <w:rFonts w:ascii="Times New Roman" w:hAnsi="Times New Roman" w:cs="Times New Roman"/>
          <w:color w:val="000000"/>
          <w:kern w:val="0"/>
          <w:sz w:val="27"/>
          <w:szCs w:val="27"/>
          <w14:ligatures w14:val="none"/>
        </w:rPr>
        <w:t>[8] R v Howe [1987] 1 AC 417.</w:t>
      </w:r>
    </w:p>
    <w:sectPr w:rsidR="00076381" w:rsidRPr="00076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81"/>
    <w:rsid w:val="00076381"/>
    <w:rsid w:val="001913C3"/>
    <w:rsid w:val="003A7C7D"/>
    <w:rsid w:val="00736E96"/>
    <w:rsid w:val="009A2DD0"/>
    <w:rsid w:val="00A04A43"/>
    <w:rsid w:val="00A1405D"/>
    <w:rsid w:val="00A629BF"/>
    <w:rsid w:val="00B7677B"/>
    <w:rsid w:val="00C51C86"/>
    <w:rsid w:val="00DA0036"/>
    <w:rsid w:val="00EA2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AC0E7C"/>
  <w15:chartTrackingRefBased/>
  <w15:docId w15:val="{80135461-CCE0-A447-8CA6-1FA2EEBB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076381"/>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076381"/>
  </w:style>
  <w:style w:type="character" w:customStyle="1" w:styleId="apple-converted-space">
    <w:name w:val="apple-converted-space"/>
    <w:basedOn w:val="DefaultParagraphFont"/>
    <w:rsid w:val="00076381"/>
  </w:style>
  <w:style w:type="paragraph" w:customStyle="1" w:styleId="s4">
    <w:name w:val="s4"/>
    <w:basedOn w:val="Normal"/>
    <w:rsid w:val="00076381"/>
    <w:pPr>
      <w:spacing w:before="100" w:beforeAutospacing="1" w:after="100" w:afterAutospacing="1"/>
    </w:pPr>
    <w:rPr>
      <w:rFonts w:ascii="Times New Roman" w:hAnsi="Times New Roman" w:cs="Times New Roman"/>
      <w:kern w:val="0"/>
      <w:sz w:val="24"/>
      <w:szCs w:val="24"/>
      <w14:ligatures w14:val="none"/>
    </w:rPr>
  </w:style>
  <w:style w:type="character" w:customStyle="1" w:styleId="s5">
    <w:name w:val="s5"/>
    <w:basedOn w:val="DefaultParagraphFont"/>
    <w:rsid w:val="00076381"/>
  </w:style>
  <w:style w:type="character" w:customStyle="1" w:styleId="s6">
    <w:name w:val="s6"/>
    <w:basedOn w:val="DefaultParagraphFont"/>
    <w:rsid w:val="00076381"/>
  </w:style>
  <w:style w:type="paragraph" w:customStyle="1" w:styleId="p1">
    <w:name w:val="p1"/>
    <w:basedOn w:val="Normal"/>
    <w:rsid w:val="00C51C86"/>
    <w:rPr>
      <w:rFonts w:ascii="Helvetica" w:hAnsi="Helvetica" w:cs="Times New Roman"/>
      <w:kern w:val="0"/>
      <w:sz w:val="18"/>
      <w:szCs w:val="18"/>
      <w14:ligatures w14:val="none"/>
    </w:rPr>
  </w:style>
  <w:style w:type="character" w:customStyle="1" w:styleId="s1">
    <w:name w:val="s1"/>
    <w:basedOn w:val="DefaultParagraphFont"/>
    <w:rsid w:val="00C51C86"/>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957590">
      <w:marLeft w:val="570"/>
      <w:marRight w:val="0"/>
      <w:marTop w:val="0"/>
      <w:marBottom w:val="0"/>
      <w:divBdr>
        <w:top w:val="none" w:sz="0" w:space="0" w:color="auto"/>
        <w:left w:val="none" w:sz="0" w:space="0" w:color="auto"/>
        <w:bottom w:val="none" w:sz="0" w:space="0" w:color="auto"/>
        <w:right w:val="none" w:sz="0" w:space="0" w:color="auto"/>
      </w:divBdr>
    </w:div>
    <w:div w:id="997876819">
      <w:marLeft w:val="570"/>
      <w:marRight w:val="0"/>
      <w:marTop w:val="0"/>
      <w:marBottom w:val="0"/>
      <w:divBdr>
        <w:top w:val="none" w:sz="0" w:space="0" w:color="auto"/>
        <w:left w:val="none" w:sz="0" w:space="0" w:color="auto"/>
        <w:bottom w:val="none" w:sz="0" w:space="0" w:color="auto"/>
        <w:right w:val="none" w:sz="0" w:space="0" w:color="auto"/>
      </w:divBdr>
    </w:div>
    <w:div w:id="1270118339">
      <w:bodyDiv w:val="1"/>
      <w:marLeft w:val="0"/>
      <w:marRight w:val="0"/>
      <w:marTop w:val="0"/>
      <w:marBottom w:val="0"/>
      <w:divBdr>
        <w:top w:val="none" w:sz="0" w:space="0" w:color="auto"/>
        <w:left w:val="none" w:sz="0" w:space="0" w:color="auto"/>
        <w:bottom w:val="none" w:sz="0" w:space="0" w:color="auto"/>
        <w:right w:val="none" w:sz="0" w:space="0" w:color="auto"/>
      </w:divBdr>
    </w:div>
    <w:div w:id="1510680615">
      <w:bodyDiv w:val="1"/>
      <w:marLeft w:val="0"/>
      <w:marRight w:val="0"/>
      <w:marTop w:val="0"/>
      <w:marBottom w:val="0"/>
      <w:divBdr>
        <w:top w:val="none" w:sz="0" w:space="0" w:color="auto"/>
        <w:left w:val="none" w:sz="0" w:space="0" w:color="auto"/>
        <w:bottom w:val="none" w:sz="0" w:space="0" w:color="auto"/>
        <w:right w:val="none" w:sz="0" w:space="0" w:color="auto"/>
      </w:divBdr>
      <w:divsChild>
        <w:div w:id="1891452010">
          <w:marLeft w:val="0"/>
          <w:marRight w:val="0"/>
          <w:marTop w:val="0"/>
          <w:marBottom w:val="0"/>
          <w:divBdr>
            <w:top w:val="none" w:sz="0" w:space="0" w:color="auto"/>
            <w:left w:val="none" w:sz="0" w:space="0" w:color="auto"/>
            <w:bottom w:val="none" w:sz="0" w:space="0" w:color="auto"/>
            <w:right w:val="none" w:sz="0" w:space="0" w:color="auto"/>
          </w:divBdr>
          <w:divsChild>
            <w:div w:id="12172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02662">
      <w:marLeft w:val="570"/>
      <w:marRight w:val="0"/>
      <w:marTop w:val="0"/>
      <w:marBottom w:val="0"/>
      <w:divBdr>
        <w:top w:val="none" w:sz="0" w:space="0" w:color="auto"/>
        <w:left w:val="none" w:sz="0" w:space="0" w:color="auto"/>
        <w:bottom w:val="none" w:sz="0" w:space="0" w:color="auto"/>
        <w:right w:val="none" w:sz="0" w:space="0" w:color="auto"/>
      </w:divBdr>
    </w:div>
    <w:div w:id="200083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1519</Words>
  <Characters>8661</Characters>
  <Application>Microsoft Office Word</Application>
  <DocSecurity>0</DocSecurity>
  <Lines>72</Lines>
  <Paragraphs>20</Paragraphs>
  <ScaleCrop>false</ScaleCrop>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James Escol (2223946)</dc:creator>
  <cp:keywords/>
  <dc:description/>
  <cp:lastModifiedBy>Sandie James Escol (2223946)</cp:lastModifiedBy>
  <cp:revision>12</cp:revision>
  <dcterms:created xsi:type="dcterms:W3CDTF">2023-12-11T19:58:00Z</dcterms:created>
  <dcterms:modified xsi:type="dcterms:W3CDTF">2023-12-11T20:13:00Z</dcterms:modified>
</cp:coreProperties>
</file>