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714BC" w:rsidRPr="00D714BC" w:rsidRDefault="00D714BC" w:rsidP="00D714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color w:val="172B4D"/>
        </w:rPr>
      </w:pPr>
      <w:r w:rsidRPr="00D714BC">
        <w:rPr>
          <w:color w:val="172B4D"/>
        </w:rPr>
        <w:t>I confirm that I have not used any AI tools in the research and creation of this</w:t>
      </w:r>
    </w:p>
    <w:p w:rsidR="00D714BC" w:rsidRPr="00D714BC" w:rsidRDefault="00D714BC" w:rsidP="00D714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color w:val="172B4D"/>
        </w:rPr>
      </w:pPr>
      <w:r w:rsidRPr="00D714BC">
        <w:rPr>
          <w:color w:val="172B4D"/>
        </w:rPr>
        <w:t>assignment. I confirm that I have not presented any AI-generated materials as my own</w:t>
      </w:r>
    </w:p>
    <w:p w:rsidR="00D714BC" w:rsidRPr="00D714BC" w:rsidRDefault="00D714BC" w:rsidP="00D714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color w:val="172B4D"/>
        </w:rPr>
      </w:pPr>
      <w:r w:rsidRPr="00D714BC">
        <w:rPr>
          <w:color w:val="172B4D"/>
        </w:rPr>
        <w:t>work. I confirm I have copies of my drafts, notes, and other resources I used, which I may be asked to provide in evidence.</w:t>
      </w:r>
    </w:p>
    <w:p w:rsidR="00D714BC" w:rsidRDefault="00D714BC" w:rsidP="007361FC">
      <w:pPr>
        <w:pStyle w:val="NormalWeb"/>
        <w:spacing w:line="480" w:lineRule="auto"/>
        <w:rPr>
          <w:color w:val="000000"/>
        </w:rPr>
      </w:pPr>
    </w:p>
    <w:p w:rsidR="00D714BC" w:rsidRDefault="00D714BC" w:rsidP="007361FC">
      <w:pPr>
        <w:pStyle w:val="NormalWeb"/>
        <w:spacing w:line="480" w:lineRule="auto"/>
        <w:rPr>
          <w:color w:val="000000"/>
        </w:rPr>
      </w:pPr>
    </w:p>
    <w:p w:rsidR="00D714BC" w:rsidRDefault="00D714BC" w:rsidP="007361FC">
      <w:pPr>
        <w:pStyle w:val="NormalWeb"/>
        <w:spacing w:line="480" w:lineRule="auto"/>
        <w:rPr>
          <w:color w:val="000000"/>
        </w:rPr>
      </w:pPr>
    </w:p>
    <w:p w:rsidR="00D714BC" w:rsidRDefault="00D714BC" w:rsidP="007361FC">
      <w:pPr>
        <w:pStyle w:val="NormalWeb"/>
        <w:spacing w:line="480" w:lineRule="auto"/>
        <w:rPr>
          <w:color w:val="000000"/>
        </w:rPr>
      </w:pPr>
    </w:p>
    <w:p w:rsidR="00D714BC" w:rsidRDefault="00D714BC" w:rsidP="007361FC">
      <w:pPr>
        <w:pStyle w:val="NormalWeb"/>
        <w:spacing w:line="480" w:lineRule="auto"/>
        <w:rPr>
          <w:color w:val="000000"/>
        </w:rPr>
      </w:pPr>
    </w:p>
    <w:p w:rsidR="00D714BC" w:rsidRDefault="00D714BC" w:rsidP="007361FC">
      <w:pPr>
        <w:pStyle w:val="NormalWeb"/>
        <w:spacing w:line="480" w:lineRule="auto"/>
        <w:rPr>
          <w:color w:val="000000"/>
        </w:rPr>
      </w:pPr>
    </w:p>
    <w:p w:rsidR="00D714BC" w:rsidRDefault="00D714BC" w:rsidP="007361FC">
      <w:pPr>
        <w:pStyle w:val="NormalWeb"/>
        <w:spacing w:line="480" w:lineRule="auto"/>
        <w:rPr>
          <w:color w:val="000000"/>
        </w:rPr>
      </w:pPr>
    </w:p>
    <w:p w:rsidR="00D714BC" w:rsidRDefault="00D714BC" w:rsidP="007361FC">
      <w:pPr>
        <w:pStyle w:val="NormalWeb"/>
        <w:spacing w:line="480" w:lineRule="auto"/>
        <w:rPr>
          <w:color w:val="000000"/>
        </w:rPr>
      </w:pPr>
    </w:p>
    <w:p w:rsidR="00D714BC" w:rsidRDefault="00D714BC" w:rsidP="007361FC">
      <w:pPr>
        <w:pStyle w:val="NormalWeb"/>
        <w:spacing w:line="480" w:lineRule="auto"/>
        <w:rPr>
          <w:color w:val="000000"/>
        </w:rPr>
      </w:pPr>
    </w:p>
    <w:p w:rsidR="00D714BC" w:rsidRDefault="00D714BC" w:rsidP="007361FC">
      <w:pPr>
        <w:pStyle w:val="NormalWeb"/>
        <w:spacing w:line="480" w:lineRule="auto"/>
        <w:rPr>
          <w:color w:val="000000"/>
        </w:rPr>
      </w:pPr>
    </w:p>
    <w:p w:rsidR="00D714BC" w:rsidRDefault="00D714BC" w:rsidP="007361FC">
      <w:pPr>
        <w:pStyle w:val="NormalWeb"/>
        <w:spacing w:line="480" w:lineRule="auto"/>
        <w:rPr>
          <w:color w:val="000000"/>
        </w:rPr>
      </w:pPr>
    </w:p>
    <w:p w:rsidR="00D714BC" w:rsidRDefault="00D714BC" w:rsidP="007361FC">
      <w:pPr>
        <w:pStyle w:val="NormalWeb"/>
        <w:spacing w:line="480" w:lineRule="auto"/>
        <w:rPr>
          <w:color w:val="000000"/>
        </w:rPr>
      </w:pPr>
    </w:p>
    <w:p w:rsidR="00D714BC" w:rsidRDefault="00D714BC" w:rsidP="007361FC">
      <w:pPr>
        <w:pStyle w:val="NormalWeb"/>
        <w:spacing w:line="480" w:lineRule="auto"/>
        <w:rPr>
          <w:color w:val="000000"/>
        </w:rPr>
      </w:pPr>
    </w:p>
    <w:p w:rsidR="00D714BC" w:rsidRDefault="00D714BC" w:rsidP="007361FC">
      <w:pPr>
        <w:pStyle w:val="NormalWeb"/>
        <w:spacing w:line="480" w:lineRule="auto"/>
        <w:rPr>
          <w:color w:val="000000"/>
        </w:rPr>
      </w:pPr>
    </w:p>
    <w:p w:rsidR="007361FC" w:rsidRDefault="007361FC" w:rsidP="007361FC">
      <w:pPr>
        <w:pStyle w:val="NormalWeb"/>
        <w:spacing w:line="480" w:lineRule="auto"/>
        <w:rPr>
          <w:color w:val="000000"/>
        </w:rPr>
      </w:pPr>
      <w:r w:rsidRPr="00AC34BA">
        <w:rPr>
          <w:color w:val="000000"/>
        </w:rPr>
        <w:lastRenderedPageBreak/>
        <w:t xml:space="preserve">Eyewitness memory holds a position of considerable influence in the process of criminal investigations as well as in the decision-making process in the legal arena. Despite its apparent credibility in the legal arena, the bulk of the research in the field of cognitive psychology has established that the human memory does not literally record information in the way it seems. Rather, the dominant view in the field of psychology is that the human memory is a reconstructive process that is subject to numerous distortions as a result of perceptual as well as cognitive constraints (Loftus, 1979). </w:t>
      </w:r>
    </w:p>
    <w:p w:rsidR="007361FC" w:rsidRDefault="007361FC" w:rsidP="007361FC">
      <w:pPr>
        <w:pStyle w:val="NormalWeb"/>
        <w:spacing w:line="480" w:lineRule="auto"/>
        <w:rPr>
          <w:color w:val="000000"/>
        </w:rPr>
      </w:pPr>
      <w:r w:rsidRPr="00AC34BA">
        <w:rPr>
          <w:color w:val="000000"/>
        </w:rPr>
        <w:t>The purpose of this essay is to evaluate the cognitive factors that affect eyewitness memory with the help of established theoretical frameworks as well as observations from the in-class mock eyewitness scenario a</w:t>
      </w:r>
      <w:r>
        <w:rPr>
          <w:color w:val="000000"/>
        </w:rPr>
        <w:t>nd</w:t>
      </w:r>
      <w:r w:rsidRPr="00AC34BA">
        <w:rPr>
          <w:color w:val="000000"/>
        </w:rPr>
        <w:t xml:space="preserve"> the mock police line-up exercise. In this regard, eyewitness memory can be defined as the recollection of an event that an individual has observed </w:t>
      </w:r>
      <w:proofErr w:type="spellStart"/>
      <w:r w:rsidRPr="00AC34BA">
        <w:rPr>
          <w:color w:val="000000"/>
        </w:rPr>
        <w:t>firsthand</w:t>
      </w:r>
      <w:proofErr w:type="spellEnd"/>
      <w:r w:rsidRPr="00AC34BA">
        <w:rPr>
          <w:color w:val="000000"/>
        </w:rPr>
        <w:t>. On the other hand, cognitive factors can be defined as the mental process</w:t>
      </w:r>
      <w:r>
        <w:rPr>
          <w:color w:val="000000"/>
        </w:rPr>
        <w:t>es</w:t>
      </w:r>
      <w:r w:rsidRPr="00AC34BA">
        <w:rPr>
          <w:color w:val="000000"/>
        </w:rPr>
        <w:t xml:space="preserve"> that govern the process of information storage as well as retrieval.</w:t>
      </w:r>
      <w:r>
        <w:rPr>
          <w:color w:val="000000"/>
        </w:rPr>
        <w:t xml:space="preserve"> Although numerous variables have been shown to affect eyewitness accuracy, including emotional arousal, social influence, and individual differences, this essay adopts a focused analytical approach by examining three interrelated cognitive factors: encoding conditions and attentional allocation during event perception, the impact of post-event information and reconstructive memory processes, and decision-making mechanisms involved in identification procedures (Loftus &amp; Palmer, 1974; Wells, 1984).</w:t>
      </w:r>
    </w:p>
    <w:p w:rsidR="007361FC" w:rsidRDefault="007361FC" w:rsidP="007361FC">
      <w:pPr>
        <w:pStyle w:val="NormalWeb"/>
        <w:spacing w:line="480" w:lineRule="auto"/>
        <w:rPr>
          <w:color w:val="000000"/>
        </w:rPr>
      </w:pPr>
      <w:r>
        <w:rPr>
          <w:color w:val="000000"/>
        </w:rPr>
        <w:t xml:space="preserve">Grounding this discussion in the </w:t>
      </w:r>
      <w:r w:rsidRPr="0067187A">
        <w:rPr>
          <w:color w:val="000000"/>
        </w:rPr>
        <w:t xml:space="preserve">eyewitness accounts and identification materials supplied within the module </w:t>
      </w:r>
      <w:r>
        <w:rPr>
          <w:color w:val="000000"/>
        </w:rPr>
        <w:t xml:space="preserve">provides an applied framework through which theoretical claims can be evaluated. The variability, inconsistencies, and inferential elements evident in participants’ recollections highlight the practical manifestation of cognitive principles documented within the literature. Through integrating theory, research, and observed outcomes, this essay argues </w:t>
      </w:r>
      <w:r>
        <w:rPr>
          <w:color w:val="000000"/>
        </w:rPr>
        <w:lastRenderedPageBreak/>
        <w:t>that eyewitness memory is best conceptualised as a dynamic cognitive process systematically shaped by mechanisms operating at multiple stages of remembering.</w:t>
      </w:r>
    </w:p>
    <w:p w:rsidR="007361FC" w:rsidRDefault="007361FC" w:rsidP="007361FC">
      <w:pPr>
        <w:pStyle w:val="NormalWeb"/>
        <w:rPr>
          <w:color w:val="000000"/>
        </w:rPr>
      </w:pPr>
    </w:p>
    <w:p w:rsidR="007361FC" w:rsidRDefault="007361FC" w:rsidP="007361FC"/>
    <w:p w:rsidR="007361FC" w:rsidRDefault="007361FC" w:rsidP="007361FC">
      <w:pPr>
        <w:pStyle w:val="NormalWeb"/>
        <w:spacing w:line="480" w:lineRule="auto"/>
        <w:rPr>
          <w:color w:val="000000"/>
        </w:rPr>
      </w:pPr>
      <w:r w:rsidRPr="00C22541">
        <w:rPr>
          <w:color w:val="000000"/>
        </w:rPr>
        <w:t>A basic principle of cognitive psychology is that the accuracy of memory is subject to certain limitations due to encoding processes. This is defined as the process by which information is converted from a physical input to a mental representation. Any limitations occurring during this process have a subsequent impact on recall that cannot be compensated for during the retrieval process (Broadbent, 1958). A key feature of human cognition is that it is subject to limitations in attentional capacity; therefore, we can only process a certain amount of information from our environment. This has a subsequent impact on eyewitness memory, which is subject to the allocation of resources due to the witnessing process (Loftus, 1979), thus challenging our initial assumptions about the process.</w:t>
      </w:r>
    </w:p>
    <w:p w:rsidR="007361FC" w:rsidRDefault="007361FC" w:rsidP="007361FC">
      <w:pPr>
        <w:pStyle w:val="NormalWeb"/>
        <w:spacing w:line="480" w:lineRule="auto"/>
        <w:rPr>
          <w:color w:val="000000"/>
        </w:rPr>
      </w:pPr>
      <w:r w:rsidRPr="00C22541">
        <w:rPr>
          <w:color w:val="000000"/>
        </w:rPr>
        <w:t>The patterns identified in the mock eyewitnes</w:t>
      </w:r>
      <w:r>
        <w:rPr>
          <w:color w:val="000000"/>
        </w:rPr>
        <w:t>ses</w:t>
      </w:r>
      <w:r w:rsidRPr="00C22541">
        <w:rPr>
          <w:color w:val="000000"/>
        </w:rPr>
        <w:t xml:space="preserve"> serve as an example of the encoding limitations. Despite the fact that the subjects were exposed to the same visual stimulus, recollections of the target subject and the surrounding environment showed considerable variations. Inconsistencies were mainly noted in the recollections of the subject's clothing, face, and the surrounding objects. This is theoretically in line with the </w:t>
      </w:r>
      <w:r w:rsidR="00A23B43">
        <w:rPr>
          <w:color w:val="000000"/>
        </w:rPr>
        <w:t>idea</w:t>
      </w:r>
      <w:r w:rsidRPr="00C22541">
        <w:rPr>
          <w:color w:val="000000"/>
        </w:rPr>
        <w:t xml:space="preserve"> that the level of perceptual clarity has a direct impact on the accuracy of the encoding process (Loftus, 1979). Dim lighting conditions affect the level of visual discrimination, which in turn affects the encoding of the necessary details required for accurate person perception. It also </w:t>
      </w:r>
      <w:r w:rsidR="00A23B43">
        <w:rPr>
          <w:color w:val="000000"/>
        </w:rPr>
        <w:t xml:space="preserve">shows that when the visual stimulus is degraded, it not only weakens how strongly it is remembered but also changes the nature and quality of how it is stored in memory. </w:t>
      </w:r>
    </w:p>
    <w:p w:rsidR="007361FC" w:rsidRDefault="00A23B43" w:rsidP="007361FC">
      <w:pPr>
        <w:pStyle w:val="NormalWeb"/>
        <w:spacing w:line="480" w:lineRule="auto"/>
        <w:rPr>
          <w:color w:val="000000"/>
        </w:rPr>
      </w:pPr>
      <w:r>
        <w:rPr>
          <w:color w:val="000000"/>
        </w:rPr>
        <w:lastRenderedPageBreak/>
        <w:t>Mechanisms of a</w:t>
      </w:r>
      <w:r w:rsidR="007361FC" w:rsidRPr="00790020">
        <w:rPr>
          <w:color w:val="000000"/>
        </w:rPr>
        <w:t>ttentional allocation</w:t>
      </w:r>
      <w:r>
        <w:rPr>
          <w:color w:val="000000"/>
        </w:rPr>
        <w:t xml:space="preserve"> provide another possible explanation.</w:t>
      </w:r>
      <w:r w:rsidR="007361FC" w:rsidRPr="00790020">
        <w:rPr>
          <w:color w:val="000000"/>
        </w:rPr>
        <w:t xml:space="preserve"> The original information processing models argued that the operation of the attentional systems was subject to extreme capacity constraints, filtering the information received from the senses (Broadbent, 1958). More recent information processing models, such as Feature Integration Theory, argue that the process of object perception requires the allocation of attentional resources in order to bind disparate features of perception (</w:t>
      </w:r>
      <w:proofErr w:type="spellStart"/>
      <w:r w:rsidR="007361FC" w:rsidRPr="00790020">
        <w:rPr>
          <w:color w:val="000000"/>
        </w:rPr>
        <w:t>Treisman</w:t>
      </w:r>
      <w:proofErr w:type="spellEnd"/>
      <w:r w:rsidR="007361FC" w:rsidRPr="00790020">
        <w:rPr>
          <w:color w:val="000000"/>
        </w:rPr>
        <w:t xml:space="preserve"> &amp; </w:t>
      </w:r>
      <w:proofErr w:type="spellStart"/>
      <w:r w:rsidR="007361FC" w:rsidRPr="00790020">
        <w:rPr>
          <w:color w:val="000000"/>
        </w:rPr>
        <w:t>Gelade</w:t>
      </w:r>
      <w:proofErr w:type="spellEnd"/>
      <w:r w:rsidR="007361FC" w:rsidRPr="00790020">
        <w:rPr>
          <w:color w:val="000000"/>
        </w:rPr>
        <w:t xml:space="preserve">, 1980). In the context of a visually rich environment, it is possible that the allocation of attentional resources could be captured by contextual information in the scene, </w:t>
      </w:r>
      <w:r>
        <w:rPr>
          <w:color w:val="000000"/>
        </w:rPr>
        <w:t xml:space="preserve">therefore </w:t>
      </w:r>
      <w:r w:rsidR="007361FC" w:rsidRPr="00790020">
        <w:rPr>
          <w:color w:val="000000"/>
        </w:rPr>
        <w:t xml:space="preserve">limiting the processing of other information. </w:t>
      </w:r>
      <w:r>
        <w:rPr>
          <w:color w:val="000000"/>
        </w:rPr>
        <w:t>T</w:t>
      </w:r>
      <w:r w:rsidR="007361FC" w:rsidRPr="00790020">
        <w:rPr>
          <w:color w:val="000000"/>
        </w:rPr>
        <w:t xml:space="preserve">he </w:t>
      </w:r>
      <w:r w:rsidR="007361FC">
        <w:rPr>
          <w:color w:val="000000"/>
        </w:rPr>
        <w:t>eyewitness account materials</w:t>
      </w:r>
      <w:r w:rsidR="007361FC" w:rsidRPr="00790020">
        <w:rPr>
          <w:color w:val="000000"/>
        </w:rPr>
        <w:t xml:space="preserve"> highlighted that many participants offered detailed descriptions of the environmental clutter while offering relatively little information regarding the faces in the scene. </w:t>
      </w:r>
      <w:r>
        <w:rPr>
          <w:color w:val="000000"/>
        </w:rPr>
        <w:t>This pattern</w:t>
      </w:r>
      <w:r w:rsidR="007361FC" w:rsidRPr="00790020">
        <w:rPr>
          <w:color w:val="000000"/>
        </w:rPr>
        <w:t xml:space="preserve"> suggest</w:t>
      </w:r>
      <w:r>
        <w:rPr>
          <w:color w:val="000000"/>
        </w:rPr>
        <w:t>s that participants directed their attention towards the most visually salient elements of the scene, rather than identifying the elements that were most important for identifying the individuals present.</w:t>
      </w:r>
      <w:r w:rsidR="007361FC" w:rsidRPr="00790020">
        <w:rPr>
          <w:color w:val="000000"/>
        </w:rPr>
        <w:t xml:space="preserve"> </w:t>
      </w:r>
    </w:p>
    <w:p w:rsidR="007361FC" w:rsidRDefault="007361FC" w:rsidP="007361FC">
      <w:pPr>
        <w:pStyle w:val="NormalWeb"/>
        <w:spacing w:line="480" w:lineRule="auto"/>
        <w:rPr>
          <w:color w:val="000000"/>
        </w:rPr>
      </w:pPr>
      <w:r>
        <w:rPr>
          <w:color w:val="000000"/>
        </w:rPr>
        <w:t>T</w:t>
      </w:r>
      <w:r w:rsidRPr="00790020">
        <w:rPr>
          <w:color w:val="000000"/>
        </w:rPr>
        <w:t xml:space="preserve">he selective attention effects found within the </w:t>
      </w:r>
      <w:r>
        <w:rPr>
          <w:color w:val="000000"/>
        </w:rPr>
        <w:t>eye witness statements</w:t>
      </w:r>
      <w:r w:rsidRPr="00790020">
        <w:rPr>
          <w:color w:val="000000"/>
        </w:rPr>
        <w:t xml:space="preserve"> are similar to the weapon focus research. The research by </w:t>
      </w:r>
      <w:proofErr w:type="spellStart"/>
      <w:r w:rsidRPr="00790020">
        <w:rPr>
          <w:color w:val="000000"/>
        </w:rPr>
        <w:t>Steblay</w:t>
      </w:r>
      <w:proofErr w:type="spellEnd"/>
      <w:r w:rsidRPr="00790020">
        <w:rPr>
          <w:color w:val="000000"/>
        </w:rPr>
        <w:t xml:space="preserve"> (1992), which was a meta-analysis of selective attention effects on memory, found that selective attention to stimuli reduces memory of unattended information. Although no weapon was present, the visual complexity of the scene may have been the cause of selective attention. Research has shown that selective attention is not just for threat but may be for novelty or ambiguity. The fact that the </w:t>
      </w:r>
      <w:r>
        <w:rPr>
          <w:color w:val="000000"/>
        </w:rPr>
        <w:t>eye witness accounts</w:t>
      </w:r>
      <w:r w:rsidRPr="00790020">
        <w:rPr>
          <w:color w:val="000000"/>
        </w:rPr>
        <w:t xml:space="preserve"> focused on the disorder of the room and the target’s demeanour may suggest that cognitive appraisal may have played a role. This further supports the idea that encoding distortions are not random errors but are predictable outcomes of attention prioriti</w:t>
      </w:r>
      <w:r>
        <w:rPr>
          <w:color w:val="000000"/>
        </w:rPr>
        <w:t>s</w:t>
      </w:r>
      <w:r w:rsidRPr="00790020">
        <w:rPr>
          <w:color w:val="000000"/>
        </w:rPr>
        <w:t>ation mechanisms.</w:t>
      </w:r>
    </w:p>
    <w:p w:rsidR="007361FC" w:rsidRDefault="007361FC" w:rsidP="007361FC">
      <w:pPr>
        <w:pStyle w:val="NormalWeb"/>
        <w:spacing w:line="480" w:lineRule="auto"/>
        <w:rPr>
          <w:color w:val="000000"/>
        </w:rPr>
      </w:pPr>
      <w:r w:rsidRPr="00790020">
        <w:rPr>
          <w:color w:val="000000"/>
        </w:rPr>
        <w:lastRenderedPageBreak/>
        <w:t xml:space="preserve">Despite the strong theoretical and empirical support for the encoding-based explanations, critical evaluation points to some important limitations. Laboratory-based research into attention and perception is greatly aided by the high internal validity that </w:t>
      </w:r>
      <w:r w:rsidR="009D1E1A">
        <w:rPr>
          <w:color w:val="000000"/>
        </w:rPr>
        <w:t>kind of research is</w:t>
      </w:r>
      <w:r w:rsidRPr="00790020">
        <w:rPr>
          <w:color w:val="000000"/>
        </w:rPr>
        <w:t xml:space="preserve"> afforded. The precise nature of visual and cognitive variables is easily controlled in </w:t>
      </w:r>
      <w:r w:rsidR="002C6653">
        <w:rPr>
          <w:color w:val="000000"/>
        </w:rPr>
        <w:t>these types of</w:t>
      </w:r>
      <w:r w:rsidRPr="00790020">
        <w:rPr>
          <w:color w:val="000000"/>
        </w:rPr>
        <w:t xml:space="preserve"> settings. However, there are some concerns regarding the level of ecological validity. The conditions under which witnessing occurs in the real world are dynamic in nature. There are also emotional arousal and motivation factors that are not represented in the laboratory setting. Individual differences in attentional control and perceptual sensitivity are also important variables that may not be sufficiently represented in the laboratory setting. Nevertheless, the strong body of evidence points to the fact that conditions during encoding have a fundamental impact on the reliability of eyewitness memory. The classroom observations</w:t>
      </w:r>
      <w:r>
        <w:rPr>
          <w:color w:val="000000"/>
        </w:rPr>
        <w:t xml:space="preserve"> detailed in the eye witness accounts provided as examples</w:t>
      </w:r>
      <w:r w:rsidRPr="00790020">
        <w:rPr>
          <w:color w:val="000000"/>
        </w:rPr>
        <w:t xml:space="preserve"> were very much in line with the predictions.</w:t>
      </w:r>
    </w:p>
    <w:p w:rsidR="007361FC" w:rsidRDefault="007361FC" w:rsidP="007361FC">
      <w:pPr>
        <w:pStyle w:val="NormalWeb"/>
        <w:spacing w:line="480" w:lineRule="auto"/>
        <w:rPr>
          <w:color w:val="000000"/>
        </w:rPr>
      </w:pPr>
      <w:r w:rsidRPr="000F0281">
        <w:rPr>
          <w:color w:val="000000"/>
        </w:rPr>
        <w:t>The explanation for eyewitness memory distortions in terms of the limitation in encoding is not sufficient because contemporary cognitive theory is based on the idea that remembering is reconstructive in nature. Bartlett’s theory of remembering (1932) revolutioni</w:t>
      </w:r>
      <w:r>
        <w:rPr>
          <w:color w:val="000000"/>
        </w:rPr>
        <w:t>s</w:t>
      </w:r>
      <w:r w:rsidRPr="000F0281">
        <w:rPr>
          <w:color w:val="000000"/>
        </w:rPr>
        <w:t>ed the traditional approach to understanding memory as reproductive in nature. Instead, the theory suggested that remembering is reconstructive in nature. Schemas are organi</w:t>
      </w:r>
      <w:r>
        <w:rPr>
          <w:color w:val="000000"/>
        </w:rPr>
        <w:t>s</w:t>
      </w:r>
      <w:r w:rsidRPr="000F0281">
        <w:rPr>
          <w:color w:val="000000"/>
        </w:rPr>
        <w:t>ed knowledge structures that are developed through experience to aid in understanding</w:t>
      </w:r>
      <w:r>
        <w:rPr>
          <w:color w:val="000000"/>
        </w:rPr>
        <w:t>,</w:t>
      </w:r>
      <w:r w:rsidRPr="000F0281">
        <w:rPr>
          <w:color w:val="000000"/>
        </w:rPr>
        <w:t xml:space="preserve"> but may also result in systematic distortion. Thus, the process of remembering is not simply the retrieval of the stored visual image but is dynamic in nature. The theory has important implications for eyewitness memory, especially in situations where the event or the stimulus is ambiguous in nature.</w:t>
      </w:r>
    </w:p>
    <w:p w:rsidR="007361FC" w:rsidRDefault="007361FC" w:rsidP="007361FC">
      <w:pPr>
        <w:pStyle w:val="NormalWeb"/>
        <w:spacing w:line="480" w:lineRule="auto"/>
        <w:rPr>
          <w:color w:val="000000"/>
        </w:rPr>
      </w:pPr>
      <w:r>
        <w:rPr>
          <w:color w:val="000000"/>
        </w:rPr>
        <w:lastRenderedPageBreak/>
        <w:t>C</w:t>
      </w:r>
      <w:r w:rsidRPr="003D1E3D">
        <w:rPr>
          <w:color w:val="000000"/>
        </w:rPr>
        <w:t>learly, reconstructive processes are evident within the eyewitness accounts provided in relation to the presented mock scenario. It was common for the eyewitnesses to provide interpretative information, which was not necessarily related to the more visual aspects of the scenario, such as the state of the room and the characteristics of the target individual. For example, the eyewitness accounts provided, which indicated that the room had been “ransacked,” despite the relative lack of diagnostic information, are related to schema theory. Schema theory indicates that individuals, when provided with incomplete or ambiguous visual input, are likely to engage in the process of making sense of the situation using existing knowledge structures, which are then incorporated into memory (Alba &amp; Hasher, 1983). For example, the state of the room, which was cluttered, is likely to elicit a schema related to the act of theft.</w:t>
      </w:r>
    </w:p>
    <w:p w:rsidR="007361FC" w:rsidRDefault="007361FC" w:rsidP="007361FC">
      <w:pPr>
        <w:pStyle w:val="NormalWeb"/>
        <w:spacing w:line="480" w:lineRule="auto"/>
        <w:rPr>
          <w:color w:val="000000"/>
        </w:rPr>
      </w:pPr>
      <w:r w:rsidRPr="003D1E3D">
        <w:rPr>
          <w:color w:val="000000"/>
        </w:rPr>
        <w:t>Evidence for reconstructive memory processes has been well-supported within the misinformation paradigm. For instance, Loftus and Palmer (1974) found that minor changes to post-event linguistic information influenced participants' memory for the event. This was further evidence to suggest that memory representations are easily influenced and changed (Loftus, 2005). Although the eyewitness accounts are not the result of misinformation, the nature of the misinformation within these accounts follows the patterns of misinformation found within the misinformation paradigm. The modification of memory does not have to be influenced by external factors; rather, it may be influenced by internal inference and interpretation. The nature of the eyewitness accounts follows this process; it would seem that the witnesses have interpreted the environment in a particular way.</w:t>
      </w:r>
    </w:p>
    <w:p w:rsidR="007361FC" w:rsidRDefault="007361FC" w:rsidP="007361FC">
      <w:pPr>
        <w:pStyle w:val="NormalWeb"/>
        <w:spacing w:line="480" w:lineRule="auto"/>
        <w:rPr>
          <w:color w:val="000000"/>
        </w:rPr>
      </w:pPr>
      <w:r w:rsidRPr="00500A7D">
        <w:rPr>
          <w:color w:val="000000"/>
        </w:rPr>
        <w:t xml:space="preserve">The construct of reconstructive memory is further supported by research on the subject of subjective confidence and the experience of memory. In this regard, Loftus (2005) pointed out the importance of understanding the fact that people are often found to express high </w:t>
      </w:r>
      <w:r w:rsidRPr="00500A7D">
        <w:rPr>
          <w:color w:val="000000"/>
        </w:rPr>
        <w:lastRenderedPageBreak/>
        <w:t xml:space="preserve">subjective confidence in memories that contain inaccuracies. </w:t>
      </w:r>
      <w:r w:rsidR="002C6653">
        <w:rPr>
          <w:color w:val="000000"/>
        </w:rPr>
        <w:t>This</w:t>
      </w:r>
      <w:r w:rsidRPr="00500A7D">
        <w:rPr>
          <w:color w:val="000000"/>
        </w:rPr>
        <w:t xml:space="preserve"> point is </w:t>
      </w:r>
      <w:r w:rsidR="002C6653">
        <w:rPr>
          <w:color w:val="000000"/>
        </w:rPr>
        <w:t>more</w:t>
      </w:r>
      <w:r w:rsidRPr="00500A7D">
        <w:rPr>
          <w:color w:val="000000"/>
        </w:rPr>
        <w:t xml:space="preserve"> important when examining the eyewitness accounts, which show high confidence in the interpretations of the information. Reconstructed memories often feel consistent and logical, which makes their mistakes hard to notice just by thinking about them. As a result, the witnesses are not aware of the fact that the information is generated through inference</w:t>
      </w:r>
      <w:r>
        <w:rPr>
          <w:color w:val="000000"/>
        </w:rPr>
        <w:t>.</w:t>
      </w:r>
    </w:p>
    <w:p w:rsidR="007361FC" w:rsidRDefault="007361FC" w:rsidP="007361FC">
      <w:pPr>
        <w:pStyle w:val="NormalWeb"/>
        <w:spacing w:line="480" w:lineRule="auto"/>
        <w:rPr>
          <w:color w:val="000000"/>
        </w:rPr>
      </w:pPr>
      <w:r w:rsidRPr="00500A7D">
        <w:rPr>
          <w:color w:val="000000"/>
        </w:rPr>
        <w:t xml:space="preserve">Despite the clear implications of the reconstructive memory theory, a critical analysis reveals the limitations of the theory. There are also claims from some scholars that the misinformation effect in a lab situation may partly result from response bias or demand characteristics rather than the permanent change in the representation of the memory. There are also differences in the level of susceptibility to misinformation. Nevertheless, the </w:t>
      </w:r>
      <w:r>
        <w:rPr>
          <w:color w:val="000000"/>
        </w:rPr>
        <w:t>consistent findings</w:t>
      </w:r>
      <w:r w:rsidRPr="00500A7D">
        <w:rPr>
          <w:color w:val="000000"/>
        </w:rPr>
        <w:t xml:space="preserve"> strongly support the idea of the reconstructive nature of the memory. The types of misinformation present in the eyewitness testimonies are in accordance with the predictions of the theory</w:t>
      </w:r>
      <w:r>
        <w:rPr>
          <w:color w:val="000000"/>
        </w:rPr>
        <w:t>.</w:t>
      </w:r>
    </w:p>
    <w:p w:rsidR="007361FC" w:rsidRDefault="007361FC" w:rsidP="007361FC">
      <w:pPr>
        <w:pStyle w:val="NormalWeb"/>
        <w:spacing w:line="480" w:lineRule="auto"/>
        <w:rPr>
          <w:color w:val="000000"/>
        </w:rPr>
      </w:pPr>
      <w:r w:rsidRPr="00500A7D">
        <w:rPr>
          <w:color w:val="000000"/>
        </w:rPr>
        <w:t xml:space="preserve">Eyewitness identification tasks impose cognitive demands that </w:t>
      </w:r>
      <w:r>
        <w:rPr>
          <w:color w:val="000000"/>
        </w:rPr>
        <w:t>are more than</w:t>
      </w:r>
      <w:r w:rsidRPr="00500A7D">
        <w:rPr>
          <w:color w:val="000000"/>
        </w:rPr>
        <w:t xml:space="preserve"> memory processes, involving decisions that require making judgments in the face of uncertainty. Signal Detection Theory has been the dominant approach in accounting for eyewitness identification decisions, proposing that identification decisions reflect discriminations based on memory strength signals rather than the retrieval of memory representations (</w:t>
      </w:r>
      <w:proofErr w:type="spellStart"/>
      <w:r w:rsidRPr="00500A7D">
        <w:rPr>
          <w:color w:val="000000"/>
        </w:rPr>
        <w:t>Wixted</w:t>
      </w:r>
      <w:proofErr w:type="spellEnd"/>
      <w:r w:rsidRPr="00500A7D">
        <w:rPr>
          <w:color w:val="000000"/>
        </w:rPr>
        <w:t xml:space="preserve"> &amp; </w:t>
      </w:r>
      <w:proofErr w:type="spellStart"/>
      <w:r w:rsidRPr="00500A7D">
        <w:rPr>
          <w:color w:val="000000"/>
        </w:rPr>
        <w:t>Mickes</w:t>
      </w:r>
      <w:proofErr w:type="spellEnd"/>
      <w:r w:rsidRPr="00500A7D">
        <w:rPr>
          <w:color w:val="000000"/>
        </w:rPr>
        <w:t xml:space="preserve">, 2014). Witnesses need to make decisions about the familiarity of a face, deciding whether the familiarity experienced by the face is due to memory or due to perceptual and contextual factors. Decision criteria have been shown to be important in eyewitness identification, </w:t>
      </w:r>
      <w:r>
        <w:rPr>
          <w:color w:val="000000"/>
        </w:rPr>
        <w:t>which</w:t>
      </w:r>
      <w:r w:rsidRPr="00500A7D">
        <w:rPr>
          <w:color w:val="000000"/>
        </w:rPr>
        <w:t xml:space="preserve"> poin</w:t>
      </w:r>
      <w:r>
        <w:rPr>
          <w:color w:val="000000"/>
        </w:rPr>
        <w:t>ts</w:t>
      </w:r>
      <w:r w:rsidRPr="00500A7D">
        <w:rPr>
          <w:color w:val="000000"/>
        </w:rPr>
        <w:t xml:space="preserve"> to the fact that accuracy depends on judgment processes</w:t>
      </w:r>
      <w:r>
        <w:rPr>
          <w:color w:val="000000"/>
        </w:rPr>
        <w:t>.</w:t>
      </w:r>
    </w:p>
    <w:p w:rsidR="007361FC" w:rsidRDefault="007361FC" w:rsidP="007361FC">
      <w:pPr>
        <w:pStyle w:val="NormalWeb"/>
        <w:spacing w:line="480" w:lineRule="auto"/>
        <w:rPr>
          <w:color w:val="000000"/>
        </w:rPr>
      </w:pPr>
      <w:r w:rsidRPr="00B95904">
        <w:rPr>
          <w:color w:val="000000"/>
        </w:rPr>
        <w:t xml:space="preserve">The mock police line-up materials provided as part of the module provide an example of how these cognitive processes may be seen in operation. The need to identify the target from </w:t>
      </w:r>
      <w:r w:rsidRPr="00B95904">
        <w:rPr>
          <w:color w:val="000000"/>
        </w:rPr>
        <w:lastRenderedPageBreak/>
        <w:t>visually similar alternatives provides conditions in which discrimination may be difficult. Relative judgment theory suggests that witnesses may often rely upon relative judgment, choosing the person who most resembles their memory of the target relative to the other people in the line-up, rather than making absolute judgments (</w:t>
      </w:r>
      <w:r>
        <w:rPr>
          <w:color w:val="000000"/>
        </w:rPr>
        <w:t>Moreland, 2020</w:t>
      </w:r>
      <w:r w:rsidRPr="00B95904">
        <w:rPr>
          <w:color w:val="000000"/>
        </w:rPr>
        <w:t xml:space="preserve">). These types of judgment increase the probability of false identifications, especially if the target is absent. Additionally, if </w:t>
      </w:r>
      <w:r>
        <w:rPr>
          <w:color w:val="000000"/>
        </w:rPr>
        <w:t xml:space="preserve">the </w:t>
      </w:r>
      <w:r w:rsidRPr="00B95904">
        <w:rPr>
          <w:color w:val="000000"/>
        </w:rPr>
        <w:t>initial conditions of viewing were poor, witnesses may be reliant upon generali</w:t>
      </w:r>
      <w:r>
        <w:rPr>
          <w:color w:val="000000"/>
        </w:rPr>
        <w:t>s</w:t>
      </w:r>
      <w:r w:rsidRPr="00B95904">
        <w:rPr>
          <w:color w:val="000000"/>
        </w:rPr>
        <w:t xml:space="preserve">ed familiarity effects. Based upon the inconsistency and uncertainty apparent in the eyewitness accounts, it is possible that these identification decisions may be subject to </w:t>
      </w:r>
      <w:r>
        <w:rPr>
          <w:color w:val="000000"/>
        </w:rPr>
        <w:t>mental shortcuts.</w:t>
      </w:r>
    </w:p>
    <w:p w:rsidR="007361FC" w:rsidRDefault="007361FC" w:rsidP="007361FC">
      <w:pPr>
        <w:pStyle w:val="NormalWeb"/>
        <w:spacing w:line="480" w:lineRule="auto"/>
        <w:rPr>
          <w:color w:val="000000"/>
        </w:rPr>
      </w:pPr>
      <w:r w:rsidRPr="0026023B">
        <w:rPr>
          <w:color w:val="000000"/>
        </w:rPr>
        <w:t xml:space="preserve">Research into the identification accuracy has offered </w:t>
      </w:r>
      <w:r>
        <w:rPr>
          <w:color w:val="000000"/>
        </w:rPr>
        <w:t>strong</w:t>
      </w:r>
      <w:r w:rsidRPr="0026023B">
        <w:rPr>
          <w:color w:val="000000"/>
        </w:rPr>
        <w:t xml:space="preserve"> empirical </w:t>
      </w:r>
      <w:r>
        <w:rPr>
          <w:color w:val="000000"/>
        </w:rPr>
        <w:t xml:space="preserve">evidence for this explanation. </w:t>
      </w:r>
      <w:r w:rsidRPr="0026023B">
        <w:rPr>
          <w:color w:val="000000"/>
        </w:rPr>
        <w:t>Wells &amp; Olson (2003) stressed that identification ability is influenced by the quality of memory and decision strategies, with the structure of the line-up having a large impact. When the options have overlapping information, witnesses tend to find it hard to distinguish between the targets and the fillers, making them likely to use relative similarity judgments. This process underscores the point that identification errors can</w:t>
      </w:r>
      <w:r>
        <w:rPr>
          <w:color w:val="000000"/>
        </w:rPr>
        <w:t>’</w:t>
      </w:r>
      <w:r w:rsidRPr="0026023B">
        <w:rPr>
          <w:color w:val="000000"/>
        </w:rPr>
        <w:t>t be explained by memory failure alone but by cognitive decision processes that can be anticipate</w:t>
      </w:r>
      <w:r>
        <w:rPr>
          <w:color w:val="000000"/>
        </w:rPr>
        <w:t>d.</w:t>
      </w:r>
    </w:p>
    <w:p w:rsidR="007361FC" w:rsidRDefault="007361FC" w:rsidP="007361FC">
      <w:pPr>
        <w:pStyle w:val="NormalWeb"/>
        <w:spacing w:line="480" w:lineRule="auto"/>
        <w:rPr>
          <w:color w:val="000000"/>
        </w:rPr>
      </w:pPr>
      <w:r w:rsidRPr="00913F53">
        <w:rPr>
          <w:color w:val="000000"/>
        </w:rPr>
        <w:t>Confidence judgments add another layer of complexity to the interpretation of identification evidence. Confidence, while being intuitively related to accuracy, has been shown to be conditionally related to accuracy and subject to distortion in empirical studies (</w:t>
      </w:r>
      <w:proofErr w:type="spellStart"/>
      <w:r w:rsidRPr="00913F53">
        <w:rPr>
          <w:color w:val="000000"/>
        </w:rPr>
        <w:t>Wixted</w:t>
      </w:r>
      <w:proofErr w:type="spellEnd"/>
      <w:r w:rsidRPr="00913F53">
        <w:rPr>
          <w:color w:val="000000"/>
        </w:rPr>
        <w:t xml:space="preserve"> &amp; Wells, 2017). Feedback, testing, and context may increase confidence regardless of accuracy. Therefore, high-confidence choices should not be taken to mean accuracy, especially when encoding quality is lo</w:t>
      </w:r>
      <w:r>
        <w:rPr>
          <w:color w:val="000000"/>
        </w:rPr>
        <w:t>w</w:t>
      </w:r>
      <w:r w:rsidRPr="00913F53">
        <w:rPr>
          <w:color w:val="000000"/>
        </w:rPr>
        <w:t>.</w:t>
      </w:r>
    </w:p>
    <w:p w:rsidR="007361FC" w:rsidRPr="00790020" w:rsidRDefault="007361FC" w:rsidP="007361FC">
      <w:pPr>
        <w:pStyle w:val="NormalWeb"/>
        <w:spacing w:line="480" w:lineRule="auto"/>
        <w:rPr>
          <w:color w:val="000000"/>
        </w:rPr>
      </w:pPr>
      <w:r w:rsidRPr="00913F53">
        <w:rPr>
          <w:color w:val="000000"/>
        </w:rPr>
        <w:t xml:space="preserve">Although there is considerable theoretical and empirical support for these cognitive explanations of identification, upon closer examination, </w:t>
      </w:r>
      <w:r>
        <w:rPr>
          <w:color w:val="000000"/>
        </w:rPr>
        <w:t>it’s clear to</w:t>
      </w:r>
      <w:r w:rsidRPr="00913F53">
        <w:rPr>
          <w:color w:val="000000"/>
        </w:rPr>
        <w:t xml:space="preserve"> see that they are limited. </w:t>
      </w:r>
      <w:r w:rsidRPr="00913F53">
        <w:rPr>
          <w:color w:val="000000"/>
        </w:rPr>
        <w:lastRenderedPageBreak/>
        <w:t xml:space="preserve">While these laboratory studies possess high internal validity, they might not adequately portray emotional and motivational factors that are present in actual forensic situations. Individual differences in face recognition ability are another source of limitation. However, it can be concluded that there is considerable support for the idea that identification is a product of cognition that </w:t>
      </w:r>
      <w:r>
        <w:rPr>
          <w:color w:val="000000"/>
        </w:rPr>
        <w:t>is not limited to the accuracy of</w:t>
      </w:r>
      <w:r w:rsidRPr="00913F53">
        <w:rPr>
          <w:color w:val="000000"/>
        </w:rPr>
        <w:t xml:space="preserve"> memory. The materials used in mock line-ups demonstrate how judgment strategies, similarity, and decision criteria can influence eyewitness performance.</w:t>
      </w:r>
    </w:p>
    <w:p w:rsidR="007361FC" w:rsidRDefault="007361FC" w:rsidP="007361FC">
      <w:pPr>
        <w:pStyle w:val="NormalWeb"/>
        <w:spacing w:line="480" w:lineRule="auto"/>
        <w:rPr>
          <w:color w:val="000000"/>
        </w:rPr>
      </w:pPr>
      <w:r w:rsidRPr="00913F53">
        <w:rPr>
          <w:color w:val="000000"/>
        </w:rPr>
        <w:t>This essay has asserted that eyewitness memory should be considered an active process of reconstruction, driven by cognitive mechanisms that are active throughout the process of memory. As has been shown, the conditions of encoding are restricted by fundamental limitations of attention, as well as perception, which limit the quality of memory (Broadbent, 1958; Loftus, 1979). The inconsistency of the eyewitness accounts, as provided by the scenario, supports this, as the differing descriptions of the scene highlight the influence of attentional factors. It is clear, then, that memory inaccuracies are often due to perception, as opposed to other stages of memory</w:t>
      </w:r>
      <w:r>
        <w:rPr>
          <w:color w:val="000000"/>
        </w:rPr>
        <w:t>.</w:t>
      </w:r>
    </w:p>
    <w:p w:rsidR="007361FC" w:rsidRDefault="007361FC" w:rsidP="007361FC">
      <w:pPr>
        <w:pStyle w:val="NormalWeb"/>
        <w:spacing w:line="480" w:lineRule="auto"/>
        <w:rPr>
          <w:color w:val="000000"/>
        </w:rPr>
      </w:pPr>
      <w:r w:rsidRPr="00A033E3">
        <w:rPr>
          <w:color w:val="000000"/>
        </w:rPr>
        <w:t>Additionally, the reconstructive nature of memory itself contributes to memory distortion. The inference and interpretation of memory, in accordance with schema-based information, play a crucial role in memory distortion. This occurs especially when the information presented is ambiguous. The inferential aspects of the information presented in the eyewitness testimony illustrate the ways in which people tend to impose meaning on incomplete information. This is in line with the empirical evidence of misinformation effects (Loftus &amp; Palmer, 1974; Loftus, 2005).</w:t>
      </w:r>
    </w:p>
    <w:p w:rsidR="007361FC" w:rsidRDefault="007361FC" w:rsidP="007361FC">
      <w:pPr>
        <w:pStyle w:val="NormalWeb"/>
        <w:spacing w:line="480" w:lineRule="auto"/>
        <w:rPr>
          <w:color w:val="000000"/>
        </w:rPr>
      </w:pPr>
      <w:r w:rsidRPr="00A033E3">
        <w:rPr>
          <w:color w:val="000000"/>
        </w:rPr>
        <w:t xml:space="preserve">Finally, identification processes impose additional cognitive demands. Decision-making processes and strategies of judgment are known to affect identification outcomes </w:t>
      </w:r>
      <w:r w:rsidRPr="00A033E3">
        <w:rPr>
          <w:color w:val="000000"/>
        </w:rPr>
        <w:lastRenderedPageBreak/>
        <w:t xml:space="preserve">independently of memory strength (Wells, 1984; </w:t>
      </w:r>
      <w:proofErr w:type="spellStart"/>
      <w:r w:rsidRPr="00A033E3">
        <w:rPr>
          <w:color w:val="000000"/>
        </w:rPr>
        <w:t>Wixted</w:t>
      </w:r>
      <w:proofErr w:type="spellEnd"/>
      <w:r w:rsidRPr="00A033E3">
        <w:rPr>
          <w:color w:val="000000"/>
        </w:rPr>
        <w:t xml:space="preserve"> &amp; </w:t>
      </w:r>
      <w:proofErr w:type="spellStart"/>
      <w:r w:rsidRPr="00A033E3">
        <w:rPr>
          <w:color w:val="000000"/>
        </w:rPr>
        <w:t>Mickes</w:t>
      </w:r>
      <w:proofErr w:type="spellEnd"/>
      <w:r w:rsidRPr="00A033E3">
        <w:rPr>
          <w:color w:val="000000"/>
        </w:rPr>
        <w:t>, 2014). The mock line-up materials used here to support our argument point to how relative comparison and similarity may impact identification processes, with cognitive criteria affecting eyewitness performance</w:t>
      </w:r>
      <w:r>
        <w:rPr>
          <w:color w:val="000000"/>
        </w:rPr>
        <w:t>.</w:t>
      </w:r>
    </w:p>
    <w:p w:rsidR="007361FC" w:rsidRDefault="007361FC" w:rsidP="007361FC">
      <w:pPr>
        <w:spacing w:line="480" w:lineRule="auto"/>
      </w:pPr>
      <w:r w:rsidRPr="00A033E3">
        <w:t>Collectively, these findings indicate that eyewitness inaccuracy is a function of systematic cognitive processes that are amenable to clear explanation, as opposed to error or randomness. This analysis emphasi</w:t>
      </w:r>
      <w:r>
        <w:t>s</w:t>
      </w:r>
      <w:r w:rsidRPr="00A033E3">
        <w:t>es the importance of viewing eyewitness evidence as a necessary exercise in caution, as well as supporting the ongoing role of cognitive research in informing legal practice.</w:t>
      </w:r>
    </w:p>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7361FC" w:rsidRDefault="007361FC" w:rsidP="007361FC"/>
    <w:p w:rsidR="00F43A18" w:rsidRDefault="00F43A18" w:rsidP="00F43A18"/>
    <w:p w:rsidR="00F43A18" w:rsidRDefault="00F43A18" w:rsidP="00F43A18">
      <w:r>
        <w:t>REFERENCE LIST</w:t>
      </w:r>
    </w:p>
    <w:p w:rsidR="00F43A18" w:rsidRDefault="00F43A18" w:rsidP="00F43A18"/>
    <w:p w:rsidR="00F43A18" w:rsidRDefault="00F43A18" w:rsidP="00F43A18">
      <w:pPr>
        <w:pStyle w:val="NormalWeb"/>
        <w:ind w:left="720" w:hanging="720"/>
        <w:rPr>
          <w:color w:val="000000"/>
        </w:rPr>
      </w:pPr>
      <w:r>
        <w:rPr>
          <w:color w:val="000000"/>
        </w:rPr>
        <w:t>Alba, J. W., &amp; Hasher, L. (1983). Is memory schematic?</w:t>
      </w:r>
      <w:r>
        <w:rPr>
          <w:rStyle w:val="apple-converted-space"/>
          <w:color w:val="000000"/>
        </w:rPr>
        <w:t> </w:t>
      </w:r>
      <w:r>
        <w:rPr>
          <w:rStyle w:val="Emphasis"/>
          <w:color w:val="000000"/>
        </w:rPr>
        <w:t>Psychological Bulletin, 93</w:t>
      </w:r>
      <w:r>
        <w:rPr>
          <w:color w:val="000000"/>
        </w:rPr>
        <w:t>(2), 203–231.</w:t>
      </w:r>
    </w:p>
    <w:p w:rsidR="00F43A18" w:rsidRDefault="00F43A18" w:rsidP="00F43A18">
      <w:pPr>
        <w:pStyle w:val="NormalWeb"/>
        <w:ind w:left="720" w:hanging="720"/>
        <w:rPr>
          <w:color w:val="000000"/>
        </w:rPr>
      </w:pPr>
      <w:r>
        <w:rPr>
          <w:color w:val="000000"/>
        </w:rPr>
        <w:t>Bartlett, F. C. (1932).</w:t>
      </w:r>
      <w:r>
        <w:rPr>
          <w:rStyle w:val="apple-converted-space"/>
          <w:color w:val="000000"/>
        </w:rPr>
        <w:t> </w:t>
      </w:r>
      <w:r>
        <w:rPr>
          <w:rStyle w:val="Emphasis"/>
          <w:color w:val="000000"/>
        </w:rPr>
        <w:t>Remembering: A study in experimental and social psychology</w:t>
      </w:r>
      <w:r>
        <w:rPr>
          <w:color w:val="000000"/>
        </w:rPr>
        <w:t>. Cambridge University Press.</w:t>
      </w:r>
    </w:p>
    <w:p w:rsidR="00F43A18" w:rsidRDefault="00F43A18" w:rsidP="00F43A18">
      <w:pPr>
        <w:pStyle w:val="NormalWeb"/>
        <w:ind w:left="720" w:hanging="720"/>
        <w:rPr>
          <w:color w:val="000000"/>
        </w:rPr>
      </w:pPr>
      <w:r>
        <w:rPr>
          <w:color w:val="000000"/>
        </w:rPr>
        <w:t>Brewer, N., &amp; Wells, G. L. (2011). Eyewitness identification.</w:t>
      </w:r>
      <w:r>
        <w:rPr>
          <w:rStyle w:val="apple-converted-space"/>
          <w:color w:val="000000"/>
        </w:rPr>
        <w:t> </w:t>
      </w:r>
      <w:r>
        <w:rPr>
          <w:rStyle w:val="Emphasis"/>
          <w:color w:val="000000"/>
        </w:rPr>
        <w:t>Current Directions in Psychological Science, 20</w:t>
      </w:r>
      <w:r>
        <w:rPr>
          <w:color w:val="000000"/>
        </w:rPr>
        <w:t>(1), 24–27.</w:t>
      </w:r>
    </w:p>
    <w:p w:rsidR="00F43A18" w:rsidRDefault="00F43A18" w:rsidP="00F43A18">
      <w:pPr>
        <w:pStyle w:val="NormalWeb"/>
        <w:ind w:left="720" w:hanging="720"/>
        <w:rPr>
          <w:color w:val="000000"/>
        </w:rPr>
      </w:pPr>
      <w:r>
        <w:rPr>
          <w:color w:val="000000"/>
        </w:rPr>
        <w:t>Broadbent, D. E. (1958).</w:t>
      </w:r>
      <w:r>
        <w:rPr>
          <w:rStyle w:val="apple-converted-space"/>
          <w:color w:val="000000"/>
        </w:rPr>
        <w:t> </w:t>
      </w:r>
      <w:r>
        <w:rPr>
          <w:rStyle w:val="Emphasis"/>
          <w:color w:val="000000"/>
        </w:rPr>
        <w:t>Perception and communication</w:t>
      </w:r>
      <w:r>
        <w:rPr>
          <w:color w:val="000000"/>
        </w:rPr>
        <w:t>. Pergamon Press.</w:t>
      </w:r>
    </w:p>
    <w:p w:rsidR="00F43A18" w:rsidRDefault="00F43A18" w:rsidP="00F43A18">
      <w:pPr>
        <w:pStyle w:val="NormalWeb"/>
        <w:ind w:left="720" w:hanging="720"/>
        <w:rPr>
          <w:color w:val="000000"/>
        </w:rPr>
      </w:pPr>
      <w:r>
        <w:rPr>
          <w:color w:val="000000"/>
        </w:rPr>
        <w:t>Clark, S. E. (2012). Costs and benefits of eyewitness identification reform: Psychological science and public policy.</w:t>
      </w:r>
      <w:r>
        <w:rPr>
          <w:rStyle w:val="apple-converted-space"/>
          <w:color w:val="000000"/>
        </w:rPr>
        <w:t> </w:t>
      </w:r>
      <w:r>
        <w:rPr>
          <w:rStyle w:val="Emphasis"/>
          <w:color w:val="000000"/>
        </w:rPr>
        <w:t>Perspectives on Psychological Science, 7</w:t>
      </w:r>
      <w:r>
        <w:rPr>
          <w:color w:val="000000"/>
        </w:rPr>
        <w:t>(3), 238–259.</w:t>
      </w:r>
    </w:p>
    <w:p w:rsidR="00F43A18" w:rsidRDefault="00F43A18" w:rsidP="00F43A18">
      <w:pPr>
        <w:pStyle w:val="NormalWeb"/>
        <w:ind w:left="720" w:hanging="720"/>
        <w:rPr>
          <w:color w:val="000000"/>
        </w:rPr>
      </w:pPr>
      <w:proofErr w:type="spellStart"/>
      <w:r>
        <w:rPr>
          <w:color w:val="000000"/>
        </w:rPr>
        <w:t>Deffenbacher</w:t>
      </w:r>
      <w:proofErr w:type="spellEnd"/>
      <w:r>
        <w:rPr>
          <w:color w:val="000000"/>
        </w:rPr>
        <w:t xml:space="preserve">, K. A., Bornstein, B. H., Penrod, S. D., &amp; </w:t>
      </w:r>
      <w:proofErr w:type="spellStart"/>
      <w:r>
        <w:rPr>
          <w:color w:val="000000"/>
        </w:rPr>
        <w:t>McGorty</w:t>
      </w:r>
      <w:proofErr w:type="spellEnd"/>
      <w:r>
        <w:rPr>
          <w:color w:val="000000"/>
        </w:rPr>
        <w:t>, E. K. (2004). A meta-analytic review of the effects of high stress on eyewitness memory.</w:t>
      </w:r>
      <w:r>
        <w:rPr>
          <w:rStyle w:val="apple-converted-space"/>
          <w:color w:val="000000"/>
        </w:rPr>
        <w:t> </w:t>
      </w:r>
      <w:r>
        <w:rPr>
          <w:rStyle w:val="Emphasis"/>
          <w:color w:val="000000"/>
        </w:rPr>
        <w:t xml:space="preserve">Law and Human </w:t>
      </w:r>
      <w:proofErr w:type="spellStart"/>
      <w:r>
        <w:rPr>
          <w:rStyle w:val="Emphasis"/>
          <w:color w:val="000000"/>
        </w:rPr>
        <w:t>Behavior</w:t>
      </w:r>
      <w:proofErr w:type="spellEnd"/>
      <w:r>
        <w:rPr>
          <w:rStyle w:val="Emphasis"/>
          <w:color w:val="000000"/>
        </w:rPr>
        <w:t>, 28</w:t>
      </w:r>
      <w:r>
        <w:rPr>
          <w:color w:val="000000"/>
        </w:rPr>
        <w:t>(6), 687–706.</w:t>
      </w:r>
    </w:p>
    <w:p w:rsidR="00F43A18" w:rsidRDefault="00F43A18" w:rsidP="00F43A18">
      <w:pPr>
        <w:pStyle w:val="NormalWeb"/>
        <w:ind w:left="720" w:hanging="720"/>
        <w:rPr>
          <w:color w:val="000000"/>
        </w:rPr>
      </w:pPr>
      <w:r>
        <w:rPr>
          <w:color w:val="000000"/>
        </w:rPr>
        <w:t>Eysenck, M. W., &amp; Keane, M. T. (2020).</w:t>
      </w:r>
      <w:r>
        <w:rPr>
          <w:rStyle w:val="apple-converted-space"/>
          <w:color w:val="000000"/>
        </w:rPr>
        <w:t> </w:t>
      </w:r>
      <w:r>
        <w:rPr>
          <w:rStyle w:val="Emphasis"/>
          <w:color w:val="000000"/>
        </w:rPr>
        <w:t>Cognitive psychology: A student’s handbook</w:t>
      </w:r>
      <w:r>
        <w:rPr>
          <w:rStyle w:val="apple-converted-space"/>
          <w:color w:val="000000"/>
        </w:rPr>
        <w:t> </w:t>
      </w:r>
      <w:r>
        <w:rPr>
          <w:color w:val="000000"/>
        </w:rPr>
        <w:t>(8th ed.). Psychology Press.</w:t>
      </w:r>
    </w:p>
    <w:p w:rsidR="00F43A18" w:rsidRDefault="00F43A18" w:rsidP="00F43A18">
      <w:pPr>
        <w:pStyle w:val="NormalWeb"/>
        <w:ind w:left="720" w:hanging="720"/>
        <w:rPr>
          <w:color w:val="000000"/>
        </w:rPr>
      </w:pPr>
      <w:r>
        <w:rPr>
          <w:color w:val="000000"/>
        </w:rPr>
        <w:t xml:space="preserve">Fisher, R. P., &amp; </w:t>
      </w:r>
      <w:proofErr w:type="spellStart"/>
      <w:r>
        <w:rPr>
          <w:color w:val="000000"/>
        </w:rPr>
        <w:t>Geiselman</w:t>
      </w:r>
      <w:proofErr w:type="spellEnd"/>
      <w:r>
        <w:rPr>
          <w:color w:val="000000"/>
        </w:rPr>
        <w:t>, R. E. (1992).</w:t>
      </w:r>
      <w:r>
        <w:rPr>
          <w:rStyle w:val="apple-converted-space"/>
          <w:color w:val="000000"/>
        </w:rPr>
        <w:t> </w:t>
      </w:r>
      <w:r>
        <w:rPr>
          <w:rStyle w:val="Emphasis"/>
          <w:color w:val="000000"/>
        </w:rPr>
        <w:t>Memory-enhancing techniques for investigative interviewing: The cognitive interview</w:t>
      </w:r>
      <w:r>
        <w:rPr>
          <w:color w:val="000000"/>
        </w:rPr>
        <w:t>. Charles C Thomas.</w:t>
      </w:r>
    </w:p>
    <w:p w:rsidR="00F43A18" w:rsidRDefault="00F43A18" w:rsidP="00F43A18">
      <w:pPr>
        <w:pStyle w:val="NormalWeb"/>
        <w:ind w:left="720" w:hanging="720"/>
        <w:rPr>
          <w:color w:val="000000"/>
        </w:rPr>
      </w:pPr>
      <w:r>
        <w:rPr>
          <w:color w:val="000000"/>
        </w:rPr>
        <w:t>Loftus, E. F. (1979).</w:t>
      </w:r>
      <w:r>
        <w:rPr>
          <w:rStyle w:val="apple-converted-space"/>
          <w:color w:val="000000"/>
        </w:rPr>
        <w:t> </w:t>
      </w:r>
      <w:r>
        <w:rPr>
          <w:rStyle w:val="Emphasis"/>
          <w:color w:val="000000"/>
        </w:rPr>
        <w:t>Eyewitness testimony</w:t>
      </w:r>
      <w:r>
        <w:rPr>
          <w:color w:val="000000"/>
        </w:rPr>
        <w:t>. Harvard University Press.</w:t>
      </w:r>
    </w:p>
    <w:p w:rsidR="00F43A18" w:rsidRDefault="00F43A18" w:rsidP="00F43A18">
      <w:pPr>
        <w:pStyle w:val="NormalWeb"/>
        <w:ind w:left="720" w:hanging="720"/>
        <w:rPr>
          <w:color w:val="000000"/>
        </w:rPr>
      </w:pPr>
      <w:r>
        <w:rPr>
          <w:color w:val="000000"/>
        </w:rPr>
        <w:t>Loftus, E. F. (2005). Planting misinformation in the human mind: A 30-year investigation of the malleability of memory.</w:t>
      </w:r>
      <w:r>
        <w:rPr>
          <w:rStyle w:val="apple-converted-space"/>
          <w:color w:val="000000"/>
        </w:rPr>
        <w:t> </w:t>
      </w:r>
      <w:r>
        <w:rPr>
          <w:rStyle w:val="Emphasis"/>
          <w:color w:val="000000"/>
        </w:rPr>
        <w:t>Learning &amp; Memory, 12</w:t>
      </w:r>
      <w:r>
        <w:rPr>
          <w:color w:val="000000"/>
        </w:rPr>
        <w:t>(4), 361–366.</w:t>
      </w:r>
    </w:p>
    <w:p w:rsidR="00F43A18" w:rsidRDefault="00F43A18" w:rsidP="00F43A18">
      <w:pPr>
        <w:pStyle w:val="NormalWeb"/>
        <w:ind w:left="720" w:hanging="720"/>
        <w:rPr>
          <w:color w:val="000000"/>
        </w:rPr>
      </w:pPr>
      <w:r>
        <w:rPr>
          <w:color w:val="000000"/>
        </w:rPr>
        <w:t>Loftus, E. F., &amp; Palmer, J. C. (1974). Reconstruction of automobile destruction: An example of the interaction between language and memory.</w:t>
      </w:r>
      <w:r>
        <w:rPr>
          <w:rStyle w:val="apple-converted-space"/>
          <w:color w:val="000000"/>
        </w:rPr>
        <w:t> </w:t>
      </w:r>
      <w:r>
        <w:rPr>
          <w:rStyle w:val="Emphasis"/>
          <w:color w:val="000000"/>
        </w:rPr>
        <w:t xml:space="preserve">Journal of Verbal Learning and Verbal </w:t>
      </w:r>
      <w:proofErr w:type="spellStart"/>
      <w:r>
        <w:rPr>
          <w:rStyle w:val="Emphasis"/>
          <w:color w:val="000000"/>
        </w:rPr>
        <w:t>Behavior</w:t>
      </w:r>
      <w:proofErr w:type="spellEnd"/>
      <w:r>
        <w:rPr>
          <w:rStyle w:val="Emphasis"/>
          <w:color w:val="000000"/>
        </w:rPr>
        <w:t>, 13</w:t>
      </w:r>
      <w:r>
        <w:rPr>
          <w:color w:val="000000"/>
        </w:rPr>
        <w:t>(5), 585–589.</w:t>
      </w:r>
    </w:p>
    <w:p w:rsidR="00F43A18" w:rsidRDefault="00F43A18" w:rsidP="00F43A18">
      <w:pPr>
        <w:pStyle w:val="NormalWeb"/>
        <w:ind w:left="720" w:hanging="720"/>
        <w:rPr>
          <w:color w:val="000000"/>
        </w:rPr>
      </w:pPr>
      <w:r>
        <w:rPr>
          <w:color w:val="000000"/>
        </w:rPr>
        <w:t xml:space="preserve">Lindsay, R. C. L., &amp; Wells, G. L. (1985). Improving eyewitness identifications from </w:t>
      </w:r>
      <w:proofErr w:type="spellStart"/>
      <w:r>
        <w:rPr>
          <w:color w:val="000000"/>
        </w:rPr>
        <w:t>lineups</w:t>
      </w:r>
      <w:proofErr w:type="spellEnd"/>
      <w:r>
        <w:rPr>
          <w:color w:val="000000"/>
        </w:rPr>
        <w:t xml:space="preserve">: Simultaneous versus sequential </w:t>
      </w:r>
      <w:proofErr w:type="spellStart"/>
      <w:r>
        <w:rPr>
          <w:color w:val="000000"/>
        </w:rPr>
        <w:t>lineup</w:t>
      </w:r>
      <w:proofErr w:type="spellEnd"/>
      <w:r>
        <w:rPr>
          <w:color w:val="000000"/>
        </w:rPr>
        <w:t xml:space="preserve"> presentation.</w:t>
      </w:r>
      <w:r>
        <w:rPr>
          <w:rStyle w:val="apple-converted-space"/>
          <w:color w:val="000000"/>
        </w:rPr>
        <w:t> </w:t>
      </w:r>
      <w:r>
        <w:rPr>
          <w:rStyle w:val="Emphasis"/>
          <w:color w:val="000000"/>
        </w:rPr>
        <w:t>Journal of Applied Psychology, 70</w:t>
      </w:r>
      <w:r>
        <w:rPr>
          <w:color w:val="000000"/>
        </w:rPr>
        <w:t>(3), 556–564.</w:t>
      </w:r>
    </w:p>
    <w:p w:rsidR="00F43A18" w:rsidRDefault="00F43A18" w:rsidP="00F43A18">
      <w:pPr>
        <w:pStyle w:val="NormalWeb"/>
        <w:ind w:left="720" w:hanging="720"/>
        <w:rPr>
          <w:color w:val="000000"/>
        </w:rPr>
      </w:pPr>
      <w:r>
        <w:rPr>
          <w:color w:val="000000"/>
        </w:rPr>
        <w:t>Memon, A., Meissner, C. A., &amp; Fraser, J. (2010). The cognitive interview: A meta-analytic review and study space analysis of the past 25 years.</w:t>
      </w:r>
      <w:r>
        <w:rPr>
          <w:rStyle w:val="apple-converted-space"/>
          <w:color w:val="000000"/>
        </w:rPr>
        <w:t> </w:t>
      </w:r>
      <w:r>
        <w:rPr>
          <w:rStyle w:val="Emphasis"/>
          <w:color w:val="000000"/>
        </w:rPr>
        <w:t>Psychology, Public Policy, and Law, 16</w:t>
      </w:r>
      <w:r>
        <w:rPr>
          <w:color w:val="000000"/>
        </w:rPr>
        <w:t>(4), 340–372.</w:t>
      </w:r>
    </w:p>
    <w:p w:rsidR="00F43A18" w:rsidRDefault="00F43A18" w:rsidP="00F43A18">
      <w:pPr>
        <w:pStyle w:val="NormalWeb"/>
        <w:ind w:left="720" w:hanging="720"/>
        <w:rPr>
          <w:color w:val="000000"/>
        </w:rPr>
      </w:pPr>
      <w:r>
        <w:rPr>
          <w:color w:val="000000"/>
        </w:rPr>
        <w:t>Moreland, J. P. (2020). Absolute and relative decision processes in eyewitness identification.</w:t>
      </w:r>
      <w:r>
        <w:rPr>
          <w:rStyle w:val="apple-converted-space"/>
          <w:color w:val="000000"/>
        </w:rPr>
        <w:t> </w:t>
      </w:r>
      <w:r>
        <w:rPr>
          <w:rStyle w:val="Emphasis"/>
          <w:color w:val="000000"/>
        </w:rPr>
        <w:t>Applied Cognitive Psychology, 34</w:t>
      </w:r>
      <w:r>
        <w:rPr>
          <w:color w:val="000000"/>
        </w:rPr>
        <w:t>(2), 493–504.</w:t>
      </w:r>
    </w:p>
    <w:p w:rsidR="00F43A18" w:rsidRDefault="00F43A18" w:rsidP="00F43A18">
      <w:pPr>
        <w:pStyle w:val="NormalWeb"/>
        <w:ind w:left="720" w:hanging="720"/>
        <w:rPr>
          <w:color w:val="000000"/>
        </w:rPr>
      </w:pPr>
      <w:r>
        <w:rPr>
          <w:color w:val="000000"/>
        </w:rPr>
        <w:lastRenderedPageBreak/>
        <w:t>Palmer, M. A., Brewer, N., Weber, N., &amp; Nagesh, A. (2013). The confidence–accuracy relationship for eyewitness identification decisions: Effects of exposure duration, retention interval, and divided attention.</w:t>
      </w:r>
      <w:r>
        <w:rPr>
          <w:rStyle w:val="apple-converted-space"/>
          <w:color w:val="000000"/>
        </w:rPr>
        <w:t> </w:t>
      </w:r>
      <w:r>
        <w:rPr>
          <w:rStyle w:val="Emphasis"/>
          <w:color w:val="000000"/>
        </w:rPr>
        <w:t>Journal of Experimental Psychology: Applied, 19</w:t>
      </w:r>
      <w:r>
        <w:rPr>
          <w:color w:val="000000"/>
        </w:rPr>
        <w:t>(1), 33–48.</w:t>
      </w:r>
    </w:p>
    <w:p w:rsidR="00F43A18" w:rsidRDefault="00F43A18" w:rsidP="00F43A18">
      <w:pPr>
        <w:pStyle w:val="NormalWeb"/>
        <w:ind w:left="720" w:hanging="720"/>
        <w:rPr>
          <w:color w:val="000000"/>
        </w:rPr>
      </w:pPr>
      <w:proofErr w:type="spellStart"/>
      <w:r>
        <w:rPr>
          <w:color w:val="000000"/>
        </w:rPr>
        <w:t>Steblay</w:t>
      </w:r>
      <w:proofErr w:type="spellEnd"/>
      <w:r>
        <w:rPr>
          <w:color w:val="000000"/>
        </w:rPr>
        <w:t>, N. M. (1992). A meta-analytic review of the weapon focus effect.</w:t>
      </w:r>
      <w:r>
        <w:rPr>
          <w:rStyle w:val="apple-converted-space"/>
          <w:color w:val="000000"/>
        </w:rPr>
        <w:t> </w:t>
      </w:r>
      <w:r>
        <w:rPr>
          <w:rStyle w:val="Emphasis"/>
          <w:color w:val="000000"/>
        </w:rPr>
        <w:t xml:space="preserve">Law and Human </w:t>
      </w:r>
      <w:proofErr w:type="spellStart"/>
      <w:r>
        <w:rPr>
          <w:rStyle w:val="Emphasis"/>
          <w:color w:val="000000"/>
        </w:rPr>
        <w:t>Behavior</w:t>
      </w:r>
      <w:proofErr w:type="spellEnd"/>
      <w:r>
        <w:rPr>
          <w:rStyle w:val="Emphasis"/>
          <w:color w:val="000000"/>
        </w:rPr>
        <w:t>, 16</w:t>
      </w:r>
      <w:r>
        <w:rPr>
          <w:color w:val="000000"/>
        </w:rPr>
        <w:t>(4), 413–424.</w:t>
      </w:r>
    </w:p>
    <w:p w:rsidR="00F43A18" w:rsidRDefault="00F43A18" w:rsidP="00F43A18">
      <w:pPr>
        <w:pStyle w:val="NormalWeb"/>
        <w:ind w:left="720" w:hanging="720"/>
        <w:rPr>
          <w:color w:val="000000"/>
        </w:rPr>
      </w:pPr>
      <w:proofErr w:type="spellStart"/>
      <w:r>
        <w:rPr>
          <w:color w:val="000000"/>
        </w:rPr>
        <w:t>Treisman</w:t>
      </w:r>
      <w:proofErr w:type="spellEnd"/>
      <w:r>
        <w:rPr>
          <w:color w:val="000000"/>
        </w:rPr>
        <w:t xml:space="preserve">, A., &amp; </w:t>
      </w:r>
      <w:proofErr w:type="spellStart"/>
      <w:r>
        <w:rPr>
          <w:color w:val="000000"/>
        </w:rPr>
        <w:t>Gelade</w:t>
      </w:r>
      <w:proofErr w:type="spellEnd"/>
      <w:r>
        <w:rPr>
          <w:color w:val="000000"/>
        </w:rPr>
        <w:t>, G. (1980). A feature-integration theory of attention.</w:t>
      </w:r>
      <w:r>
        <w:rPr>
          <w:rStyle w:val="apple-converted-space"/>
          <w:color w:val="000000"/>
        </w:rPr>
        <w:t> </w:t>
      </w:r>
      <w:r>
        <w:rPr>
          <w:rStyle w:val="Emphasis"/>
          <w:color w:val="000000"/>
        </w:rPr>
        <w:t>Cognitive Psychology, 12</w:t>
      </w:r>
      <w:r>
        <w:rPr>
          <w:color w:val="000000"/>
        </w:rPr>
        <w:t>(1), 97–136.</w:t>
      </w:r>
    </w:p>
    <w:p w:rsidR="00F43A18" w:rsidRDefault="00F43A18" w:rsidP="00F43A18">
      <w:pPr>
        <w:pStyle w:val="NormalWeb"/>
        <w:ind w:left="720" w:hanging="720"/>
        <w:rPr>
          <w:color w:val="000000"/>
        </w:rPr>
      </w:pPr>
      <w:r>
        <w:rPr>
          <w:color w:val="000000"/>
        </w:rPr>
        <w:t>Wells, G. L., &amp; Olson, E. A. (2003). Eyewitness testimony.</w:t>
      </w:r>
      <w:r>
        <w:rPr>
          <w:rStyle w:val="apple-converted-space"/>
          <w:color w:val="000000"/>
        </w:rPr>
        <w:t> </w:t>
      </w:r>
      <w:r>
        <w:rPr>
          <w:rStyle w:val="Emphasis"/>
          <w:color w:val="000000"/>
        </w:rPr>
        <w:t>Annual Review of Psychology, 54</w:t>
      </w:r>
      <w:r>
        <w:rPr>
          <w:color w:val="000000"/>
        </w:rPr>
        <w:t>, 277–295.</w:t>
      </w:r>
    </w:p>
    <w:p w:rsidR="00F43A18" w:rsidRDefault="00F43A18" w:rsidP="00F43A18">
      <w:pPr>
        <w:pStyle w:val="NormalWeb"/>
        <w:ind w:left="720" w:hanging="720"/>
        <w:rPr>
          <w:color w:val="000000"/>
        </w:rPr>
      </w:pPr>
      <w:r>
        <w:rPr>
          <w:color w:val="000000"/>
        </w:rPr>
        <w:t>Wells, G. L., Memon, A., &amp; Penrod, S. D. (2006). Eyewitness evidence: Improving its probative value.</w:t>
      </w:r>
      <w:r>
        <w:rPr>
          <w:rStyle w:val="apple-converted-space"/>
          <w:color w:val="000000"/>
        </w:rPr>
        <w:t> </w:t>
      </w:r>
      <w:r>
        <w:rPr>
          <w:rStyle w:val="Emphasis"/>
          <w:color w:val="000000"/>
        </w:rPr>
        <w:t>Psychological Science in the Public Interest, 7</w:t>
      </w:r>
      <w:r>
        <w:rPr>
          <w:color w:val="000000"/>
        </w:rPr>
        <w:t>(2), 45–75.</w:t>
      </w:r>
    </w:p>
    <w:p w:rsidR="00F43A18" w:rsidRDefault="00F43A18" w:rsidP="00F43A18">
      <w:pPr>
        <w:pStyle w:val="NormalWeb"/>
        <w:ind w:left="720" w:hanging="720"/>
        <w:rPr>
          <w:color w:val="000000"/>
        </w:rPr>
      </w:pPr>
      <w:proofErr w:type="spellStart"/>
      <w:r>
        <w:rPr>
          <w:color w:val="000000"/>
        </w:rPr>
        <w:t>Wixted</w:t>
      </w:r>
      <w:proofErr w:type="spellEnd"/>
      <w:r>
        <w:rPr>
          <w:color w:val="000000"/>
        </w:rPr>
        <w:t xml:space="preserve">, J. T., &amp; </w:t>
      </w:r>
      <w:proofErr w:type="spellStart"/>
      <w:r>
        <w:rPr>
          <w:color w:val="000000"/>
        </w:rPr>
        <w:t>Mickes</w:t>
      </w:r>
      <w:proofErr w:type="spellEnd"/>
      <w:r>
        <w:rPr>
          <w:color w:val="000000"/>
        </w:rPr>
        <w:t>, L. (2014). A signal-detection-based diagnostic-feature-detection model of eyewitness identification.</w:t>
      </w:r>
      <w:r>
        <w:rPr>
          <w:rStyle w:val="apple-converted-space"/>
          <w:color w:val="000000"/>
        </w:rPr>
        <w:t> </w:t>
      </w:r>
      <w:r>
        <w:rPr>
          <w:rStyle w:val="Emphasis"/>
          <w:color w:val="000000"/>
        </w:rPr>
        <w:t>Psychological Review, 121</w:t>
      </w:r>
      <w:r>
        <w:rPr>
          <w:color w:val="000000"/>
        </w:rPr>
        <w:t>(2), 262–276.</w:t>
      </w:r>
    </w:p>
    <w:p w:rsidR="00F43A18" w:rsidRDefault="00F43A18" w:rsidP="00F43A18">
      <w:pPr>
        <w:pStyle w:val="NormalWeb"/>
        <w:ind w:left="720" w:hanging="720"/>
        <w:rPr>
          <w:color w:val="000000"/>
        </w:rPr>
      </w:pPr>
      <w:proofErr w:type="spellStart"/>
      <w:r>
        <w:rPr>
          <w:color w:val="000000"/>
        </w:rPr>
        <w:t>Wixted</w:t>
      </w:r>
      <w:proofErr w:type="spellEnd"/>
      <w:r>
        <w:rPr>
          <w:color w:val="000000"/>
        </w:rPr>
        <w:t>, J. T., &amp; Wells, G. L. (2017). The relationship between eyewitness confidence and identification accuracy: A new synthesis.</w:t>
      </w:r>
      <w:r>
        <w:rPr>
          <w:rStyle w:val="apple-converted-space"/>
          <w:color w:val="000000"/>
        </w:rPr>
        <w:t> </w:t>
      </w:r>
      <w:r>
        <w:rPr>
          <w:rStyle w:val="Emphasis"/>
          <w:color w:val="000000"/>
        </w:rPr>
        <w:t>Psychological Science in the Public Interest, 18</w:t>
      </w:r>
      <w:r>
        <w:rPr>
          <w:color w:val="000000"/>
        </w:rPr>
        <w:t>(1), 10–65.</w:t>
      </w:r>
    </w:p>
    <w:p w:rsidR="00F43A18" w:rsidRDefault="00F43A18" w:rsidP="00F43A18">
      <w:pPr>
        <w:pStyle w:val="NormalWeb"/>
        <w:ind w:left="720" w:hanging="720"/>
        <w:rPr>
          <w:color w:val="000000"/>
        </w:rPr>
      </w:pPr>
      <w:r>
        <w:rPr>
          <w:color w:val="000000"/>
        </w:rPr>
        <w:t>Zaragoza, M. S., &amp; Lane, S. M. (1994). Source misattributions and the suggestibility of eyewitness memory.</w:t>
      </w:r>
      <w:r>
        <w:rPr>
          <w:rStyle w:val="apple-converted-space"/>
          <w:color w:val="000000"/>
        </w:rPr>
        <w:t> </w:t>
      </w:r>
      <w:r>
        <w:rPr>
          <w:rStyle w:val="Emphasis"/>
          <w:color w:val="000000"/>
        </w:rPr>
        <w:t>Journal of Experimental Psychology: Learning, Memory, and Cognition, 20</w:t>
      </w:r>
      <w:r>
        <w:rPr>
          <w:color w:val="000000"/>
        </w:rPr>
        <w:t>(4), 934–945.</w:t>
      </w:r>
    </w:p>
    <w:p w:rsidR="00061412" w:rsidRDefault="00061412"/>
    <w:sectPr w:rsidR="000614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4A96"/>
    <w:rsid w:val="00061412"/>
    <w:rsid w:val="00123945"/>
    <w:rsid w:val="002C6653"/>
    <w:rsid w:val="007361FC"/>
    <w:rsid w:val="009D1E1A"/>
    <w:rsid w:val="00A23B43"/>
    <w:rsid w:val="00AC11F3"/>
    <w:rsid w:val="00AF4A96"/>
    <w:rsid w:val="00BB3CB8"/>
    <w:rsid w:val="00D714BC"/>
    <w:rsid w:val="00F43A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553C46A"/>
  <w15:chartTrackingRefBased/>
  <w15:docId w15:val="{25289666-701D-F447-BBB1-B3BDD4BB68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4A96"/>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F4A96"/>
    <w:pPr>
      <w:spacing w:before="100" w:beforeAutospacing="1" w:after="100" w:afterAutospacing="1"/>
    </w:pPr>
  </w:style>
  <w:style w:type="character" w:customStyle="1" w:styleId="apple-converted-space">
    <w:name w:val="apple-converted-space"/>
    <w:basedOn w:val="DefaultParagraphFont"/>
    <w:rsid w:val="00AF4A96"/>
  </w:style>
  <w:style w:type="character" w:styleId="Emphasis">
    <w:name w:val="Emphasis"/>
    <w:basedOn w:val="DefaultParagraphFont"/>
    <w:uiPriority w:val="20"/>
    <w:qFormat/>
    <w:rsid w:val="00AF4A96"/>
    <w:rPr>
      <w:i/>
      <w:iCs/>
    </w:rPr>
  </w:style>
  <w:style w:type="character" w:styleId="Hyperlink">
    <w:name w:val="Hyperlink"/>
    <w:basedOn w:val="DefaultParagraphFont"/>
    <w:uiPriority w:val="99"/>
    <w:semiHidden/>
    <w:unhideWhenUsed/>
    <w:rsid w:val="00AF4A96"/>
    <w:rPr>
      <w:color w:val="0000FF"/>
      <w:u w:val="single"/>
    </w:rPr>
  </w:style>
  <w:style w:type="character" w:styleId="FollowedHyperlink">
    <w:name w:val="FollowedHyperlink"/>
    <w:basedOn w:val="DefaultParagraphFont"/>
    <w:uiPriority w:val="99"/>
    <w:semiHidden/>
    <w:unhideWhenUsed/>
    <w:rsid w:val="00AF4A9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TotalTime>
  <Pages>12</Pages>
  <Words>3038</Words>
  <Characters>17319</Characters>
  <Application>Microsoft Office Word</Application>
  <DocSecurity>0</DocSecurity>
  <Lines>144</Lines>
  <Paragraphs>40</Paragraphs>
  <ScaleCrop>false</ScaleCrop>
  <Company/>
  <LinksUpToDate>false</LinksUpToDate>
  <CharactersWithSpaces>20317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bowden</dc:creator>
  <cp:keywords/>
  <dc:description/>
  <cp:lastModifiedBy>stacey bowden</cp:lastModifiedBy>
  <cp:revision>8</cp:revision>
  <dcterms:created xsi:type="dcterms:W3CDTF">2026-02-28T13:38:00Z</dcterms:created>
  <dcterms:modified xsi:type="dcterms:W3CDTF">2026-03-03T19:52:00Z</dcterms:modified>
</cp:coreProperties>
</file>