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00" w:line="240" w:lineRule="auto"/>
        <w:jc w:val="center"/>
        <w:rPr>
          <w:rFonts w:ascii="Times New Roman" w:cs="Times New Roman" w:eastAsia="Times New Roman" w:hAnsi="Times New Roman"/>
          <w:sz w:val="20"/>
          <w:szCs w:val="20"/>
        </w:rPr>
      </w:pPr>
      <w:r w:rsidDel="00000000" w:rsidR="00000000" w:rsidRPr="00000000">
        <w:rPr>
          <w:rFonts w:ascii="Calibri" w:cs="Calibri" w:eastAsia="Calibri" w:hAnsi="Calibri"/>
          <w:b w:val="1"/>
          <w:bCs w:val="1"/>
          <w:sz w:val="32"/>
          <w:szCs w:val="32"/>
          <w:rtl w:val="0"/>
        </w:rPr>
        <w:t xml:space="preserve">Coronary Heart Disease: Prevalence, Impact and Implications for Health and Social Care</w:t>
      </w:r>
      <w:r w:rsidDel="00000000" w:rsidR="00000000" w:rsidRPr="00000000">
        <w:rPr>
          <w:rtl w:val="0"/>
        </w:rPr>
      </w:r>
    </w:p>
    <w:p w:rsidR="00000000" w:rsidDel="00000000" w:rsidP="00000000" w:rsidRDefault="00000000" w:rsidRPr="00000000" w14:paraId="00000002">
      <w:pPr>
        <w:spacing w:after="400" w:line="240" w:lineRule="auto"/>
        <w:jc w:val="center"/>
        <w:rPr/>
      </w:pPr>
      <w:r w:rsidDel="00000000" w:rsidR="00000000" w:rsidRPr="00000000">
        <w:rPr>
          <w:rtl w:val="0"/>
        </w:rPr>
      </w:r>
    </w:p>
    <w:p w:rsidR="00000000" w:rsidDel="00000000" w:rsidP="00000000" w:rsidRDefault="00000000" w:rsidRPr="00000000" w14:paraId="00000003">
      <w:pPr>
        <w:spacing w:line="240" w:lineRule="auto"/>
        <w:rPr/>
      </w:pPr>
      <w:r w:rsidDel="00000000" w:rsidR="00000000" w:rsidRPr="00000000">
        <w:rPr>
          <w:rtl w:val="0"/>
        </w:rPr>
      </w:r>
    </w:p>
    <w:p w:rsidR="00000000" w:rsidDel="00000000" w:rsidP="00000000" w:rsidRDefault="00000000" w:rsidRPr="00000000" w14:paraId="00000004">
      <w:pPr>
        <w:pStyle w:val="Heading1"/>
        <w:spacing w:line="240" w:lineRule="auto"/>
        <w:rPr>
          <w:rFonts w:ascii="Calibri" w:cs="Calibri" w:eastAsia="Calibri" w:hAnsi="Calibri"/>
          <w:b w:val="1"/>
          <w:bCs w:val="1"/>
          <w:color w:val="3d85c6"/>
          <w:sz w:val="32"/>
          <w:szCs w:val="32"/>
        </w:rPr>
      </w:pPr>
      <w:bookmarkStart w:colFirst="0" w:colLast="0" w:name="_1kynqhbjpujo" w:id="0"/>
      <w:bookmarkEnd w:id="0"/>
      <w:r w:rsidDel="00000000" w:rsidR="00000000" w:rsidRPr="00000000">
        <w:rPr>
          <w:rFonts w:ascii="Calibri" w:cs="Calibri" w:eastAsia="Calibri" w:hAnsi="Calibri"/>
          <w:b w:val="1"/>
          <w:bCs w:val="1"/>
          <w:color w:val="3d85c6"/>
          <w:sz w:val="32"/>
          <w:szCs w:val="32"/>
          <w:rtl w:val="0"/>
        </w:rPr>
        <w:t xml:space="preserve">Introduction</w:t>
      </w:r>
    </w:p>
    <w:p w:rsidR="00000000" w:rsidDel="00000000" w:rsidP="00000000" w:rsidRDefault="00000000" w:rsidRPr="00000000" w14:paraId="00000005">
      <w:pPr>
        <w:spacing w:line="240" w:lineRule="auto"/>
        <w:rPr/>
      </w:pPr>
      <w:r w:rsidDel="00000000" w:rsidR="00000000" w:rsidRPr="00000000">
        <w:rPr>
          <w:rtl w:val="0"/>
        </w:rPr>
      </w:r>
    </w:p>
    <w:p w:rsidR="00000000" w:rsidDel="00000000" w:rsidP="00000000" w:rsidRDefault="00000000" w:rsidRPr="00000000" w14:paraId="00000006">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Every few moments, across the UK, a heart silently succumbs to the burden of an illness that many do not anticipate. Coronary heart disease quietly takes lives, constricting the arteries that sustain us until a heart attack suddenly occurs. Coronary Heart Disease (CHD), also referred to as ischaemic heart disease, is when the coronary arteries that provide blood to the heart muscle are less wide because of fatty deposits called atheroma are present (NHS, 2023). As the blood flows less easily, a person feels pain in the chest called angina. If a plaque breaks and a blood clot makes an artery closed, a myocardial infarction or heart attack, is the result (NHS, 2023). For classification purposes, CHD is inside the group of cardiovascular disease (CVD) and is the type of heart disease that doctors identify most often (British Heart Foundation, 2026a). By its nature the condition is present for many years before any signs are visible, which means many individuals are not aware that they have the disease until a cardiac event occurs (NHS, 2023). </w:t>
      </w:r>
    </w:p>
    <w:p w:rsidR="00000000" w:rsidDel="00000000" w:rsidP="00000000" w:rsidRDefault="00000000" w:rsidRPr="00000000" w14:paraId="00000007">
      <w:pPr>
        <w:spacing w:line="240" w:lineRule="auto"/>
        <w:rPr/>
      </w:pPr>
      <w:r w:rsidDel="00000000" w:rsidR="00000000" w:rsidRPr="00000000">
        <w:rPr>
          <w:rtl w:val="0"/>
        </w:rPr>
      </w:r>
    </w:p>
    <w:p w:rsidR="00000000" w:rsidDel="00000000" w:rsidP="00000000" w:rsidRDefault="00000000" w:rsidRPr="00000000" w14:paraId="00000008">
      <w:pPr>
        <w:pStyle w:val="Heading1"/>
        <w:spacing w:line="240" w:lineRule="auto"/>
        <w:rPr>
          <w:rFonts w:ascii="Calibri" w:cs="Calibri" w:eastAsia="Calibri" w:hAnsi="Calibri"/>
          <w:b w:val="1"/>
          <w:bCs w:val="1"/>
          <w:color w:val="3d85c6"/>
          <w:sz w:val="32"/>
          <w:szCs w:val="32"/>
        </w:rPr>
      </w:pPr>
      <w:bookmarkStart w:colFirst="0" w:colLast="0" w:name="_maz6msa8jl0z" w:id="1"/>
      <w:bookmarkEnd w:id="1"/>
      <w:r w:rsidDel="00000000" w:rsidR="00000000" w:rsidRPr="00000000">
        <w:rPr>
          <w:rFonts w:ascii="Calibri" w:cs="Calibri" w:eastAsia="Calibri" w:hAnsi="Calibri"/>
          <w:b w:val="1"/>
          <w:bCs w:val="1"/>
          <w:color w:val="3d85c6"/>
          <w:sz w:val="32"/>
          <w:szCs w:val="32"/>
          <w:rtl w:val="0"/>
        </w:rPr>
        <w:t xml:space="preserve">Signs and Symptoms</w:t>
      </w:r>
    </w:p>
    <w:p w:rsidR="00000000" w:rsidDel="00000000" w:rsidP="00000000" w:rsidRDefault="00000000" w:rsidRPr="00000000" w14:paraId="00000009">
      <w:pPr>
        <w:spacing w:line="240" w:lineRule="auto"/>
        <w:rPr/>
      </w:pPr>
      <w:r w:rsidDel="00000000" w:rsidR="00000000" w:rsidRPr="00000000">
        <w:rPr>
          <w:rtl w:val="0"/>
        </w:rPr>
      </w:r>
    </w:p>
    <w:p w:rsidR="00000000" w:rsidDel="00000000" w:rsidP="00000000" w:rsidRDefault="00000000" w:rsidRPr="00000000" w14:paraId="0000000A">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Angina, chest pain, or discomfort caused by decreased blood flow to the heart is the primary symptom of CHD. It is frequently characterised as a sensation of tightness or pressure that can spread to the neck, arms, jaw or back. It is usually brought on by exercise or stress and is relieved by rest (NHS, 2023). It’s usual to feel out of breath. Similar but more severe and protracted symptoms, including perspiration, nausea and lightheadedness are caused by a heart attack and are not alleviated by rest. Some people, especially those with diabetes and elderly adults, have “silent” heart attacks with little to no discomfort (NHS, 2023). Fear of another incident often results in worry, depression, and a lower quality of life, while CHD can restrict an individual’s everyday activities, employment and independence. </w:t>
      </w:r>
    </w:p>
    <w:p w:rsidR="00000000" w:rsidDel="00000000" w:rsidP="00000000" w:rsidRDefault="00000000" w:rsidRPr="00000000" w14:paraId="0000000B">
      <w:pPr>
        <w:spacing w:line="240" w:lineRule="auto"/>
        <w:rPr/>
      </w:pPr>
      <w:r w:rsidDel="00000000" w:rsidR="00000000" w:rsidRPr="00000000">
        <w:rPr>
          <w:rtl w:val="0"/>
        </w:rPr>
      </w:r>
    </w:p>
    <w:p w:rsidR="00000000" w:rsidDel="00000000" w:rsidP="00000000" w:rsidRDefault="00000000" w:rsidRPr="00000000" w14:paraId="0000000C">
      <w:pPr>
        <w:pStyle w:val="Heading1"/>
        <w:spacing w:line="240" w:lineRule="auto"/>
        <w:rPr>
          <w:rFonts w:ascii="Calibri" w:cs="Calibri" w:eastAsia="Calibri" w:hAnsi="Calibri"/>
          <w:b w:val="1"/>
          <w:bCs w:val="1"/>
          <w:color w:val="3d85c6"/>
          <w:sz w:val="32"/>
          <w:szCs w:val="32"/>
        </w:rPr>
      </w:pPr>
      <w:bookmarkStart w:colFirst="0" w:colLast="0" w:name="_2e52uw8i9p86" w:id="2"/>
      <w:bookmarkEnd w:id="2"/>
      <w:r w:rsidDel="00000000" w:rsidR="00000000" w:rsidRPr="00000000">
        <w:rPr>
          <w:rFonts w:ascii="Calibri" w:cs="Calibri" w:eastAsia="Calibri" w:hAnsi="Calibri"/>
          <w:b w:val="1"/>
          <w:bCs w:val="1"/>
          <w:color w:val="3d85c6"/>
          <w:sz w:val="32"/>
          <w:szCs w:val="32"/>
          <w:rtl w:val="0"/>
        </w:rPr>
        <w:t xml:space="preserve">Incidence and Severity</w:t>
      </w:r>
    </w:p>
    <w:p w:rsidR="00000000" w:rsidDel="00000000" w:rsidP="00000000" w:rsidRDefault="00000000" w:rsidRPr="00000000" w14:paraId="0000000D">
      <w:pPr>
        <w:spacing w:line="240" w:lineRule="auto"/>
        <w:rPr/>
      </w:pPr>
      <w:r w:rsidDel="00000000" w:rsidR="00000000" w:rsidRPr="00000000">
        <w:rPr>
          <w:rtl w:val="0"/>
        </w:rPr>
      </w:r>
    </w:p>
    <w:p w:rsidR="00000000" w:rsidDel="00000000" w:rsidP="00000000" w:rsidRDefault="00000000" w:rsidRPr="00000000" w14:paraId="0000000E">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Cardiovascular disease (CVD) is the leading cause of death globally, with an anticipated 19.8 million fatalities in 2022, roughly one in three deaths - with more than three quarters of those deaths happening in low and middle-income countries (World Health Organisation, 2025). Approximately 240 million individuals worldwide suffer from congestive heart failure (CHD), which is the leading cause of death globally, accounting for one of the seven fatalities annually (British Heart Foundation, 2026b). According to data from the Global Burden of Disease, the incidence of ischemic heart disease more than doubled between 1990 and 2021, reaching an estimated 31.9 million cases. The Middle East and North African region had the highest incidence rate of any region in the world (Liu et al., 2025).  </w:t>
      </w:r>
    </w:p>
    <w:p w:rsidR="00000000" w:rsidDel="00000000" w:rsidP="00000000" w:rsidRDefault="00000000" w:rsidRPr="00000000" w14:paraId="0000000F">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0">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UK, the incidence of CHD differs by ethnicity. Due to increased rates of central obesity and diabetes, South Asians are about twice as likely as White Europeans to have CHD (Ali et al., 2021). Ethnic disparities vary with disease, with Black African and Caribbean communities having a higher risk of stroke but a reduced risk of CHD (Ali et al., 2021). </w:t>
      </w:r>
    </w:p>
    <w:p w:rsidR="00000000" w:rsidDel="00000000" w:rsidP="00000000" w:rsidRDefault="00000000" w:rsidRPr="00000000" w14:paraId="00000011">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2">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According to the British Health Foundation (2026a), CHD is the primary cause of premature death before the age of 75 and one of the major causes of death overall in the UK. In England and Wales, ischemic heart disease accounted for 57,875 fatalities in 2023, or 10.0% of all recorded deaths, making it the top cause of death for males (Office of National Statistics, 2024). Several million people with a diagnosis of CHD are listed in GP disease registers maintained under the Quality and Outcomes Framework throughout England, demonstrating the prevalence of the illness in standard primary care (NHS Digital, 2022). Approximately one in six deaths in England are caused by heart and circulation illness combined, with 1.9 million people living with CHD (British Heart Foundation, 2026a). Although CHD kills more women annually in the UK than breast cancer, mortality increases dramatically with age and is consistently greater in males (British Heart Foundation, 2026a). The most disadvantaged neighbourhoods are disproportionately affected by CHD; according to a large UK population survey, the incidence of acute coronary syndrome was 55% higher in the most deprived areas than in the least deprived (Conrad et al., 2024). Congenital heart disease in children is rather uncommon; CHD primarily affects adults, with the greatest burden falling on those 65 and older and increasing around age 50 (British Heart Foundation, 2026a). </w:t>
      </w:r>
    </w:p>
    <w:p w:rsidR="00000000" w:rsidDel="00000000" w:rsidP="00000000" w:rsidRDefault="00000000" w:rsidRPr="00000000" w14:paraId="00000013">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4">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5">
      <w:pPr>
        <w:spacing w:after="60" w:before="150" w:line="240" w:lineRule="auto"/>
        <w:jc w:val="center"/>
        <w:rPr>
          <w:rFonts w:ascii="Calibri" w:cs="Calibri" w:eastAsia="Calibri" w:hAnsi="Calibri"/>
          <w:sz w:val="20"/>
          <w:szCs w:val="20"/>
        </w:rPr>
      </w:pPr>
      <w:r w:rsidDel="00000000" w:rsidR="00000000" w:rsidRPr="00000000">
        <w:rPr>
          <w:rFonts w:ascii="Calibri" w:cs="Calibri" w:eastAsia="Calibri" w:hAnsi="Calibri"/>
          <w:sz w:val="20"/>
          <w:szCs w:val="20"/>
        </w:rPr>
        <w:drawing>
          <wp:inline distB="0" distT="0" distL="0" distR="0">
            <wp:extent cx="4191000" cy="25812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191000" cy="2581275"/>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pacing w:after="40" w:line="240" w:lineRule="auto"/>
        <w:jc w:val="center"/>
        <w:rPr>
          <w:rFonts w:ascii="Calibri" w:cs="Calibri" w:eastAsia="Calibri" w:hAnsi="Calibri"/>
          <w:sz w:val="20"/>
          <w:szCs w:val="20"/>
        </w:rPr>
      </w:pPr>
      <w:r w:rsidDel="00000000" w:rsidR="00000000" w:rsidRPr="00000000">
        <w:rPr>
          <w:rFonts w:ascii="Calibri" w:cs="Calibri" w:eastAsia="Calibri" w:hAnsi="Calibri"/>
          <w:i w:val="1"/>
          <w:iCs w:val="1"/>
          <w:sz w:val="20"/>
          <w:szCs w:val="20"/>
          <w:rtl w:val="0"/>
        </w:rPr>
        <w:t xml:space="preserve">Figure 1: Registered deaths from ischaemic heart disease, England and Wales, 2019-2023.</w:t>
      </w:r>
      <w:r w:rsidDel="00000000" w:rsidR="00000000" w:rsidRPr="00000000">
        <w:rPr>
          <w:rtl w:val="0"/>
        </w:rPr>
      </w:r>
    </w:p>
    <w:p w:rsidR="00000000" w:rsidDel="00000000" w:rsidP="00000000" w:rsidRDefault="00000000" w:rsidRPr="00000000" w14:paraId="00000017">
      <w:pPr>
        <w:spacing w:after="200" w:line="240" w:lineRule="auto"/>
        <w:jc w:val="center"/>
        <w:rPr>
          <w:rFonts w:ascii="Calibri" w:cs="Calibri" w:eastAsia="Calibri" w:hAnsi="Calibri"/>
          <w:i w:val="1"/>
          <w:iCs w:val="1"/>
          <w:color w:val="595959"/>
          <w:sz w:val="18"/>
          <w:szCs w:val="18"/>
        </w:rPr>
      </w:pPr>
      <w:r w:rsidDel="00000000" w:rsidR="00000000" w:rsidRPr="00000000">
        <w:rPr>
          <w:rFonts w:ascii="Calibri" w:cs="Calibri" w:eastAsia="Calibri" w:hAnsi="Calibri"/>
          <w:i w:val="1"/>
          <w:iCs w:val="1"/>
          <w:color w:val="595959"/>
          <w:sz w:val="18"/>
          <w:szCs w:val="18"/>
          <w:rtl w:val="0"/>
        </w:rPr>
        <w:t xml:space="preserve">Source: Office for National Statistics (2021, 2024).</w:t>
      </w:r>
    </w:p>
    <w:p w:rsidR="00000000" w:rsidDel="00000000" w:rsidP="00000000" w:rsidRDefault="00000000" w:rsidRPr="00000000" w14:paraId="00000018">
      <w:pPr>
        <w:spacing w:after="200" w:line="240" w:lineRule="auto"/>
        <w:jc w:val="center"/>
        <w:rPr>
          <w:rFonts w:ascii="Calibri" w:cs="Calibri" w:eastAsia="Calibri" w:hAnsi="Calibri"/>
          <w:i w:val="1"/>
          <w:iCs w:val="1"/>
          <w:color w:val="595959"/>
          <w:sz w:val="18"/>
          <w:szCs w:val="18"/>
        </w:rPr>
      </w:pPr>
      <w:r w:rsidDel="00000000" w:rsidR="00000000" w:rsidRPr="00000000">
        <w:rPr>
          <w:rtl w:val="0"/>
        </w:rPr>
      </w:r>
    </w:p>
    <w:p w:rsidR="00000000" w:rsidDel="00000000" w:rsidP="00000000" w:rsidRDefault="00000000" w:rsidRPr="00000000" w14:paraId="00000019">
      <w:pPr>
        <w:spacing w:after="200" w:line="240" w:lineRule="auto"/>
        <w:jc w:val="center"/>
        <w:rPr>
          <w:rFonts w:ascii="Calibri" w:cs="Calibri" w:eastAsia="Calibri" w:hAnsi="Calibri"/>
          <w:i w:val="1"/>
          <w:iCs w:val="1"/>
          <w:color w:val="595959"/>
          <w:sz w:val="24"/>
          <w:szCs w:val="24"/>
        </w:rPr>
      </w:pPr>
      <w:r w:rsidDel="00000000" w:rsidR="00000000" w:rsidRPr="00000000">
        <w:rPr>
          <w:rtl w:val="0"/>
        </w:rPr>
      </w:r>
    </w:p>
    <w:p w:rsidR="00000000" w:rsidDel="00000000" w:rsidP="00000000" w:rsidRDefault="00000000" w:rsidRPr="00000000" w14:paraId="0000001A">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Figure 1 illustrates that after years of reduction, recorded deaths increased from 55,064 in 2019 to 59,356 in 2022 before slightly declining to 57,895 in 2023. This suggests that the fight against CHD mortality has halted recently (Office for National Statistics, 2021, 2024).</w:t>
      </w:r>
    </w:p>
    <w:p w:rsidR="00000000" w:rsidDel="00000000" w:rsidP="00000000" w:rsidRDefault="00000000" w:rsidRPr="00000000" w14:paraId="0000001B">
      <w:pPr>
        <w:spacing w:line="240" w:lineRule="auto"/>
        <w:rPr/>
      </w:pPr>
      <w:r w:rsidDel="00000000" w:rsidR="00000000" w:rsidRPr="00000000">
        <w:rPr>
          <w:rtl w:val="0"/>
        </w:rPr>
      </w:r>
    </w:p>
    <w:p w:rsidR="00000000" w:rsidDel="00000000" w:rsidP="00000000" w:rsidRDefault="00000000" w:rsidRPr="00000000" w14:paraId="0000001C">
      <w:pPr>
        <w:spacing w:line="240" w:lineRule="auto"/>
        <w:rPr/>
      </w:pPr>
      <w:r w:rsidDel="00000000" w:rsidR="00000000" w:rsidRPr="00000000">
        <w:rPr>
          <w:rtl w:val="0"/>
        </w:rPr>
      </w:r>
    </w:p>
    <w:p w:rsidR="00000000" w:rsidDel="00000000" w:rsidP="00000000" w:rsidRDefault="00000000" w:rsidRPr="00000000" w14:paraId="0000001D">
      <w:pPr>
        <w:pStyle w:val="Heading1"/>
        <w:spacing w:line="240" w:lineRule="auto"/>
        <w:rPr>
          <w:rFonts w:ascii="Calibri" w:cs="Calibri" w:eastAsia="Calibri" w:hAnsi="Calibri"/>
          <w:b w:val="1"/>
          <w:bCs w:val="1"/>
          <w:color w:val="3d85c6"/>
          <w:sz w:val="32"/>
          <w:szCs w:val="32"/>
        </w:rPr>
      </w:pPr>
      <w:bookmarkStart w:colFirst="0" w:colLast="0" w:name="_xmu5p6j8n37" w:id="3"/>
      <w:bookmarkEnd w:id="3"/>
      <w:r w:rsidDel="00000000" w:rsidR="00000000" w:rsidRPr="00000000">
        <w:rPr>
          <w:rFonts w:ascii="Calibri" w:cs="Calibri" w:eastAsia="Calibri" w:hAnsi="Calibri"/>
          <w:b w:val="1"/>
          <w:bCs w:val="1"/>
          <w:color w:val="3d85c6"/>
          <w:sz w:val="32"/>
          <w:szCs w:val="32"/>
          <w:rtl w:val="0"/>
        </w:rPr>
        <w:t xml:space="preserve">How Coronary Heart Disease is Controlled : Prevention and Management</w:t>
      </w:r>
    </w:p>
    <w:p w:rsidR="00000000" w:rsidDel="00000000" w:rsidP="00000000" w:rsidRDefault="00000000" w:rsidRPr="00000000" w14:paraId="0000001E">
      <w:pPr>
        <w:spacing w:line="240" w:lineRule="auto"/>
        <w:rPr/>
      </w:pPr>
      <w:r w:rsidDel="00000000" w:rsidR="00000000" w:rsidRPr="00000000">
        <w:rPr>
          <w:rtl w:val="0"/>
        </w:rPr>
      </w:r>
    </w:p>
    <w:p w:rsidR="00000000" w:rsidDel="00000000" w:rsidP="00000000" w:rsidRDefault="00000000" w:rsidRPr="00000000" w14:paraId="0000001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Primary prevention, which targets individuals without a diagnosis, and secondary prevention, which targets those with a diagnosis, are two ways that healthcare manages CHD (Visseren et al., 2021). Primary prevention measures overall cardiovascular risk and focuses on modifiable factors like smoking, inactivity, poor diet, obesity, and high blood pressure or cholesterol. It begins with changing one’s lifestyle and adds medications like statins or antihypertensives when the risk is still high (Visseren et al., 2021). Secondary prevention for individuals who have already received a diagnosis involves medication therapy, such as beta-blockers, ACE inhibitors, statins, and antiplatelets, with procedures like angioplasty or bypass surgery when necessary to restore blood flow (Visseren et al., 2021). Since control of risk factors tends to deteriorate over time without continuous treatment, structured cardiac rehabilitation and ongoing follow-up are also advised. This means control of CHD requires ongoing rather than one-time healthcare input (Visseren et al., 2021). </w:t>
      </w:r>
    </w:p>
    <w:p w:rsidR="00000000" w:rsidDel="00000000" w:rsidP="00000000" w:rsidRDefault="00000000" w:rsidRPr="00000000" w14:paraId="00000020">
      <w:pPr>
        <w:spacing w:line="240" w:lineRule="auto"/>
        <w:rPr/>
      </w:pPr>
      <w:r w:rsidDel="00000000" w:rsidR="00000000" w:rsidRPr="00000000">
        <w:rPr>
          <w:rtl w:val="0"/>
        </w:rPr>
      </w:r>
    </w:p>
    <w:p w:rsidR="00000000" w:rsidDel="00000000" w:rsidP="00000000" w:rsidRDefault="00000000" w:rsidRPr="00000000" w14:paraId="00000021">
      <w:pPr>
        <w:spacing w:line="240" w:lineRule="auto"/>
        <w:rPr/>
      </w:pPr>
      <w:r w:rsidDel="00000000" w:rsidR="00000000" w:rsidRPr="00000000">
        <w:rPr>
          <w:rtl w:val="0"/>
        </w:rPr>
      </w:r>
    </w:p>
    <w:p w:rsidR="00000000" w:rsidDel="00000000" w:rsidP="00000000" w:rsidRDefault="00000000" w:rsidRPr="00000000" w14:paraId="00000022">
      <w:pPr>
        <w:pStyle w:val="Heading1"/>
        <w:spacing w:line="240" w:lineRule="auto"/>
        <w:rPr>
          <w:rFonts w:ascii="Calibri" w:cs="Calibri" w:eastAsia="Calibri" w:hAnsi="Calibri"/>
          <w:b w:val="1"/>
          <w:bCs w:val="1"/>
          <w:color w:val="3d85c6"/>
          <w:sz w:val="32"/>
          <w:szCs w:val="32"/>
        </w:rPr>
      </w:pPr>
      <w:bookmarkStart w:colFirst="0" w:colLast="0" w:name="_lypiwixdi7fg" w:id="4"/>
      <w:bookmarkEnd w:id="4"/>
      <w:r w:rsidDel="00000000" w:rsidR="00000000" w:rsidRPr="00000000">
        <w:rPr>
          <w:rFonts w:ascii="Calibri" w:cs="Calibri" w:eastAsia="Calibri" w:hAnsi="Calibri"/>
          <w:b w:val="1"/>
          <w:bCs w:val="1"/>
          <w:color w:val="3d85c6"/>
          <w:sz w:val="32"/>
          <w:szCs w:val="32"/>
          <w:rtl w:val="0"/>
        </w:rPr>
        <w:t xml:space="preserve">Factors Influencing the Health and Wellbeing of People Around Them</w:t>
      </w:r>
    </w:p>
    <w:p w:rsidR="00000000" w:rsidDel="00000000" w:rsidP="00000000" w:rsidRDefault="00000000" w:rsidRPr="00000000" w14:paraId="00000023">
      <w:pPr>
        <w:spacing w:line="240" w:lineRule="auto"/>
        <w:rPr/>
      </w:pPr>
      <w:r w:rsidDel="00000000" w:rsidR="00000000" w:rsidRPr="00000000">
        <w:rPr>
          <w:rtl w:val="0"/>
        </w:rPr>
      </w:r>
    </w:p>
    <w:p w:rsidR="00000000" w:rsidDel="00000000" w:rsidP="00000000" w:rsidRDefault="00000000" w:rsidRPr="00000000" w14:paraId="00000024">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addition to the patient, CHD also has an impact on the health and well-being of family members and caregivers. A significant percentage of family caregivers of individuals with heart failure, a common consequence of congestive heart failure, report stress and anxiety directly related to caregiving, along with disruption to their own daily lives and employment. These caregivers devote a significant amount of time each week to providing practical and emotional support, such as assistance with daily activities coordinating medical care (Lahoz et al., 2021). In addition to being influenced by the caregiver’s age, gender, health and the number of hours of care needed each week, this burden rises as the patient’s condition worsens (Lahoz et al., 2021). Therefore, in order to safeguard the wellbeing of the entire family, effective care for CHD should also take into account the requirements of carers, such as through education, respite assistance, and monitoring of their own physical and emotional health (Lahoz et al., 2021). </w:t>
      </w:r>
    </w:p>
    <w:p w:rsidR="00000000" w:rsidDel="00000000" w:rsidP="00000000" w:rsidRDefault="00000000" w:rsidRPr="00000000" w14:paraId="00000025">
      <w:pPr>
        <w:spacing w:line="240" w:lineRule="auto"/>
        <w:rPr/>
      </w:pPr>
      <w:r w:rsidDel="00000000" w:rsidR="00000000" w:rsidRPr="00000000">
        <w:rPr>
          <w:rtl w:val="0"/>
        </w:rPr>
      </w:r>
    </w:p>
    <w:p w:rsidR="00000000" w:rsidDel="00000000" w:rsidP="00000000" w:rsidRDefault="00000000" w:rsidRPr="00000000" w14:paraId="00000026">
      <w:pPr>
        <w:spacing w:line="240" w:lineRule="auto"/>
        <w:rPr/>
      </w:pPr>
      <w:r w:rsidDel="00000000" w:rsidR="00000000" w:rsidRPr="00000000">
        <w:rPr>
          <w:rtl w:val="0"/>
        </w:rPr>
      </w:r>
    </w:p>
    <w:p w:rsidR="00000000" w:rsidDel="00000000" w:rsidP="00000000" w:rsidRDefault="00000000" w:rsidRPr="00000000" w14:paraId="00000027">
      <w:pPr>
        <w:pStyle w:val="Heading1"/>
        <w:spacing w:line="240" w:lineRule="auto"/>
        <w:rPr>
          <w:rFonts w:ascii="Calibri" w:cs="Calibri" w:eastAsia="Calibri" w:hAnsi="Calibri"/>
          <w:b w:val="1"/>
          <w:bCs w:val="1"/>
          <w:color w:val="3d85c6"/>
          <w:sz w:val="32"/>
          <w:szCs w:val="32"/>
        </w:rPr>
      </w:pPr>
      <w:bookmarkStart w:colFirst="0" w:colLast="0" w:name="_quzthqqw7ddp" w:id="5"/>
      <w:bookmarkEnd w:id="5"/>
      <w:r w:rsidDel="00000000" w:rsidR="00000000" w:rsidRPr="00000000">
        <w:rPr>
          <w:rFonts w:ascii="Calibri" w:cs="Calibri" w:eastAsia="Calibri" w:hAnsi="Calibri"/>
          <w:b w:val="1"/>
          <w:bCs w:val="1"/>
          <w:color w:val="3d85c6"/>
          <w:sz w:val="32"/>
          <w:szCs w:val="32"/>
          <w:rtl w:val="0"/>
        </w:rPr>
        <w:t xml:space="preserve">Effects on Community and NHS</w:t>
      </w:r>
    </w:p>
    <w:p w:rsidR="00000000" w:rsidDel="00000000" w:rsidP="00000000" w:rsidRDefault="00000000" w:rsidRPr="00000000" w14:paraId="00000028">
      <w:pPr>
        <w:spacing w:line="240" w:lineRule="auto"/>
        <w:rPr/>
      </w:pPr>
      <w:r w:rsidDel="00000000" w:rsidR="00000000" w:rsidRPr="00000000">
        <w:rPr>
          <w:rtl w:val="0"/>
        </w:rPr>
      </w:r>
    </w:p>
    <w:p w:rsidR="00000000" w:rsidDel="00000000" w:rsidP="00000000" w:rsidRDefault="00000000" w:rsidRPr="00000000" w14:paraId="0000002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long-term connection with health services, including medication, potential revascularization, rehabilitation, and lifetime risk-factor management, is initiated by CHD beyond immediate disease (NHS, 2023). Due to its strong correlation with impoverishment and the significant regional and social group variations in premature cardiovascular death, CHD significantly contributes to health disparity in the broader society (The King’s Fund, 2022; British Heart Foundation, 2026a). Because CHD affects both working-age individuals and elderly folks, it also has an impact on local economies by increasing the need for social care and causing lost productivity (British Heart Foundation, 2026a). </w:t>
      </w:r>
    </w:p>
    <w:p w:rsidR="00000000" w:rsidDel="00000000" w:rsidP="00000000" w:rsidRDefault="00000000" w:rsidRPr="00000000" w14:paraId="0000002A">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Primary care, emergency services, cardiology, surgery, and community rehabilitation are all significantly impacted (The King’s Fund, 2022). According to the Care Quality Commission (2022), the health and social care system is severely strained due to growing demand, a lack of workers, and lengthy wait times for both routine and emergency care, all of which might impede the prompt diagnosis and treatment of chronic illness such as congestive heart failure. Since many people with CHD also have other conditions like diabetes or chronic kidney disease, they require timely risk assessment and screening to identify high blood pressure and elevated cholesterol early, timely access to diagnosis and evidence-based treatment, structures cardiac rehabilitation to support recovery, and coordinated, ongoing care over the long term (The King’s Fund, 2022). The King’s Fund (2022) contends that in order to enhance patient outcomes and lessen the strain on an already overburdened system, a more coordinated national plan is required in addition to greater primary and secondary prevention. </w:t>
      </w:r>
    </w:p>
    <w:p w:rsidR="00000000" w:rsidDel="00000000" w:rsidP="00000000" w:rsidRDefault="00000000" w:rsidRPr="00000000" w14:paraId="0000002C">
      <w:pPr>
        <w:spacing w:line="240" w:lineRule="auto"/>
        <w:rPr/>
      </w:pPr>
      <w:r w:rsidDel="00000000" w:rsidR="00000000" w:rsidRPr="00000000">
        <w:rPr>
          <w:rtl w:val="0"/>
        </w:rPr>
      </w:r>
    </w:p>
    <w:p w:rsidR="00000000" w:rsidDel="00000000" w:rsidP="00000000" w:rsidRDefault="00000000" w:rsidRPr="00000000" w14:paraId="0000002D">
      <w:pPr>
        <w:pStyle w:val="Heading1"/>
        <w:spacing w:line="240" w:lineRule="auto"/>
        <w:rPr>
          <w:rFonts w:ascii="Calibri" w:cs="Calibri" w:eastAsia="Calibri" w:hAnsi="Calibri"/>
          <w:b w:val="1"/>
          <w:bCs w:val="1"/>
          <w:color w:val="3d85c6"/>
          <w:sz w:val="32"/>
          <w:szCs w:val="32"/>
        </w:rPr>
      </w:pPr>
      <w:bookmarkStart w:colFirst="0" w:colLast="0" w:name="_blwte5ywyl2p" w:id="6"/>
      <w:bookmarkEnd w:id="6"/>
      <w:r w:rsidDel="00000000" w:rsidR="00000000" w:rsidRPr="00000000">
        <w:rPr>
          <w:rFonts w:ascii="Calibri" w:cs="Calibri" w:eastAsia="Calibri" w:hAnsi="Calibri"/>
          <w:b w:val="1"/>
          <w:bCs w:val="1"/>
          <w:color w:val="3d85c6"/>
          <w:sz w:val="32"/>
          <w:szCs w:val="32"/>
          <w:rtl w:val="0"/>
        </w:rPr>
        <w:t xml:space="preserve">Conclusion</w:t>
      </w:r>
    </w:p>
    <w:p w:rsidR="00000000" w:rsidDel="00000000" w:rsidP="00000000" w:rsidRDefault="00000000" w:rsidRPr="00000000" w14:paraId="0000002E">
      <w:pPr>
        <w:spacing w:line="240" w:lineRule="auto"/>
        <w:rPr/>
      </w:pPr>
      <w:r w:rsidDel="00000000" w:rsidR="00000000" w:rsidRPr="00000000">
        <w:rPr>
          <w:rtl w:val="0"/>
        </w:rPr>
      </w:r>
    </w:p>
    <w:p w:rsidR="00000000" w:rsidDel="00000000" w:rsidP="00000000" w:rsidRDefault="00000000" w:rsidRPr="00000000" w14:paraId="0000002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the principal causes of death and disability in the UK and around the world, coronary heart disease disproportionately affects men, older people, and residents of underprivileged areas. It has far-reaching effects on families, caregivers, and the National Health Service (NHS). A combination of primary prevention, which lowers modifiable risk factors like high blood pressure, smoking, poor diet, and secondary prevention, which includes medication, revascularization, and structured cardiac rehabilitation after the condition is diagnosed, is necessary for effective control of CHD (Visseren et al., 2021). However, the degree of assistance and the severity of the sickness have a direct impact on the well-being of those who are close to the patient, especially family caregivers (Lahoz et al., 2021). Therefore, consistent investment in prevention, prompt treatment, and support that acknowledges the needs of patients and their families together is necessary to reduce the overall burden of CHD. </w:t>
      </w:r>
    </w:p>
    <w:p w:rsidR="00000000" w:rsidDel="00000000" w:rsidP="00000000" w:rsidRDefault="00000000" w:rsidRPr="00000000" w14:paraId="00000030">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1">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2">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3">
      <w:pPr>
        <w:pStyle w:val="Heading1"/>
        <w:spacing w:line="240" w:lineRule="auto"/>
        <w:rPr>
          <w:rFonts w:ascii="Calibri" w:cs="Calibri" w:eastAsia="Calibri" w:hAnsi="Calibri"/>
          <w:b w:val="1"/>
          <w:bCs w:val="1"/>
          <w:color w:val="3d85c6"/>
          <w:sz w:val="32"/>
          <w:szCs w:val="32"/>
        </w:rPr>
      </w:pPr>
      <w:bookmarkStart w:colFirst="0" w:colLast="0" w:name="_bu9ed5nu47e3" w:id="7"/>
      <w:bookmarkEnd w:id="7"/>
      <w:r w:rsidDel="00000000" w:rsidR="00000000" w:rsidRPr="00000000">
        <w:rPr>
          <w:rFonts w:ascii="Calibri" w:cs="Calibri" w:eastAsia="Calibri" w:hAnsi="Calibri"/>
          <w:b w:val="1"/>
          <w:bCs w:val="1"/>
          <w:color w:val="3d85c6"/>
          <w:sz w:val="32"/>
          <w:szCs w:val="32"/>
          <w:rtl w:val="0"/>
        </w:rPr>
        <w:t xml:space="preserve">Reference List</w:t>
      </w:r>
    </w:p>
    <w:p w:rsidR="00000000" w:rsidDel="00000000" w:rsidP="00000000" w:rsidRDefault="00000000" w:rsidRPr="00000000" w14:paraId="00000034">
      <w:pPr>
        <w:spacing w:line="240" w:lineRule="auto"/>
        <w:rPr/>
      </w:pPr>
      <w:r w:rsidDel="00000000" w:rsidR="00000000" w:rsidRPr="00000000">
        <w:rPr>
          <w:rtl w:val="0"/>
        </w:rPr>
      </w:r>
    </w:p>
    <w:p w:rsidR="00000000" w:rsidDel="00000000" w:rsidP="00000000" w:rsidRDefault="00000000" w:rsidRPr="00000000" w14:paraId="00000035">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Ali, R., Chowdhury, A., Forouhi, N. and Wareham, N. (2021) Ethnic Disparities in the Major Causes of Mortality and Their Risk Factors: A Rapid Review. GOV.UK. Available at: https://www.gov.uk/government/publications/the-report-of-the-commission-on-race-and-ethnic-disparities-supporting-research/ethnic-disparities-in-the-major-causes-of-mortality-and-their-risk-factors-by-dr-raghib-ali-et-al (Accessed: 16 July 2026).</w:t>
      </w:r>
      <w:r w:rsidDel="00000000" w:rsidR="00000000" w:rsidRPr="00000000">
        <w:rPr>
          <w:rtl w:val="0"/>
        </w:rPr>
      </w:r>
    </w:p>
    <w:p w:rsidR="00000000" w:rsidDel="00000000" w:rsidP="00000000" w:rsidRDefault="00000000" w:rsidRPr="00000000" w14:paraId="00000036">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British Heart Foundation (2026a) UK Cardiovascular Disease Factsheet. Available at: https://www.bhf.org.uk/-/media/files/for-professionals/research/heart-statistics/bhf-cvd-statistics-uk-factsheet-jan26.pdf (Accessed: 8 July 2026).</w:t>
      </w:r>
      <w:r w:rsidDel="00000000" w:rsidR="00000000" w:rsidRPr="00000000">
        <w:rPr>
          <w:rtl w:val="0"/>
        </w:rPr>
      </w:r>
    </w:p>
    <w:p w:rsidR="00000000" w:rsidDel="00000000" w:rsidP="00000000" w:rsidRDefault="00000000" w:rsidRPr="00000000" w14:paraId="00000037">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British Heart Foundation (2026b) Global Cardiovascular Disease Factsheet. Available at: https://www.bhf.org.uk/-/media/files/for-professionals/research/heart-statistics/bhf-cvd-statistics-global-factsheet-jan26.pdf (Accessed: 8 July 2026).</w:t>
      </w:r>
      <w:r w:rsidDel="00000000" w:rsidR="00000000" w:rsidRPr="00000000">
        <w:rPr>
          <w:rtl w:val="0"/>
        </w:rPr>
      </w:r>
    </w:p>
    <w:p w:rsidR="00000000" w:rsidDel="00000000" w:rsidP="00000000" w:rsidRDefault="00000000" w:rsidRPr="00000000" w14:paraId="00000038">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Care Quality Commission (2022) State of Care: The State of Health Care and Adult Social Care in England 2021/22. Available at: https://www.cqc.org.uk/publication/state-care-202122 (Accessed: 8 July 2026).</w:t>
      </w:r>
      <w:r w:rsidDel="00000000" w:rsidR="00000000" w:rsidRPr="00000000">
        <w:rPr>
          <w:rtl w:val="0"/>
        </w:rPr>
      </w:r>
    </w:p>
    <w:p w:rsidR="00000000" w:rsidDel="00000000" w:rsidP="00000000" w:rsidRDefault="00000000" w:rsidRPr="00000000" w14:paraId="00000039">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Conrad, N., Molenberghs, G., Verbeke, G., Zaccardi, F., Lawson, C., Friday, J.M., Su, H., Jhund, P.S., Sattar, N., Rahimi, K., Cleland, J.G., Budts, W. and McMurray, J.J.V. (2024) 'Trends in cardiovascular disease incidence among 22 million people in the UK over 20 years: population based study', BMJ, 385, e078523. Available at: https://doi.org/10.1136/bmj-2023-078523 (Accessed: 16 July 2026).</w:t>
      </w:r>
      <w:r w:rsidDel="00000000" w:rsidR="00000000" w:rsidRPr="00000000">
        <w:rPr>
          <w:rtl w:val="0"/>
        </w:rPr>
      </w:r>
    </w:p>
    <w:p w:rsidR="00000000" w:rsidDel="00000000" w:rsidP="00000000" w:rsidRDefault="00000000" w:rsidRPr="00000000" w14:paraId="0000003A">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Lahoz, R., Proudfoot, C., Fonseca, A.F., Loefroth, E., Corda, S., Jackson, J., Cotton, S. and Studer, R. (2021) 'Caregivers of patients with heart failure: burden and the determinants of health-related quality of life', Patient Preference and Adherence, 15, pp. 1153-1164. Available at: https://doi.org/10.2147/PPA.S297816 (Accessed: 8 July 2026).</w:t>
      </w:r>
      <w:r w:rsidDel="00000000" w:rsidR="00000000" w:rsidRPr="00000000">
        <w:rPr>
          <w:rtl w:val="0"/>
        </w:rPr>
      </w:r>
    </w:p>
    <w:p w:rsidR="00000000" w:rsidDel="00000000" w:rsidP="00000000" w:rsidRDefault="00000000" w:rsidRPr="00000000" w14:paraId="0000003B">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Liu, C., Jin, Q., Han, C. and Jiao, M. (2025) 'Global, regional, and national burden of ischaemic heart disease from 1990 to 2021: a comprehensive analysis based on the Global Burden of Disease study 2021', Journal of Global Health, 15, 04291. Available at: https://doi.org/10.7189/jogh.15.04291 (Accessed: 13 July 2026).</w:t>
      </w:r>
      <w:r w:rsidDel="00000000" w:rsidR="00000000" w:rsidRPr="00000000">
        <w:rPr>
          <w:rtl w:val="0"/>
        </w:rPr>
      </w:r>
    </w:p>
    <w:p w:rsidR="00000000" w:rsidDel="00000000" w:rsidP="00000000" w:rsidRDefault="00000000" w:rsidRPr="00000000" w14:paraId="0000003C">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NHS (2023) Coronary Heart Disease. Available at: https://www.nhs.uk/conditions/coronary-heart-disease/ (Accessed: 8 July 2026).</w:t>
      </w:r>
      <w:r w:rsidDel="00000000" w:rsidR="00000000" w:rsidRPr="00000000">
        <w:rPr>
          <w:rtl w:val="0"/>
        </w:rPr>
      </w:r>
    </w:p>
    <w:p w:rsidR="00000000" w:rsidDel="00000000" w:rsidP="00000000" w:rsidRDefault="00000000" w:rsidRPr="00000000" w14:paraId="0000003D">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NHS Digital (2022) Quality and Outcomes Framework, 2021-22. Available at: https://digital.nhs.uk/data-and-information/publications/statistical/quality-and-outcomes-framework-achievement-prevalence-and-exceptions-data/2021-22 (Accessed: 8 July 2026).</w:t>
      </w:r>
      <w:r w:rsidDel="00000000" w:rsidR="00000000" w:rsidRPr="00000000">
        <w:rPr>
          <w:rtl w:val="0"/>
        </w:rPr>
      </w:r>
    </w:p>
    <w:p w:rsidR="00000000" w:rsidDel="00000000" w:rsidP="00000000" w:rsidRDefault="00000000" w:rsidRPr="00000000" w14:paraId="0000003E">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Office for National Statistics (2021) Deaths Registered in England and Wales: 2021. Available at: https://www.ons.gov.uk/peoplepopulationandcommunity/birthsdeathsandmarriages/deaths/bulletins/deathsregistrationsummarytables/2021 (Accessed: 8 July 2026).</w:t>
      </w:r>
      <w:r w:rsidDel="00000000" w:rsidR="00000000" w:rsidRPr="00000000">
        <w:rPr>
          <w:rtl w:val="0"/>
        </w:rPr>
      </w:r>
    </w:p>
    <w:p w:rsidR="00000000" w:rsidDel="00000000" w:rsidP="00000000" w:rsidRDefault="00000000" w:rsidRPr="00000000" w14:paraId="0000003F">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Office for National Statistics (2024) Deaths Registered in England and Wales: 2023. Available at: https://www.ons.gov.uk/peoplepopulationandcommunity/birthsdeathsandmarriages/deaths/bulletins/deathsregistrationsummarytables/2023 (Accessed: 8 July 2026).</w:t>
      </w:r>
      <w:r w:rsidDel="00000000" w:rsidR="00000000" w:rsidRPr="00000000">
        <w:rPr>
          <w:rtl w:val="0"/>
        </w:rPr>
      </w:r>
    </w:p>
    <w:p w:rsidR="00000000" w:rsidDel="00000000" w:rsidP="00000000" w:rsidRDefault="00000000" w:rsidRPr="00000000" w14:paraId="00000040">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The King's Fund (2022) Cardiovascular Disease in England: Supporting Leaders to Take Action. Available at: https://www.kingsfund.org.uk/insight-and-analysis/reports/cardiovascular-disease-england (Accessed: 8 July 2026).</w:t>
      </w:r>
      <w:r w:rsidDel="00000000" w:rsidR="00000000" w:rsidRPr="00000000">
        <w:rPr>
          <w:rtl w:val="0"/>
        </w:rPr>
      </w:r>
    </w:p>
    <w:p w:rsidR="00000000" w:rsidDel="00000000" w:rsidP="00000000" w:rsidRDefault="00000000" w:rsidRPr="00000000" w14:paraId="00000041">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Visseren, F.L.J. et al. (2021) '2021 ESC Guidelines on cardiovascular disease prevention in clinical practice', European Heart Journal, 42(34), pp. 3227-3337. Available at: https://doi.org/10.1093/eurheartj/ehab484 (Accessed: 8 July 2026).</w:t>
      </w:r>
      <w:r w:rsidDel="00000000" w:rsidR="00000000" w:rsidRPr="00000000">
        <w:rPr>
          <w:rtl w:val="0"/>
        </w:rPr>
      </w:r>
    </w:p>
    <w:p w:rsidR="00000000" w:rsidDel="00000000" w:rsidP="00000000" w:rsidRDefault="00000000" w:rsidRPr="00000000" w14:paraId="00000042">
      <w:pPr>
        <w:spacing w:after="200" w:line="240" w:lineRule="auto"/>
        <w:ind w:left="720"/>
        <w:rPr>
          <w:rFonts w:ascii="Times New Roman" w:cs="Times New Roman" w:eastAsia="Times New Roman" w:hAnsi="Times New Roman"/>
          <w:sz w:val="20"/>
          <w:szCs w:val="20"/>
        </w:rPr>
      </w:pPr>
      <w:r w:rsidDel="00000000" w:rsidR="00000000" w:rsidRPr="00000000">
        <w:rPr>
          <w:rFonts w:ascii="Calibri" w:cs="Calibri" w:eastAsia="Calibri" w:hAnsi="Calibri"/>
          <w:sz w:val="24"/>
          <w:szCs w:val="24"/>
          <w:rtl w:val="0"/>
        </w:rPr>
        <w:t xml:space="preserve">Waugh, A. and Grant, A. (2018) Ross and Wilson Anatomy and Physiology in Health and Illness. 13th edn. Edinburgh: Elsevier.</w:t>
      </w:r>
      <w:r w:rsidDel="00000000" w:rsidR="00000000" w:rsidRPr="00000000">
        <w:rPr>
          <w:rtl w:val="0"/>
        </w:rPr>
      </w:r>
    </w:p>
    <w:p w:rsidR="00000000" w:rsidDel="00000000" w:rsidP="00000000" w:rsidRDefault="00000000" w:rsidRPr="00000000" w14:paraId="00000043">
      <w:pPr>
        <w:spacing w:after="200" w:line="240" w:lineRule="auto"/>
        <w:ind w:left="720"/>
        <w:rPr/>
      </w:pPr>
      <w:r w:rsidDel="00000000" w:rsidR="00000000" w:rsidRPr="00000000">
        <w:rPr>
          <w:rFonts w:ascii="Calibri" w:cs="Calibri" w:eastAsia="Calibri" w:hAnsi="Calibri"/>
          <w:sz w:val="24"/>
          <w:szCs w:val="24"/>
          <w:rtl w:val="0"/>
        </w:rPr>
        <w:t xml:space="preserve">World Health Organization (2025) Cardiovascular Diseases (CVDs). Available at: https://www.who.int/news-room/fact-sheets/detail/cardiovascular-diseases-(cvds) (Accessed: 8 July 2026).</w:t>
      </w:r>
      <w:r w:rsidDel="00000000" w:rsidR="00000000" w:rsidRPr="00000000">
        <w:rPr>
          <w:rtl w:val="0"/>
        </w:rPr>
      </w:r>
    </w:p>
    <w:p w:rsidR="00000000" w:rsidDel="00000000" w:rsidP="00000000" w:rsidRDefault="00000000" w:rsidRPr="00000000" w14:paraId="00000044">
      <w:pPr>
        <w:rPr>
          <w:rFonts w:ascii="Calibri" w:cs="Calibri" w:eastAsia="Calibri" w:hAnsi="Calibri"/>
          <w:sz w:val="24"/>
          <w:szCs w:val="24"/>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5">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