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EE8C5" w14:textId="6FBFC920" w:rsidR="0054066E" w:rsidRDefault="00EA3602">
      <w:r>
        <w:tab/>
      </w:r>
      <w:r>
        <w:tab/>
      </w:r>
      <w:r>
        <w:tab/>
      </w:r>
      <w:r>
        <w:tab/>
      </w:r>
    </w:p>
    <w:p w14:paraId="61070374" w14:textId="77777777" w:rsidR="00EA3602" w:rsidRDefault="00EA3602"/>
    <w:p w14:paraId="0C65C4D0" w14:textId="77777777" w:rsidR="00EA3602" w:rsidRDefault="00EA3602"/>
    <w:p w14:paraId="18A481EF" w14:textId="77777777" w:rsidR="00EA3602" w:rsidRDefault="00EA3602"/>
    <w:p w14:paraId="3D099DE0" w14:textId="77777777" w:rsidR="00EA3602" w:rsidRDefault="00EA3602"/>
    <w:p w14:paraId="05DF03F4" w14:textId="268ECF89" w:rsidR="00EA3602" w:rsidRPr="00A923D7" w:rsidRDefault="00EA3602" w:rsidP="00A923D7">
      <w:pPr>
        <w:spacing w:line="480" w:lineRule="auto"/>
        <w:jc w:val="center"/>
        <w:rPr>
          <w:rFonts w:ascii="Times New Roman" w:hAnsi="Times New Roman" w:cs="Times New Roman"/>
        </w:rPr>
      </w:pPr>
      <w:r w:rsidRPr="00A923D7">
        <w:rPr>
          <w:rFonts w:ascii="Times New Roman" w:hAnsi="Times New Roman" w:cs="Times New Roman"/>
        </w:rPr>
        <w:t>EUGEN FLOREA</w:t>
      </w:r>
    </w:p>
    <w:p w14:paraId="54944895" w14:textId="77777777" w:rsidR="00EA3602" w:rsidRPr="00A923D7" w:rsidRDefault="00EA3602" w:rsidP="00A923D7">
      <w:pPr>
        <w:spacing w:line="480" w:lineRule="auto"/>
        <w:jc w:val="center"/>
        <w:rPr>
          <w:rFonts w:ascii="Times New Roman" w:hAnsi="Times New Roman" w:cs="Times New Roman"/>
        </w:rPr>
      </w:pPr>
    </w:p>
    <w:p w14:paraId="4D3B2EBA" w14:textId="77777777" w:rsidR="00EA3602" w:rsidRPr="00A923D7" w:rsidRDefault="00EA3602" w:rsidP="00A923D7">
      <w:pPr>
        <w:spacing w:line="480" w:lineRule="auto"/>
        <w:jc w:val="center"/>
        <w:rPr>
          <w:rFonts w:ascii="Times New Roman" w:hAnsi="Times New Roman" w:cs="Times New Roman"/>
        </w:rPr>
      </w:pPr>
    </w:p>
    <w:p w14:paraId="295531A1" w14:textId="77777777" w:rsidR="00EA3602" w:rsidRPr="00A923D7" w:rsidRDefault="00EA3602" w:rsidP="00A923D7">
      <w:pPr>
        <w:spacing w:line="480" w:lineRule="auto"/>
        <w:jc w:val="center"/>
        <w:rPr>
          <w:rFonts w:ascii="Times New Roman" w:hAnsi="Times New Roman" w:cs="Times New Roman"/>
        </w:rPr>
      </w:pPr>
    </w:p>
    <w:p w14:paraId="5C6FB64A" w14:textId="4FBC7C1B" w:rsidR="00EA3602" w:rsidRPr="00A923D7" w:rsidRDefault="00EA3602" w:rsidP="00A923D7">
      <w:pPr>
        <w:spacing w:line="480" w:lineRule="auto"/>
        <w:jc w:val="center"/>
        <w:rPr>
          <w:rFonts w:ascii="Times New Roman" w:hAnsi="Times New Roman" w:cs="Times New Roman"/>
        </w:rPr>
      </w:pPr>
      <w:r w:rsidRPr="00A923D7">
        <w:rPr>
          <w:rFonts w:ascii="Times New Roman" w:hAnsi="Times New Roman" w:cs="Times New Roman"/>
        </w:rPr>
        <w:t>2225235</w:t>
      </w:r>
    </w:p>
    <w:p w14:paraId="3B0F251D" w14:textId="76CFF852" w:rsidR="00EA3602" w:rsidRPr="00A923D7" w:rsidRDefault="00EA3602" w:rsidP="00A923D7">
      <w:pPr>
        <w:spacing w:line="480" w:lineRule="auto"/>
        <w:jc w:val="center"/>
        <w:rPr>
          <w:rFonts w:ascii="Times New Roman" w:hAnsi="Times New Roman" w:cs="Times New Roman"/>
        </w:rPr>
      </w:pPr>
      <w:r w:rsidRPr="00A923D7">
        <w:rPr>
          <w:rFonts w:ascii="Times New Roman" w:hAnsi="Times New Roman" w:cs="Times New Roman"/>
        </w:rPr>
        <w:t>14</w:t>
      </w:r>
      <w:r w:rsidRPr="00A923D7">
        <w:rPr>
          <w:rFonts w:ascii="Times New Roman" w:hAnsi="Times New Roman" w:cs="Times New Roman"/>
          <w:vertAlign w:val="superscript"/>
        </w:rPr>
        <w:t>TH</w:t>
      </w:r>
      <w:r w:rsidRPr="00A923D7">
        <w:rPr>
          <w:rFonts w:ascii="Times New Roman" w:hAnsi="Times New Roman" w:cs="Times New Roman"/>
        </w:rPr>
        <w:t xml:space="preserve"> AUG 2023</w:t>
      </w:r>
    </w:p>
    <w:p w14:paraId="6D078129" w14:textId="77777777" w:rsidR="00EA3602" w:rsidRPr="00A923D7" w:rsidRDefault="00EA3602" w:rsidP="00A923D7">
      <w:pPr>
        <w:spacing w:line="480" w:lineRule="auto"/>
        <w:jc w:val="center"/>
        <w:rPr>
          <w:rFonts w:ascii="Times New Roman" w:hAnsi="Times New Roman" w:cs="Times New Roman"/>
        </w:rPr>
      </w:pPr>
    </w:p>
    <w:p w14:paraId="2B317B97" w14:textId="77777777" w:rsidR="00EA3602" w:rsidRPr="00A923D7" w:rsidRDefault="00EA3602" w:rsidP="00A923D7">
      <w:pPr>
        <w:spacing w:line="480" w:lineRule="auto"/>
        <w:jc w:val="center"/>
        <w:rPr>
          <w:rFonts w:ascii="Times New Roman" w:hAnsi="Times New Roman" w:cs="Times New Roman"/>
        </w:rPr>
      </w:pPr>
    </w:p>
    <w:p w14:paraId="6D4337B6" w14:textId="77777777" w:rsidR="00EA3602" w:rsidRPr="00A923D7" w:rsidRDefault="00EA3602" w:rsidP="00A923D7">
      <w:pPr>
        <w:spacing w:line="480" w:lineRule="auto"/>
        <w:jc w:val="center"/>
        <w:rPr>
          <w:rFonts w:ascii="Times New Roman" w:hAnsi="Times New Roman" w:cs="Times New Roman"/>
        </w:rPr>
      </w:pPr>
    </w:p>
    <w:p w14:paraId="629739F4" w14:textId="77777777" w:rsidR="00EA3602" w:rsidRPr="00A923D7" w:rsidRDefault="00EA3602" w:rsidP="00A923D7">
      <w:pPr>
        <w:spacing w:line="480" w:lineRule="auto"/>
        <w:jc w:val="center"/>
        <w:rPr>
          <w:rFonts w:ascii="Times New Roman" w:hAnsi="Times New Roman" w:cs="Times New Roman"/>
        </w:rPr>
      </w:pPr>
    </w:p>
    <w:p w14:paraId="6B486DAF" w14:textId="77777777" w:rsidR="00EA3602" w:rsidRPr="00A923D7" w:rsidRDefault="00EA3602" w:rsidP="00A923D7">
      <w:pPr>
        <w:spacing w:line="480" w:lineRule="auto"/>
        <w:jc w:val="center"/>
        <w:rPr>
          <w:rFonts w:ascii="Times New Roman" w:hAnsi="Times New Roman" w:cs="Times New Roman"/>
        </w:rPr>
      </w:pPr>
    </w:p>
    <w:p w14:paraId="4ECFF526" w14:textId="77777777" w:rsidR="00EA3602" w:rsidRPr="00A923D7" w:rsidRDefault="00EA3602" w:rsidP="00A923D7">
      <w:pPr>
        <w:spacing w:line="480" w:lineRule="auto"/>
        <w:jc w:val="center"/>
        <w:rPr>
          <w:rFonts w:ascii="Times New Roman" w:hAnsi="Times New Roman" w:cs="Times New Roman"/>
        </w:rPr>
      </w:pPr>
    </w:p>
    <w:p w14:paraId="68C2E40C" w14:textId="77777777" w:rsidR="00EA3602" w:rsidRPr="00A923D7" w:rsidRDefault="00EA3602" w:rsidP="00A923D7">
      <w:pPr>
        <w:spacing w:line="480" w:lineRule="auto"/>
        <w:jc w:val="center"/>
        <w:rPr>
          <w:rFonts w:ascii="Times New Roman" w:hAnsi="Times New Roman" w:cs="Times New Roman"/>
        </w:rPr>
      </w:pPr>
    </w:p>
    <w:p w14:paraId="5DF60A95" w14:textId="77777777" w:rsidR="00EA3602" w:rsidRPr="00A923D7" w:rsidRDefault="00EA3602" w:rsidP="00A923D7">
      <w:pPr>
        <w:spacing w:line="480" w:lineRule="auto"/>
        <w:jc w:val="center"/>
        <w:rPr>
          <w:rFonts w:ascii="Times New Roman" w:hAnsi="Times New Roman" w:cs="Times New Roman"/>
        </w:rPr>
      </w:pPr>
    </w:p>
    <w:p w14:paraId="13733508" w14:textId="77777777" w:rsidR="00EA3602" w:rsidRPr="00A923D7" w:rsidRDefault="00EA3602" w:rsidP="00A923D7">
      <w:pPr>
        <w:spacing w:line="480" w:lineRule="auto"/>
        <w:jc w:val="center"/>
        <w:rPr>
          <w:rFonts w:ascii="Times New Roman" w:hAnsi="Times New Roman" w:cs="Times New Roman"/>
        </w:rPr>
      </w:pPr>
    </w:p>
    <w:p w14:paraId="63E09078" w14:textId="77777777" w:rsidR="00A923D7" w:rsidRDefault="00A923D7" w:rsidP="00A923D7">
      <w:pPr>
        <w:spacing w:line="480" w:lineRule="auto"/>
        <w:rPr>
          <w:rFonts w:ascii="Times New Roman" w:hAnsi="Times New Roman" w:cs="Times New Roman"/>
        </w:rPr>
      </w:pPr>
    </w:p>
    <w:p w14:paraId="1C40C275" w14:textId="721D29FC" w:rsidR="00EA3602" w:rsidRPr="00A923D7" w:rsidRDefault="00EA3602" w:rsidP="00A923D7">
      <w:pPr>
        <w:spacing w:line="480" w:lineRule="auto"/>
        <w:rPr>
          <w:rFonts w:ascii="Times New Roman" w:hAnsi="Times New Roman" w:cs="Times New Roman"/>
          <w:b/>
          <w:bCs/>
          <w:sz w:val="24"/>
          <w:szCs w:val="24"/>
        </w:rPr>
      </w:pPr>
      <w:r w:rsidRPr="00A923D7">
        <w:rPr>
          <w:rFonts w:ascii="Times New Roman" w:hAnsi="Times New Roman" w:cs="Times New Roman"/>
          <w:b/>
          <w:bCs/>
          <w:sz w:val="24"/>
          <w:szCs w:val="24"/>
        </w:rPr>
        <w:lastRenderedPageBreak/>
        <w:t xml:space="preserve">INTRODUCTION </w:t>
      </w:r>
    </w:p>
    <w:p w14:paraId="13942334" w14:textId="2CF3BB9A"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The ethical practise pillar of "equal opportunity" emphasises the idea of treating people and groups fairly and without using any sort of prejudice. It captures the deeply held conviction that every person should have access to the same rights, opportunities, and treatment regardless of their unique characteristics and backgrounds</w:t>
      </w:r>
      <w:r w:rsidR="00A923D7">
        <w:rPr>
          <w:rFonts w:ascii="Times New Roman" w:hAnsi="Times New Roman" w:cs="Times New Roman"/>
          <w:sz w:val="24"/>
          <w:szCs w:val="24"/>
        </w:rPr>
        <w:t xml:space="preserve"> </w:t>
      </w:r>
      <w:r w:rsidR="00C27AAE" w:rsidRPr="00C27AAE">
        <w:rPr>
          <w:rFonts w:ascii="Times New Roman" w:hAnsi="Times New Roman" w:cs="Times New Roman"/>
          <w:sz w:val="24"/>
          <w:szCs w:val="24"/>
        </w:rPr>
        <w:t>(Herring, 2017)</w:t>
      </w:r>
      <w:r w:rsidRPr="00A923D7">
        <w:rPr>
          <w:rFonts w:ascii="Times New Roman" w:hAnsi="Times New Roman" w:cs="Times New Roman"/>
          <w:sz w:val="24"/>
          <w:szCs w:val="24"/>
        </w:rPr>
        <w:t>. In essence, equal opportunity seeks to establish a level playing field where justice rules and prejudices are kept to a minimum. The idea of equal opportunity is extremely important in the context of the legal profession. Legal professionals are in a unique position to change how the general public views equality and fairness because they are charged with upholding justice and promoting the rule of law. In order to highlight the crucial role that diversity and equality play within the legal profession, this essay examines the Equality Act of 2010 and the SRA Code of Conduct (2019).</w:t>
      </w:r>
    </w:p>
    <w:p w14:paraId="7F81CB6F" w14:textId="594E01AE"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The Equality Act of 2010 in the UK makes clear that equality is not just an ideal but also a legal reality that protects people from discrimination based on protected traits. These traits, which include ethnicity, gender, age, disability, and others, represent the essential qualities that characterise an individual. The Act is a reflection of a society's dedication to promoting inclusivity and eradicating discriminatory practises, both inside and outside of the law</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(Wakeling, 2020)</w:t>
      </w:r>
      <w:r w:rsidRPr="00A923D7">
        <w:rPr>
          <w:rFonts w:ascii="Times New Roman" w:hAnsi="Times New Roman" w:cs="Times New Roman"/>
          <w:sz w:val="24"/>
          <w:szCs w:val="24"/>
        </w:rPr>
        <w:t>.</w:t>
      </w:r>
      <w:r w:rsidRPr="00A923D7">
        <w:rPr>
          <w:rFonts w:ascii="Times New Roman" w:hAnsi="Times New Roman" w:cs="Times New Roman"/>
          <w:sz w:val="24"/>
          <w:szCs w:val="24"/>
        </w:rPr>
        <w:t xml:space="preserve"> </w:t>
      </w:r>
      <w:r w:rsidRPr="00A923D7">
        <w:rPr>
          <w:rFonts w:ascii="Times New Roman" w:hAnsi="Times New Roman" w:cs="Times New Roman"/>
          <w:sz w:val="24"/>
          <w:szCs w:val="24"/>
        </w:rPr>
        <w:t>In addition, a detailed manual that describes the moral obligations of legal professionals is provided by the Solicitors Regulation Authority (SRA) Code of Conduct (2019). This code demonstrates the commitment of the legal community to values like honesty, discretion, and the highest level of professionalism. Additionally, it promotes the benefits of fair treatment and emphasises the ban of discrimination. Legal professionals are charged with the ethical responsibility to promote diversity and equality as guardians of justice, helping to build a just and fair society.</w:t>
      </w:r>
    </w:p>
    <w:p w14:paraId="5B430954" w14:textId="3772F752"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lastRenderedPageBreak/>
        <w:t>In light of the foregoing, this essay will go more deeply into the significance of diversity and equality in the legal profession. We seek to shed light on how these principles jointly enrich the legal environment and increase public confidence in the judicial system by looking at their roles in promoting fairness, ensuring access to justice, improving decision-making, and minimising bias. This essay will emphasise that the promotion of equality and diversity is not just a legal necessity but also a moral obligation that defines the very nature of the legal profession through a thorough review of the Equality Act 2010 and the SRA Code of Conduct (2019).</w:t>
      </w:r>
    </w:p>
    <w:p w14:paraId="7DB9F5F9" w14:textId="77777777" w:rsidR="00EA3602" w:rsidRPr="00A923D7" w:rsidRDefault="00EA3602" w:rsidP="00A923D7">
      <w:pPr>
        <w:spacing w:line="480" w:lineRule="auto"/>
        <w:ind w:firstLine="720"/>
        <w:rPr>
          <w:rFonts w:ascii="Times New Roman" w:hAnsi="Times New Roman" w:cs="Times New Roman"/>
          <w:b/>
          <w:bCs/>
          <w:sz w:val="24"/>
          <w:szCs w:val="24"/>
        </w:rPr>
      </w:pPr>
      <w:r w:rsidRPr="00A923D7">
        <w:rPr>
          <w:rFonts w:ascii="Times New Roman" w:hAnsi="Times New Roman" w:cs="Times New Roman"/>
          <w:b/>
          <w:bCs/>
          <w:sz w:val="24"/>
          <w:szCs w:val="24"/>
        </w:rPr>
        <w:t>The Promotion of Fairness</w:t>
      </w:r>
    </w:p>
    <w:p w14:paraId="621E3AE1" w14:textId="5B3E1B4E"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In society, the legal community is seen as a pillar, charged with the serious duty of upholding justice and fairness. Justice is fundamentally based on treating everyone fairly, regardless of their inherent characteristics or life circumstances</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(Herring, 2017)</w:t>
      </w:r>
      <w:r w:rsidRPr="00A923D7">
        <w:rPr>
          <w:rFonts w:ascii="Times New Roman" w:hAnsi="Times New Roman" w:cs="Times New Roman"/>
          <w:sz w:val="24"/>
          <w:szCs w:val="24"/>
        </w:rPr>
        <w:t xml:space="preserve">. The concepts of equality and diversity within the legal profession serve as a manifestation of the concept of fairness, which is essential to the pursuit of justice. Equality and diversity are far more than just buzzwords; they are active forces that shape the relationships, activism, and choices of legal professionals. Advocates for persons looking for help, direction, and representation in the legal system are lawyers. They overcome individual prejudices and society preconceptions by upholding the values of equality and diversity, ensuring that their customers are treated fairly and with </w:t>
      </w:r>
      <w:r w:rsidR="00C27AAE">
        <w:rPr>
          <w:rFonts w:ascii="Times New Roman" w:hAnsi="Times New Roman" w:cs="Times New Roman"/>
          <w:sz w:val="24"/>
          <w:szCs w:val="24"/>
        </w:rPr>
        <w:t xml:space="preserve">respect </w:t>
      </w:r>
      <w:r w:rsidR="00C27AAE" w:rsidRPr="00C27AAE">
        <w:rPr>
          <w:rFonts w:ascii="Times New Roman" w:hAnsi="Times New Roman" w:cs="Times New Roman"/>
          <w:sz w:val="24"/>
          <w:szCs w:val="24"/>
        </w:rPr>
        <w:t>(Herring, 2017)</w:t>
      </w:r>
      <w:r w:rsidRPr="00A923D7">
        <w:rPr>
          <w:rFonts w:ascii="Times New Roman" w:hAnsi="Times New Roman" w:cs="Times New Roman"/>
          <w:sz w:val="24"/>
          <w:szCs w:val="24"/>
        </w:rPr>
        <w:t>.</w:t>
      </w:r>
    </w:p>
    <w:p w14:paraId="086890AE" w14:textId="122630FD"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In the UK, the Equality Act 2010 appears as a crucial piece of legislation created to strengthen the principles of justice. This law protects against discrimination based on factors including race, gender, age, disability, and others. Its clauses emphasize how important it is to treat everyone equally, regardless of any traits that would set them apart. As the forerunners of </w:t>
      </w:r>
      <w:r w:rsidRPr="00A923D7">
        <w:rPr>
          <w:rFonts w:ascii="Times New Roman" w:hAnsi="Times New Roman" w:cs="Times New Roman"/>
          <w:sz w:val="24"/>
          <w:szCs w:val="24"/>
        </w:rPr>
        <w:lastRenderedPageBreak/>
        <w:t>justice, lawyers have a responsibility to uphold the ideals stated in the Equality Act by aggressively combatting prejudice in their line of work</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(Wakeling, 2020)</w:t>
      </w:r>
      <w:r w:rsidRPr="00A923D7">
        <w:rPr>
          <w:rFonts w:ascii="Times New Roman" w:hAnsi="Times New Roman" w:cs="Times New Roman"/>
          <w:sz w:val="24"/>
          <w:szCs w:val="24"/>
        </w:rPr>
        <w:t>. Additionally, the legal profession's commitment to diversity and equality fosters a peaceful legal environment that resonates with respect for each person's inherent worth. This philosophy extends beyond the confines of the legal profession and affects interactions with clients, witnesses, coworkers, and other legal professionals. Because of the legal profession's dedication to fairness, interactions between all parties are open, objective, and meaningful.</w:t>
      </w:r>
    </w:p>
    <w:p w14:paraId="18A2821F" w14:textId="19231B9F"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In essence, promoting fairness through equality and diversity is both a moral and a legal responsibility for legal professionals. Legal professionals build a culture that respects individual differences, celebrates diversity, and ensures that justice is administered impartially by upholding these ideals. The legal profession's unwavering commitment to preserving the highest standards of justice and ethical </w:t>
      </w:r>
      <w:r w:rsidRPr="00A923D7">
        <w:rPr>
          <w:rFonts w:ascii="Times New Roman" w:hAnsi="Times New Roman" w:cs="Times New Roman"/>
          <w:sz w:val="24"/>
          <w:szCs w:val="24"/>
        </w:rPr>
        <w:t>behaviour</w:t>
      </w:r>
      <w:r w:rsidRPr="00A923D7">
        <w:rPr>
          <w:rFonts w:ascii="Times New Roman" w:hAnsi="Times New Roman" w:cs="Times New Roman"/>
          <w:sz w:val="24"/>
          <w:szCs w:val="24"/>
        </w:rPr>
        <w:t xml:space="preserve"> is demonstrated by its devotion to fairness</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(Herring, 2017)</w:t>
      </w:r>
      <w:r w:rsidRPr="00A923D7">
        <w:rPr>
          <w:rFonts w:ascii="Times New Roman" w:hAnsi="Times New Roman" w:cs="Times New Roman"/>
          <w:sz w:val="24"/>
          <w:szCs w:val="24"/>
        </w:rPr>
        <w:t>.</w:t>
      </w:r>
    </w:p>
    <w:p w14:paraId="4110586D" w14:textId="229DDA6C" w:rsidR="00EA3602" w:rsidRPr="00A923D7" w:rsidRDefault="00EA3602" w:rsidP="00A923D7">
      <w:pPr>
        <w:spacing w:line="480" w:lineRule="auto"/>
        <w:ind w:firstLine="720"/>
        <w:rPr>
          <w:rFonts w:ascii="Times New Roman" w:hAnsi="Times New Roman" w:cs="Times New Roman"/>
          <w:b/>
          <w:bCs/>
          <w:sz w:val="24"/>
          <w:szCs w:val="24"/>
        </w:rPr>
      </w:pPr>
      <w:r w:rsidRPr="00A923D7">
        <w:rPr>
          <w:rFonts w:ascii="Times New Roman" w:hAnsi="Times New Roman" w:cs="Times New Roman"/>
          <w:b/>
          <w:bCs/>
          <w:sz w:val="24"/>
          <w:szCs w:val="24"/>
        </w:rPr>
        <w:t>Achieving Justice</w:t>
      </w:r>
    </w:p>
    <w:p w14:paraId="18E640B5" w14:textId="1F6A522E"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Access to justice is a fundamental right rather than a privilege in a just society. In order to maintain access to this right for all people, regardless of their identities, situations, or histories, an inclusive legal profession is essential. This important aspect of law is supported by the principles of equality and diversity, which promotes an environment where everyone can access justice on an equal footing</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(Parker and Evans, 2018)</w:t>
      </w:r>
      <w:r w:rsidRPr="00A923D7">
        <w:rPr>
          <w:rFonts w:ascii="Times New Roman" w:hAnsi="Times New Roman" w:cs="Times New Roman"/>
          <w:sz w:val="24"/>
          <w:szCs w:val="24"/>
        </w:rPr>
        <w:t xml:space="preserve">. Diversity among legal practitioners strengthens the collective perspective and widens the horizons of understanding, going beyond simple representation. Lawyers from varied backgrounds each bring their own perspectives, experiences, and insights to the profession. Through ensuring a varied understanding of clients' problems, this variety promotes more thorough and sympathetic representation. A legal team </w:t>
      </w:r>
      <w:r w:rsidRPr="00A923D7">
        <w:rPr>
          <w:rFonts w:ascii="Times New Roman" w:hAnsi="Times New Roman" w:cs="Times New Roman"/>
          <w:sz w:val="24"/>
          <w:szCs w:val="24"/>
        </w:rPr>
        <w:lastRenderedPageBreak/>
        <w:t>with a variety of expertise can view legal issues from several perspectives, resulting in a more comprehensive approach to resolving conflicts and promoting justice.</w:t>
      </w:r>
    </w:p>
    <w:p w14:paraId="6E585BB6" w14:textId="1F5D70C4" w:rsidR="00EA3602" w:rsidRPr="00A923D7" w:rsidRDefault="00EA3602"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The legal profession should also reflect the society it serves. A legal profession that is inclusive and varied reflects the variety of people and cultures that make up the modern world. The legal profession has the duty to uphold ideals like justice, respect, and equality because it is a microcosm of society. The legal profession exhibits its dedication to these ideals by welcoming diversity within its ranks, which in turn promotes trust and confidence in the legal system. It's crucial to recognize that creating a truly inclusive legal profession will take constant work. Even while progress has been made, people from underrepresented groups still face obstacles to entry and advancement. The legal profession must actively take steps to encourage diversity at all levels, including leadership roles and law schools, and remove structural barriers that prevent equal participation</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(Herring, 2017)</w:t>
      </w:r>
      <w:r w:rsidRPr="00A923D7">
        <w:rPr>
          <w:rFonts w:ascii="Times New Roman" w:hAnsi="Times New Roman" w:cs="Times New Roman"/>
          <w:sz w:val="24"/>
          <w:szCs w:val="24"/>
        </w:rPr>
        <w:t>.</w:t>
      </w:r>
    </w:p>
    <w:p w14:paraId="2BC5CAE3" w14:textId="77777777" w:rsidR="00A923D7" w:rsidRPr="00A923D7" w:rsidRDefault="00A923D7" w:rsidP="00A923D7">
      <w:pPr>
        <w:spacing w:line="480" w:lineRule="auto"/>
        <w:ind w:firstLine="720"/>
        <w:rPr>
          <w:rFonts w:ascii="Times New Roman" w:hAnsi="Times New Roman" w:cs="Times New Roman"/>
          <w:b/>
          <w:bCs/>
          <w:sz w:val="24"/>
          <w:szCs w:val="24"/>
        </w:rPr>
      </w:pPr>
      <w:r w:rsidRPr="00A923D7">
        <w:rPr>
          <w:rFonts w:ascii="Times New Roman" w:hAnsi="Times New Roman" w:cs="Times New Roman"/>
          <w:b/>
          <w:bCs/>
          <w:sz w:val="24"/>
          <w:szCs w:val="24"/>
        </w:rPr>
        <w:t>2019 SRA Code of Conduct</w:t>
      </w:r>
    </w:p>
    <w:p w14:paraId="07C9214F" w14:textId="7E0E3C6E" w:rsidR="00A923D7" w:rsidRPr="00A923D7" w:rsidRDefault="00A923D7"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The ethical standards of the legal profession act as a compass to direct the </w:t>
      </w:r>
      <w:r w:rsidRPr="00A923D7">
        <w:rPr>
          <w:rFonts w:ascii="Times New Roman" w:hAnsi="Times New Roman" w:cs="Times New Roman"/>
          <w:sz w:val="24"/>
          <w:szCs w:val="24"/>
        </w:rPr>
        <w:t>behaviour</w:t>
      </w:r>
      <w:r w:rsidRPr="00A923D7">
        <w:rPr>
          <w:rFonts w:ascii="Times New Roman" w:hAnsi="Times New Roman" w:cs="Times New Roman"/>
          <w:sz w:val="24"/>
          <w:szCs w:val="24"/>
        </w:rPr>
        <w:t xml:space="preserve"> of legal professionals. The Solicitors Regulation Authority (SRA) Code of Conduct (2019) acts as a lighthouse, guiding practitioners toward ethical </w:t>
      </w:r>
      <w:r w:rsidRPr="00A923D7">
        <w:rPr>
          <w:rFonts w:ascii="Times New Roman" w:hAnsi="Times New Roman" w:cs="Times New Roman"/>
          <w:sz w:val="24"/>
          <w:szCs w:val="24"/>
        </w:rPr>
        <w:t>behaviour</w:t>
      </w:r>
      <w:r w:rsidRPr="00A923D7">
        <w:rPr>
          <w:rFonts w:ascii="Times New Roman" w:hAnsi="Times New Roman" w:cs="Times New Roman"/>
          <w:sz w:val="24"/>
          <w:szCs w:val="24"/>
        </w:rPr>
        <w:t>. Legal professionals are required to uphold a set of values in their interactions with clients, coworkers, and the larger legal community, which is detailed in this extensive text. Integrity is a fundamental tenet of the SRA Code of Conduct</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(Solicitors Regulation Authority, 2019)</w:t>
      </w:r>
      <w:r w:rsidRPr="00A923D7">
        <w:rPr>
          <w:rFonts w:ascii="Times New Roman" w:hAnsi="Times New Roman" w:cs="Times New Roman"/>
          <w:sz w:val="24"/>
          <w:szCs w:val="24"/>
        </w:rPr>
        <w:t xml:space="preserve">. More than just a virtue, integrity serves as the cornerstone on which confidence is established between legal practitioners and the clients they represent. Maintaining integrity means upholding high moral and ethical standards despite obstacles. This rule calls for legal professionals to treat each client with the same care and </w:t>
      </w:r>
      <w:r w:rsidRPr="00A923D7">
        <w:rPr>
          <w:rFonts w:ascii="Times New Roman" w:hAnsi="Times New Roman" w:cs="Times New Roman"/>
          <w:sz w:val="24"/>
          <w:szCs w:val="24"/>
        </w:rPr>
        <w:lastRenderedPageBreak/>
        <w:t>concern regardless of their background or circumstances, which is deeply in line with the ideals of equality and diversity.</w:t>
      </w:r>
    </w:p>
    <w:p w14:paraId="50AA9C0E" w14:textId="7B47F466" w:rsidR="00A923D7" w:rsidRPr="00A923D7" w:rsidRDefault="00A923D7"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Another principle of the Code is confidentiality, which emphasizes the sacred trust between </w:t>
      </w:r>
      <w:r w:rsidRPr="00A923D7">
        <w:rPr>
          <w:rFonts w:ascii="Times New Roman" w:hAnsi="Times New Roman" w:cs="Times New Roman"/>
          <w:sz w:val="24"/>
          <w:szCs w:val="24"/>
        </w:rPr>
        <w:t>solicitor’s</w:t>
      </w:r>
      <w:r w:rsidRPr="00A923D7">
        <w:rPr>
          <w:rFonts w:ascii="Times New Roman" w:hAnsi="Times New Roman" w:cs="Times New Roman"/>
          <w:sz w:val="24"/>
          <w:szCs w:val="24"/>
        </w:rPr>
        <w:t xml:space="preserve"> and their clients. Legal professionals ensure that justice can be pursued without fear of discrimination or bias by preserving absolute secrecy. This safe environment for clients to communicate their concerns is one of the many benefits they offer. This dedication to confidentiality supports the ideals of equality and diversity because it promotes open and honest communication, regardless of a person's protected features</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(Solicitors Regulation Authority, 2019)</w:t>
      </w:r>
      <w:r w:rsidRPr="00A923D7">
        <w:rPr>
          <w:rFonts w:ascii="Times New Roman" w:hAnsi="Times New Roman" w:cs="Times New Roman"/>
          <w:sz w:val="24"/>
          <w:szCs w:val="24"/>
        </w:rPr>
        <w:t>.</w:t>
      </w:r>
    </w:p>
    <w:p w14:paraId="557E0A7C" w14:textId="6559D7B4" w:rsidR="00A923D7" w:rsidRPr="00A923D7" w:rsidRDefault="00A923D7"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 Additionally, the Code expressly condemns prejudice and promotes equality. To ensure that no one is denied justice because of their history or traits, legal practitioners have the duty to level the playing field for all people. This symbolizes the idea that justice is impersonal and has a strong affinity with the concepts of equality and variety.</w:t>
      </w:r>
      <w:r w:rsidRPr="00A923D7">
        <w:rPr>
          <w:rFonts w:ascii="Times New Roman" w:hAnsi="Times New Roman" w:cs="Times New Roman"/>
          <w:sz w:val="24"/>
          <w:szCs w:val="24"/>
        </w:rPr>
        <w:t xml:space="preserve"> </w:t>
      </w:r>
      <w:r w:rsidRPr="00A923D7">
        <w:rPr>
          <w:rFonts w:ascii="Times New Roman" w:hAnsi="Times New Roman" w:cs="Times New Roman"/>
          <w:sz w:val="24"/>
          <w:szCs w:val="24"/>
        </w:rPr>
        <w:t>Beyond a list of rules, the SRA Code of Conduct (2019) is a symbol of the legal profession's dedication to preserving the highest ethical standards. The Code emphasizes the core goals of equality and diversity in the legal profession by fusing together the principles of honesty, confidentiality, equitable treatment, and non-discrimination. It acts as a reminder that upholding ethical standards is not only required by law but also a moral necessity that encompasses the fundamental principles of justice, fairness, and respect for all people, regardless of differences</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(Solicitors Regulation Authority, 2019)</w:t>
      </w:r>
      <w:r w:rsidRPr="00A923D7">
        <w:rPr>
          <w:rFonts w:ascii="Times New Roman" w:hAnsi="Times New Roman" w:cs="Times New Roman"/>
          <w:sz w:val="24"/>
          <w:szCs w:val="24"/>
        </w:rPr>
        <w:t>.</w:t>
      </w:r>
    </w:p>
    <w:p w14:paraId="734CBC94" w14:textId="61EB7C37" w:rsidR="00A923D7" w:rsidRPr="00A923D7" w:rsidRDefault="00A923D7" w:rsidP="00A923D7">
      <w:pPr>
        <w:spacing w:line="480" w:lineRule="auto"/>
        <w:ind w:firstLine="720"/>
        <w:rPr>
          <w:rFonts w:ascii="Times New Roman" w:hAnsi="Times New Roman" w:cs="Times New Roman"/>
          <w:b/>
          <w:bCs/>
          <w:sz w:val="24"/>
          <w:szCs w:val="24"/>
        </w:rPr>
      </w:pPr>
      <w:r w:rsidRPr="00A923D7">
        <w:rPr>
          <w:rFonts w:ascii="Times New Roman" w:hAnsi="Times New Roman" w:cs="Times New Roman"/>
          <w:b/>
          <w:bCs/>
          <w:sz w:val="24"/>
          <w:szCs w:val="24"/>
        </w:rPr>
        <w:t>How to Reduce Bias and Improve Decision-Making</w:t>
      </w:r>
    </w:p>
    <w:p w14:paraId="66AC5950" w14:textId="5C32BC82" w:rsidR="00A923D7" w:rsidRPr="00A923D7" w:rsidRDefault="00A923D7"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The values of justice and equality that the legal profession attempts to defend may be jeopardised by bias, whether conscious or unconscious, which has a significant impact on </w:t>
      </w:r>
      <w:r w:rsidRPr="00A923D7">
        <w:rPr>
          <w:rFonts w:ascii="Times New Roman" w:hAnsi="Times New Roman" w:cs="Times New Roman"/>
          <w:sz w:val="24"/>
          <w:szCs w:val="24"/>
        </w:rPr>
        <w:lastRenderedPageBreak/>
        <w:t>judicial procedures and decision-making</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(Calvert, 2020)</w:t>
      </w:r>
      <w:r w:rsidRPr="00A923D7">
        <w:rPr>
          <w:rFonts w:ascii="Times New Roman" w:hAnsi="Times New Roman" w:cs="Times New Roman"/>
          <w:sz w:val="24"/>
          <w:szCs w:val="24"/>
        </w:rPr>
        <w:t>. To effectively combat these prejudices, the legal profession should be diverse. This will encourage fair, impartial, and objective decisions. The ability of a diversified legal profession to reduce biases in court proceedings is one of its main benefits. Legal teams are better able to recognise and overcome biases that could skew judgements by including a diverse range of backgrounds, experiences, and opinions. These preconceived conceptions, stereotypes, or cultural misunderstandings might give rise to these biases, which can then affect decisions</w:t>
      </w:r>
      <w:r w:rsidR="00C27AAE">
        <w:rPr>
          <w:rFonts w:ascii="Times New Roman" w:hAnsi="Times New Roman" w:cs="Times New Roman"/>
          <w:sz w:val="24"/>
          <w:szCs w:val="24"/>
        </w:rPr>
        <w:t xml:space="preserve"> </w:t>
      </w:r>
      <w:r w:rsidR="00C27AAE" w:rsidRPr="00C27AAE">
        <w:rPr>
          <w:rFonts w:ascii="Times New Roman" w:hAnsi="Times New Roman" w:cs="Times New Roman"/>
          <w:sz w:val="24"/>
          <w:szCs w:val="24"/>
        </w:rPr>
        <w:t>(Calvert, 2020)</w:t>
      </w:r>
      <w:r w:rsidRPr="00A923D7">
        <w:rPr>
          <w:rFonts w:ascii="Times New Roman" w:hAnsi="Times New Roman" w:cs="Times New Roman"/>
          <w:sz w:val="24"/>
          <w:szCs w:val="24"/>
        </w:rPr>
        <w:t>. Diversity acts as a corrective lens, enabling legal practitioners to evaluate situations critically without being influenced by implicit bias.</w:t>
      </w:r>
    </w:p>
    <w:p w14:paraId="550EB12F" w14:textId="30A4F773" w:rsidR="00A923D7" w:rsidRDefault="00A923D7" w:rsidP="00A923D7">
      <w:pPr>
        <w:spacing w:line="480" w:lineRule="auto"/>
        <w:ind w:firstLine="720"/>
        <w:rPr>
          <w:rFonts w:ascii="Times New Roman" w:hAnsi="Times New Roman" w:cs="Times New Roman"/>
          <w:sz w:val="24"/>
          <w:szCs w:val="24"/>
        </w:rPr>
      </w:pPr>
      <w:r w:rsidRPr="00A923D7">
        <w:rPr>
          <w:rFonts w:ascii="Times New Roman" w:hAnsi="Times New Roman" w:cs="Times New Roman"/>
          <w:sz w:val="24"/>
          <w:szCs w:val="24"/>
        </w:rPr>
        <w:t xml:space="preserve">In conclusion, diversity and equality serve as pillars of the legal profession, fostering justice and objectivity. Legal professionals are required to treat people fairly, regardless of their inborn qualities, in accordance with the principles contained in the Equality Act of 2010. Additionally, the SRA Code of Conduct (2019) stresses moral requirements that go hand in hand with the values of equality and diversity, like showing respect to clients and coworkers and refraining from prejudice. Legal professionals create a climate where biases are challenged and fair treatment is upheld by promoting equality and diversity. These values encourage diverse viewpoints, encourage creative problem-solving, and promote fair client outcomes. Furthermore, such dedication not only strengthens the legitimacy of court proceedings but also fosters public confidence in the fairness of the judicial system. The combined impact of the SRA Code of Conduct (2019) and the Equality Act of 2010 highlights the fact that advancing equality and diversity is not just a moral obligation but also a legal requirement. By adhering to these rules, </w:t>
      </w:r>
      <w:r w:rsidRPr="00A923D7">
        <w:rPr>
          <w:rFonts w:ascii="Times New Roman" w:hAnsi="Times New Roman" w:cs="Times New Roman"/>
          <w:sz w:val="24"/>
          <w:szCs w:val="24"/>
        </w:rPr>
        <w:t xml:space="preserve">solicitors </w:t>
      </w:r>
      <w:r w:rsidRPr="00A923D7">
        <w:rPr>
          <w:rFonts w:ascii="Times New Roman" w:hAnsi="Times New Roman" w:cs="Times New Roman"/>
          <w:sz w:val="24"/>
          <w:szCs w:val="24"/>
        </w:rPr>
        <w:t>defend the principles of justice, equality, and respect, fostering a legal profession free from prejudice and obstacles to ensure that everyone has an equal opportunity to seek justice.</w:t>
      </w:r>
    </w:p>
    <w:p w14:paraId="12FB0355" w14:textId="77777777" w:rsidR="00C27AAE" w:rsidRDefault="00C27AAE" w:rsidP="00C27AAE">
      <w:pPr>
        <w:pStyle w:val="NormalWeb"/>
        <w:spacing w:before="0" w:beforeAutospacing="0" w:after="240" w:afterAutospacing="0" w:line="360" w:lineRule="auto"/>
        <w:rPr>
          <w:sz w:val="36"/>
          <w:szCs w:val="36"/>
        </w:rPr>
      </w:pPr>
      <w:r>
        <w:rPr>
          <w:sz w:val="36"/>
          <w:szCs w:val="36"/>
        </w:rPr>
        <w:lastRenderedPageBreak/>
        <w:t>Reference list</w:t>
      </w:r>
    </w:p>
    <w:p w14:paraId="42BB7CB7" w14:textId="77777777" w:rsidR="00C27AAE" w:rsidRDefault="00C27AAE" w:rsidP="00C27AAE">
      <w:pPr>
        <w:pStyle w:val="NormalWeb"/>
        <w:spacing w:before="0" w:beforeAutospacing="0" w:after="240" w:afterAutospacing="0" w:line="360" w:lineRule="auto"/>
      </w:pPr>
      <w:r>
        <w:t xml:space="preserve">Calvert, T. (2020). </w:t>
      </w:r>
      <w:r>
        <w:rPr>
          <w:i/>
          <w:iCs/>
        </w:rPr>
        <w:t>Regulation, compliance and ethics in law firms</w:t>
      </w:r>
      <w:r>
        <w:t xml:space="preserve">. Surrey: Globe Law </w:t>
      </w:r>
      <w:proofErr w:type="gramStart"/>
      <w:r>
        <w:t>And</w:t>
      </w:r>
      <w:proofErr w:type="gramEnd"/>
      <w:r>
        <w:t xml:space="preserve"> Business.</w:t>
      </w:r>
    </w:p>
    <w:p w14:paraId="2DAC5219" w14:textId="77777777" w:rsidR="00C27AAE" w:rsidRDefault="00C27AAE" w:rsidP="00C27AAE">
      <w:pPr>
        <w:pStyle w:val="NormalWeb"/>
        <w:spacing w:before="0" w:beforeAutospacing="0" w:after="240" w:afterAutospacing="0" w:line="360" w:lineRule="auto"/>
      </w:pPr>
      <w:r>
        <w:t xml:space="preserve">Hamer, K. (2019). </w:t>
      </w:r>
      <w:r>
        <w:rPr>
          <w:i/>
          <w:iCs/>
        </w:rPr>
        <w:t>Professional conduct casebook</w:t>
      </w:r>
      <w:r>
        <w:t xml:space="preserve">. Oxford, United </w:t>
      </w:r>
      <w:proofErr w:type="gramStart"/>
      <w:r>
        <w:t>Kingdom ;</w:t>
      </w:r>
      <w:proofErr w:type="gramEnd"/>
      <w:r>
        <w:t xml:space="preserve"> New York, Ny: Oxford University Press.</w:t>
      </w:r>
    </w:p>
    <w:p w14:paraId="46D645D9" w14:textId="77777777" w:rsidR="00C27AAE" w:rsidRDefault="00C27AAE" w:rsidP="00C27AAE">
      <w:pPr>
        <w:pStyle w:val="NormalWeb"/>
        <w:spacing w:before="0" w:beforeAutospacing="0" w:after="240" w:afterAutospacing="0" w:line="360" w:lineRule="auto"/>
      </w:pPr>
      <w:r>
        <w:t xml:space="preserve">Herring, J. (2017). </w:t>
      </w:r>
      <w:r>
        <w:rPr>
          <w:i/>
          <w:iCs/>
        </w:rPr>
        <w:t>Legal ethics</w:t>
      </w:r>
      <w:r>
        <w:t>. Oxford, United Kingdom: Oxford University Press.</w:t>
      </w:r>
    </w:p>
    <w:p w14:paraId="25427B96" w14:textId="77777777" w:rsidR="00C27AAE" w:rsidRDefault="00C27AAE" w:rsidP="00C27AAE">
      <w:pPr>
        <w:pStyle w:val="NormalWeb"/>
        <w:spacing w:before="0" w:beforeAutospacing="0" w:after="240" w:afterAutospacing="0" w:line="360" w:lineRule="auto"/>
      </w:pPr>
      <w:r>
        <w:t xml:space="preserve">Parker, C. and Evans, A. (2018). </w:t>
      </w:r>
      <w:r>
        <w:rPr>
          <w:i/>
          <w:iCs/>
        </w:rPr>
        <w:t>Inside Lawyers’ Ethics</w:t>
      </w:r>
      <w:r>
        <w:t xml:space="preserve">. Cambridge, United </w:t>
      </w:r>
      <w:proofErr w:type="gramStart"/>
      <w:r>
        <w:t>Kingdom :</w:t>
      </w:r>
      <w:proofErr w:type="gramEnd"/>
      <w:r>
        <w:t xml:space="preserve"> Cambridge University Press.</w:t>
      </w:r>
    </w:p>
    <w:p w14:paraId="028BF699" w14:textId="49F61F0B" w:rsidR="00C27AAE" w:rsidRDefault="00C27AAE" w:rsidP="00C27AAE">
      <w:pPr>
        <w:pStyle w:val="NormalWeb"/>
        <w:spacing w:before="0" w:beforeAutospacing="0" w:after="240" w:afterAutospacing="0" w:line="360" w:lineRule="auto"/>
      </w:pPr>
      <w:r>
        <w:t xml:space="preserve">Solicitors Regulation Authority (2019). </w:t>
      </w:r>
      <w:r>
        <w:rPr>
          <w:i/>
          <w:iCs/>
        </w:rPr>
        <w:t>SRA Code of Conduct for Solicitors, RELs and RFLs</w:t>
      </w:r>
      <w:r>
        <w:t xml:space="preserve">. [online] Sra.org.uk. Available at: </w:t>
      </w:r>
      <w:hyperlink r:id="rId4" w:history="1">
        <w:r w:rsidRPr="0019266C">
          <w:rPr>
            <w:rStyle w:val="Hyperlink"/>
          </w:rPr>
          <w:t>https://www.sra.org.uk/solicitors/standards-regulations/code-conduct-solicitors/</w:t>
        </w:r>
      </w:hyperlink>
      <w:r>
        <w:t>.</w:t>
      </w:r>
    </w:p>
    <w:p w14:paraId="4E7FFB89" w14:textId="77777777" w:rsidR="00C27AAE" w:rsidRDefault="00C27AAE" w:rsidP="00C27AAE">
      <w:pPr>
        <w:pStyle w:val="NormalWeb"/>
        <w:spacing w:before="0" w:beforeAutospacing="0" w:after="240" w:afterAutospacing="0" w:line="360" w:lineRule="auto"/>
      </w:pPr>
      <w:r>
        <w:t xml:space="preserve">Wakeling, A. (2020). </w:t>
      </w:r>
      <w:r>
        <w:rPr>
          <w:i/>
          <w:iCs/>
        </w:rPr>
        <w:t xml:space="preserve">Equality Act 2010: a time for celebration or reflection? | </w:t>
      </w:r>
      <w:proofErr w:type="spellStart"/>
      <w:r>
        <w:rPr>
          <w:i/>
          <w:iCs/>
        </w:rPr>
        <w:t>Acas</w:t>
      </w:r>
      <w:proofErr w:type="spellEnd"/>
      <w:r>
        <w:t>. [online] www.acas.org.uk. Available at: https://www.acas.org.uk/equality-act-2010-a-time-for-celebration-or-reflection.</w:t>
      </w:r>
    </w:p>
    <w:p w14:paraId="167BF00F" w14:textId="77777777" w:rsidR="00C27AAE" w:rsidRPr="00A923D7" w:rsidRDefault="00C27AAE" w:rsidP="00A923D7">
      <w:pPr>
        <w:spacing w:line="480" w:lineRule="auto"/>
        <w:ind w:firstLine="720"/>
        <w:rPr>
          <w:rFonts w:ascii="Times New Roman" w:hAnsi="Times New Roman" w:cs="Times New Roman"/>
          <w:sz w:val="24"/>
          <w:szCs w:val="24"/>
        </w:rPr>
      </w:pPr>
    </w:p>
    <w:p w14:paraId="5F650E69" w14:textId="77777777" w:rsidR="00A923D7" w:rsidRPr="00A923D7" w:rsidRDefault="00A923D7" w:rsidP="00A923D7">
      <w:pPr>
        <w:spacing w:line="480" w:lineRule="auto"/>
        <w:ind w:firstLine="720"/>
        <w:rPr>
          <w:rFonts w:ascii="Times New Roman" w:hAnsi="Times New Roman" w:cs="Times New Roman"/>
          <w:sz w:val="24"/>
          <w:szCs w:val="24"/>
        </w:rPr>
      </w:pPr>
    </w:p>
    <w:p w14:paraId="42E6CA68" w14:textId="77777777" w:rsidR="00A923D7" w:rsidRPr="00A923D7" w:rsidRDefault="00A923D7" w:rsidP="00A923D7">
      <w:pPr>
        <w:spacing w:line="480" w:lineRule="auto"/>
        <w:ind w:firstLine="720"/>
        <w:rPr>
          <w:rFonts w:ascii="Times New Roman" w:hAnsi="Times New Roman" w:cs="Times New Roman"/>
          <w:sz w:val="24"/>
          <w:szCs w:val="24"/>
        </w:rPr>
      </w:pPr>
    </w:p>
    <w:p w14:paraId="2AEFBFB7" w14:textId="77777777" w:rsidR="00A923D7" w:rsidRPr="00A923D7" w:rsidRDefault="00A923D7" w:rsidP="00A923D7">
      <w:pPr>
        <w:spacing w:line="480" w:lineRule="auto"/>
        <w:ind w:firstLine="720"/>
        <w:rPr>
          <w:rFonts w:ascii="Times New Roman" w:hAnsi="Times New Roman" w:cs="Times New Roman"/>
          <w:sz w:val="24"/>
          <w:szCs w:val="24"/>
        </w:rPr>
      </w:pPr>
    </w:p>
    <w:p w14:paraId="1DD1E7BF" w14:textId="77777777" w:rsidR="00EA3602" w:rsidRPr="00A923D7" w:rsidRDefault="00EA3602" w:rsidP="00A923D7">
      <w:pPr>
        <w:spacing w:line="480" w:lineRule="auto"/>
        <w:ind w:firstLine="720"/>
        <w:rPr>
          <w:rFonts w:ascii="Times New Roman" w:hAnsi="Times New Roman" w:cs="Times New Roman"/>
          <w:sz w:val="24"/>
          <w:szCs w:val="24"/>
        </w:rPr>
      </w:pPr>
    </w:p>
    <w:p w14:paraId="123E5B9B" w14:textId="6A35A1D8" w:rsidR="00EA3602" w:rsidRPr="00A923D7" w:rsidRDefault="00EA3602" w:rsidP="00A923D7">
      <w:pPr>
        <w:spacing w:line="480" w:lineRule="auto"/>
        <w:rPr>
          <w:rFonts w:ascii="Times New Roman" w:hAnsi="Times New Roman" w:cs="Times New Roman"/>
        </w:rPr>
      </w:pPr>
      <w:r w:rsidRPr="00A923D7">
        <w:rPr>
          <w:rFonts w:ascii="Times New Roman" w:hAnsi="Times New Roman" w:cs="Times New Roman"/>
          <w:sz w:val="24"/>
          <w:szCs w:val="24"/>
        </w:rPr>
        <w:tab/>
      </w:r>
      <w:r w:rsidRPr="00A923D7">
        <w:rPr>
          <w:rFonts w:ascii="Times New Roman" w:hAnsi="Times New Roman" w:cs="Times New Roman"/>
          <w:sz w:val="24"/>
          <w:szCs w:val="24"/>
        </w:rPr>
        <w:tab/>
      </w:r>
      <w:r w:rsidRPr="00A923D7">
        <w:rPr>
          <w:rFonts w:ascii="Times New Roman" w:hAnsi="Times New Roman" w:cs="Times New Roman"/>
          <w:sz w:val="24"/>
          <w:szCs w:val="24"/>
        </w:rPr>
        <w:tab/>
      </w:r>
      <w:r w:rsidRPr="00A923D7">
        <w:rPr>
          <w:rFonts w:ascii="Times New Roman" w:hAnsi="Times New Roman" w:cs="Times New Roman"/>
        </w:rPr>
        <w:tab/>
      </w:r>
      <w:r w:rsidRPr="00A923D7">
        <w:rPr>
          <w:rFonts w:ascii="Times New Roman" w:hAnsi="Times New Roman" w:cs="Times New Roman"/>
        </w:rPr>
        <w:tab/>
      </w:r>
      <w:r w:rsidRPr="00A923D7">
        <w:rPr>
          <w:rFonts w:ascii="Times New Roman" w:hAnsi="Times New Roman" w:cs="Times New Roman"/>
        </w:rPr>
        <w:tab/>
      </w:r>
    </w:p>
    <w:sectPr w:rsidR="00EA3602" w:rsidRPr="00A923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602"/>
    <w:rsid w:val="0054066E"/>
    <w:rsid w:val="00A923D7"/>
    <w:rsid w:val="00C27AAE"/>
    <w:rsid w:val="00EA3602"/>
    <w:rsid w:val="00EE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44324"/>
  <w15:chartTrackingRefBased/>
  <w15:docId w15:val="{174CC3A5-97B2-447D-A1E2-041FAC43B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7AA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C27AAE"/>
    <w:rPr>
      <w:color w:val="0563C1" w:themeColor="hyperlink"/>
      <w:u w:val="single"/>
    </w:rPr>
  </w:style>
  <w:style w:type="character" w:styleId="UnresolvedMention">
    <w:name w:val="Unresolved Mention"/>
    <w:basedOn w:val="DefaultParagraphFont"/>
    <w:uiPriority w:val="99"/>
    <w:semiHidden/>
    <w:unhideWhenUsed/>
    <w:rsid w:val="00C27A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059683">
      <w:bodyDiv w:val="1"/>
      <w:marLeft w:val="0"/>
      <w:marRight w:val="0"/>
      <w:marTop w:val="0"/>
      <w:marBottom w:val="0"/>
      <w:divBdr>
        <w:top w:val="none" w:sz="0" w:space="0" w:color="auto"/>
        <w:left w:val="none" w:sz="0" w:space="0" w:color="auto"/>
        <w:bottom w:val="none" w:sz="0" w:space="0" w:color="auto"/>
        <w:right w:val="none" w:sz="0" w:space="0" w:color="auto"/>
      </w:divBdr>
      <w:divsChild>
        <w:div w:id="13819779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ra.org.uk/solicitors/standards-regulations/code-conduct-solic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1921</Words>
  <Characters>10955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1</cp:revision>
  <dcterms:created xsi:type="dcterms:W3CDTF">2023-08-14T22:18:00Z</dcterms:created>
  <dcterms:modified xsi:type="dcterms:W3CDTF">2023-08-14T22:46:00Z</dcterms:modified>
</cp:coreProperties>
</file>