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tblpY="-570"/>
        <w:tblW w:w="5000" w:type="pct"/>
        <w:tblLook w:val="04A0" w:firstRow="1" w:lastRow="0" w:firstColumn="1" w:lastColumn="0" w:noHBand="0" w:noVBand="1"/>
      </w:tblPr>
      <w:tblGrid>
        <w:gridCol w:w="9242"/>
      </w:tblGrid>
      <w:tr w:rsidR="0051419B" w:rsidRPr="00CC2324" w14:paraId="7D924AB8" w14:textId="77777777" w:rsidTr="0051419B">
        <w:trPr>
          <w:trHeight w:val="2880"/>
        </w:trPr>
        <w:sdt>
          <w:sdtPr>
            <w:rPr>
              <w:rFonts w:ascii="Times New Roman" w:eastAsiaTheme="majorEastAsia" w:hAnsi="Times New Roman" w:cs="Times New Roman"/>
              <w:b/>
              <w:caps/>
              <w:sz w:val="28"/>
              <w:szCs w:val="28"/>
            </w:rPr>
            <w:alias w:val="Company"/>
            <w:id w:val="15524243"/>
            <w:placeholder>
              <w:docPart w:val="8CC74D32D68344E6A849C333FCA46901"/>
            </w:placeholder>
            <w:dataBinding w:prefixMappings="xmlns:ns0='http://schemas.openxmlformats.org/officeDocument/2006/extended-properties'" w:xpath="/ns0:Properties[1]/ns0:Company[1]" w:storeItemID="{6668398D-A668-4E3E-A5EB-62B293D839F1}"/>
            <w:text/>
          </w:sdtPr>
          <w:sdtContent>
            <w:tc>
              <w:tcPr>
                <w:tcW w:w="5000" w:type="pct"/>
              </w:tcPr>
              <w:p w14:paraId="438C6F30" w14:textId="4975B69B" w:rsidR="0051419B" w:rsidRPr="00B4369E" w:rsidRDefault="0051419B" w:rsidP="0051419B">
                <w:pPr>
                  <w:pStyle w:val="NoSpacing"/>
                  <w:jc w:val="center"/>
                  <w:rPr>
                    <w:rFonts w:ascii="Times New Roman" w:eastAsiaTheme="majorEastAsia" w:hAnsi="Times New Roman" w:cs="Times New Roman"/>
                    <w:b/>
                    <w:caps/>
                    <w:sz w:val="28"/>
                    <w:szCs w:val="28"/>
                  </w:rPr>
                </w:pPr>
                <w:r w:rsidRPr="00B4369E">
                  <w:rPr>
                    <w:rFonts w:ascii="Times New Roman" w:eastAsiaTheme="majorEastAsia" w:hAnsi="Times New Roman" w:cs="Times New Roman"/>
                    <w:b/>
                    <w:caps/>
                    <w:sz w:val="28"/>
                    <w:szCs w:val="28"/>
                  </w:rPr>
                  <w:t>UNIVERSITY OF WALES TRINITY ST. DAVID</w:t>
                </w:r>
              </w:p>
            </w:tc>
          </w:sdtContent>
        </w:sdt>
      </w:tr>
      <w:tr w:rsidR="0051419B" w:rsidRPr="00CC2324" w14:paraId="498A083B" w14:textId="77777777" w:rsidTr="0051419B">
        <w:trPr>
          <w:trHeight w:val="1440"/>
        </w:trPr>
        <w:sdt>
          <w:sdtPr>
            <w:rPr>
              <w:rFonts w:ascii="Times New Roman" w:eastAsiaTheme="majorEastAsia" w:hAnsi="Times New Roman" w:cs="Times New Roman"/>
              <w:sz w:val="52"/>
              <w:szCs w:val="52"/>
            </w:rPr>
            <w:alias w:val="Title"/>
            <w:id w:val="15524250"/>
            <w:placeholder>
              <w:docPart w:val="A2C40F0539604AB68FC08F085DE48505"/>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14:paraId="70495D37" w14:textId="0B793EE6" w:rsidR="0051419B" w:rsidRPr="00CC2324" w:rsidRDefault="0051419B" w:rsidP="0051419B">
                <w:pPr>
                  <w:pStyle w:val="NoSpacing"/>
                  <w:jc w:val="center"/>
                  <w:rPr>
                    <w:rFonts w:ascii="Times New Roman" w:eastAsiaTheme="majorEastAsia" w:hAnsi="Times New Roman" w:cs="Times New Roman"/>
                    <w:sz w:val="52"/>
                    <w:szCs w:val="52"/>
                  </w:rPr>
                </w:pPr>
                <w:r>
                  <w:rPr>
                    <w:rFonts w:ascii="Times New Roman" w:eastAsiaTheme="majorEastAsia" w:hAnsi="Times New Roman" w:cs="Times New Roman"/>
                    <w:sz w:val="52"/>
                    <w:szCs w:val="52"/>
                  </w:rPr>
                  <w:t>Market structure and operations of IKEA</w:t>
                </w:r>
              </w:p>
            </w:tc>
          </w:sdtContent>
        </w:sdt>
      </w:tr>
      <w:tr w:rsidR="0051419B" w:rsidRPr="00CC2324" w14:paraId="496F8E1E" w14:textId="77777777" w:rsidTr="0051419B">
        <w:trPr>
          <w:trHeight w:val="720"/>
        </w:trPr>
        <w:sdt>
          <w:sdtPr>
            <w:rPr>
              <w:rFonts w:ascii="Times New Roman" w:eastAsiaTheme="majorEastAsia" w:hAnsi="Times New Roman" w:cs="Times New Roman"/>
              <w:sz w:val="44"/>
              <w:szCs w:val="44"/>
            </w:rPr>
            <w:alias w:val="Subtitle"/>
            <w:id w:val="15524255"/>
            <w:placeholder>
              <w:docPart w:val="88DD35C4512E4D279A71F31F7D6D131B"/>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14:paraId="4F6AA603" w14:textId="14EEA4B6" w:rsidR="0051419B" w:rsidRPr="00B4369E" w:rsidRDefault="0051419B" w:rsidP="0051419B">
                <w:pPr>
                  <w:pStyle w:val="NoSpacing"/>
                  <w:jc w:val="center"/>
                  <w:rPr>
                    <w:rFonts w:ascii="Times New Roman" w:eastAsiaTheme="majorEastAsia" w:hAnsi="Times New Roman" w:cs="Times New Roman"/>
                    <w:sz w:val="44"/>
                    <w:szCs w:val="44"/>
                  </w:rPr>
                </w:pPr>
                <w:r w:rsidRPr="00B4369E">
                  <w:rPr>
                    <w:rFonts w:ascii="Times New Roman" w:eastAsiaTheme="majorEastAsia" w:hAnsi="Times New Roman" w:cs="Times New Roman"/>
                    <w:sz w:val="44"/>
                    <w:szCs w:val="44"/>
                  </w:rPr>
                  <w:t>LCBB5003</w:t>
                </w:r>
              </w:p>
            </w:tc>
          </w:sdtContent>
        </w:sdt>
      </w:tr>
      <w:tr w:rsidR="0051419B" w:rsidRPr="00CC2324" w14:paraId="78602C6F" w14:textId="77777777" w:rsidTr="0051419B">
        <w:trPr>
          <w:trHeight w:val="360"/>
        </w:trPr>
        <w:tc>
          <w:tcPr>
            <w:tcW w:w="5000" w:type="pct"/>
            <w:vAlign w:val="center"/>
          </w:tcPr>
          <w:p w14:paraId="57ABE43F" w14:textId="77777777" w:rsidR="0051419B" w:rsidRPr="00CC2324" w:rsidRDefault="0051419B" w:rsidP="0051419B">
            <w:pPr>
              <w:pStyle w:val="NoSpacing"/>
              <w:jc w:val="center"/>
            </w:pPr>
          </w:p>
        </w:tc>
      </w:tr>
      <w:tr w:rsidR="0051419B" w:rsidRPr="00CC2324" w14:paraId="3317B0FB" w14:textId="77777777" w:rsidTr="0051419B">
        <w:trPr>
          <w:trHeight w:val="360"/>
        </w:trPr>
        <w:sdt>
          <w:sdtPr>
            <w:rPr>
              <w:rFonts w:ascii="Times New Roman" w:hAnsi="Times New Roman" w:cs="Times New Roman"/>
              <w:b/>
              <w:bCs/>
            </w:rPr>
            <w:alias w:val="Author"/>
            <w:id w:val="15524260"/>
            <w:placeholder>
              <w:docPart w:val="3C08BED47423469D9777FE16B0D9B15F"/>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14:paraId="1C959F94" w14:textId="153C5EC9" w:rsidR="0051419B" w:rsidRPr="00CC2324" w:rsidRDefault="0051419B" w:rsidP="0051419B">
                <w:pPr>
                  <w:pStyle w:val="NoSpacing"/>
                  <w:jc w:val="center"/>
                  <w:rPr>
                    <w:rFonts w:ascii="Times New Roman" w:hAnsi="Times New Roman" w:cs="Times New Roman"/>
                    <w:b/>
                    <w:bCs/>
                  </w:rPr>
                </w:pPr>
                <w:r>
                  <w:rPr>
                    <w:rFonts w:ascii="Times New Roman" w:hAnsi="Times New Roman" w:cs="Times New Roman"/>
                    <w:b/>
                    <w:bCs/>
                  </w:rPr>
                  <w:t>BORISLAVA ZLATANOVA</w:t>
                </w:r>
              </w:p>
            </w:tc>
          </w:sdtContent>
        </w:sdt>
      </w:tr>
      <w:tr w:rsidR="0051419B" w:rsidRPr="00CC2324" w14:paraId="62AA98F7" w14:textId="77777777" w:rsidTr="0051419B">
        <w:trPr>
          <w:trHeight w:val="360"/>
        </w:trPr>
        <w:sdt>
          <w:sdtPr>
            <w:rPr>
              <w:rFonts w:ascii="Times New Roman" w:hAnsi="Times New Roman" w:cs="Times New Roman"/>
              <w:b/>
              <w:bCs/>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14:paraId="2EED5A36" w14:textId="6C49F079" w:rsidR="0051419B" w:rsidRPr="00B4369E" w:rsidRDefault="0051419B" w:rsidP="0051419B">
                <w:pPr>
                  <w:pStyle w:val="NoSpacing"/>
                  <w:jc w:val="center"/>
                  <w:rPr>
                    <w:rFonts w:ascii="Times New Roman" w:hAnsi="Times New Roman" w:cs="Times New Roman"/>
                    <w:b/>
                    <w:bCs/>
                  </w:rPr>
                </w:pPr>
                <w:r w:rsidRPr="00B4369E">
                  <w:rPr>
                    <w:rFonts w:ascii="Times New Roman" w:hAnsi="Times New Roman" w:cs="Times New Roman"/>
                    <w:b/>
                    <w:bCs/>
                  </w:rPr>
                  <w:t xml:space="preserve"> </w:t>
                </w:r>
                <w:r w:rsidRPr="00B4369E">
                  <w:rPr>
                    <w:rFonts w:ascii="Times New Roman" w:hAnsi="Times New Roman" w:cs="Times New Roman"/>
                    <w:b/>
                    <w:bCs/>
                  </w:rPr>
                  <w:t>ID 2013043</w:t>
                </w:r>
                <w:r w:rsidRPr="00B4369E">
                  <w:rPr>
                    <w:rFonts w:ascii="Times New Roman" w:hAnsi="Times New Roman" w:cs="Times New Roman"/>
                    <w:b/>
                    <w:bCs/>
                  </w:rPr>
                  <w:t xml:space="preserve"> </w:t>
                </w:r>
              </w:p>
            </w:tc>
          </w:sdtContent>
        </w:sdt>
      </w:tr>
    </w:tbl>
    <w:p w14:paraId="03F983F3" w14:textId="77777777" w:rsidR="00B4369E" w:rsidRPr="00CC2324" w:rsidRDefault="00B4369E" w:rsidP="00B4369E">
      <w:pPr>
        <w:pStyle w:val="NoSpacing"/>
        <w:jc w:val="center"/>
        <w:rPr>
          <w:rFonts w:ascii="Times New Roman" w:hAnsi="Times New Roman" w:cs="Times New Roman"/>
          <w:b/>
          <w:bCs/>
        </w:rPr>
      </w:pPr>
      <w:r w:rsidRPr="00CC2324">
        <w:rPr>
          <w:rFonts w:ascii="Times New Roman" w:hAnsi="Times New Roman" w:cs="Times New Roman"/>
          <w:b/>
          <w:bCs/>
        </w:rPr>
        <w:t>Lecturer: Dr. Konstantina Mari</w:t>
      </w:r>
    </w:p>
    <w:p w14:paraId="417D6642" w14:textId="77777777" w:rsidR="008C7DCE" w:rsidRPr="00D7636E" w:rsidRDefault="008C7DCE" w:rsidP="008C7DCE">
      <w:pPr>
        <w:pStyle w:val="heading30"/>
        <w:jc w:val="center"/>
        <w:rPr>
          <w:lang w:val="en-US"/>
        </w:rPr>
      </w:pPr>
    </w:p>
    <w:p w14:paraId="6A62B810" w14:textId="77777777" w:rsidR="008C7DCE" w:rsidRDefault="008C7DCE" w:rsidP="008C7DCE">
      <w:pPr>
        <w:pStyle w:val="heading30"/>
        <w:jc w:val="center"/>
      </w:pPr>
    </w:p>
    <w:p w14:paraId="691B9406" w14:textId="77777777" w:rsidR="008C7DCE" w:rsidRDefault="008C7DCE" w:rsidP="008C7DCE">
      <w:pPr>
        <w:pStyle w:val="heading30"/>
        <w:jc w:val="center"/>
      </w:pPr>
    </w:p>
    <w:p w14:paraId="4C1DBB75" w14:textId="77777777" w:rsidR="008C7DCE" w:rsidRDefault="008C7DCE" w:rsidP="008C7DCE">
      <w:pPr>
        <w:pStyle w:val="heading30"/>
        <w:jc w:val="center"/>
      </w:pPr>
    </w:p>
    <w:p w14:paraId="33868999" w14:textId="77777777" w:rsidR="008C7DCE" w:rsidRDefault="008C7DCE" w:rsidP="008C7DCE">
      <w:pPr>
        <w:pStyle w:val="heading30"/>
        <w:jc w:val="center"/>
      </w:pPr>
    </w:p>
    <w:p w14:paraId="0A9434A0" w14:textId="6B1828E9" w:rsidR="008C7DCE" w:rsidRDefault="008C7DCE" w:rsidP="008C7DCE">
      <w:pPr>
        <w:pStyle w:val="heading30"/>
        <w:jc w:val="center"/>
      </w:pPr>
    </w:p>
    <w:p w14:paraId="70E6DBCC" w14:textId="4D89BBCB" w:rsidR="0046460D" w:rsidRDefault="00D80D52" w:rsidP="00522CA5">
      <w:pPr>
        <w:spacing w:line="259" w:lineRule="auto"/>
        <w:jc w:val="left"/>
      </w:pPr>
      <w:r>
        <w:br w:type="page"/>
      </w:r>
    </w:p>
    <w:sdt>
      <w:sdtPr>
        <w:rPr>
          <w:rFonts w:ascii="Times New Roman" w:eastAsiaTheme="minorHAnsi" w:hAnsi="Times New Roman" w:cstheme="minorBidi"/>
          <w:color w:val="000000" w:themeColor="text1"/>
          <w:sz w:val="24"/>
          <w:szCs w:val="22"/>
          <w:lang w:val="en-GB"/>
        </w:rPr>
        <w:id w:val="564924646"/>
        <w:docPartObj>
          <w:docPartGallery w:val="Table of Contents"/>
          <w:docPartUnique/>
        </w:docPartObj>
      </w:sdtPr>
      <w:sdtEndPr>
        <w:rPr>
          <w:b/>
          <w:bCs/>
          <w:noProof/>
        </w:rPr>
      </w:sdtEndPr>
      <w:sdtContent>
        <w:p w14:paraId="638B2009" w14:textId="6D92AB74" w:rsidR="0046460D" w:rsidRPr="0046460D" w:rsidRDefault="0046460D" w:rsidP="0046460D">
          <w:pPr>
            <w:pStyle w:val="TOCHeading"/>
            <w:jc w:val="center"/>
            <w:rPr>
              <w:rFonts w:ascii="Times New Roman" w:hAnsi="Times New Roman" w:cs="Times New Roman"/>
              <w:b/>
              <w:bCs/>
              <w:color w:val="auto"/>
            </w:rPr>
          </w:pPr>
          <w:r w:rsidRPr="0046460D">
            <w:rPr>
              <w:rFonts w:ascii="Times New Roman" w:hAnsi="Times New Roman" w:cs="Times New Roman"/>
              <w:b/>
              <w:bCs/>
              <w:color w:val="auto"/>
            </w:rPr>
            <w:t>Table of Contents</w:t>
          </w:r>
        </w:p>
        <w:p w14:paraId="1B138BB9" w14:textId="31B4430E" w:rsidR="003E05F8" w:rsidRDefault="0046460D">
          <w:pPr>
            <w:pStyle w:val="TOC1"/>
            <w:tabs>
              <w:tab w:val="right" w:leader="dot" w:pos="9016"/>
            </w:tabs>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111497233" w:history="1">
            <w:r w:rsidR="003E05F8" w:rsidRPr="00012794">
              <w:rPr>
                <w:rStyle w:val="Hyperlink"/>
                <w:noProof/>
              </w:rPr>
              <w:t>Company Description</w:t>
            </w:r>
            <w:r w:rsidR="003E05F8">
              <w:rPr>
                <w:noProof/>
                <w:webHidden/>
              </w:rPr>
              <w:tab/>
            </w:r>
            <w:r w:rsidR="003E05F8">
              <w:rPr>
                <w:noProof/>
                <w:webHidden/>
              </w:rPr>
              <w:fldChar w:fldCharType="begin"/>
            </w:r>
            <w:r w:rsidR="003E05F8">
              <w:rPr>
                <w:noProof/>
                <w:webHidden/>
              </w:rPr>
              <w:instrText xml:space="preserve"> PAGEREF _Toc111497233 \h </w:instrText>
            </w:r>
            <w:r w:rsidR="003E05F8">
              <w:rPr>
                <w:noProof/>
                <w:webHidden/>
              </w:rPr>
            </w:r>
            <w:r w:rsidR="003E05F8">
              <w:rPr>
                <w:noProof/>
                <w:webHidden/>
              </w:rPr>
              <w:fldChar w:fldCharType="separate"/>
            </w:r>
            <w:r w:rsidR="003E05F8">
              <w:rPr>
                <w:noProof/>
                <w:webHidden/>
              </w:rPr>
              <w:t>2</w:t>
            </w:r>
            <w:r w:rsidR="003E05F8">
              <w:rPr>
                <w:noProof/>
                <w:webHidden/>
              </w:rPr>
              <w:fldChar w:fldCharType="end"/>
            </w:r>
          </w:hyperlink>
        </w:p>
        <w:p w14:paraId="57E40814" w14:textId="76C24CE2" w:rsidR="003E05F8" w:rsidRDefault="00000000">
          <w:pPr>
            <w:pStyle w:val="TOC1"/>
            <w:tabs>
              <w:tab w:val="right" w:leader="dot" w:pos="9016"/>
            </w:tabs>
            <w:rPr>
              <w:rFonts w:asciiTheme="minorHAnsi" w:eastAsiaTheme="minorEastAsia" w:hAnsiTheme="minorHAnsi"/>
              <w:noProof/>
              <w:color w:val="auto"/>
              <w:sz w:val="22"/>
              <w:lang w:val="en-IN" w:eastAsia="en-IN"/>
            </w:rPr>
          </w:pPr>
          <w:hyperlink w:anchor="_Toc111497234" w:history="1">
            <w:r w:rsidR="003E05F8" w:rsidRPr="00012794">
              <w:rPr>
                <w:rStyle w:val="Hyperlink"/>
                <w:noProof/>
              </w:rPr>
              <w:t>Market Structure Analysis</w:t>
            </w:r>
            <w:r w:rsidR="003E05F8">
              <w:rPr>
                <w:noProof/>
                <w:webHidden/>
              </w:rPr>
              <w:tab/>
            </w:r>
            <w:r w:rsidR="003E05F8">
              <w:rPr>
                <w:noProof/>
                <w:webHidden/>
              </w:rPr>
              <w:fldChar w:fldCharType="begin"/>
            </w:r>
            <w:r w:rsidR="003E05F8">
              <w:rPr>
                <w:noProof/>
                <w:webHidden/>
              </w:rPr>
              <w:instrText xml:space="preserve"> PAGEREF _Toc111497234 \h </w:instrText>
            </w:r>
            <w:r w:rsidR="003E05F8">
              <w:rPr>
                <w:noProof/>
                <w:webHidden/>
              </w:rPr>
            </w:r>
            <w:r w:rsidR="003E05F8">
              <w:rPr>
                <w:noProof/>
                <w:webHidden/>
              </w:rPr>
              <w:fldChar w:fldCharType="separate"/>
            </w:r>
            <w:r w:rsidR="003E05F8">
              <w:rPr>
                <w:noProof/>
                <w:webHidden/>
              </w:rPr>
              <w:t>3</w:t>
            </w:r>
            <w:r w:rsidR="003E05F8">
              <w:rPr>
                <w:noProof/>
                <w:webHidden/>
              </w:rPr>
              <w:fldChar w:fldCharType="end"/>
            </w:r>
          </w:hyperlink>
        </w:p>
        <w:p w14:paraId="6216D93B" w14:textId="799DFF0B" w:rsidR="003E05F8" w:rsidRDefault="00000000">
          <w:pPr>
            <w:pStyle w:val="TOC1"/>
            <w:tabs>
              <w:tab w:val="right" w:leader="dot" w:pos="9016"/>
            </w:tabs>
            <w:rPr>
              <w:rFonts w:asciiTheme="minorHAnsi" w:eastAsiaTheme="minorEastAsia" w:hAnsiTheme="minorHAnsi"/>
              <w:noProof/>
              <w:color w:val="auto"/>
              <w:sz w:val="22"/>
              <w:lang w:val="en-IN" w:eastAsia="en-IN"/>
            </w:rPr>
          </w:pPr>
          <w:hyperlink w:anchor="_Toc111497235" w:history="1">
            <w:r w:rsidR="003E05F8" w:rsidRPr="00012794">
              <w:rPr>
                <w:rStyle w:val="Hyperlink"/>
                <w:noProof/>
              </w:rPr>
              <w:t>Different Market Structure</w:t>
            </w:r>
            <w:r w:rsidR="003E05F8">
              <w:rPr>
                <w:noProof/>
                <w:webHidden/>
              </w:rPr>
              <w:tab/>
            </w:r>
            <w:r w:rsidR="003E05F8">
              <w:rPr>
                <w:noProof/>
                <w:webHidden/>
              </w:rPr>
              <w:fldChar w:fldCharType="begin"/>
            </w:r>
            <w:r w:rsidR="003E05F8">
              <w:rPr>
                <w:noProof/>
                <w:webHidden/>
              </w:rPr>
              <w:instrText xml:space="preserve"> PAGEREF _Toc111497235 \h </w:instrText>
            </w:r>
            <w:r w:rsidR="003E05F8">
              <w:rPr>
                <w:noProof/>
                <w:webHidden/>
              </w:rPr>
            </w:r>
            <w:r w:rsidR="003E05F8">
              <w:rPr>
                <w:noProof/>
                <w:webHidden/>
              </w:rPr>
              <w:fldChar w:fldCharType="separate"/>
            </w:r>
            <w:r w:rsidR="003E05F8">
              <w:rPr>
                <w:noProof/>
                <w:webHidden/>
              </w:rPr>
              <w:t>6</w:t>
            </w:r>
            <w:r w:rsidR="003E05F8">
              <w:rPr>
                <w:noProof/>
                <w:webHidden/>
              </w:rPr>
              <w:fldChar w:fldCharType="end"/>
            </w:r>
          </w:hyperlink>
        </w:p>
        <w:p w14:paraId="219890D7" w14:textId="5342E651" w:rsidR="003E05F8" w:rsidRDefault="00000000">
          <w:pPr>
            <w:pStyle w:val="TOC1"/>
            <w:tabs>
              <w:tab w:val="right" w:leader="dot" w:pos="9016"/>
            </w:tabs>
            <w:rPr>
              <w:rFonts w:asciiTheme="minorHAnsi" w:eastAsiaTheme="minorEastAsia" w:hAnsiTheme="minorHAnsi"/>
              <w:noProof/>
              <w:color w:val="auto"/>
              <w:sz w:val="22"/>
              <w:lang w:val="en-IN" w:eastAsia="en-IN"/>
            </w:rPr>
          </w:pPr>
          <w:hyperlink w:anchor="_Toc111497236" w:history="1">
            <w:r w:rsidR="003E05F8" w:rsidRPr="00012794">
              <w:rPr>
                <w:rStyle w:val="Hyperlink"/>
                <w:noProof/>
              </w:rPr>
              <w:t>Nature of the industry in which the firm operates</w:t>
            </w:r>
            <w:r w:rsidR="003E05F8">
              <w:rPr>
                <w:noProof/>
                <w:webHidden/>
              </w:rPr>
              <w:tab/>
            </w:r>
            <w:r w:rsidR="003E05F8">
              <w:rPr>
                <w:noProof/>
                <w:webHidden/>
              </w:rPr>
              <w:fldChar w:fldCharType="begin"/>
            </w:r>
            <w:r w:rsidR="003E05F8">
              <w:rPr>
                <w:noProof/>
                <w:webHidden/>
              </w:rPr>
              <w:instrText xml:space="preserve"> PAGEREF _Toc111497236 \h </w:instrText>
            </w:r>
            <w:r w:rsidR="003E05F8">
              <w:rPr>
                <w:noProof/>
                <w:webHidden/>
              </w:rPr>
            </w:r>
            <w:r w:rsidR="003E05F8">
              <w:rPr>
                <w:noProof/>
                <w:webHidden/>
              </w:rPr>
              <w:fldChar w:fldCharType="separate"/>
            </w:r>
            <w:r w:rsidR="003E05F8">
              <w:rPr>
                <w:noProof/>
                <w:webHidden/>
              </w:rPr>
              <w:t>8</w:t>
            </w:r>
            <w:r w:rsidR="003E05F8">
              <w:rPr>
                <w:noProof/>
                <w:webHidden/>
              </w:rPr>
              <w:fldChar w:fldCharType="end"/>
            </w:r>
          </w:hyperlink>
        </w:p>
        <w:p w14:paraId="74F94ADD" w14:textId="4CA4CBF4" w:rsidR="003E05F8" w:rsidRDefault="00000000">
          <w:pPr>
            <w:pStyle w:val="TOC2"/>
            <w:tabs>
              <w:tab w:val="right" w:leader="dot" w:pos="9016"/>
            </w:tabs>
            <w:rPr>
              <w:rFonts w:asciiTheme="minorHAnsi" w:eastAsiaTheme="minorEastAsia" w:hAnsiTheme="minorHAnsi"/>
              <w:noProof/>
              <w:color w:val="auto"/>
              <w:sz w:val="22"/>
              <w:lang w:val="en-IN" w:eastAsia="en-IN"/>
            </w:rPr>
          </w:pPr>
          <w:hyperlink w:anchor="_Toc111497237" w:history="1">
            <w:r w:rsidR="003E05F8" w:rsidRPr="00012794">
              <w:rPr>
                <w:rStyle w:val="Hyperlink"/>
                <w:noProof/>
              </w:rPr>
              <w:t>Optimality of IKEA in a different market concentration</w:t>
            </w:r>
            <w:r w:rsidR="003E05F8">
              <w:rPr>
                <w:noProof/>
                <w:webHidden/>
              </w:rPr>
              <w:tab/>
            </w:r>
            <w:r w:rsidR="003E05F8">
              <w:rPr>
                <w:noProof/>
                <w:webHidden/>
              </w:rPr>
              <w:fldChar w:fldCharType="begin"/>
            </w:r>
            <w:r w:rsidR="003E05F8">
              <w:rPr>
                <w:noProof/>
                <w:webHidden/>
              </w:rPr>
              <w:instrText xml:space="preserve"> PAGEREF _Toc111497237 \h </w:instrText>
            </w:r>
            <w:r w:rsidR="003E05F8">
              <w:rPr>
                <w:noProof/>
                <w:webHidden/>
              </w:rPr>
            </w:r>
            <w:r w:rsidR="003E05F8">
              <w:rPr>
                <w:noProof/>
                <w:webHidden/>
              </w:rPr>
              <w:fldChar w:fldCharType="separate"/>
            </w:r>
            <w:r w:rsidR="003E05F8">
              <w:rPr>
                <w:noProof/>
                <w:webHidden/>
              </w:rPr>
              <w:t>8</w:t>
            </w:r>
            <w:r w:rsidR="003E05F8">
              <w:rPr>
                <w:noProof/>
                <w:webHidden/>
              </w:rPr>
              <w:fldChar w:fldCharType="end"/>
            </w:r>
          </w:hyperlink>
        </w:p>
        <w:p w14:paraId="1AB9FA6C" w14:textId="416A0F4F" w:rsidR="003E05F8" w:rsidRDefault="00000000">
          <w:pPr>
            <w:pStyle w:val="TOC2"/>
            <w:tabs>
              <w:tab w:val="right" w:leader="dot" w:pos="9016"/>
            </w:tabs>
            <w:rPr>
              <w:rFonts w:asciiTheme="minorHAnsi" w:eastAsiaTheme="minorEastAsia" w:hAnsiTheme="minorHAnsi"/>
              <w:noProof/>
              <w:color w:val="auto"/>
              <w:sz w:val="22"/>
              <w:lang w:val="en-IN" w:eastAsia="en-IN"/>
            </w:rPr>
          </w:pPr>
          <w:hyperlink w:anchor="_Toc111497238" w:history="1">
            <w:r w:rsidR="003E05F8" w:rsidRPr="00012794">
              <w:rPr>
                <w:rStyle w:val="Hyperlink"/>
                <w:noProof/>
              </w:rPr>
              <w:t>Government intervention</w:t>
            </w:r>
            <w:r w:rsidR="003E05F8">
              <w:rPr>
                <w:noProof/>
                <w:webHidden/>
              </w:rPr>
              <w:tab/>
            </w:r>
            <w:r w:rsidR="003E05F8">
              <w:rPr>
                <w:noProof/>
                <w:webHidden/>
              </w:rPr>
              <w:fldChar w:fldCharType="begin"/>
            </w:r>
            <w:r w:rsidR="003E05F8">
              <w:rPr>
                <w:noProof/>
                <w:webHidden/>
              </w:rPr>
              <w:instrText xml:space="preserve"> PAGEREF _Toc111497238 \h </w:instrText>
            </w:r>
            <w:r w:rsidR="003E05F8">
              <w:rPr>
                <w:noProof/>
                <w:webHidden/>
              </w:rPr>
            </w:r>
            <w:r w:rsidR="003E05F8">
              <w:rPr>
                <w:noProof/>
                <w:webHidden/>
              </w:rPr>
              <w:fldChar w:fldCharType="separate"/>
            </w:r>
            <w:r w:rsidR="003E05F8">
              <w:rPr>
                <w:noProof/>
                <w:webHidden/>
              </w:rPr>
              <w:t>10</w:t>
            </w:r>
            <w:r w:rsidR="003E05F8">
              <w:rPr>
                <w:noProof/>
                <w:webHidden/>
              </w:rPr>
              <w:fldChar w:fldCharType="end"/>
            </w:r>
          </w:hyperlink>
        </w:p>
        <w:p w14:paraId="6BC8B7B4" w14:textId="39614B4B" w:rsidR="003E05F8" w:rsidRDefault="00000000">
          <w:pPr>
            <w:pStyle w:val="TOC1"/>
            <w:tabs>
              <w:tab w:val="right" w:leader="dot" w:pos="9016"/>
            </w:tabs>
            <w:rPr>
              <w:rFonts w:asciiTheme="minorHAnsi" w:eastAsiaTheme="minorEastAsia" w:hAnsiTheme="minorHAnsi"/>
              <w:noProof/>
              <w:color w:val="auto"/>
              <w:sz w:val="22"/>
              <w:lang w:val="en-IN" w:eastAsia="en-IN"/>
            </w:rPr>
          </w:pPr>
          <w:hyperlink w:anchor="_Toc111497239" w:history="1">
            <w:r w:rsidR="003E05F8" w:rsidRPr="00012794">
              <w:rPr>
                <w:rStyle w:val="Hyperlink"/>
                <w:noProof/>
              </w:rPr>
              <w:t>Reference</w:t>
            </w:r>
            <w:r w:rsidR="003E05F8">
              <w:rPr>
                <w:noProof/>
                <w:webHidden/>
              </w:rPr>
              <w:tab/>
            </w:r>
            <w:r w:rsidR="003E05F8">
              <w:rPr>
                <w:noProof/>
                <w:webHidden/>
              </w:rPr>
              <w:fldChar w:fldCharType="begin"/>
            </w:r>
            <w:r w:rsidR="003E05F8">
              <w:rPr>
                <w:noProof/>
                <w:webHidden/>
              </w:rPr>
              <w:instrText xml:space="preserve"> PAGEREF _Toc111497239 \h </w:instrText>
            </w:r>
            <w:r w:rsidR="003E05F8">
              <w:rPr>
                <w:noProof/>
                <w:webHidden/>
              </w:rPr>
            </w:r>
            <w:r w:rsidR="003E05F8">
              <w:rPr>
                <w:noProof/>
                <w:webHidden/>
              </w:rPr>
              <w:fldChar w:fldCharType="separate"/>
            </w:r>
            <w:r w:rsidR="003E05F8">
              <w:rPr>
                <w:noProof/>
                <w:webHidden/>
              </w:rPr>
              <w:t>12</w:t>
            </w:r>
            <w:r w:rsidR="003E05F8">
              <w:rPr>
                <w:noProof/>
                <w:webHidden/>
              </w:rPr>
              <w:fldChar w:fldCharType="end"/>
            </w:r>
          </w:hyperlink>
        </w:p>
        <w:p w14:paraId="6B58EE15" w14:textId="0E3C769F" w:rsidR="0046460D" w:rsidRDefault="0046460D">
          <w:r>
            <w:rPr>
              <w:b/>
              <w:bCs/>
              <w:noProof/>
            </w:rPr>
            <w:fldChar w:fldCharType="end"/>
          </w:r>
        </w:p>
      </w:sdtContent>
    </w:sdt>
    <w:p w14:paraId="774F0125" w14:textId="32D35815" w:rsidR="00D80D52" w:rsidRDefault="00D80D52" w:rsidP="00522CA5">
      <w:pPr>
        <w:spacing w:line="259" w:lineRule="auto"/>
        <w:jc w:val="left"/>
      </w:pPr>
    </w:p>
    <w:p w14:paraId="603EB4A8" w14:textId="77777777" w:rsidR="0046460D" w:rsidRDefault="0046460D">
      <w:pPr>
        <w:spacing w:line="259" w:lineRule="auto"/>
        <w:jc w:val="left"/>
        <w:rPr>
          <w:rFonts w:eastAsiaTheme="majorEastAsia" w:cstheme="majorBidi"/>
          <w:b/>
          <w:sz w:val="28"/>
          <w:szCs w:val="32"/>
        </w:rPr>
      </w:pPr>
      <w:r>
        <w:br w:type="page"/>
      </w:r>
    </w:p>
    <w:p w14:paraId="27CA53FF" w14:textId="7E88C6C7" w:rsidR="0068399A" w:rsidRDefault="009F337D" w:rsidP="003C4716">
      <w:pPr>
        <w:pStyle w:val="Heading1"/>
      </w:pPr>
      <w:bookmarkStart w:id="0" w:name="_Toc111497233"/>
      <w:r>
        <w:lastRenderedPageBreak/>
        <w:t xml:space="preserve">Company </w:t>
      </w:r>
      <w:r w:rsidR="00194615">
        <w:t>D</w:t>
      </w:r>
      <w:r>
        <w:t>escription</w:t>
      </w:r>
      <w:bookmarkEnd w:id="0"/>
    </w:p>
    <w:p w14:paraId="25D8D2B4" w14:textId="739BB9BC" w:rsidR="00C354B6" w:rsidRDefault="00F136E3" w:rsidP="00A730FC">
      <w:r>
        <w:tab/>
        <w:t xml:space="preserve">This paper is </w:t>
      </w:r>
      <w:r w:rsidR="00437DEA" w:rsidRPr="00437DEA">
        <w:t xml:space="preserve">constructed to apply the theoretical knowledge of market structure and concentration in understanding </w:t>
      </w:r>
      <w:r>
        <w:t>practical scenarios. In order to do so</w:t>
      </w:r>
      <w:r w:rsidR="00DD4DD9">
        <w:t>,</w:t>
      </w:r>
      <w:r>
        <w:t xml:space="preserve"> the company </w:t>
      </w:r>
      <w:r w:rsidR="004C0C01">
        <w:t>IKEA</w:t>
      </w:r>
      <w:r>
        <w:t xml:space="preserve"> has been chosen</w:t>
      </w:r>
      <w:r w:rsidR="00DD4DD9">
        <w:t>,</w:t>
      </w:r>
      <w:r>
        <w:t xml:space="preserve"> </w:t>
      </w:r>
      <w:r w:rsidR="00EF5EBE">
        <w:t xml:space="preserve">which is operating in the </w:t>
      </w:r>
      <w:r w:rsidR="00DD4DD9">
        <w:t xml:space="preserve">retail </w:t>
      </w:r>
      <w:r w:rsidR="004C0C01">
        <w:t>furniture</w:t>
      </w:r>
      <w:r w:rsidR="00EF5EBE">
        <w:t xml:space="preserve"> industry. </w:t>
      </w:r>
      <w:r w:rsidR="004C0C01">
        <w:t xml:space="preserve">Founded in the year 1943 in Sweden, </w:t>
      </w:r>
      <w:r w:rsidR="00115749">
        <w:t xml:space="preserve">the company presently has a global presence and </w:t>
      </w:r>
      <w:r w:rsidR="0032613A">
        <w:t>its operational domain is spread to ready-to-assemble furniture, kitchen appliances a</w:t>
      </w:r>
      <w:r w:rsidR="001E0520">
        <w:t>n</w:t>
      </w:r>
      <w:r w:rsidR="0032613A">
        <w:t xml:space="preserve">d home </w:t>
      </w:r>
      <w:r w:rsidR="001E0520">
        <w:t>accessories</w:t>
      </w:r>
      <w:r w:rsidR="0032613A">
        <w:t>.</w:t>
      </w:r>
      <w:r w:rsidR="00ED5FEE">
        <w:t xml:space="preserve"> Initially, this company was holding a good share in the market but eventually since 2008, its global reach has expanded to the highest</w:t>
      </w:r>
      <w:r w:rsidR="00196898">
        <w:t xml:space="preserve"> (</w:t>
      </w:r>
      <w:proofErr w:type="spellStart"/>
      <w:r w:rsidR="00196898">
        <w:t>Sund</w:t>
      </w:r>
      <w:proofErr w:type="spellEnd"/>
      <w:r w:rsidR="00196898">
        <w:t xml:space="preserve"> et al. 2020)</w:t>
      </w:r>
      <w:r w:rsidR="00ED5FEE">
        <w:t xml:space="preserve">. </w:t>
      </w:r>
      <w:r w:rsidR="005D12D2">
        <w:t>Their products are diversified into several areas but for the sake of this analysis</w:t>
      </w:r>
      <w:r w:rsidR="00DA3C93">
        <w:t>,</w:t>
      </w:r>
      <w:r w:rsidR="005D12D2">
        <w:t xml:space="preserve"> modern design </w:t>
      </w:r>
      <w:r w:rsidR="00DA3C93">
        <w:t>pieces of furniture</w:t>
      </w:r>
      <w:r w:rsidR="005D12D2">
        <w:t xml:space="preserve"> are getting selected. </w:t>
      </w:r>
      <w:r w:rsidR="00DA3C93">
        <w:t xml:space="preserve">This </w:t>
      </w:r>
      <w:r w:rsidR="00DA35C7">
        <w:t>company</w:t>
      </w:r>
      <w:r w:rsidR="00DA3C93">
        <w:t xml:space="preserve"> has expertise also in the segment of interior design which can be labelled as minimalist styling. </w:t>
      </w:r>
      <w:r w:rsidR="00DA35C7">
        <w:t xml:space="preserve">In order to compete with </w:t>
      </w:r>
      <w:r w:rsidR="00C16EF7">
        <w:t xml:space="preserve">other brands and </w:t>
      </w:r>
      <w:r w:rsidR="0046616E">
        <w:t>gain</w:t>
      </w:r>
      <w:r w:rsidR="00C16EF7">
        <w:t xml:space="preserve"> an upper hand in the industry</w:t>
      </w:r>
      <w:r w:rsidR="0046616E">
        <w:t>,</w:t>
      </w:r>
      <w:r w:rsidR="00C16EF7">
        <w:t xml:space="preserve"> this company has </w:t>
      </w:r>
      <w:r w:rsidR="0046616E">
        <w:t>selected</w:t>
      </w:r>
      <w:r w:rsidR="00C16EF7">
        <w:t xml:space="preserve"> the marketing strategies of cost control and lower </w:t>
      </w:r>
      <w:r w:rsidR="0046616E">
        <w:t>prices</w:t>
      </w:r>
      <w:r w:rsidR="00C16EF7">
        <w:t xml:space="preserve">. </w:t>
      </w:r>
      <w:r w:rsidR="0046616E">
        <w:t xml:space="preserve">Additionally, product differentiation is another valuable strategy that gets followed by </w:t>
      </w:r>
      <w:r w:rsidR="00F8328F">
        <w:t>this</w:t>
      </w:r>
      <w:r w:rsidR="0046616E">
        <w:t xml:space="preserve"> firm.</w:t>
      </w:r>
    </w:p>
    <w:p w14:paraId="375C9FBE" w14:textId="4A5CCE83" w:rsidR="00451E8F" w:rsidRDefault="00DC47B4" w:rsidP="00A730FC">
      <w:r>
        <w:tab/>
        <w:t>Currently</w:t>
      </w:r>
      <w:r w:rsidR="00070792">
        <w:t>,</w:t>
      </w:r>
      <w:r>
        <w:t xml:space="preserve"> the global presence of this company is comprised of several countries like </w:t>
      </w:r>
      <w:r w:rsidR="00183F7D">
        <w:t xml:space="preserve">Europe, </w:t>
      </w:r>
      <w:r w:rsidR="00070792">
        <w:t xml:space="preserve">the </w:t>
      </w:r>
      <w:r w:rsidR="00183F7D">
        <w:t xml:space="preserve">Middle East, North Africa, East Asia, India, Southeast Asia, Oceania, North </w:t>
      </w:r>
      <w:r w:rsidR="00070792">
        <w:t>America</w:t>
      </w:r>
      <w:r w:rsidR="00183F7D">
        <w:t xml:space="preserve"> and South America. </w:t>
      </w:r>
      <w:r w:rsidR="00000C43">
        <w:t xml:space="preserve">If the total number of IKEA store outlets </w:t>
      </w:r>
      <w:r w:rsidR="00714DCE">
        <w:t>is</w:t>
      </w:r>
      <w:r w:rsidR="00000C43">
        <w:t xml:space="preserve"> to be compared then as of the 2022 data, this company has 473 stores in a </w:t>
      </w:r>
      <w:r w:rsidR="00714DCE">
        <w:t>total</w:t>
      </w:r>
      <w:r w:rsidR="00000C43">
        <w:t xml:space="preserve"> of 64 markets</w:t>
      </w:r>
      <w:r w:rsidR="000F22EF">
        <w:t xml:space="preserve"> (</w:t>
      </w:r>
      <w:proofErr w:type="spellStart"/>
      <w:r w:rsidR="000F22EF" w:rsidRPr="000F22EF">
        <w:t>ikea</w:t>
      </w:r>
      <w:proofErr w:type="spellEnd"/>
      <w:r w:rsidR="000F22EF">
        <w:t xml:space="preserve"> 2022)</w:t>
      </w:r>
      <w:r w:rsidR="00000C43">
        <w:t xml:space="preserve">. </w:t>
      </w:r>
      <w:r w:rsidR="00E73EEE">
        <w:t xml:space="preserve">In 2021, the </w:t>
      </w:r>
      <w:r w:rsidR="001A06B4">
        <w:t>revenue</w:t>
      </w:r>
      <w:r w:rsidR="00E73EEE">
        <w:t xml:space="preserve"> of this company was calculated to be 40 billion euros. </w:t>
      </w:r>
      <w:r w:rsidR="001A06B4">
        <w:t xml:space="preserve">The revenue accumulation by this company is consistently </w:t>
      </w:r>
      <w:r w:rsidR="00365FAD">
        <w:t>on</w:t>
      </w:r>
      <w:r w:rsidR="001A06B4">
        <w:t xml:space="preserve"> the rise despite a low pricing strategy. The reason behind this is, </w:t>
      </w:r>
      <w:r w:rsidR="00365FAD">
        <w:t xml:space="preserve">that </w:t>
      </w:r>
      <w:r w:rsidR="001A06B4">
        <w:t xml:space="preserve">the company with </w:t>
      </w:r>
      <w:r w:rsidR="00365FAD">
        <w:t>its</w:t>
      </w:r>
      <w:r w:rsidR="001A06B4">
        <w:t xml:space="preserve"> </w:t>
      </w:r>
      <w:r w:rsidR="00365FAD">
        <w:t>Scandinavian</w:t>
      </w:r>
      <w:r w:rsidR="001A06B4">
        <w:t xml:space="preserve"> </w:t>
      </w:r>
      <w:r w:rsidR="00365FAD">
        <w:t>styling</w:t>
      </w:r>
      <w:r w:rsidR="001A06B4">
        <w:t xml:space="preserve"> </w:t>
      </w:r>
      <w:r w:rsidR="00365FAD">
        <w:t>furniture</w:t>
      </w:r>
      <w:r w:rsidR="001A06B4">
        <w:t xml:space="preserve"> and </w:t>
      </w:r>
      <w:r w:rsidR="00365FAD">
        <w:t>easy-to-assemble</w:t>
      </w:r>
      <w:r w:rsidR="001A06B4">
        <w:t xml:space="preserve"> home appliances has increased its global sales over the past decades. Just during the covid-19 pandemic, 2020 </w:t>
      </w:r>
      <w:r w:rsidR="00365FAD">
        <w:t>people</w:t>
      </w:r>
      <w:r w:rsidR="001A06B4">
        <w:t xml:space="preserve"> were not in </w:t>
      </w:r>
      <w:r w:rsidR="00365FAD">
        <w:t>the</w:t>
      </w:r>
      <w:r w:rsidR="001A06B4">
        <w:t xml:space="preserve"> need of new furniture and this company experienced a decline in its sale</w:t>
      </w:r>
      <w:r w:rsidR="00365FAD">
        <w:t>s, w</w:t>
      </w:r>
      <w:r w:rsidR="001A06B4">
        <w:t xml:space="preserve">hich decreased its revenue accumulation to </w:t>
      </w:r>
      <w:r w:rsidR="00D745DD">
        <w:t>39.6 billion euros</w:t>
      </w:r>
      <w:r w:rsidR="00E13128">
        <w:t xml:space="preserve"> (</w:t>
      </w:r>
      <w:proofErr w:type="spellStart"/>
      <w:r w:rsidR="00E13128" w:rsidRPr="00E13128">
        <w:t>statista</w:t>
      </w:r>
      <w:proofErr w:type="spellEnd"/>
      <w:r w:rsidR="00E13128">
        <w:t xml:space="preserve"> 2022)</w:t>
      </w:r>
      <w:r w:rsidR="00D745DD">
        <w:t>.</w:t>
      </w:r>
    </w:p>
    <w:p w14:paraId="7F41819A" w14:textId="1206B033" w:rsidR="00451E8F" w:rsidRDefault="00451E8F" w:rsidP="00451E8F">
      <w:pPr>
        <w:pStyle w:val="Heading1"/>
      </w:pPr>
      <w:bookmarkStart w:id="1" w:name="_Toc111497234"/>
      <w:r>
        <w:lastRenderedPageBreak/>
        <w:t>Market Structure Analysis</w:t>
      </w:r>
      <w:bookmarkEnd w:id="1"/>
    </w:p>
    <w:p w14:paraId="25A256EA" w14:textId="71ACEE7A" w:rsidR="007D3FFD" w:rsidRDefault="007D3FFD" w:rsidP="007D3FFD">
      <w:pPr>
        <w:ind w:firstLine="720"/>
      </w:pPr>
      <w:r>
        <w:t>IKEA is known as the giant retail furniture chain not only in Sweden but also in the global market</w:t>
      </w:r>
      <w:r w:rsidR="00AC3D27">
        <w:t xml:space="preserve"> (Burt et al. 2021)</w:t>
      </w:r>
      <w:r>
        <w:t xml:space="preserve">. In </w:t>
      </w:r>
      <w:r w:rsidR="006E1602">
        <w:t>fact</w:t>
      </w:r>
      <w:r>
        <w:t>, market share data has depicted that in several global markets this company owns higher share than it does in its host country.</w:t>
      </w:r>
      <w:r w:rsidR="00E65478" w:rsidRPr="00E65478">
        <w:t xml:space="preserve"> </w:t>
      </w:r>
      <w:r w:rsidR="00E65478">
        <w:t>Due to this reason, the market structure of this firm faces several debates. In the study of economics, market structure refers to the competition level of the industry. Typically, the market structure and competition are divided into two parts, namely perfect competition and imperfect competition</w:t>
      </w:r>
      <w:r w:rsidR="003732CA">
        <w:t xml:space="preserve"> (Kroft et al. 2020)</w:t>
      </w:r>
      <w:r w:rsidR="00E65478">
        <w:t>. As the name suggests, perfect competition is a market structure where the operations are perfectly constructed with a huge base of both consumers and producers. Along with it, this Market has no barriers to entering and all the participants have perfect information about the homogeneous products getting sold. On the other hand, in imperfect competition, the information is imperfect as well as the number of operating firms. Imperfect competition is sub-segregated into monopoly, oligopoly and monopolistic. As per looking at the structure of the furniture retail industry where IKEA operates, it can be labelled as imperfect competition</w:t>
      </w:r>
      <w:r w:rsidR="00006BC9">
        <w:t xml:space="preserve"> because the participant numbers are countable</w:t>
      </w:r>
      <w:r w:rsidR="00E72CD1">
        <w:t xml:space="preserve"> (Poletti and Wright 2020)</w:t>
      </w:r>
      <w:r w:rsidR="00E65478">
        <w:t>.</w:t>
      </w:r>
      <w:r w:rsidR="00E65478" w:rsidRPr="00E65478">
        <w:t xml:space="preserve"> </w:t>
      </w:r>
      <w:r w:rsidR="00E65478">
        <w:t>However, as mentioned there are several debates on the exact structure and this is the reason all the imperfect market structure needs illustration. In a monopoly market, there is only one firm which provides unique goods and services and the consumers have to accept the price as it is. In monopolistic market competition, the number of firms is many that sell slightly differentiated products. The barriers to entry in this market are not much and the firms singlehandedly cannot take a decision</w:t>
      </w:r>
      <w:r w:rsidR="0033783C">
        <w:t>, but every firm has its own market power which earns them supernormal profit</w:t>
      </w:r>
      <w:r w:rsidR="00E65478">
        <w:t xml:space="preserve">. Finally, comes the oligopolistic market structure in which there are a few countable numbers of firms who sell slightly differentiated products and every firm has a considerably large amount of market share. In this specific market structure, the </w:t>
      </w:r>
      <w:r w:rsidR="00E65478">
        <w:lastRenderedPageBreak/>
        <w:t>competition is not on profit or revenue accumulation. Rather, the firms are more focused on the market concentration and their shares.</w:t>
      </w:r>
    </w:p>
    <w:p w14:paraId="5592BD0C" w14:textId="694C18F1" w:rsidR="00372531" w:rsidRDefault="00C67A18" w:rsidP="006A7F40">
      <w:pPr>
        <w:ind w:firstLine="720"/>
      </w:pPr>
      <w:r>
        <w:t>Retail industry and specifically furniture retail can never be a monopoly market. However, a</w:t>
      </w:r>
      <w:r w:rsidR="00204894">
        <w:t xml:space="preserve"> group of marketing experts argued that </w:t>
      </w:r>
      <w:r w:rsidR="00565E52">
        <w:t>any retail industry is considered a</w:t>
      </w:r>
      <w:r w:rsidR="00C95A51">
        <w:t>n oligopolistic</w:t>
      </w:r>
      <w:r w:rsidR="00565E52">
        <w:t xml:space="preserve"> competition</w:t>
      </w:r>
      <w:r w:rsidR="005416E3">
        <w:t xml:space="preserve"> (</w:t>
      </w:r>
      <w:proofErr w:type="spellStart"/>
      <w:r w:rsidR="005416E3" w:rsidRPr="005416E3">
        <w:t>Naimi-Sadigh</w:t>
      </w:r>
      <w:proofErr w:type="spellEnd"/>
      <w:r w:rsidR="005416E3" w:rsidRPr="005416E3">
        <w:t xml:space="preserve"> </w:t>
      </w:r>
      <w:proofErr w:type="spellStart"/>
      <w:r w:rsidR="005416E3" w:rsidRPr="005416E3">
        <w:t>Chaharsooghi</w:t>
      </w:r>
      <w:proofErr w:type="spellEnd"/>
      <w:r w:rsidR="005416E3" w:rsidRPr="005416E3">
        <w:t xml:space="preserve"> and </w:t>
      </w:r>
      <w:proofErr w:type="spellStart"/>
      <w:r w:rsidR="005416E3" w:rsidRPr="005416E3">
        <w:t>Mozafari</w:t>
      </w:r>
      <w:proofErr w:type="spellEnd"/>
      <w:r w:rsidR="005416E3" w:rsidRPr="005416E3">
        <w:t xml:space="preserve"> 2021</w:t>
      </w:r>
      <w:r w:rsidR="005416E3">
        <w:t>)</w:t>
      </w:r>
      <w:r w:rsidR="00565E52">
        <w:t xml:space="preserve">. It is true that all of the characteristics of </w:t>
      </w:r>
      <w:r w:rsidR="00C95A51">
        <w:t>oligopolistic</w:t>
      </w:r>
      <w:r w:rsidR="00565E52">
        <w:t xml:space="preserve"> competition align with IKEA and the furniture industry, there is only one difference.</w:t>
      </w:r>
      <w:r w:rsidR="00565E52" w:rsidRPr="00565E52">
        <w:t xml:space="preserve"> </w:t>
      </w:r>
      <w:r w:rsidR="00565E52">
        <w:t xml:space="preserve">That is, the barriers to entry in the </w:t>
      </w:r>
      <w:r w:rsidR="006A7F40">
        <w:t>furniture</w:t>
      </w:r>
      <w:r w:rsidR="00565E52">
        <w:t xml:space="preserve"> industry are </w:t>
      </w:r>
      <w:r w:rsidR="00C95A51">
        <w:t xml:space="preserve">relatively low. </w:t>
      </w:r>
      <w:r w:rsidR="00EB213A">
        <w:t xml:space="preserve">The capital required to enter this market is not much and anyone can enter the market and promote their product with </w:t>
      </w:r>
      <w:r w:rsidR="00472ED0">
        <w:t xml:space="preserve">a </w:t>
      </w:r>
      <w:r w:rsidR="00EB213A">
        <w:t xml:space="preserve">suitable marketing strategy. The </w:t>
      </w:r>
      <w:r w:rsidR="00472ED0">
        <w:t>difference</w:t>
      </w:r>
      <w:r w:rsidR="00EB213A">
        <w:t xml:space="preserve"> between IKEA and </w:t>
      </w:r>
      <w:r w:rsidR="00472ED0">
        <w:t>other</w:t>
      </w:r>
      <w:r w:rsidR="00EB213A">
        <w:t xml:space="preserve"> firms </w:t>
      </w:r>
      <w:r w:rsidR="00472ED0">
        <w:t xml:space="preserve">is </w:t>
      </w:r>
      <w:r w:rsidR="00EB213A">
        <w:t xml:space="preserve">it has a higher reach and its products are of better </w:t>
      </w:r>
      <w:r w:rsidR="00472ED0">
        <w:t>quality</w:t>
      </w:r>
      <w:r w:rsidR="00EB213A">
        <w:t xml:space="preserve"> which the company has </w:t>
      </w:r>
      <w:r w:rsidR="00472ED0">
        <w:t xml:space="preserve">promoted </w:t>
      </w:r>
      <w:r w:rsidR="00EB213A">
        <w:t xml:space="preserve">through </w:t>
      </w:r>
      <w:r w:rsidR="00472ED0">
        <w:t>marketing</w:t>
      </w:r>
      <w:r w:rsidR="00EB213A">
        <w:t xml:space="preserve"> </w:t>
      </w:r>
      <w:r w:rsidR="00472ED0">
        <w:t>campaigns</w:t>
      </w:r>
      <w:r w:rsidR="00565E52">
        <w:t>.</w:t>
      </w:r>
      <w:r w:rsidR="001566CA">
        <w:t xml:space="preserve"> </w:t>
      </w:r>
      <w:r w:rsidR="009A50E6">
        <w:t xml:space="preserve">Thus, the furniture store market where IKEA is operating is </w:t>
      </w:r>
      <w:r w:rsidR="00472ED0">
        <w:t>a</w:t>
      </w:r>
      <w:r w:rsidR="009A50E6">
        <w:t xml:space="preserve"> </w:t>
      </w:r>
      <w:r w:rsidR="00472ED0">
        <w:t>monopolistic</w:t>
      </w:r>
      <w:r w:rsidR="009A50E6">
        <w:t xml:space="preserve"> competition</w:t>
      </w:r>
      <w:r w:rsidR="00472ED0">
        <w:t xml:space="preserve"> and each firm </w:t>
      </w:r>
      <w:r w:rsidR="0033783C">
        <w:t xml:space="preserve">earns </w:t>
      </w:r>
      <w:r w:rsidR="00842AEF">
        <w:t xml:space="preserve">a </w:t>
      </w:r>
      <w:r w:rsidR="0033783C">
        <w:t xml:space="preserve">supernormal profit and the market </w:t>
      </w:r>
      <w:r w:rsidR="00842AEF">
        <w:t>power is divided between them</w:t>
      </w:r>
      <w:r w:rsidR="005C5589">
        <w:t xml:space="preserve"> (</w:t>
      </w:r>
      <w:proofErr w:type="spellStart"/>
      <w:r w:rsidR="005C5589">
        <w:t>Nozharov</w:t>
      </w:r>
      <w:proofErr w:type="spellEnd"/>
      <w:r w:rsidR="005C5589">
        <w:t xml:space="preserve"> 2019)</w:t>
      </w:r>
      <w:r w:rsidR="009A50E6">
        <w:t>.</w:t>
      </w:r>
      <w:r w:rsidR="00233073">
        <w:t xml:space="preserve"> There are a </w:t>
      </w:r>
      <w:r w:rsidR="00842AEF">
        <w:t>large</w:t>
      </w:r>
      <w:r w:rsidR="00233073">
        <w:t xml:space="preserve"> number of firms </w:t>
      </w:r>
      <w:r w:rsidR="00372531">
        <w:t xml:space="preserve">that have acquired the main market shares and all of them sell slightly differentiated retail furniture commodities and the barriers to entry are </w:t>
      </w:r>
      <w:r w:rsidR="00842AEF">
        <w:t>fewer</w:t>
      </w:r>
      <w:r w:rsidR="00372531">
        <w:t>. This market structure can be well explained through the help of data graphs and tables.</w:t>
      </w:r>
    </w:p>
    <w:p w14:paraId="6813967F" w14:textId="796B57F7" w:rsidR="00E65478" w:rsidRDefault="00E65478" w:rsidP="007D3FFD">
      <w:pPr>
        <w:ind w:firstLine="720"/>
      </w:pPr>
    </w:p>
    <w:p w14:paraId="0F1C268F" w14:textId="22FC1378" w:rsidR="00233073" w:rsidRDefault="00233073" w:rsidP="00233073">
      <w:r>
        <w:rPr>
          <w:noProof/>
          <w:lang w:val="en-US"/>
        </w:rPr>
        <w:lastRenderedPageBreak/>
        <w:drawing>
          <wp:inline distT="0" distB="0" distL="0" distR="0" wp14:anchorId="1953B311" wp14:editId="59CE4D63">
            <wp:extent cx="5731510" cy="5248275"/>
            <wp:effectExtent l="0" t="0" r="2540" b="9525"/>
            <wp:docPr id="1" name="Chart 1">
              <a:extLst xmlns:a="http://schemas.openxmlformats.org/drawingml/2006/main">
                <a:ext uri="{FF2B5EF4-FFF2-40B4-BE49-F238E27FC236}">
                  <a16:creationId xmlns:a16="http://schemas.microsoft.com/office/drawing/2014/main" id="{1D62814F-CC58-3741-A478-ACC8E9A96E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B83B71D" w14:textId="4714A92E" w:rsidR="00E6041B" w:rsidRDefault="00E6041B" w:rsidP="00233073">
      <w:r>
        <w:t>(</w:t>
      </w:r>
      <w:proofErr w:type="spellStart"/>
      <w:r w:rsidRPr="008A1372">
        <w:t>statista</w:t>
      </w:r>
      <w:proofErr w:type="spellEnd"/>
      <w:r>
        <w:t xml:space="preserve"> 2022)</w:t>
      </w:r>
    </w:p>
    <w:p w14:paraId="60422119" w14:textId="0D49ECA2" w:rsidR="005E6CF0" w:rsidRDefault="005E6CF0" w:rsidP="00233073">
      <w:r>
        <w:tab/>
      </w:r>
      <w:r w:rsidR="008C2730">
        <w:t>The data on the Sweden furniture retail market retrieved from the year 2021 has shown that in Sweden, JYSK AB holds the highest market share and IKEA has 5% share</w:t>
      </w:r>
      <w:r w:rsidR="00FF02E9">
        <w:t xml:space="preserve"> which makes it one of the leading firms</w:t>
      </w:r>
      <w:r w:rsidR="008A1372">
        <w:t xml:space="preserve"> (</w:t>
      </w:r>
      <w:proofErr w:type="spellStart"/>
      <w:r w:rsidR="008A1372" w:rsidRPr="008A1372">
        <w:t>statista</w:t>
      </w:r>
      <w:proofErr w:type="spellEnd"/>
      <w:r w:rsidR="008A1372">
        <w:t xml:space="preserve"> 2022)</w:t>
      </w:r>
      <w:r w:rsidR="0073249E">
        <w:t xml:space="preserve">. </w:t>
      </w:r>
      <w:r w:rsidR="00FF02E9">
        <w:t>Furthermore,</w:t>
      </w:r>
      <w:r w:rsidR="0073249E">
        <w:t xml:space="preserve"> IKEA also operates under Ingka Services AB and hence it has a significant market share under t</w:t>
      </w:r>
      <w:r w:rsidR="00EC4FF1">
        <w:t>h</w:t>
      </w:r>
      <w:r w:rsidR="0073249E">
        <w:t>is company</w:t>
      </w:r>
      <w:r w:rsidR="00EC4FF1">
        <w:t xml:space="preserve"> (7%)</w:t>
      </w:r>
      <w:r w:rsidR="0073249E">
        <w:t xml:space="preserve"> also</w:t>
      </w:r>
      <w:r w:rsidR="008C2730">
        <w:t>.</w:t>
      </w:r>
      <w:r w:rsidR="00A264E5">
        <w:t xml:space="preserve"> </w:t>
      </w:r>
      <w:r w:rsidR="003F506A">
        <w:t xml:space="preserve">The above pie chart shows the </w:t>
      </w:r>
      <w:r w:rsidR="000F7374">
        <w:t>monopolistic</w:t>
      </w:r>
      <w:r w:rsidR="003F506A">
        <w:t xml:space="preserve"> market structure and concentration in the Sweden furniture industry as per the shares each company holds.</w:t>
      </w:r>
      <w:r w:rsidR="00BA26C3">
        <w:t xml:space="preserve"> </w:t>
      </w:r>
      <w:r w:rsidR="00D415F8">
        <w:t>Most importantly</w:t>
      </w:r>
      <w:r w:rsidR="00BA26C3">
        <w:t xml:space="preserve">, the total number of </w:t>
      </w:r>
      <w:r w:rsidR="00677D44">
        <w:t xml:space="preserve">furniture enterprises operating there </w:t>
      </w:r>
      <w:r w:rsidR="00380D57">
        <w:t>is</w:t>
      </w:r>
      <w:r w:rsidR="00677D44">
        <w:t xml:space="preserve"> </w:t>
      </w:r>
      <w:r w:rsidR="006A7F40">
        <w:t>2319</w:t>
      </w:r>
      <w:r w:rsidR="00FD48DF">
        <w:t xml:space="preserve"> (</w:t>
      </w:r>
      <w:r w:rsidR="00FD48DF" w:rsidRPr="00FD48DF">
        <w:t>tmf.se</w:t>
      </w:r>
      <w:r w:rsidR="00FD48DF">
        <w:t xml:space="preserve"> 2021)</w:t>
      </w:r>
      <w:r w:rsidR="000F7374">
        <w:t>.</w:t>
      </w:r>
      <w:r w:rsidR="00677D44">
        <w:t xml:space="preserve"> Hence, it can be </w:t>
      </w:r>
      <w:r w:rsidR="00677D44">
        <w:lastRenderedPageBreak/>
        <w:t xml:space="preserve">said that this market follows </w:t>
      </w:r>
      <w:r w:rsidR="000F7374">
        <w:t>a</w:t>
      </w:r>
      <w:r w:rsidR="00677D44">
        <w:t xml:space="preserve"> </w:t>
      </w:r>
      <w:r w:rsidR="000F7374">
        <w:t>monopolistic</w:t>
      </w:r>
      <w:r w:rsidR="00677D44">
        <w:t xml:space="preserve"> structure</w:t>
      </w:r>
      <w:r w:rsidR="000F7374">
        <w:t xml:space="preserve"> and</w:t>
      </w:r>
      <w:r w:rsidR="00677D44">
        <w:t xml:space="preserve"> the concentration is on the lower side.</w:t>
      </w:r>
    </w:p>
    <w:p w14:paraId="4A14ECA7" w14:textId="7944F2EB" w:rsidR="004C20B4" w:rsidRDefault="004C20B4" w:rsidP="00233073">
      <w:r>
        <w:tab/>
        <w:t>Following is the global reach of this company which shows outside of its domestic border the company has a higher reach</w:t>
      </w:r>
      <w:r w:rsidR="000901EA">
        <w:t>,</w:t>
      </w:r>
      <w:r>
        <w:t xml:space="preserve"> which means not only in Sweden the company has a high hold on the market but also in the international market the firm </w:t>
      </w:r>
      <w:r w:rsidR="000901EA">
        <w:t>despite being a monopolist has its high hold in several regions</w:t>
      </w:r>
      <w:r w:rsidR="00AC31D1">
        <w:t xml:space="preserve"> (</w:t>
      </w:r>
      <w:proofErr w:type="spellStart"/>
      <w:r w:rsidR="00AC31D1" w:rsidRPr="00AC31D1">
        <w:t>statista</w:t>
      </w:r>
      <w:proofErr w:type="spellEnd"/>
      <w:r w:rsidR="00AC31D1">
        <w:t xml:space="preserve"> 2022)</w:t>
      </w:r>
      <w:r w:rsidR="00BA1261">
        <w:t xml:space="preserve">. </w:t>
      </w:r>
      <w:r w:rsidR="008A4E66">
        <w:t>This</w:t>
      </w:r>
      <w:r w:rsidR="00BA1261">
        <w:t xml:space="preserve"> means there might be several local shops that sell furniture but IKEA and its products can be well differentiated from its competitors</w:t>
      </w:r>
      <w:r>
        <w:t>.</w:t>
      </w:r>
    </w:p>
    <w:p w14:paraId="36A8C68A" w14:textId="1F433B4C" w:rsidR="004C20B4" w:rsidRDefault="00D70CAA" w:rsidP="004C20B4">
      <w:pPr>
        <w:jc w:val="center"/>
      </w:pPr>
      <w:r>
        <w:rPr>
          <w:noProof/>
          <w:lang w:val="en-US"/>
        </w:rPr>
        <w:drawing>
          <wp:inline distT="0" distB="0" distL="0" distR="0" wp14:anchorId="0E8BFDF1" wp14:editId="2B99CDCF">
            <wp:extent cx="4572000" cy="2743200"/>
            <wp:effectExtent l="0" t="0" r="0" b="0"/>
            <wp:docPr id="3" name="Chart 3">
              <a:extLst xmlns:a="http://schemas.openxmlformats.org/drawingml/2006/main">
                <a:ext uri="{FF2B5EF4-FFF2-40B4-BE49-F238E27FC236}">
                  <a16:creationId xmlns:a16="http://schemas.microsoft.com/office/drawing/2014/main" id="{CECE109D-D5D3-EA44-3BD1-69EBCAAF41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14684A9" w14:textId="62C7986D" w:rsidR="00B30885" w:rsidRPr="007D3FFD" w:rsidRDefault="00B30885" w:rsidP="00B30885">
      <w:pPr>
        <w:jc w:val="left"/>
      </w:pPr>
      <w:r>
        <w:t>(</w:t>
      </w:r>
      <w:proofErr w:type="spellStart"/>
      <w:r w:rsidRPr="00AC31D1">
        <w:t>statista</w:t>
      </w:r>
      <w:proofErr w:type="spellEnd"/>
      <w:r>
        <w:t xml:space="preserve"> 2022)</w:t>
      </w:r>
    </w:p>
    <w:p w14:paraId="7A09CEB8" w14:textId="15DDF5FE" w:rsidR="00451E8F" w:rsidRDefault="00451E8F" w:rsidP="00451E8F">
      <w:pPr>
        <w:pStyle w:val="Heading1"/>
      </w:pPr>
      <w:bookmarkStart w:id="2" w:name="_Toc111497235"/>
      <w:r>
        <w:t>Different Market Structure</w:t>
      </w:r>
      <w:bookmarkEnd w:id="2"/>
    </w:p>
    <w:p w14:paraId="083E9E1E" w14:textId="7EA8FA71" w:rsidR="004A5443" w:rsidRDefault="0036791B" w:rsidP="004A5443">
      <w:r>
        <w:tab/>
        <w:t xml:space="preserve">Sometimes it is witnessed that the market structure of the industry changes over time. Due to lessened competition, some firms leave the market and the market concentration increases. Or some other times due to new firms entering in the market the competition starts to tilt more towards perfect competition. In the analysis of economics with the evidence of empirical data, this change can be witnessed. Now the debate is whether the same occurred in </w:t>
      </w:r>
      <w:r>
        <w:lastRenderedPageBreak/>
        <w:t>the retail furniture industry where IKEA operates.</w:t>
      </w:r>
      <w:r w:rsidR="004A5443">
        <w:t xml:space="preserve"> In the study of economics and market structure, it is often argued that an oligopolistic industry can turn into a monopolistic industry when new entrants overcome the entry barriers</w:t>
      </w:r>
      <w:r w:rsidR="00442BC3">
        <w:t xml:space="preserve"> (</w:t>
      </w:r>
      <w:proofErr w:type="spellStart"/>
      <w:r w:rsidR="00442BC3">
        <w:t>Suripto</w:t>
      </w:r>
      <w:proofErr w:type="spellEnd"/>
      <w:r w:rsidR="00442BC3">
        <w:t xml:space="preserve">, </w:t>
      </w:r>
      <w:proofErr w:type="spellStart"/>
      <w:r w:rsidR="00442BC3">
        <w:t>Wulandari</w:t>
      </w:r>
      <w:proofErr w:type="spellEnd"/>
      <w:r w:rsidR="00442BC3">
        <w:t xml:space="preserve"> and </w:t>
      </w:r>
      <w:proofErr w:type="spellStart"/>
      <w:r w:rsidR="00442BC3">
        <w:t>Abasimi</w:t>
      </w:r>
      <w:proofErr w:type="spellEnd"/>
      <w:r w:rsidR="00442BC3">
        <w:t xml:space="preserve"> 2022)</w:t>
      </w:r>
      <w:r w:rsidR="004A5443">
        <w:t xml:space="preserve">. Then, from a monopolistic competition, the industry turns into perfect competition. Presently, the furniture market operates as a monopolistic market and if its operation is linked with the theoretical underpinning then it can be said that it is not likely that perfect competition can turn into </w:t>
      </w:r>
      <w:r w:rsidR="00ED206E">
        <w:t xml:space="preserve">a </w:t>
      </w:r>
      <w:r w:rsidR="00CB595F">
        <w:t>monopolistic</w:t>
      </w:r>
      <w:r w:rsidR="004A5443">
        <w:t xml:space="preserve"> competition. It is true that exceptions are there, but the </w:t>
      </w:r>
      <w:r w:rsidR="006705FF">
        <w:t>furniture</w:t>
      </w:r>
      <w:r w:rsidR="004A5443">
        <w:t xml:space="preserve"> market is not such an exception. </w:t>
      </w:r>
      <w:r w:rsidR="00CB595F">
        <w:t>Hence, the debate here is surrounded that if the furniture industry was once an oligopoly or not and if IKEA was operational in a different market structure when it first emerged.</w:t>
      </w:r>
    </w:p>
    <w:p w14:paraId="7F32C0B3" w14:textId="19FFAE35" w:rsidR="0036791B" w:rsidRDefault="002772F4" w:rsidP="0036791B">
      <w:r>
        <w:tab/>
        <w:t>As mentioned above, IKEA started its journey in the year 1943 and within a few years</w:t>
      </w:r>
      <w:r w:rsidR="006705FF">
        <w:t>,</w:t>
      </w:r>
      <w:r>
        <w:t xml:space="preserve"> it became successful in its operational dynamics as well as </w:t>
      </w:r>
      <w:r w:rsidR="0028758C">
        <w:t>became a threat to its competitors</w:t>
      </w:r>
      <w:r w:rsidR="001C1072">
        <w:t xml:space="preserve"> (Mishra, Raj and Karuna 2019)</w:t>
      </w:r>
      <w:r w:rsidR="0028758C">
        <w:t xml:space="preserve">. Back then there </w:t>
      </w:r>
      <w:r w:rsidR="00C90FA0">
        <w:t>was</w:t>
      </w:r>
      <w:r w:rsidR="0028758C">
        <w:t xml:space="preserve"> </w:t>
      </w:r>
      <w:r w:rsidR="00C90FA0">
        <w:t xml:space="preserve">a </w:t>
      </w:r>
      <w:r w:rsidR="0028758C">
        <w:t xml:space="preserve">lesser number of firms in this industry. More specifically, previously </w:t>
      </w:r>
      <w:r w:rsidR="00C90FA0">
        <w:t>most</w:t>
      </w:r>
      <w:r w:rsidR="005E3A1E">
        <w:t xml:space="preserve"> of the furniture </w:t>
      </w:r>
      <w:r w:rsidR="00C90FA0">
        <w:t>stores</w:t>
      </w:r>
      <w:r w:rsidR="005E3A1E">
        <w:t xml:space="preserve"> were local stores </w:t>
      </w:r>
      <w:r w:rsidR="00ED206E">
        <w:t>that</w:t>
      </w:r>
      <w:r w:rsidR="005E3A1E">
        <w:t xml:space="preserve"> were not in the leading competition league with the major firms. </w:t>
      </w:r>
      <w:r w:rsidR="00C90FA0">
        <w:t>During 1950 the major companies back then</w:t>
      </w:r>
      <w:r w:rsidR="00576CEE">
        <w:t xml:space="preserve"> partook in seasonal furniture exhibitions. IKEA to gain upper hand in the market started to partake in these exhibitions and decreased the price </w:t>
      </w:r>
      <w:r w:rsidR="0080779D">
        <w:t>to</w:t>
      </w:r>
      <w:r w:rsidR="00576CEE">
        <w:t xml:space="preserve"> a low</w:t>
      </w:r>
      <w:r w:rsidR="00387993">
        <w:t>er</w:t>
      </w:r>
      <w:r w:rsidR="00576CEE">
        <w:t xml:space="preserve"> level.</w:t>
      </w:r>
      <w:r w:rsidR="003E6FD9">
        <w:t xml:space="preserve"> </w:t>
      </w:r>
      <w:r w:rsidR="00387993">
        <w:t xml:space="preserve">This created a </w:t>
      </w:r>
      <w:r w:rsidR="005E7E0F">
        <w:t>competitive</w:t>
      </w:r>
      <w:r w:rsidR="00387993">
        <w:t xml:space="preserve"> edge between the leading </w:t>
      </w:r>
      <w:r w:rsidR="00ED206E">
        <w:t>companies</w:t>
      </w:r>
      <w:r w:rsidR="00387993">
        <w:t xml:space="preserve">. It was basically the </w:t>
      </w:r>
      <w:r w:rsidR="005E7E0F">
        <w:t>market penetration</w:t>
      </w:r>
      <w:r w:rsidR="00387993">
        <w:t xml:space="preserve"> </w:t>
      </w:r>
      <w:r w:rsidR="005E7E0F">
        <w:t>strategy</w:t>
      </w:r>
      <w:r w:rsidR="00387993">
        <w:t xml:space="preserve"> of IKEA to sell </w:t>
      </w:r>
      <w:r w:rsidR="005E7E0F">
        <w:t>high-quality</w:t>
      </w:r>
      <w:r w:rsidR="00387993">
        <w:t xml:space="preserve"> </w:t>
      </w:r>
      <w:r w:rsidR="005E7E0F">
        <w:t>products</w:t>
      </w:r>
      <w:r w:rsidR="00387993">
        <w:t xml:space="preserve"> at a lower price.</w:t>
      </w:r>
      <w:r w:rsidR="0099466A">
        <w:t xml:space="preserve"> Thus, the other companies started price</w:t>
      </w:r>
      <w:r w:rsidR="00DA3A8C">
        <w:t xml:space="preserve"> war</w:t>
      </w:r>
      <w:r w:rsidR="0099466A">
        <w:t xml:space="preserve"> and IKEA was boycotted</w:t>
      </w:r>
      <w:r w:rsidR="002C5902">
        <w:t xml:space="preserve"> (</w:t>
      </w:r>
      <w:proofErr w:type="spellStart"/>
      <w:r w:rsidR="002C5902" w:rsidRPr="002C5902">
        <w:t>ikeamuseum</w:t>
      </w:r>
      <w:proofErr w:type="spellEnd"/>
      <w:r w:rsidR="002C5902">
        <w:t xml:space="preserve"> n.d.)</w:t>
      </w:r>
      <w:r w:rsidR="0099466A">
        <w:t xml:space="preserve">. </w:t>
      </w:r>
      <w:r w:rsidR="00DA3A8C">
        <w:t>Since</w:t>
      </w:r>
      <w:r w:rsidR="0099466A">
        <w:t xml:space="preserve"> </w:t>
      </w:r>
      <w:r w:rsidR="003B3DE0">
        <w:t>then,</w:t>
      </w:r>
      <w:r w:rsidR="0099466A">
        <w:t xml:space="preserve"> this company stood out and</w:t>
      </w:r>
      <w:r w:rsidR="00DA3A8C">
        <w:t xml:space="preserve"> despite all the obstacles successfully</w:t>
      </w:r>
      <w:r w:rsidR="0099466A">
        <w:t xml:space="preserve"> created its </w:t>
      </w:r>
      <w:r w:rsidR="005F1FB1">
        <w:t>dominance</w:t>
      </w:r>
      <w:r w:rsidR="0099466A">
        <w:t xml:space="preserve"> globally. </w:t>
      </w:r>
      <w:r w:rsidR="005F1FB1">
        <w:t xml:space="preserve">From this discussion, it can be understood that for other firms to boycott IKEA altogether, the total number of firms were ought to be less. </w:t>
      </w:r>
      <w:r w:rsidR="006F468B">
        <w:t>This</w:t>
      </w:r>
      <w:r w:rsidR="0010141D">
        <w:t xml:space="preserve"> creates the debate </w:t>
      </w:r>
      <w:r w:rsidR="006F468B">
        <w:t>o</w:t>
      </w:r>
      <w:r w:rsidR="0010141D">
        <w:t xml:space="preserve">n whether it was an oligopolistic </w:t>
      </w:r>
      <w:r w:rsidR="006F468B">
        <w:t>market</w:t>
      </w:r>
      <w:r w:rsidR="0010141D">
        <w:t xml:space="preserve"> or not. However, back then also the number of </w:t>
      </w:r>
      <w:r w:rsidR="006F468B">
        <w:t>major</w:t>
      </w:r>
      <w:r w:rsidR="0010141D">
        <w:t xml:space="preserve"> firms would have been less but the total number of operating </w:t>
      </w:r>
      <w:r w:rsidR="006F468B">
        <w:t>units</w:t>
      </w:r>
      <w:r w:rsidR="0010141D">
        <w:t xml:space="preserve"> </w:t>
      </w:r>
      <w:r w:rsidR="006F468B">
        <w:t>was</w:t>
      </w:r>
      <w:r w:rsidR="0010141D">
        <w:t xml:space="preserve"> huge </w:t>
      </w:r>
      <w:r w:rsidR="006F468B">
        <w:t>that</w:t>
      </w:r>
      <w:r w:rsidR="0010141D">
        <w:t xml:space="preserve"> sold slightly differentiated </w:t>
      </w:r>
      <w:r w:rsidR="0010141D">
        <w:lastRenderedPageBreak/>
        <w:t xml:space="preserve">products and </w:t>
      </w:r>
      <w:r w:rsidR="006F468B">
        <w:t>anyone</w:t>
      </w:r>
      <w:r w:rsidR="0010141D">
        <w:t xml:space="preserve"> could enter the market with the capital requirement.</w:t>
      </w:r>
      <w:r w:rsidR="00332B78">
        <w:t xml:space="preserve"> Thus, the market structure was still monopolistic.</w:t>
      </w:r>
      <w:r w:rsidR="00332B78" w:rsidRPr="00332B78">
        <w:t xml:space="preserve"> </w:t>
      </w:r>
      <w:r w:rsidR="00332B78">
        <w:t>However, the difference between the present and past market structure is in market concentration. Previously, there were a lesser number of firms in the industry and thus the difference in the market structure was that the Swedish furniture market operated with a much higher market concentration. As the number of firms was less each existing firm used to enjoy higher market shares than the present</w:t>
      </w:r>
      <w:r w:rsidR="00F74DC6">
        <w:t xml:space="preserve">, which means the </w:t>
      </w:r>
      <w:r w:rsidR="006C69AC">
        <w:t>competitiveness was lesser compared to the present condition</w:t>
      </w:r>
      <w:r w:rsidR="00AA4491">
        <w:t xml:space="preserve"> (</w:t>
      </w:r>
      <w:proofErr w:type="spellStart"/>
      <w:r w:rsidR="00AA4491">
        <w:t>Crouzet</w:t>
      </w:r>
      <w:proofErr w:type="spellEnd"/>
      <w:r w:rsidR="00AA4491">
        <w:t xml:space="preserve"> and Eberly 2019)</w:t>
      </w:r>
      <w:r w:rsidR="006C69AC">
        <w:t>.</w:t>
      </w:r>
    </w:p>
    <w:p w14:paraId="28E7CC73" w14:textId="5E9C17F3" w:rsidR="00AA024E" w:rsidRPr="0036791B" w:rsidRDefault="00AA024E" w:rsidP="0036791B">
      <w:r>
        <w:tab/>
      </w:r>
      <w:r w:rsidR="00157FD5">
        <w:t xml:space="preserve">There is no clear indication that the </w:t>
      </w:r>
      <w:r w:rsidR="00FA5ADD">
        <w:t xml:space="preserve">market structure was different for IKEA. More specifically, there is no evidence if </w:t>
      </w:r>
      <w:r w:rsidR="00CE1956">
        <w:t xml:space="preserve">the furniture market was </w:t>
      </w:r>
      <w:r w:rsidR="00FB5772">
        <w:t xml:space="preserve">an </w:t>
      </w:r>
      <w:r w:rsidR="00CE1956">
        <w:t xml:space="preserve">oligopoly or not. However, in </w:t>
      </w:r>
      <w:r w:rsidR="00FB5772">
        <w:t>order</w:t>
      </w:r>
      <w:r w:rsidR="00CE1956">
        <w:t xml:space="preserve"> to be oligopolistic</w:t>
      </w:r>
      <w:r w:rsidR="00EE5921">
        <w:t>,</w:t>
      </w:r>
      <w:r w:rsidR="00CE1956">
        <w:t xml:space="preserve"> </w:t>
      </w:r>
      <w:r w:rsidR="00EE5921">
        <w:t xml:space="preserve">the concentration was supposed to be higher which if </w:t>
      </w:r>
      <w:r w:rsidR="00E7362E">
        <w:t>pieces of evidence</w:t>
      </w:r>
      <w:r w:rsidR="00EE5921">
        <w:t xml:space="preserve"> are compared was true for IKEA. Still, as mentioned above, the differentiation is done in terms of market barriers. </w:t>
      </w:r>
      <w:r w:rsidR="00E7362E">
        <w:t>In</w:t>
      </w:r>
      <w:r w:rsidR="00EE5921">
        <w:t xml:space="preserve"> the </w:t>
      </w:r>
      <w:r w:rsidR="00E7362E">
        <w:t>past</w:t>
      </w:r>
      <w:r w:rsidR="00EE5921">
        <w:t xml:space="preserve"> also the</w:t>
      </w:r>
      <w:r w:rsidR="00E7362E">
        <w:t xml:space="preserve"> barriers to</w:t>
      </w:r>
      <w:r w:rsidR="00EE5921">
        <w:t xml:space="preserve"> entry </w:t>
      </w:r>
      <w:r w:rsidR="00E7362E">
        <w:t>into</w:t>
      </w:r>
      <w:r w:rsidR="00EE5921">
        <w:t xml:space="preserve"> </w:t>
      </w:r>
      <w:r w:rsidR="00E7362E">
        <w:t xml:space="preserve">the </w:t>
      </w:r>
      <w:r w:rsidR="00EE5921">
        <w:t xml:space="preserve">furniture industry </w:t>
      </w:r>
      <w:r w:rsidR="00E7362E">
        <w:t>were</w:t>
      </w:r>
      <w:r w:rsidR="00EE5921">
        <w:t xml:space="preserve"> not much because local stores were also able to set up their businesses</w:t>
      </w:r>
      <w:r w:rsidR="002A6473">
        <w:t xml:space="preserve"> (Abu et al. 2019)</w:t>
      </w:r>
      <w:r w:rsidR="00EE5921">
        <w:t xml:space="preserve">. Although it is true those stores were not in </w:t>
      </w:r>
      <w:r w:rsidR="00E7362E">
        <w:t xml:space="preserve">prime competition with the leading firms, the competitiveness was </w:t>
      </w:r>
      <w:r w:rsidR="003560E9">
        <w:t>lower</w:t>
      </w:r>
      <w:r w:rsidR="00E7362E">
        <w:t xml:space="preserve"> and the HHI index which calculated the market concentration was higher than now. </w:t>
      </w:r>
      <w:r w:rsidR="003560E9">
        <w:t>Moreover, due to e-retailing</w:t>
      </w:r>
      <w:r w:rsidR="00370D2C">
        <w:t xml:space="preserve"> development over the years</w:t>
      </w:r>
      <w:r w:rsidR="003560E9">
        <w:t xml:space="preserve">, more firms could enter the market through the merchant platforms and the concentration lessened and the monopolistic market became more open. At present, it can be said that the market is in the process of becoming a </w:t>
      </w:r>
      <w:r w:rsidR="00370D2C">
        <w:t>perfect</w:t>
      </w:r>
      <w:r w:rsidR="003560E9">
        <w:t xml:space="preserve"> competition. Experts are arguing that in </w:t>
      </w:r>
      <w:r w:rsidR="00370D2C">
        <w:t xml:space="preserve">the </w:t>
      </w:r>
      <w:r w:rsidR="003560E9">
        <w:t>future the competitiveness in the industry will further accelerate.</w:t>
      </w:r>
    </w:p>
    <w:p w14:paraId="10779D10" w14:textId="44D6F12D" w:rsidR="00451E8F" w:rsidRDefault="00451E8F" w:rsidP="00451E8F">
      <w:pPr>
        <w:pStyle w:val="Heading1"/>
      </w:pPr>
      <w:bookmarkStart w:id="3" w:name="_Toc111497236"/>
      <w:r>
        <w:t>Nature of the industry in which the firm operates</w:t>
      </w:r>
      <w:bookmarkEnd w:id="3"/>
    </w:p>
    <w:p w14:paraId="04EF2005" w14:textId="57E5FAB9" w:rsidR="00943766" w:rsidRDefault="00943766" w:rsidP="00943766">
      <w:pPr>
        <w:pStyle w:val="Heading2"/>
      </w:pPr>
      <w:bookmarkStart w:id="4" w:name="_Toc111321303"/>
      <w:bookmarkStart w:id="5" w:name="_Toc111497237"/>
      <w:r>
        <w:t>Optimality of IKEA in a different market concentration</w:t>
      </w:r>
      <w:bookmarkEnd w:id="4"/>
      <w:bookmarkEnd w:id="5"/>
    </w:p>
    <w:p w14:paraId="2CD05DDB" w14:textId="23930C5B" w:rsidR="00943766" w:rsidRDefault="00943766" w:rsidP="00943766">
      <w:pPr>
        <w:ind w:firstLine="720"/>
      </w:pPr>
      <w:r>
        <w:t xml:space="preserve">It is very much debatable if operating in a more concentrated market was more optimal for IKEA or not. Typically, in the theoretical underpinning of economics, the optimal </w:t>
      </w:r>
      <w:r>
        <w:lastRenderedPageBreak/>
        <w:t>situation is when the market structure turns towards a more perfectly competitive one.</w:t>
      </w:r>
      <w:r w:rsidR="00730383">
        <w:t xml:space="preserve"> Hence, the debate is on the optimality of IKEA when previously despite being a monopolistic firm it h</w:t>
      </w:r>
      <w:r w:rsidR="00625B3D">
        <w:t>ad</w:t>
      </w:r>
      <w:r w:rsidR="00730383">
        <w:t xml:space="preserve"> </w:t>
      </w:r>
      <w:r w:rsidR="00625B3D">
        <w:t xml:space="preserve">a </w:t>
      </w:r>
      <w:r w:rsidR="00730383">
        <w:t xml:space="preserve">higher concentration in the market as well as </w:t>
      </w:r>
      <w:r w:rsidR="00625B3D">
        <w:t xml:space="preserve">high dominance over the other firms through </w:t>
      </w:r>
      <w:r w:rsidR="002450B5">
        <w:t>product</w:t>
      </w:r>
      <w:r w:rsidR="00625B3D">
        <w:t xml:space="preserve"> differentiation. </w:t>
      </w:r>
      <w:r w:rsidR="002450B5">
        <w:t xml:space="preserve">Furthermore, being </w:t>
      </w:r>
      <w:r w:rsidR="0049146E">
        <w:t>a globally successful brand,</w:t>
      </w:r>
      <w:r w:rsidR="002450B5">
        <w:t xml:space="preserve"> the company can sell </w:t>
      </w:r>
      <w:r w:rsidR="0049146E">
        <w:t>eco-friendly</w:t>
      </w:r>
      <w:r w:rsidR="002450B5">
        <w:t xml:space="preserve"> and sustainable products at a lower price than its competitors</w:t>
      </w:r>
      <w:r w:rsidR="00B86419">
        <w:t xml:space="preserve"> (Miller and Smith 2021)</w:t>
      </w:r>
      <w:r w:rsidR="002450B5">
        <w:t xml:space="preserve">. </w:t>
      </w:r>
      <w:r w:rsidR="0049146E">
        <w:t xml:space="preserve">Market reports signify that IKEA has created a market effect in its operational dynamics. In the regions where this firm is operational, the labour wages are higher compared to other </w:t>
      </w:r>
      <w:r w:rsidR="00DA19FD">
        <w:t>major furniture</w:t>
      </w:r>
      <w:r w:rsidR="0049146E">
        <w:t xml:space="preserve"> firms and the product prices are lower compared to other retail entities</w:t>
      </w:r>
      <w:r w:rsidR="00DA19FD">
        <w:t xml:space="preserve"> as already mentioned</w:t>
      </w:r>
      <w:r w:rsidR="0049146E">
        <w:t xml:space="preserve">. Using these two prime market accumulation strategies the firm acquired a higher </w:t>
      </w:r>
      <w:r w:rsidR="000B4FDC">
        <w:t>hold</w:t>
      </w:r>
      <w:r w:rsidR="0049146E">
        <w:t xml:space="preserve"> in the market. Thus, it can be said that the lesser the number of firms and the higher the concentration, </w:t>
      </w:r>
      <w:r w:rsidR="000B4FDC">
        <w:t>IKEA</w:t>
      </w:r>
      <w:r w:rsidR="0049146E">
        <w:t xml:space="preserve"> gains the upper hand in reducing the prices as there is not much competition.</w:t>
      </w:r>
    </w:p>
    <w:p w14:paraId="2745ACB9" w14:textId="287E0EB3" w:rsidR="00A67329" w:rsidRDefault="00A67329" w:rsidP="00A67329">
      <w:pPr>
        <w:ind w:firstLine="720"/>
        <w:jc w:val="center"/>
      </w:pPr>
      <w:r>
        <w:rPr>
          <w:noProof/>
          <w:lang w:val="en-US"/>
        </w:rPr>
        <w:drawing>
          <wp:inline distT="0" distB="0" distL="0" distR="0" wp14:anchorId="62E128A5" wp14:editId="72E137F3">
            <wp:extent cx="4572000" cy="2743200"/>
            <wp:effectExtent l="0" t="0" r="0" b="0"/>
            <wp:docPr id="2" name="Chart 2">
              <a:extLst xmlns:a="http://schemas.openxmlformats.org/drawingml/2006/main">
                <a:ext uri="{FF2B5EF4-FFF2-40B4-BE49-F238E27FC236}">
                  <a16:creationId xmlns:a16="http://schemas.microsoft.com/office/drawing/2014/main" id="{8C8C9EFD-3657-2A53-B011-EAD39EF6EC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706BEC0" w14:textId="28D0776F" w:rsidR="00CE3E21" w:rsidRDefault="00CE3E21" w:rsidP="00CE3E21">
      <w:pPr>
        <w:ind w:left="720" w:firstLine="720"/>
        <w:jc w:val="left"/>
      </w:pPr>
      <w:r>
        <w:t>(</w:t>
      </w:r>
      <w:proofErr w:type="spellStart"/>
      <w:r w:rsidRPr="00CE3E21">
        <w:t>inter.ikea</w:t>
      </w:r>
      <w:proofErr w:type="spellEnd"/>
      <w:r>
        <w:t xml:space="preserve"> 2021)</w:t>
      </w:r>
    </w:p>
    <w:p w14:paraId="3FCAC16D" w14:textId="76A3DEF8" w:rsidR="00A67329" w:rsidRDefault="00A67329" w:rsidP="00A67329">
      <w:r>
        <w:tab/>
        <w:t>The above diagram shows the retail saes of IKEA from the year 2016 to 2021</w:t>
      </w:r>
      <w:r w:rsidR="00CE3E21">
        <w:t xml:space="preserve"> (</w:t>
      </w:r>
      <w:proofErr w:type="spellStart"/>
      <w:r w:rsidR="00CE3E21" w:rsidRPr="00CE3E21">
        <w:t>inter.ikea</w:t>
      </w:r>
      <w:proofErr w:type="spellEnd"/>
      <w:r w:rsidR="00CE3E21">
        <w:t xml:space="preserve"> 2021)</w:t>
      </w:r>
      <w:r>
        <w:t xml:space="preserve">. This report belongs to the Inter IKEA group </w:t>
      </w:r>
      <w:r w:rsidR="005215C2">
        <w:t xml:space="preserve">which is a franchise business that assembled several other companies under the parental wing of IKEA. As per these </w:t>
      </w:r>
      <w:r w:rsidR="005215C2">
        <w:lastRenderedPageBreak/>
        <w:t xml:space="preserve">statistics, the sales are consistently increasing at a higher rate. </w:t>
      </w:r>
      <w:r w:rsidR="004A4661">
        <w:t>However</w:t>
      </w:r>
      <w:r w:rsidR="00F70218">
        <w:t>,</w:t>
      </w:r>
      <w:r w:rsidR="004A4661">
        <w:t xml:space="preserve"> this paper argues that the previous market concentration was better for this company because only the parental company with </w:t>
      </w:r>
      <w:r w:rsidR="00F70218">
        <w:t xml:space="preserve">a </w:t>
      </w:r>
      <w:r w:rsidR="004A4661">
        <w:t xml:space="preserve">limited </w:t>
      </w:r>
      <w:r w:rsidR="00B254EC">
        <w:t>number</w:t>
      </w:r>
      <w:r w:rsidR="004A4661">
        <w:t xml:space="preserve"> of resources brought major changes into the market. </w:t>
      </w:r>
      <w:r w:rsidR="00F70218">
        <w:t xml:space="preserve">If the brand’s history is witnessed then it can be said that </w:t>
      </w:r>
      <w:r w:rsidR="00B254EC">
        <w:t xml:space="preserve">the success and growth in the previous period </w:t>
      </w:r>
      <w:r w:rsidR="00EC0247">
        <w:t>were</w:t>
      </w:r>
      <w:r w:rsidR="00B254EC">
        <w:t xml:space="preserve"> much </w:t>
      </w:r>
      <w:r w:rsidR="00EC0247">
        <w:t>higher</w:t>
      </w:r>
      <w:r w:rsidR="00B254EC">
        <w:t xml:space="preserve"> compared to </w:t>
      </w:r>
      <w:r w:rsidR="00EC0247">
        <w:t>the</w:t>
      </w:r>
      <w:r w:rsidR="00B254EC">
        <w:t xml:space="preserve"> present and although currently</w:t>
      </w:r>
      <w:r w:rsidR="00EC0247">
        <w:t>,</w:t>
      </w:r>
      <w:r w:rsidR="00B254EC">
        <w:t xml:space="preserve"> this company is thriving </w:t>
      </w:r>
      <w:r w:rsidR="00EC0247">
        <w:t>from</w:t>
      </w:r>
      <w:r w:rsidR="00B254EC">
        <w:t xml:space="preserve"> the global </w:t>
      </w:r>
      <w:r w:rsidR="00EC0247">
        <w:t>perspective</w:t>
      </w:r>
      <w:r w:rsidR="00B254EC">
        <w:t>, the growth occurred during the past</w:t>
      </w:r>
      <w:r w:rsidR="008354EA">
        <w:t xml:space="preserve"> (</w:t>
      </w:r>
      <w:proofErr w:type="spellStart"/>
      <w:r w:rsidR="008354EA" w:rsidRPr="008354EA">
        <w:t>about.ikea</w:t>
      </w:r>
      <w:proofErr w:type="spellEnd"/>
      <w:r w:rsidR="008354EA">
        <w:t xml:space="preserve"> n.d.)</w:t>
      </w:r>
      <w:r w:rsidR="00B254EC">
        <w:t xml:space="preserve">. </w:t>
      </w:r>
      <w:r w:rsidR="00CB7499">
        <w:t xml:space="preserve">Hence, the past </w:t>
      </w:r>
      <w:r w:rsidR="008B416A">
        <w:t xml:space="preserve">market concentration where the competitiveness was less was more optimal for IKEA. Finally, it is also said from the contextual background of economics that the </w:t>
      </w:r>
      <w:r w:rsidR="00895016">
        <w:t xml:space="preserve">more a monopolistic competition moves towards a perfect competition with lessened concentration, the more it has a chance of acquiring </w:t>
      </w:r>
      <w:r w:rsidR="008F75BA">
        <w:t>normal</w:t>
      </w:r>
      <w:r w:rsidR="00895016">
        <w:t xml:space="preserve"> profit rather than supernormal profits.</w:t>
      </w:r>
    </w:p>
    <w:p w14:paraId="582EB8BC" w14:textId="7CE5292A" w:rsidR="0083285F" w:rsidRDefault="0083285F" w:rsidP="0083285F">
      <w:pPr>
        <w:pStyle w:val="Heading2"/>
      </w:pPr>
      <w:bookmarkStart w:id="6" w:name="_Toc111321304"/>
      <w:bookmarkStart w:id="7" w:name="_Toc111497238"/>
      <w:r>
        <w:t>Government intervention</w:t>
      </w:r>
      <w:bookmarkEnd w:id="6"/>
      <w:bookmarkEnd w:id="7"/>
    </w:p>
    <w:p w14:paraId="7E69296A" w14:textId="7AFA6CEA" w:rsidR="00EF7E6C" w:rsidRPr="00EF7E6C" w:rsidRDefault="00EF7E6C" w:rsidP="00EF7E6C">
      <w:pPr>
        <w:ind w:firstLine="720"/>
      </w:pPr>
      <w:r>
        <w:t>When the assessing factor is focused on whether the government intervention in a market, that is determinedly monopolistic then the situation needs to be analysed from the society’s perspective. In the study of economics, it is argued that the driving forces of demand and supply bring a market to its optimal situation. However, there are several instances when the factors are not sufficient and the driving forces cannot bring in the optimal solution for every participant and the government has to intervene to bring in social welfare</w:t>
      </w:r>
      <w:r w:rsidR="004813BA">
        <w:t xml:space="preserve"> (Cohen and </w:t>
      </w:r>
      <w:proofErr w:type="spellStart"/>
      <w:r w:rsidR="004813BA">
        <w:t>Cavoli</w:t>
      </w:r>
      <w:proofErr w:type="spellEnd"/>
      <w:r w:rsidR="004813BA">
        <w:t xml:space="preserve"> 2019)</w:t>
      </w:r>
      <w:r>
        <w:t>.</w:t>
      </w:r>
      <w:r w:rsidR="005F7FF7" w:rsidRPr="005F7FF7">
        <w:t xml:space="preserve"> </w:t>
      </w:r>
      <w:r w:rsidR="005F7FF7">
        <w:t>For instance, in the example of this report, IKEA is preferring a situation where the competitiveness in the market is lower and the concentration is higher. Situations like this can be categorized as the exploitation of market power by the bigger firms in the monopolistic market</w:t>
      </w:r>
      <w:r w:rsidR="003371AE">
        <w:t xml:space="preserve"> because</w:t>
      </w:r>
      <w:r w:rsidR="00990F53">
        <w:t>,</w:t>
      </w:r>
      <w:r w:rsidR="003371AE">
        <w:t xml:space="preserve"> in monopolistic competition, </w:t>
      </w:r>
      <w:r w:rsidR="00990F53">
        <w:t>supply-demand</w:t>
      </w:r>
      <w:r w:rsidR="003371AE">
        <w:t xml:space="preserve"> </w:t>
      </w:r>
      <w:r w:rsidR="00990F53">
        <w:t>does</w:t>
      </w:r>
      <w:r w:rsidR="003371AE">
        <w:t xml:space="preserve"> not determine the final prices, rather firms are the price determinant.</w:t>
      </w:r>
      <w:r w:rsidR="00990F53">
        <w:t xml:space="preserve"> In a typical monopolistic market where IKEA operates, </w:t>
      </w:r>
      <w:r w:rsidR="00B747A3">
        <w:t>product differentiation is done by advertisement on quality</w:t>
      </w:r>
      <w:r w:rsidR="00956731">
        <w:t xml:space="preserve"> (</w:t>
      </w:r>
      <w:proofErr w:type="spellStart"/>
      <w:r w:rsidR="00956731">
        <w:t>Moghavvemi</w:t>
      </w:r>
      <w:proofErr w:type="spellEnd"/>
      <w:r w:rsidR="00956731">
        <w:t>, Lee and Lee 2018)</w:t>
      </w:r>
      <w:r w:rsidR="00B747A3">
        <w:t xml:space="preserve">. Hence, the demand is inelastic for these commodities. If one firm increases the </w:t>
      </w:r>
      <w:r w:rsidR="00831B83">
        <w:t>price</w:t>
      </w:r>
      <w:r w:rsidR="00B747A3">
        <w:t xml:space="preserve"> the demand will be switched to the </w:t>
      </w:r>
      <w:r w:rsidR="00831B83">
        <w:lastRenderedPageBreak/>
        <w:t>second-best</w:t>
      </w:r>
      <w:r w:rsidR="00B747A3">
        <w:t xml:space="preserve"> alternatives. Similarly, when a firm decreases the price, the market demand will be tilted to that firm only.</w:t>
      </w:r>
      <w:r w:rsidR="00F858C5" w:rsidRPr="00F858C5">
        <w:t xml:space="preserve"> </w:t>
      </w:r>
      <w:r w:rsidR="00F858C5">
        <w:t>In a contextual background as such government intervention is essential. The main agenda here is to promote competition in the market and maximize total welfare (Producer Surplus + Consumer Surplus) because while lowering the price, the producers lose on their surpluses or their market dominance decreases the consumers’ surpluses. Another essential part of government intervention is in the areas of allocative efficiency and production efficiency</w:t>
      </w:r>
      <w:r w:rsidR="004B5F3F">
        <w:t xml:space="preserve"> (Asghar et al. 2018)</w:t>
      </w:r>
      <w:r w:rsidR="00F858C5">
        <w:t>. As the names suggest, allocative efficiency is the situation when the market is at efficiency and all the goods and services are optimally distributed among the consumers. This happens when the price is equal to MC. On the other hand, productive efficiency is a situation where the firms in the market can produce the highest number of products with available resources. Both of these situations are not present in monopolistic market competition (as P &gt; MC) and hence the government can intervene to bring in the same.</w:t>
      </w:r>
      <w:r w:rsidR="00246173">
        <w:t xml:space="preserve"> In monopolistic competition, the government can initiate antitrust laws to increase the competition and tilt the market more towards perfect competition. </w:t>
      </w:r>
      <w:r w:rsidR="00556BD7">
        <w:t>Hence, this report suggests that to discourage the sense of optimality for companies like IKEA during high monopolistic concentration, government intervention will be required on a higher level.</w:t>
      </w:r>
    </w:p>
    <w:p w14:paraId="3D6C5D3D" w14:textId="77777777" w:rsidR="00451E8F" w:rsidRDefault="00451E8F">
      <w:pPr>
        <w:spacing w:line="259" w:lineRule="auto"/>
        <w:jc w:val="left"/>
      </w:pPr>
      <w:r>
        <w:br w:type="page"/>
      </w:r>
    </w:p>
    <w:p w14:paraId="1C8201A9" w14:textId="7049DAFB" w:rsidR="005F22A4" w:rsidRDefault="00451E8F" w:rsidP="00451E8F">
      <w:pPr>
        <w:pStyle w:val="Heading1"/>
      </w:pPr>
      <w:bookmarkStart w:id="8" w:name="_Toc111497239"/>
      <w:r>
        <w:lastRenderedPageBreak/>
        <w:t>Reference</w:t>
      </w:r>
      <w:bookmarkEnd w:id="8"/>
    </w:p>
    <w:p w14:paraId="5F1A6F40" w14:textId="77777777" w:rsidR="00E109ED" w:rsidRPr="00E109ED" w:rsidRDefault="00E109ED" w:rsidP="00E109ED">
      <w:pPr>
        <w:rPr>
          <w:rFonts w:cs="Times New Roman"/>
          <w:color w:val="000000"/>
          <w:szCs w:val="24"/>
          <w:shd w:val="clear" w:color="auto" w:fill="FFFFFF"/>
        </w:rPr>
      </w:pPr>
      <w:proofErr w:type="spellStart"/>
      <w:r w:rsidRPr="00E109ED">
        <w:rPr>
          <w:rFonts w:cs="Times New Roman"/>
          <w:color w:val="000000"/>
          <w:szCs w:val="24"/>
          <w:shd w:val="clear" w:color="auto" w:fill="FFFFFF"/>
        </w:rPr>
        <w:t>about.ikea</w:t>
      </w:r>
      <w:proofErr w:type="spellEnd"/>
      <w:r w:rsidRPr="00E109ED">
        <w:rPr>
          <w:rFonts w:cs="Times New Roman"/>
          <w:color w:val="000000"/>
          <w:szCs w:val="24"/>
          <w:shd w:val="clear" w:color="auto" w:fill="FFFFFF"/>
        </w:rPr>
        <w:t>, n.d. </w:t>
      </w:r>
      <w:r w:rsidRPr="00E109ED">
        <w:rPr>
          <w:rFonts w:cs="Times New Roman"/>
          <w:i/>
          <w:iCs/>
          <w:color w:val="000000"/>
          <w:szCs w:val="24"/>
          <w:shd w:val="clear" w:color="auto" w:fill="FFFFFF"/>
        </w:rPr>
        <w:t>The history of the IKEA brand at a glance</w:t>
      </w:r>
      <w:r w:rsidRPr="00E109ED">
        <w:rPr>
          <w:rFonts w:cs="Times New Roman"/>
          <w:color w:val="000000"/>
          <w:szCs w:val="24"/>
          <w:shd w:val="clear" w:color="auto" w:fill="FFFFFF"/>
        </w:rPr>
        <w:t>. [online] About IKEA. Available at: &lt;https://about.ikea.com/en/about-us/history-of-ikea/milestones-of-ikea&gt; [Accessed 15 August 2022].</w:t>
      </w:r>
    </w:p>
    <w:p w14:paraId="142ADC72" w14:textId="77777777" w:rsidR="00E109ED" w:rsidRPr="00E109ED" w:rsidRDefault="00E109ED" w:rsidP="00E109ED">
      <w:pPr>
        <w:rPr>
          <w:rFonts w:cs="Times New Roman"/>
          <w:color w:val="222222"/>
          <w:szCs w:val="24"/>
          <w:shd w:val="clear" w:color="auto" w:fill="FFFFFF"/>
        </w:rPr>
      </w:pPr>
      <w:r w:rsidRPr="00E109ED">
        <w:rPr>
          <w:rFonts w:cs="Times New Roman"/>
          <w:color w:val="222222"/>
          <w:szCs w:val="24"/>
          <w:shd w:val="clear" w:color="auto" w:fill="FFFFFF"/>
        </w:rPr>
        <w:t xml:space="preserve">Abu, F., </w:t>
      </w:r>
      <w:proofErr w:type="spellStart"/>
      <w:r w:rsidRPr="00E109ED">
        <w:rPr>
          <w:rFonts w:cs="Times New Roman"/>
          <w:color w:val="222222"/>
          <w:szCs w:val="24"/>
          <w:shd w:val="clear" w:color="auto" w:fill="FFFFFF"/>
        </w:rPr>
        <w:t>Gholami</w:t>
      </w:r>
      <w:proofErr w:type="spellEnd"/>
      <w:r w:rsidRPr="00E109ED">
        <w:rPr>
          <w:rFonts w:cs="Times New Roman"/>
          <w:color w:val="222222"/>
          <w:szCs w:val="24"/>
          <w:shd w:val="clear" w:color="auto" w:fill="FFFFFF"/>
        </w:rPr>
        <w:t xml:space="preserve">, H., Saman, M.Z.M., </w:t>
      </w:r>
      <w:proofErr w:type="spellStart"/>
      <w:r w:rsidRPr="00E109ED">
        <w:rPr>
          <w:rFonts w:cs="Times New Roman"/>
          <w:color w:val="222222"/>
          <w:szCs w:val="24"/>
          <w:shd w:val="clear" w:color="auto" w:fill="FFFFFF"/>
        </w:rPr>
        <w:t>Zakuan</w:t>
      </w:r>
      <w:proofErr w:type="spellEnd"/>
      <w:r w:rsidRPr="00E109ED">
        <w:rPr>
          <w:rFonts w:cs="Times New Roman"/>
          <w:color w:val="222222"/>
          <w:szCs w:val="24"/>
          <w:shd w:val="clear" w:color="auto" w:fill="FFFFFF"/>
        </w:rPr>
        <w:t xml:space="preserve">, N. and </w:t>
      </w:r>
      <w:proofErr w:type="spellStart"/>
      <w:r w:rsidRPr="00E109ED">
        <w:rPr>
          <w:rFonts w:cs="Times New Roman"/>
          <w:color w:val="222222"/>
          <w:szCs w:val="24"/>
          <w:shd w:val="clear" w:color="auto" w:fill="FFFFFF"/>
        </w:rPr>
        <w:t>Streimikiene</w:t>
      </w:r>
      <w:proofErr w:type="spellEnd"/>
      <w:r w:rsidRPr="00E109ED">
        <w:rPr>
          <w:rFonts w:cs="Times New Roman"/>
          <w:color w:val="222222"/>
          <w:szCs w:val="24"/>
          <w:shd w:val="clear" w:color="auto" w:fill="FFFFFF"/>
        </w:rPr>
        <w:t>, D., 2019. The implementation of lean manufacturing in the furniture industry: A review and analysis on the motives, barriers, challenges, and the applications. </w:t>
      </w:r>
      <w:r w:rsidRPr="00E109ED">
        <w:rPr>
          <w:rFonts w:cs="Times New Roman"/>
          <w:i/>
          <w:iCs/>
          <w:color w:val="222222"/>
          <w:szCs w:val="24"/>
          <w:shd w:val="clear" w:color="auto" w:fill="FFFFFF"/>
        </w:rPr>
        <w:t>Journal of Cleaner Production</w:t>
      </w:r>
      <w:r w:rsidRPr="00E109ED">
        <w:rPr>
          <w:rFonts w:cs="Times New Roman"/>
          <w:color w:val="222222"/>
          <w:szCs w:val="24"/>
          <w:shd w:val="clear" w:color="auto" w:fill="FFFFFF"/>
        </w:rPr>
        <w:t>, </w:t>
      </w:r>
      <w:r w:rsidRPr="00E109ED">
        <w:rPr>
          <w:rFonts w:cs="Times New Roman"/>
          <w:i/>
          <w:iCs/>
          <w:color w:val="222222"/>
          <w:szCs w:val="24"/>
          <w:shd w:val="clear" w:color="auto" w:fill="FFFFFF"/>
        </w:rPr>
        <w:t>234</w:t>
      </w:r>
      <w:r w:rsidRPr="00E109ED">
        <w:rPr>
          <w:rFonts w:cs="Times New Roman"/>
          <w:color w:val="222222"/>
          <w:szCs w:val="24"/>
          <w:shd w:val="clear" w:color="auto" w:fill="FFFFFF"/>
        </w:rPr>
        <w:t>, pp.660-680.</w:t>
      </w:r>
    </w:p>
    <w:p w14:paraId="4B57ADFF" w14:textId="77777777" w:rsidR="00E109ED" w:rsidRPr="00E109ED" w:rsidRDefault="00E109ED" w:rsidP="00E109ED">
      <w:pPr>
        <w:rPr>
          <w:rFonts w:cs="Times New Roman"/>
          <w:color w:val="222222"/>
          <w:szCs w:val="24"/>
          <w:shd w:val="clear" w:color="auto" w:fill="FFFFFF"/>
        </w:rPr>
      </w:pPr>
      <w:r w:rsidRPr="00E109ED">
        <w:rPr>
          <w:rFonts w:cs="Times New Roman"/>
          <w:color w:val="222222"/>
          <w:szCs w:val="24"/>
          <w:shd w:val="clear" w:color="auto" w:fill="FFFFFF"/>
        </w:rPr>
        <w:t xml:space="preserve">Asghar, S., Sasaki, N., Jourdain, D. and </w:t>
      </w:r>
      <w:proofErr w:type="spellStart"/>
      <w:r w:rsidRPr="00E109ED">
        <w:rPr>
          <w:rFonts w:cs="Times New Roman"/>
          <w:color w:val="222222"/>
          <w:szCs w:val="24"/>
          <w:shd w:val="clear" w:color="auto" w:fill="FFFFFF"/>
        </w:rPr>
        <w:t>Tsusaka</w:t>
      </w:r>
      <w:proofErr w:type="spellEnd"/>
      <w:r w:rsidRPr="00E109ED">
        <w:rPr>
          <w:rFonts w:cs="Times New Roman"/>
          <w:color w:val="222222"/>
          <w:szCs w:val="24"/>
          <w:shd w:val="clear" w:color="auto" w:fill="FFFFFF"/>
        </w:rPr>
        <w:t>, T.W., 2018. Levels of technical, allocative, and groundwater use efficiency and the factors affecting the allocative efficiency of wheat farmers in Pakistan. </w:t>
      </w:r>
      <w:r w:rsidRPr="00E109ED">
        <w:rPr>
          <w:rFonts w:cs="Times New Roman"/>
          <w:i/>
          <w:iCs/>
          <w:color w:val="222222"/>
          <w:szCs w:val="24"/>
          <w:shd w:val="clear" w:color="auto" w:fill="FFFFFF"/>
        </w:rPr>
        <w:t>Sustainability</w:t>
      </w:r>
      <w:r w:rsidRPr="00E109ED">
        <w:rPr>
          <w:rFonts w:cs="Times New Roman"/>
          <w:color w:val="222222"/>
          <w:szCs w:val="24"/>
          <w:shd w:val="clear" w:color="auto" w:fill="FFFFFF"/>
        </w:rPr>
        <w:t>, </w:t>
      </w:r>
      <w:r w:rsidRPr="00E109ED">
        <w:rPr>
          <w:rFonts w:cs="Times New Roman"/>
          <w:i/>
          <w:iCs/>
          <w:color w:val="222222"/>
          <w:szCs w:val="24"/>
          <w:shd w:val="clear" w:color="auto" w:fill="FFFFFF"/>
        </w:rPr>
        <w:t>10</w:t>
      </w:r>
      <w:r w:rsidRPr="00E109ED">
        <w:rPr>
          <w:rFonts w:cs="Times New Roman"/>
          <w:color w:val="222222"/>
          <w:szCs w:val="24"/>
          <w:shd w:val="clear" w:color="auto" w:fill="FFFFFF"/>
        </w:rPr>
        <w:t>(5), p.1619.</w:t>
      </w:r>
    </w:p>
    <w:p w14:paraId="7DBAEC65" w14:textId="77777777" w:rsidR="00E109ED" w:rsidRPr="00E109ED" w:rsidRDefault="00E109ED" w:rsidP="00E109ED">
      <w:pPr>
        <w:rPr>
          <w:rFonts w:cs="Times New Roman"/>
          <w:color w:val="222222"/>
          <w:szCs w:val="24"/>
          <w:shd w:val="clear" w:color="auto" w:fill="FFFFFF"/>
        </w:rPr>
      </w:pPr>
      <w:r w:rsidRPr="00E109ED">
        <w:rPr>
          <w:rFonts w:cs="Times New Roman"/>
          <w:color w:val="222222"/>
          <w:szCs w:val="24"/>
          <w:shd w:val="clear" w:color="auto" w:fill="FFFFFF"/>
        </w:rPr>
        <w:t xml:space="preserve">Burt, S., Dawson, J., Johansson, U. and </w:t>
      </w:r>
      <w:proofErr w:type="spellStart"/>
      <w:r w:rsidRPr="00E109ED">
        <w:rPr>
          <w:rFonts w:cs="Times New Roman"/>
          <w:color w:val="222222"/>
          <w:szCs w:val="24"/>
          <w:shd w:val="clear" w:color="auto" w:fill="FFFFFF"/>
        </w:rPr>
        <w:t>Hultman</w:t>
      </w:r>
      <w:proofErr w:type="spellEnd"/>
      <w:r w:rsidRPr="00E109ED">
        <w:rPr>
          <w:rFonts w:cs="Times New Roman"/>
          <w:color w:val="222222"/>
          <w:szCs w:val="24"/>
          <w:shd w:val="clear" w:color="auto" w:fill="FFFFFF"/>
        </w:rPr>
        <w:t>, J., 2021. The changing marketing orientation within the business model of an international retailer–IKEA in China over 10 years. </w:t>
      </w:r>
      <w:r w:rsidRPr="00E109ED">
        <w:rPr>
          <w:rFonts w:cs="Times New Roman"/>
          <w:i/>
          <w:iCs/>
          <w:color w:val="222222"/>
          <w:szCs w:val="24"/>
          <w:shd w:val="clear" w:color="auto" w:fill="FFFFFF"/>
        </w:rPr>
        <w:t>The International Review of Retail, Distribution and Consumer Research</w:t>
      </w:r>
      <w:r w:rsidRPr="00E109ED">
        <w:rPr>
          <w:rFonts w:cs="Times New Roman"/>
          <w:color w:val="222222"/>
          <w:szCs w:val="24"/>
          <w:shd w:val="clear" w:color="auto" w:fill="FFFFFF"/>
        </w:rPr>
        <w:t>, </w:t>
      </w:r>
      <w:r w:rsidRPr="00E109ED">
        <w:rPr>
          <w:rFonts w:cs="Times New Roman"/>
          <w:i/>
          <w:iCs/>
          <w:color w:val="222222"/>
          <w:szCs w:val="24"/>
          <w:shd w:val="clear" w:color="auto" w:fill="FFFFFF"/>
        </w:rPr>
        <w:t>31</w:t>
      </w:r>
      <w:r w:rsidRPr="00E109ED">
        <w:rPr>
          <w:rFonts w:cs="Times New Roman"/>
          <w:color w:val="222222"/>
          <w:szCs w:val="24"/>
          <w:shd w:val="clear" w:color="auto" w:fill="FFFFFF"/>
        </w:rPr>
        <w:t>(2), pp.229-255.</w:t>
      </w:r>
    </w:p>
    <w:p w14:paraId="070BD9F4" w14:textId="77777777" w:rsidR="00E109ED" w:rsidRPr="00E109ED" w:rsidRDefault="00E109ED" w:rsidP="00E109ED">
      <w:pPr>
        <w:rPr>
          <w:rFonts w:cs="Times New Roman"/>
          <w:color w:val="222222"/>
          <w:szCs w:val="24"/>
          <w:shd w:val="clear" w:color="auto" w:fill="FFFFFF"/>
        </w:rPr>
      </w:pPr>
      <w:r w:rsidRPr="00E109ED">
        <w:rPr>
          <w:rFonts w:cs="Times New Roman"/>
          <w:color w:val="222222"/>
          <w:szCs w:val="24"/>
          <w:shd w:val="clear" w:color="auto" w:fill="FFFFFF"/>
        </w:rPr>
        <w:t xml:space="preserve">Cohen, T. and </w:t>
      </w:r>
      <w:proofErr w:type="spellStart"/>
      <w:r w:rsidRPr="00E109ED">
        <w:rPr>
          <w:rFonts w:cs="Times New Roman"/>
          <w:color w:val="222222"/>
          <w:szCs w:val="24"/>
          <w:shd w:val="clear" w:color="auto" w:fill="FFFFFF"/>
        </w:rPr>
        <w:t>Cavoli</w:t>
      </w:r>
      <w:proofErr w:type="spellEnd"/>
      <w:r w:rsidRPr="00E109ED">
        <w:rPr>
          <w:rFonts w:cs="Times New Roman"/>
          <w:color w:val="222222"/>
          <w:szCs w:val="24"/>
          <w:shd w:val="clear" w:color="auto" w:fill="FFFFFF"/>
        </w:rPr>
        <w:t>, C., 2019. Automated vehicles: Exploring possible consequences of government (non) intervention for congestion and accessibility. </w:t>
      </w:r>
      <w:r w:rsidRPr="00E109ED">
        <w:rPr>
          <w:rFonts w:cs="Times New Roman"/>
          <w:i/>
          <w:iCs/>
          <w:color w:val="222222"/>
          <w:szCs w:val="24"/>
          <w:shd w:val="clear" w:color="auto" w:fill="FFFFFF"/>
        </w:rPr>
        <w:t>Transport reviews</w:t>
      </w:r>
      <w:r w:rsidRPr="00E109ED">
        <w:rPr>
          <w:rFonts w:cs="Times New Roman"/>
          <w:color w:val="222222"/>
          <w:szCs w:val="24"/>
          <w:shd w:val="clear" w:color="auto" w:fill="FFFFFF"/>
        </w:rPr>
        <w:t>, </w:t>
      </w:r>
      <w:r w:rsidRPr="00E109ED">
        <w:rPr>
          <w:rFonts w:cs="Times New Roman"/>
          <w:i/>
          <w:iCs/>
          <w:color w:val="222222"/>
          <w:szCs w:val="24"/>
          <w:shd w:val="clear" w:color="auto" w:fill="FFFFFF"/>
        </w:rPr>
        <w:t>39</w:t>
      </w:r>
      <w:r w:rsidRPr="00E109ED">
        <w:rPr>
          <w:rFonts w:cs="Times New Roman"/>
          <w:color w:val="222222"/>
          <w:szCs w:val="24"/>
          <w:shd w:val="clear" w:color="auto" w:fill="FFFFFF"/>
        </w:rPr>
        <w:t>(1), pp.129-151.</w:t>
      </w:r>
    </w:p>
    <w:p w14:paraId="6CB51179" w14:textId="77777777" w:rsidR="00E109ED" w:rsidRPr="00E109ED" w:rsidRDefault="00E109ED" w:rsidP="00E109ED">
      <w:pPr>
        <w:rPr>
          <w:rFonts w:cs="Times New Roman"/>
          <w:color w:val="222222"/>
          <w:szCs w:val="24"/>
          <w:shd w:val="clear" w:color="auto" w:fill="FFFFFF"/>
        </w:rPr>
      </w:pPr>
      <w:proofErr w:type="spellStart"/>
      <w:r w:rsidRPr="00E109ED">
        <w:rPr>
          <w:rFonts w:cs="Times New Roman"/>
          <w:color w:val="222222"/>
          <w:szCs w:val="24"/>
          <w:shd w:val="clear" w:color="auto" w:fill="FFFFFF"/>
        </w:rPr>
        <w:t>Crouzet</w:t>
      </w:r>
      <w:proofErr w:type="spellEnd"/>
      <w:r w:rsidRPr="00E109ED">
        <w:rPr>
          <w:rFonts w:cs="Times New Roman"/>
          <w:color w:val="222222"/>
          <w:szCs w:val="24"/>
          <w:shd w:val="clear" w:color="auto" w:fill="FFFFFF"/>
        </w:rPr>
        <w:t>, N. and Eberly, J.C., 2019. </w:t>
      </w:r>
      <w:r w:rsidRPr="00E109ED">
        <w:rPr>
          <w:rFonts w:cs="Times New Roman"/>
          <w:i/>
          <w:iCs/>
          <w:color w:val="222222"/>
          <w:szCs w:val="24"/>
          <w:shd w:val="clear" w:color="auto" w:fill="FFFFFF"/>
        </w:rPr>
        <w:t>Understanding weak capital investment: The role of market concentration and intangibles</w:t>
      </w:r>
      <w:r w:rsidRPr="00E109ED">
        <w:rPr>
          <w:rFonts w:cs="Times New Roman"/>
          <w:color w:val="222222"/>
          <w:szCs w:val="24"/>
          <w:shd w:val="clear" w:color="auto" w:fill="FFFFFF"/>
        </w:rPr>
        <w:t> (No. w25869). National Bureau of Economic Research.</w:t>
      </w:r>
    </w:p>
    <w:p w14:paraId="796C32C2" w14:textId="77777777" w:rsidR="00E109ED" w:rsidRPr="00E109ED" w:rsidRDefault="00E109ED" w:rsidP="00E109ED">
      <w:pPr>
        <w:rPr>
          <w:rFonts w:cs="Times New Roman"/>
          <w:color w:val="000000"/>
          <w:szCs w:val="24"/>
          <w:shd w:val="clear" w:color="auto" w:fill="FFFFFF"/>
        </w:rPr>
      </w:pPr>
      <w:proofErr w:type="spellStart"/>
      <w:r w:rsidRPr="00E109ED">
        <w:rPr>
          <w:rFonts w:cs="Times New Roman"/>
          <w:color w:val="000000"/>
          <w:szCs w:val="24"/>
          <w:shd w:val="clear" w:color="auto" w:fill="FFFFFF"/>
        </w:rPr>
        <w:t>ikea</w:t>
      </w:r>
      <w:proofErr w:type="spellEnd"/>
      <w:r w:rsidRPr="00E109ED">
        <w:rPr>
          <w:rFonts w:cs="Times New Roman"/>
          <w:color w:val="000000"/>
          <w:szCs w:val="24"/>
          <w:shd w:val="clear" w:color="auto" w:fill="FFFFFF"/>
        </w:rPr>
        <w:t>, 2022. </w:t>
      </w:r>
      <w:r w:rsidRPr="00E109ED">
        <w:rPr>
          <w:rFonts w:cs="Times New Roman"/>
          <w:i/>
          <w:iCs/>
          <w:color w:val="000000"/>
          <w:szCs w:val="24"/>
          <w:shd w:val="clear" w:color="auto" w:fill="FFFFFF"/>
        </w:rPr>
        <w:t>About IKEA</w:t>
      </w:r>
      <w:r w:rsidRPr="00E109ED">
        <w:rPr>
          <w:rFonts w:cs="Times New Roman"/>
          <w:color w:val="000000"/>
          <w:szCs w:val="24"/>
          <w:shd w:val="clear" w:color="auto" w:fill="FFFFFF"/>
        </w:rPr>
        <w:t>. [online] About.ikea.com. Available at: &lt;https://about.ikea.com/en/about-us&gt; [Accessed 14 August 2022].</w:t>
      </w:r>
    </w:p>
    <w:p w14:paraId="46E43A95" w14:textId="77777777" w:rsidR="00E109ED" w:rsidRPr="00E109ED" w:rsidRDefault="00E109ED" w:rsidP="00E109ED">
      <w:pPr>
        <w:rPr>
          <w:rFonts w:cs="Times New Roman"/>
          <w:color w:val="000000"/>
          <w:szCs w:val="24"/>
          <w:shd w:val="clear" w:color="auto" w:fill="FFFFFF"/>
        </w:rPr>
      </w:pPr>
      <w:proofErr w:type="spellStart"/>
      <w:r w:rsidRPr="00E109ED">
        <w:rPr>
          <w:rFonts w:cs="Times New Roman"/>
          <w:color w:val="000000"/>
          <w:szCs w:val="24"/>
          <w:shd w:val="clear" w:color="auto" w:fill="FFFFFF"/>
        </w:rPr>
        <w:lastRenderedPageBreak/>
        <w:t>ikeamuseum</w:t>
      </w:r>
      <w:proofErr w:type="spellEnd"/>
      <w:r w:rsidRPr="00E109ED">
        <w:rPr>
          <w:rFonts w:cs="Times New Roman"/>
          <w:color w:val="000000"/>
          <w:szCs w:val="24"/>
          <w:shd w:val="clear" w:color="auto" w:fill="FFFFFF"/>
        </w:rPr>
        <w:t>, n.d. </w:t>
      </w:r>
      <w:r w:rsidRPr="00E109ED">
        <w:rPr>
          <w:rFonts w:cs="Times New Roman"/>
          <w:i/>
          <w:iCs/>
          <w:color w:val="000000"/>
          <w:szCs w:val="24"/>
          <w:shd w:val="clear" w:color="auto" w:fill="FFFFFF"/>
        </w:rPr>
        <w:t>1950s price war between IKEA and competitors - IKEA Museum</w:t>
      </w:r>
      <w:r w:rsidRPr="00E109ED">
        <w:rPr>
          <w:rFonts w:cs="Times New Roman"/>
          <w:color w:val="000000"/>
          <w:szCs w:val="24"/>
          <w:shd w:val="clear" w:color="auto" w:fill="FFFFFF"/>
        </w:rPr>
        <w:t>. [online] IKEA Museum. Available at: &lt;https://ikeamuseum.com/en/digital/the-story-of-ikea/price-wars/&gt; [Accessed 15 August 2022].</w:t>
      </w:r>
    </w:p>
    <w:p w14:paraId="3CA83494" w14:textId="77777777" w:rsidR="00E109ED" w:rsidRPr="00E109ED" w:rsidRDefault="00E109ED" w:rsidP="00E109ED">
      <w:pPr>
        <w:rPr>
          <w:rFonts w:cs="Times New Roman"/>
          <w:color w:val="000000"/>
          <w:szCs w:val="24"/>
          <w:shd w:val="clear" w:color="auto" w:fill="FFFFFF"/>
        </w:rPr>
      </w:pPr>
      <w:proofErr w:type="spellStart"/>
      <w:r w:rsidRPr="00E109ED">
        <w:rPr>
          <w:rFonts w:cs="Times New Roman"/>
          <w:color w:val="000000"/>
          <w:szCs w:val="24"/>
          <w:shd w:val="clear" w:color="auto" w:fill="FFFFFF"/>
        </w:rPr>
        <w:t>inter.ikea</w:t>
      </w:r>
      <w:proofErr w:type="spellEnd"/>
      <w:r w:rsidRPr="00E109ED">
        <w:rPr>
          <w:rFonts w:cs="Times New Roman"/>
          <w:color w:val="000000"/>
          <w:szCs w:val="24"/>
          <w:shd w:val="clear" w:color="auto" w:fill="FFFFFF"/>
        </w:rPr>
        <w:t>, 2021. </w:t>
      </w:r>
      <w:r w:rsidRPr="00E109ED">
        <w:rPr>
          <w:rFonts w:cs="Times New Roman"/>
          <w:i/>
          <w:iCs/>
          <w:color w:val="000000"/>
          <w:szCs w:val="24"/>
          <w:shd w:val="clear" w:color="auto" w:fill="FFFFFF"/>
        </w:rPr>
        <w:t>Download financial reports</w:t>
      </w:r>
      <w:r w:rsidRPr="00E109ED">
        <w:rPr>
          <w:rFonts w:cs="Times New Roman"/>
          <w:color w:val="000000"/>
          <w:szCs w:val="24"/>
          <w:shd w:val="clear" w:color="auto" w:fill="FFFFFF"/>
        </w:rPr>
        <w:t>. [online] Inter.ikea.com. Available at: &lt;https://www.inter.ikea.com/en/performance/download-financial-reports&gt; [Accessed 15 August 2022].</w:t>
      </w:r>
    </w:p>
    <w:p w14:paraId="1BF5F26D" w14:textId="77777777" w:rsidR="00E109ED" w:rsidRPr="00E109ED" w:rsidRDefault="00E109ED" w:rsidP="00E109ED">
      <w:pPr>
        <w:rPr>
          <w:rFonts w:cs="Times New Roman"/>
          <w:color w:val="222222"/>
          <w:szCs w:val="24"/>
          <w:shd w:val="clear" w:color="auto" w:fill="FFFFFF"/>
        </w:rPr>
      </w:pPr>
      <w:r w:rsidRPr="00E109ED">
        <w:rPr>
          <w:rFonts w:cs="Times New Roman"/>
          <w:color w:val="222222"/>
          <w:szCs w:val="24"/>
          <w:shd w:val="clear" w:color="auto" w:fill="FFFFFF"/>
        </w:rPr>
        <w:t xml:space="preserve">Kroft, K., </w:t>
      </w:r>
      <w:proofErr w:type="spellStart"/>
      <w:r w:rsidRPr="00E109ED">
        <w:rPr>
          <w:rFonts w:cs="Times New Roman"/>
          <w:color w:val="222222"/>
          <w:szCs w:val="24"/>
          <w:shd w:val="clear" w:color="auto" w:fill="FFFFFF"/>
        </w:rPr>
        <w:t>Laliberté</w:t>
      </w:r>
      <w:proofErr w:type="spellEnd"/>
      <w:r w:rsidRPr="00E109ED">
        <w:rPr>
          <w:rFonts w:cs="Times New Roman"/>
          <w:color w:val="222222"/>
          <w:szCs w:val="24"/>
          <w:shd w:val="clear" w:color="auto" w:fill="FFFFFF"/>
        </w:rPr>
        <w:t>, J.W.P., Leal-</w:t>
      </w:r>
      <w:proofErr w:type="spellStart"/>
      <w:r w:rsidRPr="00E109ED">
        <w:rPr>
          <w:rFonts w:cs="Times New Roman"/>
          <w:color w:val="222222"/>
          <w:szCs w:val="24"/>
          <w:shd w:val="clear" w:color="auto" w:fill="FFFFFF"/>
        </w:rPr>
        <w:t>Vizcaíno</w:t>
      </w:r>
      <w:proofErr w:type="spellEnd"/>
      <w:r w:rsidRPr="00E109ED">
        <w:rPr>
          <w:rFonts w:cs="Times New Roman"/>
          <w:color w:val="222222"/>
          <w:szCs w:val="24"/>
          <w:shd w:val="clear" w:color="auto" w:fill="FFFFFF"/>
        </w:rPr>
        <w:t xml:space="preserve">, R. and </w:t>
      </w:r>
      <w:proofErr w:type="spellStart"/>
      <w:r w:rsidRPr="00E109ED">
        <w:rPr>
          <w:rFonts w:cs="Times New Roman"/>
          <w:color w:val="222222"/>
          <w:szCs w:val="24"/>
          <w:shd w:val="clear" w:color="auto" w:fill="FFFFFF"/>
        </w:rPr>
        <w:t>Notowidigdo</w:t>
      </w:r>
      <w:proofErr w:type="spellEnd"/>
      <w:r w:rsidRPr="00E109ED">
        <w:rPr>
          <w:rFonts w:cs="Times New Roman"/>
          <w:color w:val="222222"/>
          <w:szCs w:val="24"/>
          <w:shd w:val="clear" w:color="auto" w:fill="FFFFFF"/>
        </w:rPr>
        <w:t>, M.J., 2020. </w:t>
      </w:r>
      <w:r w:rsidRPr="00E109ED">
        <w:rPr>
          <w:rFonts w:cs="Times New Roman"/>
          <w:i/>
          <w:iCs/>
          <w:color w:val="222222"/>
          <w:szCs w:val="24"/>
          <w:shd w:val="clear" w:color="auto" w:fill="FFFFFF"/>
        </w:rPr>
        <w:t>Salience and Taxation with Imperfect Competition</w:t>
      </w:r>
      <w:r w:rsidRPr="00E109ED">
        <w:rPr>
          <w:rFonts w:cs="Times New Roman"/>
          <w:color w:val="222222"/>
          <w:szCs w:val="24"/>
          <w:shd w:val="clear" w:color="auto" w:fill="FFFFFF"/>
        </w:rPr>
        <w:t> (No. w27409). National Bureau of Economic Research.</w:t>
      </w:r>
    </w:p>
    <w:p w14:paraId="4561FF36" w14:textId="77777777" w:rsidR="00E109ED" w:rsidRPr="00E109ED" w:rsidRDefault="00E109ED" w:rsidP="00E109ED">
      <w:pPr>
        <w:rPr>
          <w:rFonts w:cs="Times New Roman"/>
          <w:color w:val="222222"/>
          <w:szCs w:val="24"/>
          <w:shd w:val="clear" w:color="auto" w:fill="FFFFFF"/>
        </w:rPr>
      </w:pPr>
      <w:r w:rsidRPr="00E109ED">
        <w:rPr>
          <w:rFonts w:cs="Times New Roman"/>
          <w:color w:val="222222"/>
          <w:szCs w:val="24"/>
          <w:shd w:val="clear" w:color="auto" w:fill="FFFFFF"/>
        </w:rPr>
        <w:t>Miller, B. and Smith, D., 2021. IKEA Strategic Management Plans in Europe. </w:t>
      </w:r>
      <w:r w:rsidRPr="00E109ED">
        <w:rPr>
          <w:rFonts w:cs="Times New Roman"/>
          <w:i/>
          <w:iCs/>
          <w:color w:val="222222"/>
          <w:szCs w:val="24"/>
          <w:shd w:val="clear" w:color="auto" w:fill="FFFFFF"/>
        </w:rPr>
        <w:t>Journal of Strategic Management</w:t>
      </w:r>
      <w:r w:rsidRPr="00E109ED">
        <w:rPr>
          <w:rFonts w:cs="Times New Roman"/>
          <w:color w:val="222222"/>
          <w:szCs w:val="24"/>
          <w:shd w:val="clear" w:color="auto" w:fill="FFFFFF"/>
        </w:rPr>
        <w:t>, </w:t>
      </w:r>
      <w:r w:rsidRPr="00E109ED">
        <w:rPr>
          <w:rFonts w:cs="Times New Roman"/>
          <w:i/>
          <w:iCs/>
          <w:color w:val="222222"/>
          <w:szCs w:val="24"/>
          <w:shd w:val="clear" w:color="auto" w:fill="FFFFFF"/>
        </w:rPr>
        <w:t>5</w:t>
      </w:r>
      <w:r w:rsidRPr="00E109ED">
        <w:rPr>
          <w:rFonts w:cs="Times New Roman"/>
          <w:color w:val="222222"/>
          <w:szCs w:val="24"/>
          <w:shd w:val="clear" w:color="auto" w:fill="FFFFFF"/>
        </w:rPr>
        <w:t>(2).</w:t>
      </w:r>
    </w:p>
    <w:p w14:paraId="5B889C9F" w14:textId="77777777" w:rsidR="00E109ED" w:rsidRPr="00E109ED" w:rsidRDefault="00E109ED" w:rsidP="00E109ED">
      <w:pPr>
        <w:rPr>
          <w:rFonts w:cs="Times New Roman"/>
          <w:color w:val="222222"/>
          <w:szCs w:val="24"/>
          <w:shd w:val="clear" w:color="auto" w:fill="FFFFFF"/>
        </w:rPr>
      </w:pPr>
      <w:r w:rsidRPr="00E109ED">
        <w:rPr>
          <w:rFonts w:cs="Times New Roman"/>
          <w:color w:val="222222"/>
          <w:szCs w:val="24"/>
          <w:shd w:val="clear" w:color="auto" w:fill="FFFFFF"/>
        </w:rPr>
        <w:t>Mishra, R.K., Raj, A.S. and Karuna, M., 2019. IKEA, Furnishing the Indian Homes: The Challenges of Culture, Competition and Channel. </w:t>
      </w:r>
      <w:r w:rsidRPr="00E109ED">
        <w:rPr>
          <w:rFonts w:cs="Times New Roman"/>
          <w:i/>
          <w:iCs/>
          <w:color w:val="222222"/>
          <w:szCs w:val="24"/>
          <w:shd w:val="clear" w:color="auto" w:fill="FFFFFF"/>
        </w:rPr>
        <w:t>IPE Journal of</w:t>
      </w:r>
      <w:r w:rsidRPr="00E109ED">
        <w:rPr>
          <w:rFonts w:cs="Times New Roman"/>
          <w:color w:val="222222"/>
          <w:szCs w:val="24"/>
          <w:shd w:val="clear" w:color="auto" w:fill="FFFFFF"/>
        </w:rPr>
        <w:t>, p.95.</w:t>
      </w:r>
    </w:p>
    <w:p w14:paraId="22ED7015" w14:textId="77777777" w:rsidR="00E109ED" w:rsidRPr="00E109ED" w:rsidRDefault="00E109ED" w:rsidP="00E109ED">
      <w:pPr>
        <w:rPr>
          <w:rFonts w:cs="Times New Roman"/>
          <w:color w:val="222222"/>
          <w:szCs w:val="24"/>
          <w:shd w:val="clear" w:color="auto" w:fill="FFFFFF"/>
        </w:rPr>
      </w:pPr>
      <w:proofErr w:type="spellStart"/>
      <w:r w:rsidRPr="00E109ED">
        <w:rPr>
          <w:rFonts w:cs="Times New Roman"/>
          <w:color w:val="222222"/>
          <w:szCs w:val="24"/>
          <w:shd w:val="clear" w:color="auto" w:fill="FFFFFF"/>
        </w:rPr>
        <w:t>Moghavvemi</w:t>
      </w:r>
      <w:proofErr w:type="spellEnd"/>
      <w:r w:rsidRPr="00E109ED">
        <w:rPr>
          <w:rFonts w:cs="Times New Roman"/>
          <w:color w:val="222222"/>
          <w:szCs w:val="24"/>
          <w:shd w:val="clear" w:color="auto" w:fill="FFFFFF"/>
        </w:rPr>
        <w:t>, S., Lee, S.T. and Lee, S.P., 2018. Perceived overall service quality and customer satisfaction: A comparative analysis between local and foreign banks in Malaysia. </w:t>
      </w:r>
      <w:r w:rsidRPr="00E109ED">
        <w:rPr>
          <w:rFonts w:cs="Times New Roman"/>
          <w:i/>
          <w:iCs/>
          <w:color w:val="222222"/>
          <w:szCs w:val="24"/>
          <w:shd w:val="clear" w:color="auto" w:fill="FFFFFF"/>
        </w:rPr>
        <w:t>International Journal of Bank Marketing</w:t>
      </w:r>
      <w:r w:rsidRPr="00E109ED">
        <w:rPr>
          <w:rFonts w:cs="Times New Roman"/>
          <w:color w:val="222222"/>
          <w:szCs w:val="24"/>
          <w:shd w:val="clear" w:color="auto" w:fill="FFFFFF"/>
        </w:rPr>
        <w:t>, </w:t>
      </w:r>
      <w:r w:rsidRPr="00E109ED">
        <w:rPr>
          <w:rFonts w:cs="Times New Roman"/>
          <w:i/>
          <w:iCs/>
          <w:color w:val="222222"/>
          <w:szCs w:val="24"/>
          <w:shd w:val="clear" w:color="auto" w:fill="FFFFFF"/>
        </w:rPr>
        <w:t>36</w:t>
      </w:r>
      <w:r w:rsidRPr="00E109ED">
        <w:rPr>
          <w:rFonts w:cs="Times New Roman"/>
          <w:color w:val="222222"/>
          <w:szCs w:val="24"/>
          <w:shd w:val="clear" w:color="auto" w:fill="FFFFFF"/>
        </w:rPr>
        <w:t>(5), pp.908-930.</w:t>
      </w:r>
    </w:p>
    <w:p w14:paraId="09F193D3" w14:textId="77777777" w:rsidR="00E109ED" w:rsidRPr="00E109ED" w:rsidRDefault="00E109ED" w:rsidP="00E109ED">
      <w:pPr>
        <w:rPr>
          <w:rFonts w:cs="Times New Roman"/>
          <w:color w:val="222222"/>
          <w:szCs w:val="24"/>
          <w:shd w:val="clear" w:color="auto" w:fill="FFFFFF"/>
        </w:rPr>
      </w:pPr>
      <w:proofErr w:type="spellStart"/>
      <w:r w:rsidRPr="00E109ED">
        <w:rPr>
          <w:rFonts w:cs="Times New Roman"/>
          <w:color w:val="222222"/>
          <w:szCs w:val="24"/>
          <w:shd w:val="clear" w:color="auto" w:fill="FFFFFF"/>
        </w:rPr>
        <w:t>Naimi-Sadigh</w:t>
      </w:r>
      <w:proofErr w:type="spellEnd"/>
      <w:r w:rsidRPr="00E109ED">
        <w:rPr>
          <w:rFonts w:cs="Times New Roman"/>
          <w:color w:val="222222"/>
          <w:szCs w:val="24"/>
          <w:shd w:val="clear" w:color="auto" w:fill="FFFFFF"/>
        </w:rPr>
        <w:t xml:space="preserve">, A., </w:t>
      </w:r>
      <w:proofErr w:type="spellStart"/>
      <w:r w:rsidRPr="00E109ED">
        <w:rPr>
          <w:rFonts w:cs="Times New Roman"/>
          <w:color w:val="222222"/>
          <w:szCs w:val="24"/>
          <w:shd w:val="clear" w:color="auto" w:fill="FFFFFF"/>
        </w:rPr>
        <w:t>Chaharsooghi</w:t>
      </w:r>
      <w:proofErr w:type="spellEnd"/>
      <w:r w:rsidRPr="00E109ED">
        <w:rPr>
          <w:rFonts w:cs="Times New Roman"/>
          <w:color w:val="222222"/>
          <w:szCs w:val="24"/>
          <w:shd w:val="clear" w:color="auto" w:fill="FFFFFF"/>
        </w:rPr>
        <w:t xml:space="preserve">, S.K. and </w:t>
      </w:r>
      <w:proofErr w:type="spellStart"/>
      <w:r w:rsidRPr="00E109ED">
        <w:rPr>
          <w:rFonts w:cs="Times New Roman"/>
          <w:color w:val="222222"/>
          <w:szCs w:val="24"/>
          <w:shd w:val="clear" w:color="auto" w:fill="FFFFFF"/>
        </w:rPr>
        <w:t>Mozafari</w:t>
      </w:r>
      <w:proofErr w:type="spellEnd"/>
      <w:r w:rsidRPr="00E109ED">
        <w:rPr>
          <w:rFonts w:cs="Times New Roman"/>
          <w:color w:val="222222"/>
          <w:szCs w:val="24"/>
          <w:shd w:val="clear" w:color="auto" w:fill="FFFFFF"/>
        </w:rPr>
        <w:t xml:space="preserve">, M., 2021. Optimal pricing and advertising decisions with suppliers' oligopoly competition: </w:t>
      </w:r>
      <w:proofErr w:type="spellStart"/>
      <w:r w:rsidRPr="00E109ED">
        <w:rPr>
          <w:rFonts w:cs="Times New Roman"/>
          <w:color w:val="222222"/>
          <w:szCs w:val="24"/>
          <w:shd w:val="clear" w:color="auto" w:fill="FFFFFF"/>
        </w:rPr>
        <w:t>Stakelberg</w:t>
      </w:r>
      <w:proofErr w:type="spellEnd"/>
      <w:r w:rsidRPr="00E109ED">
        <w:rPr>
          <w:rFonts w:cs="Times New Roman"/>
          <w:color w:val="222222"/>
          <w:szCs w:val="24"/>
          <w:shd w:val="clear" w:color="auto" w:fill="FFFFFF"/>
        </w:rPr>
        <w:t>-Nash game structures. </w:t>
      </w:r>
      <w:r w:rsidRPr="00E109ED">
        <w:rPr>
          <w:rFonts w:cs="Times New Roman"/>
          <w:i/>
          <w:iCs/>
          <w:color w:val="222222"/>
          <w:szCs w:val="24"/>
          <w:shd w:val="clear" w:color="auto" w:fill="FFFFFF"/>
        </w:rPr>
        <w:t>Journal of Industrial &amp; Management Optimization</w:t>
      </w:r>
      <w:r w:rsidRPr="00E109ED">
        <w:rPr>
          <w:rFonts w:cs="Times New Roman"/>
          <w:color w:val="222222"/>
          <w:szCs w:val="24"/>
          <w:shd w:val="clear" w:color="auto" w:fill="FFFFFF"/>
        </w:rPr>
        <w:t>, </w:t>
      </w:r>
      <w:r w:rsidRPr="00E109ED">
        <w:rPr>
          <w:rFonts w:cs="Times New Roman"/>
          <w:i/>
          <w:iCs/>
          <w:color w:val="222222"/>
          <w:szCs w:val="24"/>
          <w:shd w:val="clear" w:color="auto" w:fill="FFFFFF"/>
        </w:rPr>
        <w:t>17</w:t>
      </w:r>
      <w:r w:rsidRPr="00E109ED">
        <w:rPr>
          <w:rFonts w:cs="Times New Roman"/>
          <w:color w:val="222222"/>
          <w:szCs w:val="24"/>
          <w:shd w:val="clear" w:color="auto" w:fill="FFFFFF"/>
        </w:rPr>
        <w:t>(3), p.1423.</w:t>
      </w:r>
    </w:p>
    <w:p w14:paraId="13C0AFFD" w14:textId="77777777" w:rsidR="00E109ED" w:rsidRPr="00E109ED" w:rsidRDefault="00E109ED" w:rsidP="00E109ED">
      <w:pPr>
        <w:rPr>
          <w:rFonts w:cs="Times New Roman"/>
          <w:color w:val="222222"/>
          <w:szCs w:val="24"/>
          <w:shd w:val="clear" w:color="auto" w:fill="FFFFFF"/>
        </w:rPr>
      </w:pPr>
      <w:proofErr w:type="spellStart"/>
      <w:r w:rsidRPr="00E109ED">
        <w:rPr>
          <w:rFonts w:cs="Times New Roman"/>
          <w:color w:val="222222"/>
          <w:szCs w:val="24"/>
          <w:shd w:val="clear" w:color="auto" w:fill="FFFFFF"/>
        </w:rPr>
        <w:t>Nozharov</w:t>
      </w:r>
      <w:proofErr w:type="spellEnd"/>
      <w:r w:rsidRPr="00E109ED">
        <w:rPr>
          <w:rFonts w:cs="Times New Roman"/>
          <w:color w:val="222222"/>
          <w:szCs w:val="24"/>
          <w:shd w:val="clear" w:color="auto" w:fill="FFFFFF"/>
        </w:rPr>
        <w:t>, S., 2019, November. Identification of the Barriers to the Circular Economy–the Case of the Furniture Industry. In </w:t>
      </w:r>
      <w:r w:rsidRPr="00E109ED">
        <w:rPr>
          <w:rFonts w:cs="Times New Roman"/>
          <w:i/>
          <w:iCs/>
          <w:color w:val="222222"/>
          <w:szCs w:val="24"/>
          <w:shd w:val="clear" w:color="auto" w:fill="FFFFFF"/>
        </w:rPr>
        <w:t>Digitalisation and Circular Economy: Forestry and Forestry Based Industry Implications–Proceedings of Scientific Papers, 12th Wood EMA Annual International Scientific Conference</w:t>
      </w:r>
      <w:r w:rsidRPr="00E109ED">
        <w:rPr>
          <w:rFonts w:cs="Times New Roman"/>
          <w:color w:val="222222"/>
          <w:szCs w:val="24"/>
          <w:shd w:val="clear" w:color="auto" w:fill="FFFFFF"/>
        </w:rPr>
        <w:t> (pp. 111-116).</w:t>
      </w:r>
    </w:p>
    <w:p w14:paraId="622C4870" w14:textId="77777777" w:rsidR="00E109ED" w:rsidRPr="00E109ED" w:rsidRDefault="00E109ED" w:rsidP="00E109ED">
      <w:pPr>
        <w:rPr>
          <w:rFonts w:cs="Times New Roman"/>
          <w:color w:val="222222"/>
          <w:szCs w:val="24"/>
          <w:shd w:val="clear" w:color="auto" w:fill="FFFFFF"/>
        </w:rPr>
      </w:pPr>
      <w:r w:rsidRPr="00E109ED">
        <w:rPr>
          <w:rFonts w:cs="Times New Roman"/>
          <w:color w:val="222222"/>
          <w:szCs w:val="24"/>
          <w:shd w:val="clear" w:color="auto" w:fill="FFFFFF"/>
        </w:rPr>
        <w:lastRenderedPageBreak/>
        <w:t>Poletti, S. and Wright, J., 2020. Real‐Time Pricing and Imperfect Competition in Electricity Markets. </w:t>
      </w:r>
      <w:r w:rsidRPr="00E109ED">
        <w:rPr>
          <w:rFonts w:cs="Times New Roman"/>
          <w:i/>
          <w:iCs/>
          <w:color w:val="222222"/>
          <w:szCs w:val="24"/>
          <w:shd w:val="clear" w:color="auto" w:fill="FFFFFF"/>
        </w:rPr>
        <w:t>The Journal of Industrial Economics</w:t>
      </w:r>
      <w:r w:rsidRPr="00E109ED">
        <w:rPr>
          <w:rFonts w:cs="Times New Roman"/>
          <w:color w:val="222222"/>
          <w:szCs w:val="24"/>
          <w:shd w:val="clear" w:color="auto" w:fill="FFFFFF"/>
        </w:rPr>
        <w:t>, </w:t>
      </w:r>
      <w:r w:rsidRPr="00E109ED">
        <w:rPr>
          <w:rFonts w:cs="Times New Roman"/>
          <w:i/>
          <w:iCs/>
          <w:color w:val="222222"/>
          <w:szCs w:val="24"/>
          <w:shd w:val="clear" w:color="auto" w:fill="FFFFFF"/>
        </w:rPr>
        <w:t>68</w:t>
      </w:r>
      <w:r w:rsidRPr="00E109ED">
        <w:rPr>
          <w:rFonts w:cs="Times New Roman"/>
          <w:color w:val="222222"/>
          <w:szCs w:val="24"/>
          <w:shd w:val="clear" w:color="auto" w:fill="FFFFFF"/>
        </w:rPr>
        <w:t>(1), pp.93-135.</w:t>
      </w:r>
    </w:p>
    <w:p w14:paraId="57E3CE1F" w14:textId="77777777" w:rsidR="00E109ED" w:rsidRPr="00E109ED" w:rsidRDefault="00E109ED" w:rsidP="00E109ED">
      <w:pPr>
        <w:rPr>
          <w:rFonts w:cs="Times New Roman"/>
          <w:color w:val="000000"/>
          <w:szCs w:val="24"/>
          <w:shd w:val="clear" w:color="auto" w:fill="FFFFFF"/>
        </w:rPr>
      </w:pPr>
      <w:proofErr w:type="spellStart"/>
      <w:r w:rsidRPr="00E109ED">
        <w:rPr>
          <w:rFonts w:cs="Times New Roman"/>
          <w:color w:val="000000"/>
          <w:szCs w:val="24"/>
          <w:shd w:val="clear" w:color="auto" w:fill="FFFFFF"/>
        </w:rPr>
        <w:t>statista</w:t>
      </w:r>
      <w:proofErr w:type="spellEnd"/>
      <w:r w:rsidRPr="00E109ED">
        <w:rPr>
          <w:rFonts w:cs="Times New Roman"/>
          <w:color w:val="000000"/>
          <w:szCs w:val="24"/>
          <w:shd w:val="clear" w:color="auto" w:fill="FFFFFF"/>
        </w:rPr>
        <w:t>, 2022. </w:t>
      </w:r>
      <w:r w:rsidRPr="00E109ED">
        <w:rPr>
          <w:rFonts w:cs="Times New Roman"/>
          <w:i/>
          <w:iCs/>
          <w:color w:val="000000"/>
          <w:szCs w:val="24"/>
          <w:shd w:val="clear" w:color="auto" w:fill="FFFFFF"/>
        </w:rPr>
        <w:t>IKEA annual revenue 2021 | Statista</w:t>
      </w:r>
      <w:r w:rsidRPr="00E109ED">
        <w:rPr>
          <w:rFonts w:cs="Times New Roman"/>
          <w:color w:val="000000"/>
          <w:szCs w:val="24"/>
          <w:shd w:val="clear" w:color="auto" w:fill="FFFFFF"/>
        </w:rPr>
        <w:t>. [online] Statista. Available at: &lt;https://www.statista.com/statistics/264433/annual-sales-of-ikea-worldwide/&gt; [Accessed 14 August 2022].</w:t>
      </w:r>
    </w:p>
    <w:p w14:paraId="59676882" w14:textId="77777777" w:rsidR="00E109ED" w:rsidRPr="00E109ED" w:rsidRDefault="00E109ED" w:rsidP="00E109ED">
      <w:pPr>
        <w:rPr>
          <w:rFonts w:cs="Times New Roman"/>
          <w:color w:val="000000"/>
          <w:szCs w:val="24"/>
          <w:shd w:val="clear" w:color="auto" w:fill="FFFFFF"/>
        </w:rPr>
      </w:pPr>
      <w:proofErr w:type="spellStart"/>
      <w:r w:rsidRPr="00E109ED">
        <w:rPr>
          <w:rFonts w:cs="Times New Roman"/>
          <w:color w:val="000000"/>
          <w:szCs w:val="24"/>
          <w:shd w:val="clear" w:color="auto" w:fill="FFFFFF"/>
        </w:rPr>
        <w:t>statista</w:t>
      </w:r>
      <w:proofErr w:type="spellEnd"/>
      <w:r w:rsidRPr="00E109ED">
        <w:rPr>
          <w:rFonts w:cs="Times New Roman"/>
          <w:color w:val="000000"/>
          <w:szCs w:val="24"/>
          <w:shd w:val="clear" w:color="auto" w:fill="FFFFFF"/>
        </w:rPr>
        <w:t>, 2022. </w:t>
      </w:r>
      <w:r w:rsidRPr="00E109ED">
        <w:rPr>
          <w:rFonts w:cs="Times New Roman"/>
          <w:i/>
          <w:iCs/>
          <w:color w:val="000000"/>
          <w:szCs w:val="24"/>
          <w:shd w:val="clear" w:color="auto" w:fill="FFFFFF"/>
        </w:rPr>
        <w:t>Sweden: furniture companies by turnover 2021 | Statista</w:t>
      </w:r>
      <w:r w:rsidRPr="00E109ED">
        <w:rPr>
          <w:rFonts w:cs="Times New Roman"/>
          <w:color w:val="000000"/>
          <w:szCs w:val="24"/>
          <w:shd w:val="clear" w:color="auto" w:fill="FFFFFF"/>
        </w:rPr>
        <w:t>. [online] Statista. Available at: &lt;https://www.statista.com/statistics/873108/ranking-of-furniture-companies-in-sweden-by-turnover/#:~:text=As%20of%20December%202021%2C%20JYSK,AB%20and%20Ingka%20Services%20AB.&gt; [Accessed 15 August 2022].</w:t>
      </w:r>
    </w:p>
    <w:p w14:paraId="6F21169F" w14:textId="77777777" w:rsidR="00E109ED" w:rsidRPr="00E109ED" w:rsidRDefault="00E109ED" w:rsidP="00E109ED">
      <w:pPr>
        <w:rPr>
          <w:rFonts w:cs="Times New Roman"/>
          <w:color w:val="000000"/>
          <w:szCs w:val="24"/>
          <w:shd w:val="clear" w:color="auto" w:fill="FFFFFF"/>
        </w:rPr>
      </w:pPr>
      <w:proofErr w:type="spellStart"/>
      <w:r w:rsidRPr="00E109ED">
        <w:rPr>
          <w:rFonts w:cs="Times New Roman"/>
          <w:color w:val="000000"/>
          <w:szCs w:val="24"/>
          <w:shd w:val="clear" w:color="auto" w:fill="FFFFFF"/>
        </w:rPr>
        <w:t>statista</w:t>
      </w:r>
      <w:proofErr w:type="spellEnd"/>
      <w:r w:rsidRPr="00E109ED">
        <w:rPr>
          <w:rFonts w:cs="Times New Roman"/>
          <w:color w:val="000000"/>
          <w:szCs w:val="24"/>
          <w:shd w:val="clear" w:color="auto" w:fill="FFFFFF"/>
        </w:rPr>
        <w:t>, 2022. </w:t>
      </w:r>
      <w:r w:rsidRPr="00E109ED">
        <w:rPr>
          <w:rFonts w:cs="Times New Roman"/>
          <w:i/>
          <w:iCs/>
          <w:color w:val="000000"/>
          <w:szCs w:val="24"/>
          <w:shd w:val="clear" w:color="auto" w:fill="FFFFFF"/>
        </w:rPr>
        <w:t>Top retail selling countries IKEA 2021 | Statista</w:t>
      </w:r>
      <w:r w:rsidRPr="00E109ED">
        <w:rPr>
          <w:rFonts w:cs="Times New Roman"/>
          <w:color w:val="000000"/>
          <w:szCs w:val="24"/>
          <w:shd w:val="clear" w:color="auto" w:fill="FFFFFF"/>
        </w:rPr>
        <w:t>. [online] Statista. Available at: &lt;https://www.statista.com/statistics/255583/leading-5-selling-countries-of-ikea-products/&gt; [Accessed 15 August 2022].</w:t>
      </w:r>
    </w:p>
    <w:p w14:paraId="636DB1F8" w14:textId="77777777" w:rsidR="00E109ED" w:rsidRPr="00E109ED" w:rsidRDefault="00E109ED" w:rsidP="00E109ED">
      <w:pPr>
        <w:rPr>
          <w:rFonts w:cs="Times New Roman"/>
          <w:color w:val="222222"/>
          <w:szCs w:val="24"/>
          <w:shd w:val="clear" w:color="auto" w:fill="FFFFFF"/>
        </w:rPr>
      </w:pPr>
      <w:proofErr w:type="spellStart"/>
      <w:r w:rsidRPr="00E109ED">
        <w:rPr>
          <w:rFonts w:cs="Times New Roman"/>
          <w:color w:val="222222"/>
          <w:szCs w:val="24"/>
          <w:shd w:val="clear" w:color="auto" w:fill="FFFFFF"/>
        </w:rPr>
        <w:t>Sund</w:t>
      </w:r>
      <w:proofErr w:type="spellEnd"/>
      <w:r w:rsidRPr="00E109ED">
        <w:rPr>
          <w:rFonts w:cs="Times New Roman"/>
          <w:color w:val="222222"/>
          <w:szCs w:val="24"/>
          <w:shd w:val="clear" w:color="auto" w:fill="FFFFFF"/>
        </w:rPr>
        <w:t xml:space="preserve">, T., </w:t>
      </w:r>
      <w:proofErr w:type="spellStart"/>
      <w:r w:rsidRPr="00E109ED">
        <w:rPr>
          <w:rFonts w:cs="Times New Roman"/>
          <w:color w:val="222222"/>
          <w:szCs w:val="24"/>
          <w:shd w:val="clear" w:color="auto" w:fill="FFFFFF"/>
        </w:rPr>
        <w:t>Lööf</w:t>
      </w:r>
      <w:proofErr w:type="spellEnd"/>
      <w:r w:rsidRPr="00E109ED">
        <w:rPr>
          <w:rFonts w:cs="Times New Roman"/>
          <w:color w:val="222222"/>
          <w:szCs w:val="24"/>
          <w:shd w:val="clear" w:color="auto" w:fill="FFFFFF"/>
        </w:rPr>
        <w:t xml:space="preserve">, C., </w:t>
      </w:r>
      <w:proofErr w:type="spellStart"/>
      <w:r w:rsidRPr="00E109ED">
        <w:rPr>
          <w:rFonts w:cs="Times New Roman"/>
          <w:color w:val="222222"/>
          <w:szCs w:val="24"/>
          <w:shd w:val="clear" w:color="auto" w:fill="FFFFFF"/>
        </w:rPr>
        <w:t>Nadjm</w:t>
      </w:r>
      <w:proofErr w:type="spellEnd"/>
      <w:r w:rsidRPr="00E109ED">
        <w:rPr>
          <w:rFonts w:cs="Times New Roman"/>
          <w:color w:val="222222"/>
          <w:szCs w:val="24"/>
          <w:shd w:val="clear" w:color="auto" w:fill="FFFFFF"/>
        </w:rPr>
        <w:t xml:space="preserve">-Tehrani, S. and </w:t>
      </w:r>
      <w:proofErr w:type="spellStart"/>
      <w:r w:rsidRPr="00E109ED">
        <w:rPr>
          <w:rFonts w:cs="Times New Roman"/>
          <w:color w:val="222222"/>
          <w:szCs w:val="24"/>
          <w:shd w:val="clear" w:color="auto" w:fill="FFFFFF"/>
        </w:rPr>
        <w:t>Asplund</w:t>
      </w:r>
      <w:proofErr w:type="spellEnd"/>
      <w:r w:rsidRPr="00E109ED">
        <w:rPr>
          <w:rFonts w:cs="Times New Roman"/>
          <w:color w:val="222222"/>
          <w:szCs w:val="24"/>
          <w:shd w:val="clear" w:color="auto" w:fill="FFFFFF"/>
        </w:rPr>
        <w:t>, M., 2020. Blockchain-based event processing in supply chains—A case study at IKEA. </w:t>
      </w:r>
      <w:r w:rsidRPr="00E109ED">
        <w:rPr>
          <w:rFonts w:cs="Times New Roman"/>
          <w:i/>
          <w:iCs/>
          <w:color w:val="222222"/>
          <w:szCs w:val="24"/>
          <w:shd w:val="clear" w:color="auto" w:fill="FFFFFF"/>
        </w:rPr>
        <w:t>Robotics and Computer-Integrated Manufacturing</w:t>
      </w:r>
      <w:r w:rsidRPr="00E109ED">
        <w:rPr>
          <w:rFonts w:cs="Times New Roman"/>
          <w:color w:val="222222"/>
          <w:szCs w:val="24"/>
          <w:shd w:val="clear" w:color="auto" w:fill="FFFFFF"/>
        </w:rPr>
        <w:t>, </w:t>
      </w:r>
      <w:r w:rsidRPr="00E109ED">
        <w:rPr>
          <w:rFonts w:cs="Times New Roman"/>
          <w:i/>
          <w:iCs/>
          <w:color w:val="222222"/>
          <w:szCs w:val="24"/>
          <w:shd w:val="clear" w:color="auto" w:fill="FFFFFF"/>
        </w:rPr>
        <w:t>65</w:t>
      </w:r>
      <w:r w:rsidRPr="00E109ED">
        <w:rPr>
          <w:rFonts w:cs="Times New Roman"/>
          <w:color w:val="222222"/>
          <w:szCs w:val="24"/>
          <w:shd w:val="clear" w:color="auto" w:fill="FFFFFF"/>
        </w:rPr>
        <w:t>, p.101971.</w:t>
      </w:r>
    </w:p>
    <w:p w14:paraId="025159A1" w14:textId="77777777" w:rsidR="00E109ED" w:rsidRPr="00E109ED" w:rsidRDefault="00E109ED" w:rsidP="00E109ED">
      <w:pPr>
        <w:rPr>
          <w:rFonts w:cs="Times New Roman"/>
          <w:color w:val="222222"/>
          <w:szCs w:val="24"/>
          <w:shd w:val="clear" w:color="auto" w:fill="FFFFFF"/>
        </w:rPr>
      </w:pPr>
      <w:proofErr w:type="spellStart"/>
      <w:r w:rsidRPr="00E109ED">
        <w:rPr>
          <w:rFonts w:cs="Times New Roman"/>
          <w:color w:val="222222"/>
          <w:szCs w:val="24"/>
          <w:shd w:val="clear" w:color="auto" w:fill="FFFFFF"/>
        </w:rPr>
        <w:t>Suripto</w:t>
      </w:r>
      <w:proofErr w:type="spellEnd"/>
      <w:r w:rsidRPr="00E109ED">
        <w:rPr>
          <w:rFonts w:cs="Times New Roman"/>
          <w:color w:val="222222"/>
          <w:szCs w:val="24"/>
          <w:shd w:val="clear" w:color="auto" w:fill="FFFFFF"/>
        </w:rPr>
        <w:t xml:space="preserve">, S., </w:t>
      </w:r>
      <w:proofErr w:type="spellStart"/>
      <w:r w:rsidRPr="00E109ED">
        <w:rPr>
          <w:rFonts w:cs="Times New Roman"/>
          <w:color w:val="222222"/>
          <w:szCs w:val="24"/>
          <w:shd w:val="clear" w:color="auto" w:fill="FFFFFF"/>
        </w:rPr>
        <w:t>Wulandari</w:t>
      </w:r>
      <w:proofErr w:type="spellEnd"/>
      <w:r w:rsidRPr="00E109ED">
        <w:rPr>
          <w:rFonts w:cs="Times New Roman"/>
          <w:color w:val="222222"/>
          <w:szCs w:val="24"/>
          <w:shd w:val="clear" w:color="auto" w:fill="FFFFFF"/>
        </w:rPr>
        <w:t xml:space="preserve">, I.T. and </w:t>
      </w:r>
      <w:proofErr w:type="spellStart"/>
      <w:r w:rsidRPr="00E109ED">
        <w:rPr>
          <w:rFonts w:cs="Times New Roman"/>
          <w:color w:val="222222"/>
          <w:szCs w:val="24"/>
          <w:shd w:val="clear" w:color="auto" w:fill="FFFFFF"/>
        </w:rPr>
        <w:t>Abasimi</w:t>
      </w:r>
      <w:proofErr w:type="spellEnd"/>
      <w:r w:rsidRPr="00E109ED">
        <w:rPr>
          <w:rFonts w:cs="Times New Roman"/>
          <w:color w:val="222222"/>
          <w:szCs w:val="24"/>
          <w:shd w:val="clear" w:color="auto" w:fill="FFFFFF"/>
        </w:rPr>
        <w:t xml:space="preserve">, I., 2022. Analysis of Market Structure, </w:t>
      </w:r>
      <w:proofErr w:type="spellStart"/>
      <w:r w:rsidRPr="00E109ED">
        <w:rPr>
          <w:rFonts w:cs="Times New Roman"/>
          <w:color w:val="222222"/>
          <w:szCs w:val="24"/>
          <w:shd w:val="clear" w:color="auto" w:fill="FFFFFF"/>
        </w:rPr>
        <w:t>Behavior</w:t>
      </w:r>
      <w:proofErr w:type="spellEnd"/>
      <w:r w:rsidRPr="00E109ED">
        <w:rPr>
          <w:rFonts w:cs="Times New Roman"/>
          <w:color w:val="222222"/>
          <w:szCs w:val="24"/>
          <w:shd w:val="clear" w:color="auto" w:fill="FFFFFF"/>
        </w:rPr>
        <w:t xml:space="preserve"> and Performance at the </w:t>
      </w:r>
      <w:proofErr w:type="spellStart"/>
      <w:r w:rsidRPr="00E109ED">
        <w:rPr>
          <w:rFonts w:cs="Times New Roman"/>
          <w:color w:val="222222"/>
          <w:szCs w:val="24"/>
          <w:shd w:val="clear" w:color="auto" w:fill="FFFFFF"/>
        </w:rPr>
        <w:t>Manding</w:t>
      </w:r>
      <w:proofErr w:type="spellEnd"/>
      <w:r w:rsidRPr="00E109ED">
        <w:rPr>
          <w:rFonts w:cs="Times New Roman"/>
          <w:color w:val="222222"/>
          <w:szCs w:val="24"/>
          <w:shd w:val="clear" w:color="auto" w:fill="FFFFFF"/>
        </w:rPr>
        <w:t xml:space="preserve"> Leather Industry </w:t>
      </w:r>
      <w:proofErr w:type="spellStart"/>
      <w:r w:rsidRPr="00E109ED">
        <w:rPr>
          <w:rFonts w:cs="Times New Roman"/>
          <w:color w:val="222222"/>
          <w:szCs w:val="24"/>
          <w:shd w:val="clear" w:color="auto" w:fill="FFFFFF"/>
        </w:rPr>
        <w:t>Center</w:t>
      </w:r>
      <w:proofErr w:type="spellEnd"/>
      <w:r w:rsidRPr="00E109ED">
        <w:rPr>
          <w:rFonts w:cs="Times New Roman"/>
          <w:color w:val="222222"/>
          <w:szCs w:val="24"/>
          <w:shd w:val="clear" w:color="auto" w:fill="FFFFFF"/>
        </w:rPr>
        <w:t xml:space="preserve"> of Bantul Yogyakarta. </w:t>
      </w:r>
      <w:r w:rsidRPr="00E109ED">
        <w:rPr>
          <w:rFonts w:cs="Times New Roman"/>
          <w:i/>
          <w:iCs/>
          <w:color w:val="222222"/>
          <w:szCs w:val="24"/>
          <w:shd w:val="clear" w:color="auto" w:fill="FFFFFF"/>
        </w:rPr>
        <w:t>Journal of Asset Management and Public Economy (JAMPE)</w:t>
      </w:r>
      <w:r w:rsidRPr="00E109ED">
        <w:rPr>
          <w:rFonts w:cs="Times New Roman"/>
          <w:color w:val="222222"/>
          <w:szCs w:val="24"/>
          <w:shd w:val="clear" w:color="auto" w:fill="FFFFFF"/>
        </w:rPr>
        <w:t>, </w:t>
      </w:r>
      <w:r w:rsidRPr="00E109ED">
        <w:rPr>
          <w:rFonts w:cs="Times New Roman"/>
          <w:i/>
          <w:iCs/>
          <w:color w:val="222222"/>
          <w:szCs w:val="24"/>
          <w:shd w:val="clear" w:color="auto" w:fill="FFFFFF"/>
        </w:rPr>
        <w:t>1</w:t>
      </w:r>
      <w:r w:rsidRPr="00E109ED">
        <w:rPr>
          <w:rFonts w:cs="Times New Roman"/>
          <w:color w:val="222222"/>
          <w:szCs w:val="24"/>
          <w:shd w:val="clear" w:color="auto" w:fill="FFFFFF"/>
        </w:rPr>
        <w:t>(2), pp.1-17.</w:t>
      </w:r>
    </w:p>
    <w:p w14:paraId="05E82380" w14:textId="77777777" w:rsidR="00E109ED" w:rsidRPr="00E109ED" w:rsidRDefault="00E109ED" w:rsidP="00E109ED">
      <w:pPr>
        <w:rPr>
          <w:rFonts w:cs="Times New Roman"/>
          <w:color w:val="000000"/>
          <w:szCs w:val="24"/>
          <w:shd w:val="clear" w:color="auto" w:fill="FFFFFF"/>
        </w:rPr>
      </w:pPr>
      <w:r w:rsidRPr="00E109ED">
        <w:rPr>
          <w:rFonts w:cs="Times New Roman"/>
          <w:color w:val="000000"/>
          <w:szCs w:val="24"/>
          <w:shd w:val="clear" w:color="auto" w:fill="FFFFFF"/>
        </w:rPr>
        <w:t>tmf.se, 2021. </w:t>
      </w:r>
      <w:r w:rsidRPr="00E109ED">
        <w:rPr>
          <w:rFonts w:cs="Times New Roman"/>
          <w:i/>
          <w:iCs/>
          <w:color w:val="000000"/>
          <w:szCs w:val="24"/>
          <w:shd w:val="clear" w:color="auto" w:fill="FFFFFF"/>
        </w:rPr>
        <w:t>Furniture facts Sweden - 2020</w:t>
      </w:r>
      <w:r w:rsidRPr="00E109ED">
        <w:rPr>
          <w:rFonts w:cs="Times New Roman"/>
          <w:color w:val="000000"/>
          <w:szCs w:val="24"/>
          <w:shd w:val="clear" w:color="auto" w:fill="FFFFFF"/>
        </w:rPr>
        <w:t>. [online] Tmf.se. Available at: &lt;https://www.tmf.se/siteassets/statistik/branschstatistik/mobler/annual-statistics-furniture---2020.pdf&gt; [Accessed 15 August 2022].</w:t>
      </w:r>
    </w:p>
    <w:p w14:paraId="6A480BBC" w14:textId="77777777" w:rsidR="004B5F3F" w:rsidRPr="00196898" w:rsidRDefault="004B5F3F" w:rsidP="00451E8F">
      <w:pPr>
        <w:rPr>
          <w:rFonts w:cs="Times New Roman"/>
          <w:szCs w:val="24"/>
        </w:rPr>
      </w:pPr>
    </w:p>
    <w:sectPr w:rsidR="004B5F3F" w:rsidRPr="00196898" w:rsidSect="008C7DCE">
      <w:headerReference w:type="default" r:id="rId12"/>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5FB37" w14:textId="77777777" w:rsidR="009806DB" w:rsidRDefault="009806DB" w:rsidP="008A1E88">
      <w:pPr>
        <w:spacing w:after="0" w:line="240" w:lineRule="auto"/>
      </w:pPr>
      <w:r>
        <w:separator/>
      </w:r>
    </w:p>
  </w:endnote>
  <w:endnote w:type="continuationSeparator" w:id="0">
    <w:p w14:paraId="56A391C1" w14:textId="77777777" w:rsidR="009806DB" w:rsidRDefault="009806DB" w:rsidP="008A1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7670B" w14:textId="77777777" w:rsidR="009806DB" w:rsidRDefault="009806DB" w:rsidP="008A1E88">
      <w:pPr>
        <w:spacing w:after="0" w:line="240" w:lineRule="auto"/>
      </w:pPr>
      <w:r>
        <w:separator/>
      </w:r>
    </w:p>
  </w:footnote>
  <w:footnote w:type="continuationSeparator" w:id="0">
    <w:p w14:paraId="2F5D926C" w14:textId="77777777" w:rsidR="009806DB" w:rsidRDefault="009806DB" w:rsidP="008A1E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F9794" w14:textId="4A8C215A" w:rsidR="008C7DCE" w:rsidRDefault="008C7DCE">
    <w:pPr>
      <w:pStyle w:val="Header"/>
    </w:pPr>
    <w:r>
      <w:rPr>
        <w:noProof/>
        <w:lang w:val="en-US"/>
      </w:rPr>
      <mc:AlternateContent>
        <mc:Choice Requires="wps">
          <w:drawing>
            <wp:anchor distT="0" distB="0" distL="114300" distR="114300" simplePos="0" relativeHeight="251660288" behindDoc="0" locked="0" layoutInCell="0" allowOverlap="1" wp14:anchorId="7CE852B5" wp14:editId="77B9E1DC">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A3498F" w14:textId="7E69E9A6" w:rsidR="008C7DCE" w:rsidRDefault="009F337D" w:rsidP="008C7DCE">
                          <w:pPr>
                            <w:spacing w:after="0" w:line="240" w:lineRule="auto"/>
                            <w:rPr>
                              <w:noProof/>
                            </w:rPr>
                          </w:pPr>
                          <w:r w:rsidRPr="009F337D">
                            <w:t xml:space="preserve">MARKET STRUCTURE AND OPERATIONS OF </w:t>
                          </w:r>
                          <w:r w:rsidR="008D04CB">
                            <w:t>IKEA</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CE852B5"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1CA3498F" w14:textId="7E69E9A6" w:rsidR="008C7DCE" w:rsidRDefault="009F337D" w:rsidP="008C7DCE">
                    <w:pPr>
                      <w:spacing w:after="0" w:line="240" w:lineRule="auto"/>
                      <w:rPr>
                        <w:noProof/>
                      </w:rPr>
                    </w:pPr>
                    <w:r w:rsidRPr="009F337D">
                      <w:t xml:space="preserve">MARKET STRUCTURE AND OPERATIONS OF </w:t>
                    </w:r>
                    <w:r w:rsidR="008D04CB">
                      <w:t>IKEA</w:t>
                    </w: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0" allowOverlap="1" wp14:anchorId="311ABBB8" wp14:editId="69A052FD">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0A09382D" w14:textId="77777777" w:rsidR="008C7DCE" w:rsidRDefault="008C7DCE">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311ABBB8"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0A09382D" w14:textId="77777777" w:rsidR="008C7DCE" w:rsidRDefault="008C7DCE">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53AD7"/>
    <w:multiLevelType w:val="hybridMultilevel"/>
    <w:tmpl w:val="366A0C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13244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0MjMytTQztzAzNjFV0lEKTi0uzszPAykwrgUANEI6ziwAAAA="/>
  </w:docVars>
  <w:rsids>
    <w:rsidRoot w:val="008A1E88"/>
    <w:rsid w:val="00000C43"/>
    <w:rsid w:val="0000157F"/>
    <w:rsid w:val="00006BC9"/>
    <w:rsid w:val="00012203"/>
    <w:rsid w:val="000206C5"/>
    <w:rsid w:val="000247CA"/>
    <w:rsid w:val="0003700F"/>
    <w:rsid w:val="00054B98"/>
    <w:rsid w:val="00070792"/>
    <w:rsid w:val="000708FF"/>
    <w:rsid w:val="00081182"/>
    <w:rsid w:val="000901EA"/>
    <w:rsid w:val="00092B39"/>
    <w:rsid w:val="00094938"/>
    <w:rsid w:val="00095E22"/>
    <w:rsid w:val="00096355"/>
    <w:rsid w:val="0009735D"/>
    <w:rsid w:val="000B0054"/>
    <w:rsid w:val="000B325C"/>
    <w:rsid w:val="000B4FDC"/>
    <w:rsid w:val="000D73B9"/>
    <w:rsid w:val="000E7000"/>
    <w:rsid w:val="000F1068"/>
    <w:rsid w:val="000F22EF"/>
    <w:rsid w:val="000F7374"/>
    <w:rsid w:val="0010141D"/>
    <w:rsid w:val="00110744"/>
    <w:rsid w:val="00115749"/>
    <w:rsid w:val="00134F57"/>
    <w:rsid w:val="00154672"/>
    <w:rsid w:val="001566CA"/>
    <w:rsid w:val="0015749A"/>
    <w:rsid w:val="00157FD5"/>
    <w:rsid w:val="00170D3F"/>
    <w:rsid w:val="00171C8C"/>
    <w:rsid w:val="001776CA"/>
    <w:rsid w:val="00183F7D"/>
    <w:rsid w:val="00194615"/>
    <w:rsid w:val="00196898"/>
    <w:rsid w:val="001A06B4"/>
    <w:rsid w:val="001A3A59"/>
    <w:rsid w:val="001B3CD9"/>
    <w:rsid w:val="001B4167"/>
    <w:rsid w:val="001B4F08"/>
    <w:rsid w:val="001B5287"/>
    <w:rsid w:val="001C1072"/>
    <w:rsid w:val="001C1718"/>
    <w:rsid w:val="001D4A3B"/>
    <w:rsid w:val="001E0520"/>
    <w:rsid w:val="001F0530"/>
    <w:rsid w:val="002008D3"/>
    <w:rsid w:val="00204773"/>
    <w:rsid w:val="00204894"/>
    <w:rsid w:val="0021072C"/>
    <w:rsid w:val="00230521"/>
    <w:rsid w:val="00233073"/>
    <w:rsid w:val="00237C56"/>
    <w:rsid w:val="00242FCF"/>
    <w:rsid w:val="002450B5"/>
    <w:rsid w:val="00246173"/>
    <w:rsid w:val="00251784"/>
    <w:rsid w:val="0025249B"/>
    <w:rsid w:val="002772F4"/>
    <w:rsid w:val="0028758C"/>
    <w:rsid w:val="00294769"/>
    <w:rsid w:val="00294AED"/>
    <w:rsid w:val="00294C48"/>
    <w:rsid w:val="002A6473"/>
    <w:rsid w:val="002C2998"/>
    <w:rsid w:val="002C5902"/>
    <w:rsid w:val="002D06C7"/>
    <w:rsid w:val="002D0EE5"/>
    <w:rsid w:val="0030179E"/>
    <w:rsid w:val="0030429E"/>
    <w:rsid w:val="00306F28"/>
    <w:rsid w:val="0032613A"/>
    <w:rsid w:val="00332B78"/>
    <w:rsid w:val="00335CA0"/>
    <w:rsid w:val="003371AE"/>
    <w:rsid w:val="0033783C"/>
    <w:rsid w:val="00342A68"/>
    <w:rsid w:val="0034651A"/>
    <w:rsid w:val="003560E9"/>
    <w:rsid w:val="00361B00"/>
    <w:rsid w:val="00365FAD"/>
    <w:rsid w:val="003678C1"/>
    <w:rsid w:val="0036791B"/>
    <w:rsid w:val="00370D2C"/>
    <w:rsid w:val="00372531"/>
    <w:rsid w:val="003732CA"/>
    <w:rsid w:val="00380D57"/>
    <w:rsid w:val="00387993"/>
    <w:rsid w:val="003B3DE0"/>
    <w:rsid w:val="003C2DC8"/>
    <w:rsid w:val="003C4716"/>
    <w:rsid w:val="003E05F8"/>
    <w:rsid w:val="003E4755"/>
    <w:rsid w:val="003E6FD9"/>
    <w:rsid w:val="003F3B4D"/>
    <w:rsid w:val="003F506A"/>
    <w:rsid w:val="004173D3"/>
    <w:rsid w:val="00424E0A"/>
    <w:rsid w:val="00426C9D"/>
    <w:rsid w:val="00432120"/>
    <w:rsid w:val="00437DEA"/>
    <w:rsid w:val="00442BC3"/>
    <w:rsid w:val="00444996"/>
    <w:rsid w:val="00444EE6"/>
    <w:rsid w:val="00451430"/>
    <w:rsid w:val="00451E8F"/>
    <w:rsid w:val="00463FCB"/>
    <w:rsid w:val="0046460D"/>
    <w:rsid w:val="0046616E"/>
    <w:rsid w:val="00466973"/>
    <w:rsid w:val="004672AF"/>
    <w:rsid w:val="00472ED0"/>
    <w:rsid w:val="00474BC3"/>
    <w:rsid w:val="004813BA"/>
    <w:rsid w:val="0049064F"/>
    <w:rsid w:val="0049146E"/>
    <w:rsid w:val="00491B59"/>
    <w:rsid w:val="004A4661"/>
    <w:rsid w:val="004A5443"/>
    <w:rsid w:val="004B5F3F"/>
    <w:rsid w:val="004B6749"/>
    <w:rsid w:val="004C0C01"/>
    <w:rsid w:val="004C20B4"/>
    <w:rsid w:val="004C3E01"/>
    <w:rsid w:val="004C6BE6"/>
    <w:rsid w:val="004C6FBB"/>
    <w:rsid w:val="0051419B"/>
    <w:rsid w:val="00515A91"/>
    <w:rsid w:val="00520ACD"/>
    <w:rsid w:val="00520BC3"/>
    <w:rsid w:val="005215C2"/>
    <w:rsid w:val="00522CA5"/>
    <w:rsid w:val="00522DFB"/>
    <w:rsid w:val="005245B2"/>
    <w:rsid w:val="00526BB8"/>
    <w:rsid w:val="00534F6F"/>
    <w:rsid w:val="00537095"/>
    <w:rsid w:val="005416E3"/>
    <w:rsid w:val="005477B3"/>
    <w:rsid w:val="00551520"/>
    <w:rsid w:val="00556BD7"/>
    <w:rsid w:val="00565E52"/>
    <w:rsid w:val="00567614"/>
    <w:rsid w:val="00572573"/>
    <w:rsid w:val="00576CEE"/>
    <w:rsid w:val="00576DEC"/>
    <w:rsid w:val="005A0E15"/>
    <w:rsid w:val="005A41BE"/>
    <w:rsid w:val="005A5F2B"/>
    <w:rsid w:val="005B470C"/>
    <w:rsid w:val="005C013D"/>
    <w:rsid w:val="005C5589"/>
    <w:rsid w:val="005D0E1C"/>
    <w:rsid w:val="005D12D2"/>
    <w:rsid w:val="005D18D4"/>
    <w:rsid w:val="005E3A1E"/>
    <w:rsid w:val="005E6CF0"/>
    <w:rsid w:val="005E7E0F"/>
    <w:rsid w:val="005F010C"/>
    <w:rsid w:val="005F043E"/>
    <w:rsid w:val="005F1FB1"/>
    <w:rsid w:val="005F22A4"/>
    <w:rsid w:val="005F7FF7"/>
    <w:rsid w:val="00624311"/>
    <w:rsid w:val="00625904"/>
    <w:rsid w:val="00625B3D"/>
    <w:rsid w:val="006313DB"/>
    <w:rsid w:val="00633416"/>
    <w:rsid w:val="00634253"/>
    <w:rsid w:val="00635E86"/>
    <w:rsid w:val="00646FDA"/>
    <w:rsid w:val="006517F7"/>
    <w:rsid w:val="00657D0A"/>
    <w:rsid w:val="006705FF"/>
    <w:rsid w:val="00675F82"/>
    <w:rsid w:val="00677D44"/>
    <w:rsid w:val="006811BB"/>
    <w:rsid w:val="006819D6"/>
    <w:rsid w:val="0068253C"/>
    <w:rsid w:val="0068399A"/>
    <w:rsid w:val="006A3BF9"/>
    <w:rsid w:val="006A7F40"/>
    <w:rsid w:val="006B0204"/>
    <w:rsid w:val="006B6A90"/>
    <w:rsid w:val="006B76D2"/>
    <w:rsid w:val="006C3B4C"/>
    <w:rsid w:val="006C69AC"/>
    <w:rsid w:val="006D3146"/>
    <w:rsid w:val="006D4EC2"/>
    <w:rsid w:val="006D7B95"/>
    <w:rsid w:val="006E1602"/>
    <w:rsid w:val="006E3590"/>
    <w:rsid w:val="006F468B"/>
    <w:rsid w:val="00714DCE"/>
    <w:rsid w:val="00722D7C"/>
    <w:rsid w:val="007260BF"/>
    <w:rsid w:val="00730383"/>
    <w:rsid w:val="0073249E"/>
    <w:rsid w:val="00745AB3"/>
    <w:rsid w:val="007464C9"/>
    <w:rsid w:val="00793A77"/>
    <w:rsid w:val="00797653"/>
    <w:rsid w:val="007D3FFD"/>
    <w:rsid w:val="007D48BF"/>
    <w:rsid w:val="007E0894"/>
    <w:rsid w:val="007F45C3"/>
    <w:rsid w:val="0080779D"/>
    <w:rsid w:val="0081023A"/>
    <w:rsid w:val="00810CF6"/>
    <w:rsid w:val="00816E70"/>
    <w:rsid w:val="00821DB2"/>
    <w:rsid w:val="00831B83"/>
    <w:rsid w:val="0083285F"/>
    <w:rsid w:val="008354EA"/>
    <w:rsid w:val="00842AEF"/>
    <w:rsid w:val="00843607"/>
    <w:rsid w:val="00844539"/>
    <w:rsid w:val="00870B1A"/>
    <w:rsid w:val="00877649"/>
    <w:rsid w:val="00884575"/>
    <w:rsid w:val="00884BB1"/>
    <w:rsid w:val="00886AC7"/>
    <w:rsid w:val="008914F5"/>
    <w:rsid w:val="00895016"/>
    <w:rsid w:val="00895A44"/>
    <w:rsid w:val="008A1372"/>
    <w:rsid w:val="008A1E88"/>
    <w:rsid w:val="008A4E66"/>
    <w:rsid w:val="008B416A"/>
    <w:rsid w:val="008C2730"/>
    <w:rsid w:val="008C6B2F"/>
    <w:rsid w:val="008C7DCE"/>
    <w:rsid w:val="008D04CB"/>
    <w:rsid w:val="008D192A"/>
    <w:rsid w:val="008D67D9"/>
    <w:rsid w:val="008E1132"/>
    <w:rsid w:val="008E4C6E"/>
    <w:rsid w:val="008F21D0"/>
    <w:rsid w:val="008F75BA"/>
    <w:rsid w:val="00900114"/>
    <w:rsid w:val="009116ED"/>
    <w:rsid w:val="009179F9"/>
    <w:rsid w:val="009252E9"/>
    <w:rsid w:val="00931CF0"/>
    <w:rsid w:val="00931D7B"/>
    <w:rsid w:val="009366DF"/>
    <w:rsid w:val="00940BB4"/>
    <w:rsid w:val="00943766"/>
    <w:rsid w:val="0094693C"/>
    <w:rsid w:val="009472BC"/>
    <w:rsid w:val="009536D5"/>
    <w:rsid w:val="00954163"/>
    <w:rsid w:val="00956731"/>
    <w:rsid w:val="009806DB"/>
    <w:rsid w:val="00982D1A"/>
    <w:rsid w:val="00990F53"/>
    <w:rsid w:val="0099466A"/>
    <w:rsid w:val="00997ECF"/>
    <w:rsid w:val="009A50E6"/>
    <w:rsid w:val="009A516A"/>
    <w:rsid w:val="009B4EA1"/>
    <w:rsid w:val="009C35CE"/>
    <w:rsid w:val="009E2DC2"/>
    <w:rsid w:val="009F337D"/>
    <w:rsid w:val="009F48A2"/>
    <w:rsid w:val="00A07FB8"/>
    <w:rsid w:val="00A07FE4"/>
    <w:rsid w:val="00A152D3"/>
    <w:rsid w:val="00A23470"/>
    <w:rsid w:val="00A25200"/>
    <w:rsid w:val="00A264E5"/>
    <w:rsid w:val="00A37086"/>
    <w:rsid w:val="00A4115B"/>
    <w:rsid w:val="00A45836"/>
    <w:rsid w:val="00A5102B"/>
    <w:rsid w:val="00A67329"/>
    <w:rsid w:val="00A70F54"/>
    <w:rsid w:val="00A730FC"/>
    <w:rsid w:val="00A74305"/>
    <w:rsid w:val="00A7432B"/>
    <w:rsid w:val="00A777D1"/>
    <w:rsid w:val="00A92B19"/>
    <w:rsid w:val="00AA024E"/>
    <w:rsid w:val="00AA4491"/>
    <w:rsid w:val="00AB48DD"/>
    <w:rsid w:val="00AC31D1"/>
    <w:rsid w:val="00AC3D27"/>
    <w:rsid w:val="00AC416A"/>
    <w:rsid w:val="00AC667E"/>
    <w:rsid w:val="00AC6A80"/>
    <w:rsid w:val="00AD18E6"/>
    <w:rsid w:val="00AD39B9"/>
    <w:rsid w:val="00AE5F53"/>
    <w:rsid w:val="00AF0342"/>
    <w:rsid w:val="00AF6ECA"/>
    <w:rsid w:val="00B03CBE"/>
    <w:rsid w:val="00B04F38"/>
    <w:rsid w:val="00B175B0"/>
    <w:rsid w:val="00B2394A"/>
    <w:rsid w:val="00B254EC"/>
    <w:rsid w:val="00B30885"/>
    <w:rsid w:val="00B30E7D"/>
    <w:rsid w:val="00B4369E"/>
    <w:rsid w:val="00B60E0C"/>
    <w:rsid w:val="00B64EBE"/>
    <w:rsid w:val="00B660CF"/>
    <w:rsid w:val="00B73DD7"/>
    <w:rsid w:val="00B747A3"/>
    <w:rsid w:val="00B76107"/>
    <w:rsid w:val="00B86419"/>
    <w:rsid w:val="00B90EED"/>
    <w:rsid w:val="00B974D4"/>
    <w:rsid w:val="00BA1261"/>
    <w:rsid w:val="00BA17F0"/>
    <w:rsid w:val="00BA26C3"/>
    <w:rsid w:val="00BB1F8E"/>
    <w:rsid w:val="00BB761B"/>
    <w:rsid w:val="00BC2312"/>
    <w:rsid w:val="00BC3201"/>
    <w:rsid w:val="00BC781D"/>
    <w:rsid w:val="00BD41F6"/>
    <w:rsid w:val="00BD437A"/>
    <w:rsid w:val="00BD6152"/>
    <w:rsid w:val="00BF7C94"/>
    <w:rsid w:val="00C00072"/>
    <w:rsid w:val="00C13E89"/>
    <w:rsid w:val="00C16EF7"/>
    <w:rsid w:val="00C34C72"/>
    <w:rsid w:val="00C354B6"/>
    <w:rsid w:val="00C411AE"/>
    <w:rsid w:val="00C4501C"/>
    <w:rsid w:val="00C526D8"/>
    <w:rsid w:val="00C538C6"/>
    <w:rsid w:val="00C57B4F"/>
    <w:rsid w:val="00C63C54"/>
    <w:rsid w:val="00C67A18"/>
    <w:rsid w:val="00C80A72"/>
    <w:rsid w:val="00C90FA0"/>
    <w:rsid w:val="00C95A51"/>
    <w:rsid w:val="00C97823"/>
    <w:rsid w:val="00CA2C8B"/>
    <w:rsid w:val="00CA7019"/>
    <w:rsid w:val="00CB595F"/>
    <w:rsid w:val="00CB73AE"/>
    <w:rsid w:val="00CB7499"/>
    <w:rsid w:val="00CC0E82"/>
    <w:rsid w:val="00CC71FD"/>
    <w:rsid w:val="00CD4D6B"/>
    <w:rsid w:val="00CE08C7"/>
    <w:rsid w:val="00CE1956"/>
    <w:rsid w:val="00CE3E21"/>
    <w:rsid w:val="00CE77FF"/>
    <w:rsid w:val="00CF35B6"/>
    <w:rsid w:val="00CF63D7"/>
    <w:rsid w:val="00D21F5E"/>
    <w:rsid w:val="00D23708"/>
    <w:rsid w:val="00D24E89"/>
    <w:rsid w:val="00D31D5B"/>
    <w:rsid w:val="00D3577C"/>
    <w:rsid w:val="00D35F09"/>
    <w:rsid w:val="00D415F8"/>
    <w:rsid w:val="00D54893"/>
    <w:rsid w:val="00D55092"/>
    <w:rsid w:val="00D70CAA"/>
    <w:rsid w:val="00D745DD"/>
    <w:rsid w:val="00D7636E"/>
    <w:rsid w:val="00D80D52"/>
    <w:rsid w:val="00D81F11"/>
    <w:rsid w:val="00D906C1"/>
    <w:rsid w:val="00D975B4"/>
    <w:rsid w:val="00DA19FD"/>
    <w:rsid w:val="00DA35C7"/>
    <w:rsid w:val="00DA3A8C"/>
    <w:rsid w:val="00DA3C93"/>
    <w:rsid w:val="00DA5616"/>
    <w:rsid w:val="00DA59A5"/>
    <w:rsid w:val="00DA7759"/>
    <w:rsid w:val="00DC47B4"/>
    <w:rsid w:val="00DC71A8"/>
    <w:rsid w:val="00DD2CF6"/>
    <w:rsid w:val="00DD4DD9"/>
    <w:rsid w:val="00DD5A52"/>
    <w:rsid w:val="00DE380C"/>
    <w:rsid w:val="00DE3E9E"/>
    <w:rsid w:val="00DF01F8"/>
    <w:rsid w:val="00E005FC"/>
    <w:rsid w:val="00E07014"/>
    <w:rsid w:val="00E1066D"/>
    <w:rsid w:val="00E109ED"/>
    <w:rsid w:val="00E12698"/>
    <w:rsid w:val="00E12920"/>
    <w:rsid w:val="00E13128"/>
    <w:rsid w:val="00E2371A"/>
    <w:rsid w:val="00E51ED7"/>
    <w:rsid w:val="00E567B9"/>
    <w:rsid w:val="00E6041B"/>
    <w:rsid w:val="00E65478"/>
    <w:rsid w:val="00E72CD1"/>
    <w:rsid w:val="00E7362E"/>
    <w:rsid w:val="00E73EEE"/>
    <w:rsid w:val="00E74E7D"/>
    <w:rsid w:val="00E77E78"/>
    <w:rsid w:val="00E81A1A"/>
    <w:rsid w:val="00E83DAB"/>
    <w:rsid w:val="00E84BB8"/>
    <w:rsid w:val="00E8721C"/>
    <w:rsid w:val="00E879F2"/>
    <w:rsid w:val="00EB213A"/>
    <w:rsid w:val="00EB5367"/>
    <w:rsid w:val="00EC0247"/>
    <w:rsid w:val="00EC4FF1"/>
    <w:rsid w:val="00EC769D"/>
    <w:rsid w:val="00ED206E"/>
    <w:rsid w:val="00ED24F2"/>
    <w:rsid w:val="00ED5FEE"/>
    <w:rsid w:val="00EE5921"/>
    <w:rsid w:val="00EF0090"/>
    <w:rsid w:val="00EF15CE"/>
    <w:rsid w:val="00EF45E3"/>
    <w:rsid w:val="00EF5EBE"/>
    <w:rsid w:val="00EF7DDC"/>
    <w:rsid w:val="00EF7E6C"/>
    <w:rsid w:val="00F136E3"/>
    <w:rsid w:val="00F145C3"/>
    <w:rsid w:val="00F258C3"/>
    <w:rsid w:val="00F26DB6"/>
    <w:rsid w:val="00F375B9"/>
    <w:rsid w:val="00F51547"/>
    <w:rsid w:val="00F572A1"/>
    <w:rsid w:val="00F6222E"/>
    <w:rsid w:val="00F70218"/>
    <w:rsid w:val="00F74DC6"/>
    <w:rsid w:val="00F8328F"/>
    <w:rsid w:val="00F858C5"/>
    <w:rsid w:val="00F96A7B"/>
    <w:rsid w:val="00FA5ADD"/>
    <w:rsid w:val="00FB5772"/>
    <w:rsid w:val="00FB74AD"/>
    <w:rsid w:val="00FC3648"/>
    <w:rsid w:val="00FD2188"/>
    <w:rsid w:val="00FD48DF"/>
    <w:rsid w:val="00FE2A64"/>
    <w:rsid w:val="00FF02E9"/>
    <w:rsid w:val="00FF6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82D380"/>
  <w15:docId w15:val="{536B7783-39D8-49A3-B9F0-07BE709AE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E88"/>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A1E88"/>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A1E88"/>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D80D52"/>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E8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A1E88"/>
    <w:rPr>
      <w:rFonts w:ascii="Times New Roman" w:eastAsiaTheme="majorEastAsia" w:hAnsi="Times New Roman" w:cstheme="majorBidi"/>
      <w:b/>
      <w:color w:val="000000" w:themeColor="text1"/>
      <w:sz w:val="26"/>
      <w:szCs w:val="26"/>
    </w:rPr>
  </w:style>
  <w:style w:type="paragraph" w:customStyle="1" w:styleId="heading30">
    <w:name w:val="heading3"/>
    <w:basedOn w:val="Normal"/>
    <w:link w:val="heading3Char0"/>
    <w:rsid w:val="008A1E88"/>
  </w:style>
  <w:style w:type="paragraph" w:styleId="Header">
    <w:name w:val="header"/>
    <w:basedOn w:val="Normal"/>
    <w:link w:val="HeaderChar"/>
    <w:uiPriority w:val="99"/>
    <w:unhideWhenUsed/>
    <w:rsid w:val="008A1E88"/>
    <w:pPr>
      <w:tabs>
        <w:tab w:val="center" w:pos="4513"/>
        <w:tab w:val="right" w:pos="9026"/>
      </w:tabs>
      <w:spacing w:after="0" w:line="240" w:lineRule="auto"/>
    </w:pPr>
  </w:style>
  <w:style w:type="character" w:customStyle="1" w:styleId="heading3Char0">
    <w:name w:val="heading3 Char"/>
    <w:basedOn w:val="DefaultParagraphFont"/>
    <w:link w:val="heading30"/>
    <w:rsid w:val="008A1E88"/>
    <w:rPr>
      <w:rFonts w:ascii="Times New Roman" w:hAnsi="Times New Roman"/>
      <w:color w:val="000000" w:themeColor="text1"/>
      <w:sz w:val="24"/>
    </w:rPr>
  </w:style>
  <w:style w:type="character" w:customStyle="1" w:styleId="HeaderChar">
    <w:name w:val="Header Char"/>
    <w:basedOn w:val="DefaultParagraphFont"/>
    <w:link w:val="Header"/>
    <w:uiPriority w:val="99"/>
    <w:rsid w:val="008A1E88"/>
    <w:rPr>
      <w:rFonts w:ascii="Times New Roman" w:hAnsi="Times New Roman"/>
      <w:color w:val="000000" w:themeColor="text1"/>
      <w:sz w:val="24"/>
    </w:rPr>
  </w:style>
  <w:style w:type="paragraph" w:styleId="Footer">
    <w:name w:val="footer"/>
    <w:basedOn w:val="Normal"/>
    <w:link w:val="FooterChar"/>
    <w:uiPriority w:val="99"/>
    <w:unhideWhenUsed/>
    <w:rsid w:val="008A1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E88"/>
    <w:rPr>
      <w:rFonts w:ascii="Times New Roman" w:hAnsi="Times New Roman"/>
      <w:color w:val="000000" w:themeColor="text1"/>
      <w:sz w:val="24"/>
    </w:rPr>
  </w:style>
  <w:style w:type="paragraph" w:styleId="TOCHeading">
    <w:name w:val="TOC Heading"/>
    <w:basedOn w:val="Heading1"/>
    <w:next w:val="Normal"/>
    <w:uiPriority w:val="39"/>
    <w:unhideWhenUsed/>
    <w:qFormat/>
    <w:rsid w:val="00D80D52"/>
    <w:pPr>
      <w:spacing w:line="259" w:lineRule="auto"/>
      <w:outlineLvl w:val="9"/>
    </w:pPr>
    <w:rPr>
      <w:rFonts w:asciiTheme="majorHAnsi" w:hAnsiTheme="majorHAnsi"/>
      <w:b w:val="0"/>
      <w:color w:val="2F5496" w:themeColor="accent1" w:themeShade="BF"/>
      <w:sz w:val="32"/>
      <w:lang w:val="en-US"/>
    </w:rPr>
  </w:style>
  <w:style w:type="character" w:customStyle="1" w:styleId="Heading3Char">
    <w:name w:val="Heading 3 Char"/>
    <w:basedOn w:val="DefaultParagraphFont"/>
    <w:link w:val="Heading3"/>
    <w:uiPriority w:val="9"/>
    <w:rsid w:val="00D80D52"/>
    <w:rPr>
      <w:rFonts w:ascii="Times New Roman" w:eastAsiaTheme="majorEastAsia" w:hAnsi="Times New Roman" w:cstheme="majorBidi"/>
      <w:b/>
      <w:color w:val="000000" w:themeColor="text1"/>
      <w:sz w:val="24"/>
      <w:szCs w:val="24"/>
    </w:rPr>
  </w:style>
  <w:style w:type="paragraph" w:styleId="TOC1">
    <w:name w:val="toc 1"/>
    <w:basedOn w:val="Normal"/>
    <w:next w:val="Normal"/>
    <w:autoRedefine/>
    <w:uiPriority w:val="39"/>
    <w:unhideWhenUsed/>
    <w:rsid w:val="00D80D52"/>
    <w:pPr>
      <w:spacing w:after="100"/>
    </w:pPr>
  </w:style>
  <w:style w:type="paragraph" w:styleId="TOC2">
    <w:name w:val="toc 2"/>
    <w:basedOn w:val="Normal"/>
    <w:next w:val="Normal"/>
    <w:autoRedefine/>
    <w:uiPriority w:val="39"/>
    <w:unhideWhenUsed/>
    <w:rsid w:val="00D80D52"/>
    <w:pPr>
      <w:spacing w:after="100"/>
      <w:ind w:left="240"/>
    </w:pPr>
  </w:style>
  <w:style w:type="paragraph" w:styleId="TOC3">
    <w:name w:val="toc 3"/>
    <w:basedOn w:val="Normal"/>
    <w:next w:val="Normal"/>
    <w:autoRedefine/>
    <w:uiPriority w:val="39"/>
    <w:unhideWhenUsed/>
    <w:rsid w:val="00D80D52"/>
    <w:pPr>
      <w:spacing w:after="100"/>
      <w:ind w:left="480"/>
    </w:pPr>
  </w:style>
  <w:style w:type="character" w:styleId="Hyperlink">
    <w:name w:val="Hyperlink"/>
    <w:basedOn w:val="DefaultParagraphFont"/>
    <w:uiPriority w:val="99"/>
    <w:unhideWhenUsed/>
    <w:rsid w:val="00D80D52"/>
    <w:rPr>
      <w:color w:val="0563C1" w:themeColor="hyperlink"/>
      <w:u w:val="single"/>
    </w:rPr>
  </w:style>
  <w:style w:type="paragraph" w:styleId="ListParagraph">
    <w:name w:val="List Paragraph"/>
    <w:basedOn w:val="Normal"/>
    <w:uiPriority w:val="34"/>
    <w:qFormat/>
    <w:rsid w:val="00E109ED"/>
    <w:pPr>
      <w:ind w:left="720"/>
      <w:contextualSpacing/>
    </w:pPr>
  </w:style>
  <w:style w:type="paragraph" w:styleId="BalloonText">
    <w:name w:val="Balloon Text"/>
    <w:basedOn w:val="Normal"/>
    <w:link w:val="BalloonTextChar"/>
    <w:uiPriority w:val="99"/>
    <w:semiHidden/>
    <w:unhideWhenUsed/>
    <w:rsid w:val="00D763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636E"/>
    <w:rPr>
      <w:rFonts w:ascii="Tahoma" w:hAnsi="Tahoma" w:cs="Tahoma"/>
      <w:color w:val="000000" w:themeColor="text1"/>
      <w:sz w:val="16"/>
      <w:szCs w:val="16"/>
    </w:rPr>
  </w:style>
  <w:style w:type="paragraph" w:styleId="NoSpacing">
    <w:name w:val="No Spacing"/>
    <w:link w:val="NoSpacingChar"/>
    <w:uiPriority w:val="1"/>
    <w:qFormat/>
    <w:rsid w:val="0051419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1419B"/>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1" Type="http://schemas.openxmlformats.org/officeDocument/2006/relationships/oleObject" Target="https://d.docs.live.net/f2a9112c96f8f003/Desktop/excel%20files/2059202.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d.docs.live.net/f2a9112c96f8f003/Desktop/excel%20files/2059202.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d.docs.live.net/f2a9112c96f8f003/Desktop/excel%20files/2059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IN" sz="1400"/>
              <a:t>Market concentration in SWEDEN</a:t>
            </a:r>
            <a:r>
              <a:rPr lang="en-IN" sz="1400" baseline="0"/>
              <a:t> FURNITURE INDUSTRY</a:t>
            </a:r>
            <a:endParaRPr lang="en-IN" sz="1400"/>
          </a:p>
        </c:rich>
      </c:tx>
      <c:overlay val="0"/>
      <c:spPr>
        <a:noFill/>
        <a:ln>
          <a:noFill/>
        </a:ln>
        <a:effectLst/>
      </c:sp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D5B0-4862-904B-A8C7B42FCE91}"/>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D5B0-4862-904B-A8C7B42FCE91}"/>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D5B0-4862-904B-A8C7B42FCE91}"/>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D5B0-4862-904B-A8C7B42FCE91}"/>
              </c:ext>
            </c:extLst>
          </c:dPt>
          <c:dPt>
            <c:idx val="4"/>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c:ext xmlns:c16="http://schemas.microsoft.com/office/drawing/2014/chart" uri="{C3380CC4-5D6E-409C-BE32-E72D297353CC}">
                <c16:uniqueId val="{00000009-D5B0-4862-904B-A8C7B42FCE91}"/>
              </c:ext>
            </c:extLst>
          </c:dPt>
          <c:dPt>
            <c:idx val="5"/>
            <c:bubble3D val="0"/>
            <c:spPr>
              <a:solidFill>
                <a:schemeClr val="accent6">
                  <a:alpha val="90000"/>
                </a:schemeClr>
              </a:solidFill>
              <a:ln w="19050">
                <a:solidFill>
                  <a:schemeClr val="accent6">
                    <a:lumMod val="75000"/>
                  </a:schemeClr>
                </a:solidFill>
              </a:ln>
              <a:effectLst>
                <a:innerShdw blurRad="114300">
                  <a:schemeClr val="accent6">
                    <a:lumMod val="75000"/>
                  </a:schemeClr>
                </a:innerShdw>
              </a:effectLst>
              <a:scene3d>
                <a:camera prst="orthographicFront"/>
                <a:lightRig rig="threePt" dir="t"/>
              </a:scene3d>
              <a:sp3d contourW="19050" prstMaterial="flat">
                <a:contourClr>
                  <a:schemeClr val="accent6">
                    <a:lumMod val="75000"/>
                  </a:schemeClr>
                </a:contourClr>
              </a:sp3d>
            </c:spPr>
            <c:extLst>
              <c:ext xmlns:c16="http://schemas.microsoft.com/office/drawing/2014/chart" uri="{C3380CC4-5D6E-409C-BE32-E72D297353CC}">
                <c16:uniqueId val="{0000000B-D5B0-4862-904B-A8C7B42FCE91}"/>
              </c:ext>
            </c:extLst>
          </c:dPt>
          <c:dPt>
            <c:idx val="6"/>
            <c:bubble3D val="0"/>
            <c:spPr>
              <a:solidFill>
                <a:schemeClr val="accent1">
                  <a:lumMod val="60000"/>
                  <a:alpha val="90000"/>
                </a:schemeClr>
              </a:solidFill>
              <a:ln w="19050">
                <a:solidFill>
                  <a:schemeClr val="accent1">
                    <a:lumMod val="60000"/>
                    <a:lumMod val="75000"/>
                  </a:schemeClr>
                </a:solidFill>
              </a:ln>
              <a:effectLst>
                <a:innerShdw blurRad="114300">
                  <a:schemeClr val="accent1">
                    <a:lumMod val="60000"/>
                    <a:lumMod val="75000"/>
                  </a:schemeClr>
                </a:innerShdw>
              </a:effectLst>
              <a:scene3d>
                <a:camera prst="orthographicFront"/>
                <a:lightRig rig="threePt" dir="t"/>
              </a:scene3d>
              <a:sp3d contourW="19050" prstMaterial="flat">
                <a:contourClr>
                  <a:schemeClr val="accent1">
                    <a:lumMod val="60000"/>
                    <a:lumMod val="75000"/>
                  </a:schemeClr>
                </a:contourClr>
              </a:sp3d>
            </c:spPr>
            <c:extLst>
              <c:ext xmlns:c16="http://schemas.microsoft.com/office/drawing/2014/chart" uri="{C3380CC4-5D6E-409C-BE32-E72D297353CC}">
                <c16:uniqueId val="{0000000D-D5B0-4862-904B-A8C7B42FCE91}"/>
              </c:ext>
            </c:extLst>
          </c:dPt>
          <c:dPt>
            <c:idx val="7"/>
            <c:bubble3D val="0"/>
            <c:spPr>
              <a:solidFill>
                <a:schemeClr val="accent2">
                  <a:lumMod val="60000"/>
                  <a:alpha val="90000"/>
                </a:schemeClr>
              </a:solidFill>
              <a:ln w="19050">
                <a:solidFill>
                  <a:schemeClr val="accent2">
                    <a:lumMod val="60000"/>
                    <a:lumMod val="75000"/>
                  </a:schemeClr>
                </a:solidFill>
              </a:ln>
              <a:effectLst>
                <a:innerShdw blurRad="114300">
                  <a:schemeClr val="accent2">
                    <a:lumMod val="60000"/>
                    <a:lumMod val="75000"/>
                  </a:schemeClr>
                </a:innerShdw>
              </a:effectLst>
              <a:scene3d>
                <a:camera prst="orthographicFront"/>
                <a:lightRig rig="threePt" dir="t"/>
              </a:scene3d>
              <a:sp3d contourW="19050" prstMaterial="flat">
                <a:contourClr>
                  <a:schemeClr val="accent2">
                    <a:lumMod val="60000"/>
                    <a:lumMod val="75000"/>
                  </a:schemeClr>
                </a:contourClr>
              </a:sp3d>
            </c:spPr>
            <c:extLst>
              <c:ext xmlns:c16="http://schemas.microsoft.com/office/drawing/2014/chart" uri="{C3380CC4-5D6E-409C-BE32-E72D297353CC}">
                <c16:uniqueId val="{0000000F-D5B0-4862-904B-A8C7B42FCE91}"/>
              </c:ext>
            </c:extLst>
          </c:dPt>
          <c:dPt>
            <c:idx val="8"/>
            <c:bubble3D val="0"/>
            <c:spPr>
              <a:solidFill>
                <a:schemeClr val="accent3">
                  <a:lumMod val="60000"/>
                  <a:alpha val="90000"/>
                </a:schemeClr>
              </a:solidFill>
              <a:ln w="19050">
                <a:solidFill>
                  <a:schemeClr val="accent3">
                    <a:lumMod val="60000"/>
                    <a:lumMod val="75000"/>
                  </a:schemeClr>
                </a:solidFill>
              </a:ln>
              <a:effectLst>
                <a:innerShdw blurRad="114300">
                  <a:schemeClr val="accent3">
                    <a:lumMod val="60000"/>
                    <a:lumMod val="75000"/>
                  </a:schemeClr>
                </a:innerShdw>
              </a:effectLst>
              <a:scene3d>
                <a:camera prst="orthographicFront"/>
                <a:lightRig rig="threePt" dir="t"/>
              </a:scene3d>
              <a:sp3d contourW="19050" prstMaterial="flat">
                <a:contourClr>
                  <a:schemeClr val="accent3">
                    <a:lumMod val="60000"/>
                    <a:lumMod val="75000"/>
                  </a:schemeClr>
                </a:contourClr>
              </a:sp3d>
            </c:spPr>
            <c:extLst>
              <c:ext xmlns:c16="http://schemas.microsoft.com/office/drawing/2014/chart" uri="{C3380CC4-5D6E-409C-BE32-E72D297353CC}">
                <c16:uniqueId val="{00000011-D5B0-4862-904B-A8C7B42FCE91}"/>
              </c:ext>
            </c:extLst>
          </c:dPt>
          <c:dPt>
            <c:idx val="9"/>
            <c:bubble3D val="0"/>
            <c:spPr>
              <a:solidFill>
                <a:schemeClr val="accent4">
                  <a:lumMod val="60000"/>
                  <a:alpha val="90000"/>
                </a:schemeClr>
              </a:solidFill>
              <a:ln w="19050">
                <a:solidFill>
                  <a:schemeClr val="accent4">
                    <a:lumMod val="60000"/>
                    <a:lumMod val="75000"/>
                  </a:schemeClr>
                </a:solidFill>
              </a:ln>
              <a:effectLst>
                <a:innerShdw blurRad="114300">
                  <a:schemeClr val="accent4">
                    <a:lumMod val="60000"/>
                    <a:lumMod val="75000"/>
                  </a:schemeClr>
                </a:innerShdw>
              </a:effectLst>
              <a:scene3d>
                <a:camera prst="orthographicFront"/>
                <a:lightRig rig="threePt" dir="t"/>
              </a:scene3d>
              <a:sp3d contourW="19050" prstMaterial="flat">
                <a:contourClr>
                  <a:schemeClr val="accent4">
                    <a:lumMod val="60000"/>
                    <a:lumMod val="75000"/>
                  </a:schemeClr>
                </a:contourClr>
              </a:sp3d>
            </c:spPr>
            <c:extLst>
              <c:ext xmlns:c16="http://schemas.microsoft.com/office/drawing/2014/chart" uri="{C3380CC4-5D6E-409C-BE32-E72D297353CC}">
                <c16:uniqueId val="{00000013-D5B0-4862-904B-A8C7B42FCE91}"/>
              </c:ext>
            </c:extLst>
          </c:dPt>
          <c:dPt>
            <c:idx val="10"/>
            <c:bubble3D val="0"/>
            <c:spPr>
              <a:solidFill>
                <a:schemeClr val="accent5">
                  <a:lumMod val="60000"/>
                  <a:alpha val="90000"/>
                </a:schemeClr>
              </a:solidFill>
              <a:ln w="19050">
                <a:solidFill>
                  <a:schemeClr val="accent5">
                    <a:lumMod val="60000"/>
                    <a:lumMod val="75000"/>
                  </a:schemeClr>
                </a:solidFill>
              </a:ln>
              <a:effectLst>
                <a:innerShdw blurRad="114300">
                  <a:schemeClr val="accent5">
                    <a:lumMod val="60000"/>
                    <a:lumMod val="75000"/>
                  </a:schemeClr>
                </a:innerShdw>
              </a:effectLst>
              <a:scene3d>
                <a:camera prst="orthographicFront"/>
                <a:lightRig rig="threePt" dir="t"/>
              </a:scene3d>
              <a:sp3d contourW="19050" prstMaterial="flat">
                <a:contourClr>
                  <a:schemeClr val="accent5">
                    <a:lumMod val="60000"/>
                    <a:lumMod val="75000"/>
                  </a:schemeClr>
                </a:contourClr>
              </a:sp3d>
            </c:spPr>
            <c:extLst>
              <c:ext xmlns:c16="http://schemas.microsoft.com/office/drawing/2014/chart" uri="{C3380CC4-5D6E-409C-BE32-E72D297353CC}">
                <c16:uniqueId val="{00000015-D5B0-4862-904B-A8C7B42FCE91}"/>
              </c:ext>
            </c:extLst>
          </c:dPt>
          <c:dPt>
            <c:idx val="11"/>
            <c:bubble3D val="0"/>
            <c:spPr>
              <a:solidFill>
                <a:schemeClr val="accent6">
                  <a:lumMod val="60000"/>
                  <a:alpha val="90000"/>
                </a:schemeClr>
              </a:solidFill>
              <a:ln w="19050">
                <a:solidFill>
                  <a:schemeClr val="accent6">
                    <a:lumMod val="60000"/>
                    <a:lumMod val="75000"/>
                  </a:schemeClr>
                </a:solidFill>
              </a:ln>
              <a:effectLst>
                <a:innerShdw blurRad="114300">
                  <a:schemeClr val="accent6">
                    <a:lumMod val="60000"/>
                    <a:lumMod val="75000"/>
                  </a:schemeClr>
                </a:innerShdw>
              </a:effectLst>
              <a:scene3d>
                <a:camera prst="orthographicFront"/>
                <a:lightRig rig="threePt" dir="t"/>
              </a:scene3d>
              <a:sp3d contourW="19050" prstMaterial="flat">
                <a:contourClr>
                  <a:schemeClr val="accent6">
                    <a:lumMod val="60000"/>
                    <a:lumMod val="75000"/>
                  </a:schemeClr>
                </a:contourClr>
              </a:sp3d>
            </c:spPr>
            <c:extLst>
              <c:ext xmlns:c16="http://schemas.microsoft.com/office/drawing/2014/chart" uri="{C3380CC4-5D6E-409C-BE32-E72D297353CC}">
                <c16:uniqueId val="{00000017-D5B0-4862-904B-A8C7B42FCE91}"/>
              </c:ext>
            </c:extLst>
          </c:dPt>
          <c:dPt>
            <c:idx val="12"/>
            <c:bubble3D val="0"/>
            <c:spPr>
              <a:solidFill>
                <a:schemeClr val="accent1">
                  <a:lumMod val="80000"/>
                  <a:lumOff val="20000"/>
                  <a:alpha val="90000"/>
                </a:schemeClr>
              </a:solidFill>
              <a:ln w="19050">
                <a:solidFill>
                  <a:schemeClr val="accent1">
                    <a:lumMod val="80000"/>
                    <a:lumOff val="20000"/>
                    <a:lumMod val="75000"/>
                  </a:schemeClr>
                </a:solidFill>
              </a:ln>
              <a:effectLst>
                <a:innerShdw blurRad="114300">
                  <a:schemeClr val="accent1">
                    <a:lumMod val="80000"/>
                    <a:lumOff val="20000"/>
                    <a:lumMod val="75000"/>
                  </a:schemeClr>
                </a:innerShdw>
              </a:effectLst>
              <a:scene3d>
                <a:camera prst="orthographicFront"/>
                <a:lightRig rig="threePt" dir="t"/>
              </a:scene3d>
              <a:sp3d contourW="19050" prstMaterial="flat">
                <a:contourClr>
                  <a:schemeClr val="accent1">
                    <a:lumMod val="80000"/>
                    <a:lumOff val="20000"/>
                    <a:lumMod val="75000"/>
                  </a:schemeClr>
                </a:contourClr>
              </a:sp3d>
            </c:spPr>
            <c:extLst>
              <c:ext xmlns:c16="http://schemas.microsoft.com/office/drawing/2014/chart" uri="{C3380CC4-5D6E-409C-BE32-E72D297353CC}">
                <c16:uniqueId val="{00000019-D5B0-4862-904B-A8C7B42FCE91}"/>
              </c:ext>
            </c:extLst>
          </c:dPt>
          <c:dPt>
            <c:idx val="13"/>
            <c:bubble3D val="0"/>
            <c:spPr>
              <a:solidFill>
                <a:schemeClr val="accent2">
                  <a:lumMod val="80000"/>
                  <a:lumOff val="20000"/>
                  <a:alpha val="90000"/>
                </a:schemeClr>
              </a:solidFill>
              <a:ln w="19050">
                <a:solidFill>
                  <a:schemeClr val="accent2">
                    <a:lumMod val="80000"/>
                    <a:lumOff val="20000"/>
                    <a:lumMod val="75000"/>
                  </a:schemeClr>
                </a:solidFill>
              </a:ln>
              <a:effectLst>
                <a:innerShdw blurRad="114300">
                  <a:schemeClr val="accent2">
                    <a:lumMod val="80000"/>
                    <a:lumOff val="20000"/>
                    <a:lumMod val="75000"/>
                  </a:schemeClr>
                </a:innerShdw>
              </a:effectLst>
              <a:scene3d>
                <a:camera prst="orthographicFront"/>
                <a:lightRig rig="threePt" dir="t"/>
              </a:scene3d>
              <a:sp3d contourW="19050" prstMaterial="flat">
                <a:contourClr>
                  <a:schemeClr val="accent2">
                    <a:lumMod val="80000"/>
                    <a:lumOff val="20000"/>
                    <a:lumMod val="75000"/>
                  </a:schemeClr>
                </a:contourClr>
              </a:sp3d>
            </c:spPr>
            <c:extLst>
              <c:ext xmlns:c16="http://schemas.microsoft.com/office/drawing/2014/chart" uri="{C3380CC4-5D6E-409C-BE32-E72D297353CC}">
                <c16:uniqueId val="{0000001B-D5B0-4862-904B-A8C7B42FCE91}"/>
              </c:ext>
            </c:extLst>
          </c:dPt>
          <c:dPt>
            <c:idx val="14"/>
            <c:bubble3D val="0"/>
            <c:spPr>
              <a:solidFill>
                <a:schemeClr val="accent3">
                  <a:lumMod val="80000"/>
                  <a:lumOff val="20000"/>
                  <a:alpha val="90000"/>
                </a:schemeClr>
              </a:solidFill>
              <a:ln w="19050">
                <a:solidFill>
                  <a:schemeClr val="accent3">
                    <a:lumMod val="80000"/>
                    <a:lumOff val="20000"/>
                    <a:lumMod val="75000"/>
                  </a:schemeClr>
                </a:solidFill>
              </a:ln>
              <a:effectLst>
                <a:innerShdw blurRad="114300">
                  <a:schemeClr val="accent3">
                    <a:lumMod val="80000"/>
                    <a:lumOff val="20000"/>
                    <a:lumMod val="75000"/>
                  </a:schemeClr>
                </a:innerShdw>
              </a:effectLst>
              <a:scene3d>
                <a:camera prst="orthographicFront"/>
                <a:lightRig rig="threePt" dir="t"/>
              </a:scene3d>
              <a:sp3d contourW="19050" prstMaterial="flat">
                <a:contourClr>
                  <a:schemeClr val="accent3">
                    <a:lumMod val="80000"/>
                    <a:lumOff val="20000"/>
                    <a:lumMod val="75000"/>
                  </a:schemeClr>
                </a:contourClr>
              </a:sp3d>
            </c:spPr>
            <c:extLst>
              <c:ext xmlns:c16="http://schemas.microsoft.com/office/drawing/2014/chart" uri="{C3380CC4-5D6E-409C-BE32-E72D297353CC}">
                <c16:uniqueId val="{0000001D-D5B0-4862-904B-A8C7B42FCE91}"/>
              </c:ext>
            </c:extLst>
          </c:dPt>
          <c:dPt>
            <c:idx val="15"/>
            <c:bubble3D val="0"/>
            <c:spPr>
              <a:solidFill>
                <a:schemeClr val="accent4">
                  <a:lumMod val="80000"/>
                  <a:lumOff val="20000"/>
                  <a:alpha val="90000"/>
                </a:schemeClr>
              </a:solidFill>
              <a:ln w="19050">
                <a:solidFill>
                  <a:schemeClr val="accent4">
                    <a:lumMod val="80000"/>
                    <a:lumOff val="20000"/>
                    <a:lumMod val="75000"/>
                  </a:schemeClr>
                </a:solidFill>
              </a:ln>
              <a:effectLst>
                <a:innerShdw blurRad="114300">
                  <a:schemeClr val="accent4">
                    <a:lumMod val="80000"/>
                    <a:lumOff val="20000"/>
                    <a:lumMod val="75000"/>
                  </a:schemeClr>
                </a:innerShdw>
              </a:effectLst>
              <a:scene3d>
                <a:camera prst="orthographicFront"/>
                <a:lightRig rig="threePt" dir="t"/>
              </a:scene3d>
              <a:sp3d contourW="19050" prstMaterial="flat">
                <a:contourClr>
                  <a:schemeClr val="accent4">
                    <a:lumMod val="80000"/>
                    <a:lumOff val="20000"/>
                    <a:lumMod val="75000"/>
                  </a:schemeClr>
                </a:contourClr>
              </a:sp3d>
            </c:spPr>
            <c:extLst>
              <c:ext xmlns:c16="http://schemas.microsoft.com/office/drawing/2014/chart" uri="{C3380CC4-5D6E-409C-BE32-E72D297353CC}">
                <c16:uniqueId val="{0000001F-D5B0-4862-904B-A8C7B42FCE91}"/>
              </c:ext>
            </c:extLst>
          </c:dPt>
          <c:dPt>
            <c:idx val="16"/>
            <c:bubble3D val="0"/>
            <c:spPr>
              <a:solidFill>
                <a:schemeClr val="accent5">
                  <a:lumMod val="80000"/>
                  <a:lumOff val="20000"/>
                  <a:alpha val="90000"/>
                </a:schemeClr>
              </a:solidFill>
              <a:ln w="19050">
                <a:solidFill>
                  <a:schemeClr val="accent5">
                    <a:lumMod val="80000"/>
                    <a:lumOff val="20000"/>
                    <a:lumMod val="75000"/>
                  </a:schemeClr>
                </a:solidFill>
              </a:ln>
              <a:effectLst>
                <a:innerShdw blurRad="114300">
                  <a:schemeClr val="accent5">
                    <a:lumMod val="80000"/>
                    <a:lumOff val="20000"/>
                    <a:lumMod val="75000"/>
                  </a:schemeClr>
                </a:innerShdw>
              </a:effectLst>
              <a:scene3d>
                <a:camera prst="orthographicFront"/>
                <a:lightRig rig="threePt" dir="t"/>
              </a:scene3d>
              <a:sp3d contourW="19050" prstMaterial="flat">
                <a:contourClr>
                  <a:schemeClr val="accent5">
                    <a:lumMod val="80000"/>
                    <a:lumOff val="20000"/>
                    <a:lumMod val="75000"/>
                  </a:schemeClr>
                </a:contourClr>
              </a:sp3d>
            </c:spPr>
            <c:extLst>
              <c:ext xmlns:c16="http://schemas.microsoft.com/office/drawing/2014/chart" uri="{C3380CC4-5D6E-409C-BE32-E72D297353CC}">
                <c16:uniqueId val="{00000021-D5B0-4862-904B-A8C7B42FCE91}"/>
              </c:ext>
            </c:extLst>
          </c:dPt>
          <c:dPt>
            <c:idx val="17"/>
            <c:bubble3D val="0"/>
            <c:spPr>
              <a:solidFill>
                <a:schemeClr val="accent6">
                  <a:lumMod val="80000"/>
                  <a:lumOff val="20000"/>
                  <a:alpha val="90000"/>
                </a:schemeClr>
              </a:solidFill>
              <a:ln w="19050">
                <a:solidFill>
                  <a:schemeClr val="accent6">
                    <a:lumMod val="80000"/>
                    <a:lumOff val="20000"/>
                    <a:lumMod val="75000"/>
                  </a:schemeClr>
                </a:solidFill>
              </a:ln>
              <a:effectLst>
                <a:innerShdw blurRad="114300">
                  <a:schemeClr val="accent6">
                    <a:lumMod val="80000"/>
                    <a:lumOff val="20000"/>
                    <a:lumMod val="75000"/>
                  </a:schemeClr>
                </a:innerShdw>
              </a:effectLst>
              <a:scene3d>
                <a:camera prst="orthographicFront"/>
                <a:lightRig rig="threePt" dir="t"/>
              </a:scene3d>
              <a:sp3d contourW="19050" prstMaterial="flat">
                <a:contourClr>
                  <a:schemeClr val="accent6">
                    <a:lumMod val="80000"/>
                    <a:lumOff val="20000"/>
                    <a:lumMod val="75000"/>
                  </a:schemeClr>
                </a:contourClr>
              </a:sp3d>
            </c:spPr>
            <c:extLst>
              <c:ext xmlns:c16="http://schemas.microsoft.com/office/drawing/2014/chart" uri="{C3380CC4-5D6E-409C-BE32-E72D297353CC}">
                <c16:uniqueId val="{00000023-D5B0-4862-904B-A8C7B42FCE91}"/>
              </c:ext>
            </c:extLst>
          </c:dPt>
          <c:dPt>
            <c:idx val="18"/>
            <c:bubble3D val="0"/>
            <c:spPr>
              <a:solidFill>
                <a:schemeClr val="accent1">
                  <a:lumMod val="80000"/>
                  <a:alpha val="90000"/>
                </a:schemeClr>
              </a:solidFill>
              <a:ln w="19050">
                <a:solidFill>
                  <a:schemeClr val="accent1">
                    <a:lumMod val="80000"/>
                    <a:lumMod val="75000"/>
                  </a:schemeClr>
                </a:solidFill>
              </a:ln>
              <a:effectLst>
                <a:innerShdw blurRad="114300">
                  <a:schemeClr val="accent1">
                    <a:lumMod val="80000"/>
                    <a:lumMod val="75000"/>
                  </a:schemeClr>
                </a:innerShdw>
              </a:effectLst>
              <a:scene3d>
                <a:camera prst="orthographicFront"/>
                <a:lightRig rig="threePt" dir="t"/>
              </a:scene3d>
              <a:sp3d contourW="19050" prstMaterial="flat">
                <a:contourClr>
                  <a:schemeClr val="accent1">
                    <a:lumMod val="80000"/>
                    <a:lumMod val="75000"/>
                  </a:schemeClr>
                </a:contourClr>
              </a:sp3d>
            </c:spPr>
            <c:extLst>
              <c:ext xmlns:c16="http://schemas.microsoft.com/office/drawing/2014/chart" uri="{C3380CC4-5D6E-409C-BE32-E72D297353CC}">
                <c16:uniqueId val="{00000025-D5B0-4862-904B-A8C7B42FCE91}"/>
              </c:ext>
            </c:extLst>
          </c:dPt>
          <c:dPt>
            <c:idx val="19"/>
            <c:bubble3D val="0"/>
            <c:spPr>
              <a:solidFill>
                <a:schemeClr val="accent2">
                  <a:lumMod val="80000"/>
                  <a:alpha val="90000"/>
                </a:schemeClr>
              </a:solidFill>
              <a:ln w="19050">
                <a:solidFill>
                  <a:schemeClr val="accent2">
                    <a:lumMod val="80000"/>
                    <a:lumMod val="75000"/>
                  </a:schemeClr>
                </a:solidFill>
              </a:ln>
              <a:effectLst>
                <a:innerShdw blurRad="114300">
                  <a:schemeClr val="accent2">
                    <a:lumMod val="80000"/>
                    <a:lumMod val="75000"/>
                  </a:schemeClr>
                </a:innerShdw>
              </a:effectLst>
              <a:scene3d>
                <a:camera prst="orthographicFront"/>
                <a:lightRig rig="threePt" dir="t"/>
              </a:scene3d>
              <a:sp3d contourW="19050" prstMaterial="flat">
                <a:contourClr>
                  <a:schemeClr val="accent2">
                    <a:lumMod val="80000"/>
                    <a:lumMod val="75000"/>
                  </a:schemeClr>
                </a:contourClr>
              </a:sp3d>
            </c:spPr>
            <c:extLst>
              <c:ext xmlns:c16="http://schemas.microsoft.com/office/drawing/2014/chart" uri="{C3380CC4-5D6E-409C-BE32-E72D297353CC}">
                <c16:uniqueId val="{00000027-D5B0-4862-904B-A8C7B42FCE91}"/>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1-D5B0-4862-904B-A8C7B42FCE91}"/>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D5B0-4862-904B-A8C7B42FCE91}"/>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5-D5B0-4862-904B-A8C7B42FCE91}"/>
                </c:ext>
              </c:extLst>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7-D5B0-4862-904B-A8C7B42FCE91}"/>
                </c:ext>
              </c:extLst>
            </c:dLbl>
            <c:dLbl>
              <c:idx val="4"/>
              <c:spPr>
                <a:solidFill>
                  <a:schemeClr val="lt1">
                    <a:alpha val="90000"/>
                  </a:schemeClr>
                </a:solidFill>
                <a:ln w="12700" cap="flat" cmpd="sng" algn="ctr">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9-D5B0-4862-904B-A8C7B42FCE91}"/>
                </c:ext>
              </c:extLst>
            </c:dLbl>
            <c:dLbl>
              <c:idx val="5"/>
              <c:spPr>
                <a:solidFill>
                  <a:schemeClr val="lt1">
                    <a:alpha val="90000"/>
                  </a:schemeClr>
                </a:solidFill>
                <a:ln w="12700" cap="flat" cmpd="sng" algn="ctr">
                  <a:solidFill>
                    <a:schemeClr val="accent6"/>
                  </a:solidFill>
                  <a:round/>
                </a:ln>
                <a:effectLst>
                  <a:outerShdw blurRad="50800" dist="38100" dir="2700000" algn="tl" rotWithShape="0">
                    <a:schemeClr val="accent6">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6"/>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B-D5B0-4862-904B-A8C7B42FCE91}"/>
                </c:ext>
              </c:extLst>
            </c:dLbl>
            <c:dLbl>
              <c:idx val="6"/>
              <c:spPr>
                <a:solidFill>
                  <a:schemeClr val="lt1">
                    <a:alpha val="90000"/>
                  </a:schemeClr>
                </a:solidFill>
                <a:ln w="12700" cap="flat" cmpd="sng" algn="ctr">
                  <a:solidFill>
                    <a:schemeClr val="accent1">
                      <a:lumMod val="60000"/>
                    </a:schemeClr>
                  </a:solidFill>
                  <a:round/>
                </a:ln>
                <a:effectLst>
                  <a:outerShdw blurRad="50800" dist="38100" dir="2700000" algn="tl" rotWithShape="0">
                    <a:schemeClr val="accent1">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lumMod val="6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D-D5B0-4862-904B-A8C7B42FCE91}"/>
                </c:ext>
              </c:extLst>
            </c:dLbl>
            <c:dLbl>
              <c:idx val="7"/>
              <c:spPr>
                <a:solidFill>
                  <a:schemeClr val="lt1">
                    <a:alpha val="90000"/>
                  </a:schemeClr>
                </a:solidFill>
                <a:ln w="12700" cap="flat" cmpd="sng" algn="ctr">
                  <a:solidFill>
                    <a:schemeClr val="accent2">
                      <a:lumMod val="60000"/>
                    </a:schemeClr>
                  </a:solidFill>
                  <a:round/>
                </a:ln>
                <a:effectLst>
                  <a:outerShdw blurRad="50800" dist="38100" dir="2700000" algn="tl" rotWithShape="0">
                    <a:schemeClr val="accent2">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lumMod val="6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F-D5B0-4862-904B-A8C7B42FCE91}"/>
                </c:ext>
              </c:extLst>
            </c:dLbl>
            <c:dLbl>
              <c:idx val="8"/>
              <c:spPr>
                <a:solidFill>
                  <a:schemeClr val="lt1">
                    <a:alpha val="90000"/>
                  </a:schemeClr>
                </a:solidFill>
                <a:ln w="12700" cap="flat" cmpd="sng" algn="ctr">
                  <a:solidFill>
                    <a:schemeClr val="accent3">
                      <a:lumMod val="60000"/>
                    </a:schemeClr>
                  </a:solidFill>
                  <a:round/>
                </a:ln>
                <a:effectLst>
                  <a:outerShdw blurRad="50800" dist="38100" dir="2700000" algn="tl" rotWithShape="0">
                    <a:schemeClr val="accent3">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lumMod val="6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11-D5B0-4862-904B-A8C7B42FCE91}"/>
                </c:ext>
              </c:extLst>
            </c:dLbl>
            <c:dLbl>
              <c:idx val="9"/>
              <c:spPr>
                <a:solidFill>
                  <a:schemeClr val="lt1">
                    <a:alpha val="90000"/>
                  </a:schemeClr>
                </a:solidFill>
                <a:ln w="12700" cap="flat" cmpd="sng" algn="ctr">
                  <a:solidFill>
                    <a:schemeClr val="accent4">
                      <a:lumMod val="60000"/>
                    </a:schemeClr>
                  </a:solidFill>
                  <a:round/>
                </a:ln>
                <a:effectLst>
                  <a:outerShdw blurRad="50800" dist="38100" dir="2700000" algn="tl" rotWithShape="0">
                    <a:schemeClr val="accent4">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lumMod val="6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13-D5B0-4862-904B-A8C7B42FCE91}"/>
                </c:ext>
              </c:extLst>
            </c:dLbl>
            <c:dLbl>
              <c:idx val="10"/>
              <c:spPr>
                <a:solidFill>
                  <a:schemeClr val="lt1">
                    <a:alpha val="90000"/>
                  </a:schemeClr>
                </a:solidFill>
                <a:ln w="12700" cap="flat" cmpd="sng" algn="ctr">
                  <a:solidFill>
                    <a:schemeClr val="accent5">
                      <a:lumMod val="60000"/>
                    </a:schemeClr>
                  </a:solidFill>
                  <a:round/>
                </a:ln>
                <a:effectLst>
                  <a:outerShdw blurRad="50800" dist="38100" dir="2700000" algn="tl" rotWithShape="0">
                    <a:schemeClr val="accent5">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lumMod val="6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15-D5B0-4862-904B-A8C7B42FCE91}"/>
                </c:ext>
              </c:extLst>
            </c:dLbl>
            <c:dLbl>
              <c:idx val="11"/>
              <c:spPr>
                <a:solidFill>
                  <a:schemeClr val="lt1">
                    <a:alpha val="90000"/>
                  </a:schemeClr>
                </a:solidFill>
                <a:ln w="12700" cap="flat" cmpd="sng" algn="ctr">
                  <a:solidFill>
                    <a:schemeClr val="accent6">
                      <a:lumMod val="60000"/>
                    </a:schemeClr>
                  </a:solidFill>
                  <a:round/>
                </a:ln>
                <a:effectLst>
                  <a:outerShdw blurRad="50800" dist="38100" dir="2700000" algn="tl" rotWithShape="0">
                    <a:schemeClr val="accent6">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6">
                          <a:lumMod val="6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17-D5B0-4862-904B-A8C7B42FCE91}"/>
                </c:ext>
              </c:extLst>
            </c:dLbl>
            <c:dLbl>
              <c:idx val="12"/>
              <c:spPr>
                <a:solidFill>
                  <a:schemeClr val="lt1">
                    <a:alpha val="90000"/>
                  </a:schemeClr>
                </a:solidFill>
                <a:ln w="12700" cap="flat" cmpd="sng" algn="ctr">
                  <a:solidFill>
                    <a:schemeClr val="accent1">
                      <a:lumMod val="80000"/>
                      <a:lumOff val="20000"/>
                    </a:schemeClr>
                  </a:solidFill>
                  <a:round/>
                </a:ln>
                <a:effectLst>
                  <a:outerShdw blurRad="50800" dist="38100" dir="2700000" algn="tl" rotWithShape="0">
                    <a:schemeClr val="accent1">
                      <a:lumMod val="80000"/>
                      <a:lumOff val="2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lumMod val="80000"/>
                          <a:lumOff val="2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19-D5B0-4862-904B-A8C7B42FCE91}"/>
                </c:ext>
              </c:extLst>
            </c:dLbl>
            <c:dLbl>
              <c:idx val="13"/>
              <c:spPr>
                <a:solidFill>
                  <a:schemeClr val="lt1">
                    <a:alpha val="90000"/>
                  </a:schemeClr>
                </a:solidFill>
                <a:ln w="12700" cap="flat" cmpd="sng" algn="ctr">
                  <a:solidFill>
                    <a:schemeClr val="accent2">
                      <a:lumMod val="80000"/>
                      <a:lumOff val="20000"/>
                    </a:schemeClr>
                  </a:solidFill>
                  <a:round/>
                </a:ln>
                <a:effectLst>
                  <a:outerShdw blurRad="50800" dist="38100" dir="2700000" algn="tl" rotWithShape="0">
                    <a:schemeClr val="accent2">
                      <a:lumMod val="80000"/>
                      <a:lumOff val="2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lumMod val="80000"/>
                          <a:lumOff val="2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1B-D5B0-4862-904B-A8C7B42FCE91}"/>
                </c:ext>
              </c:extLst>
            </c:dLbl>
            <c:dLbl>
              <c:idx val="14"/>
              <c:spPr>
                <a:solidFill>
                  <a:schemeClr val="lt1">
                    <a:alpha val="90000"/>
                  </a:schemeClr>
                </a:solidFill>
                <a:ln w="12700" cap="flat" cmpd="sng" algn="ctr">
                  <a:solidFill>
                    <a:schemeClr val="accent3">
                      <a:lumMod val="80000"/>
                      <a:lumOff val="20000"/>
                    </a:schemeClr>
                  </a:solidFill>
                  <a:round/>
                </a:ln>
                <a:effectLst>
                  <a:outerShdw blurRad="50800" dist="38100" dir="2700000" algn="tl" rotWithShape="0">
                    <a:schemeClr val="accent3">
                      <a:lumMod val="80000"/>
                      <a:lumOff val="2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lumMod val="80000"/>
                          <a:lumOff val="2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1D-D5B0-4862-904B-A8C7B42FCE91}"/>
                </c:ext>
              </c:extLst>
            </c:dLbl>
            <c:dLbl>
              <c:idx val="15"/>
              <c:spPr>
                <a:solidFill>
                  <a:schemeClr val="lt1">
                    <a:alpha val="90000"/>
                  </a:schemeClr>
                </a:solidFill>
                <a:ln w="12700" cap="flat" cmpd="sng" algn="ctr">
                  <a:solidFill>
                    <a:schemeClr val="accent4">
                      <a:lumMod val="80000"/>
                      <a:lumOff val="20000"/>
                    </a:schemeClr>
                  </a:solidFill>
                  <a:round/>
                </a:ln>
                <a:effectLst>
                  <a:outerShdw blurRad="50800" dist="38100" dir="2700000" algn="tl" rotWithShape="0">
                    <a:schemeClr val="accent4">
                      <a:lumMod val="80000"/>
                      <a:lumOff val="2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lumMod val="80000"/>
                          <a:lumOff val="2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1F-D5B0-4862-904B-A8C7B42FCE91}"/>
                </c:ext>
              </c:extLst>
            </c:dLbl>
            <c:dLbl>
              <c:idx val="16"/>
              <c:spPr>
                <a:solidFill>
                  <a:schemeClr val="lt1">
                    <a:alpha val="90000"/>
                  </a:schemeClr>
                </a:solidFill>
                <a:ln w="12700" cap="flat" cmpd="sng" algn="ctr">
                  <a:solidFill>
                    <a:schemeClr val="accent5">
                      <a:lumMod val="80000"/>
                      <a:lumOff val="20000"/>
                    </a:schemeClr>
                  </a:solidFill>
                  <a:round/>
                </a:ln>
                <a:effectLst>
                  <a:outerShdw blurRad="50800" dist="38100" dir="2700000" algn="tl" rotWithShape="0">
                    <a:schemeClr val="accent5">
                      <a:lumMod val="80000"/>
                      <a:lumOff val="2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lumMod val="80000"/>
                          <a:lumOff val="2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21-D5B0-4862-904B-A8C7B42FCE91}"/>
                </c:ext>
              </c:extLst>
            </c:dLbl>
            <c:dLbl>
              <c:idx val="17"/>
              <c:spPr>
                <a:solidFill>
                  <a:schemeClr val="lt1">
                    <a:alpha val="90000"/>
                  </a:schemeClr>
                </a:solidFill>
                <a:ln w="12700" cap="flat" cmpd="sng" algn="ctr">
                  <a:solidFill>
                    <a:schemeClr val="accent6">
                      <a:lumMod val="80000"/>
                      <a:lumOff val="20000"/>
                    </a:schemeClr>
                  </a:solidFill>
                  <a:round/>
                </a:ln>
                <a:effectLst>
                  <a:outerShdw blurRad="50800" dist="38100" dir="2700000" algn="tl" rotWithShape="0">
                    <a:schemeClr val="accent6">
                      <a:lumMod val="80000"/>
                      <a:lumOff val="2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6">
                          <a:lumMod val="80000"/>
                          <a:lumOff val="2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23-D5B0-4862-904B-A8C7B42FCE91}"/>
                </c:ext>
              </c:extLst>
            </c:dLbl>
            <c:dLbl>
              <c:idx val="18"/>
              <c:spPr>
                <a:solidFill>
                  <a:schemeClr val="lt1">
                    <a:alpha val="90000"/>
                  </a:schemeClr>
                </a:solidFill>
                <a:ln w="12700" cap="flat" cmpd="sng" algn="ctr">
                  <a:solidFill>
                    <a:schemeClr val="accent1">
                      <a:lumMod val="80000"/>
                    </a:schemeClr>
                  </a:solidFill>
                  <a:round/>
                </a:ln>
                <a:effectLst>
                  <a:outerShdw blurRad="50800" dist="38100" dir="2700000" algn="tl" rotWithShape="0">
                    <a:schemeClr val="accent1">
                      <a:lumMod val="8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lumMod val="8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25-D5B0-4862-904B-A8C7B42FCE91}"/>
                </c:ext>
              </c:extLst>
            </c:dLbl>
            <c:dLbl>
              <c:idx val="19"/>
              <c:spPr>
                <a:solidFill>
                  <a:schemeClr val="lt1">
                    <a:alpha val="90000"/>
                  </a:schemeClr>
                </a:solidFill>
                <a:ln w="12700" cap="flat" cmpd="sng" algn="ctr">
                  <a:solidFill>
                    <a:schemeClr val="accent2">
                      <a:lumMod val="80000"/>
                    </a:schemeClr>
                  </a:solidFill>
                  <a:round/>
                </a:ln>
                <a:effectLst>
                  <a:outerShdw blurRad="50800" dist="38100" dir="2700000" algn="tl" rotWithShape="0">
                    <a:schemeClr val="accent2">
                      <a:lumMod val="8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lumMod val="80000"/>
                        </a:schemeClr>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27-D5B0-4862-904B-A8C7B42FCE91}"/>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'[2059202.xlsx]Sheet1'!$A$2:$A$21</c:f>
              <c:strCache>
                <c:ptCount val="20"/>
                <c:pt idx="0">
                  <c:v>JYSK AB</c:v>
                </c:pt>
                <c:pt idx="1">
                  <c:v>Ellos AB</c:v>
                </c:pt>
                <c:pt idx="2">
                  <c:v>Ingka Services AB</c:v>
                </c:pt>
                <c:pt idx="3">
                  <c:v>Home Furnishing Nordic AB</c:v>
                </c:pt>
                <c:pt idx="4">
                  <c:v>Kinnarps AB</c:v>
                </c:pt>
                <c:pt idx="5">
                  <c:v>Mio Forsaljning AB</c:v>
                </c:pt>
                <c:pt idx="6">
                  <c:v>Royal Desing Group AB</c:v>
                </c:pt>
                <c:pt idx="7">
                  <c:v>Nobia Production AB</c:v>
                </c:pt>
                <c:pt idx="8">
                  <c:v>BRO Mobler Aktiebolag</c:v>
                </c:pt>
                <c:pt idx="9">
                  <c:v>IKEA Industry AB</c:v>
                </c:pt>
                <c:pt idx="10">
                  <c:v>Ballingslov</c:v>
                </c:pt>
                <c:pt idx="11">
                  <c:v>ITX Sverige</c:v>
                </c:pt>
                <c:pt idx="12">
                  <c:v>Aktiebolaget Gyllensvaans</c:v>
                </c:pt>
                <c:pt idx="13">
                  <c:v>Hilding Anders Sweden AB</c:v>
                </c:pt>
                <c:pt idx="14">
                  <c:v>Vedum KOK och Bad Aktiebolag</c:v>
                </c:pt>
                <c:pt idx="15">
                  <c:v>SOVA AB</c:v>
                </c:pt>
                <c:pt idx="16">
                  <c:v>Flokk AB</c:v>
                </c:pt>
                <c:pt idx="17">
                  <c:v>Elfa Sweden Aktiebolag</c:v>
                </c:pt>
                <c:pt idx="18">
                  <c:v>Kinnarps Sverige Forsaljning AB</c:v>
                </c:pt>
                <c:pt idx="19">
                  <c:v>Salijisten Akyiebolag</c:v>
                </c:pt>
              </c:strCache>
            </c:strRef>
          </c:cat>
          <c:val>
            <c:numRef>
              <c:f>'[2059202.xlsx]Sheet1'!$B$2:$B$21</c:f>
              <c:numCache>
                <c:formatCode>General</c:formatCode>
                <c:ptCount val="20"/>
                <c:pt idx="0">
                  <c:v>4459</c:v>
                </c:pt>
                <c:pt idx="1">
                  <c:v>2500</c:v>
                </c:pt>
                <c:pt idx="2">
                  <c:v>1912</c:v>
                </c:pt>
                <c:pt idx="3">
                  <c:v>1855</c:v>
                </c:pt>
                <c:pt idx="4">
                  <c:v>1803</c:v>
                </c:pt>
                <c:pt idx="5">
                  <c:v>1576</c:v>
                </c:pt>
                <c:pt idx="6">
                  <c:v>1354</c:v>
                </c:pt>
                <c:pt idx="7">
                  <c:v>1285</c:v>
                </c:pt>
                <c:pt idx="8">
                  <c:v>1269</c:v>
                </c:pt>
                <c:pt idx="9">
                  <c:v>1215</c:v>
                </c:pt>
                <c:pt idx="10">
                  <c:v>1056</c:v>
                </c:pt>
                <c:pt idx="11">
                  <c:v>981</c:v>
                </c:pt>
                <c:pt idx="12">
                  <c:v>869</c:v>
                </c:pt>
                <c:pt idx="13">
                  <c:v>802</c:v>
                </c:pt>
                <c:pt idx="14">
                  <c:v>765</c:v>
                </c:pt>
                <c:pt idx="15">
                  <c:v>749</c:v>
                </c:pt>
                <c:pt idx="16">
                  <c:v>654</c:v>
                </c:pt>
                <c:pt idx="17">
                  <c:v>623</c:v>
                </c:pt>
                <c:pt idx="18">
                  <c:v>594</c:v>
                </c:pt>
                <c:pt idx="19">
                  <c:v>504</c:v>
                </c:pt>
              </c:numCache>
            </c:numRef>
          </c:val>
          <c:extLst>
            <c:ext xmlns:c16="http://schemas.microsoft.com/office/drawing/2014/chart" uri="{C3380CC4-5D6E-409C-BE32-E72D297353CC}">
              <c16:uniqueId val="{00000028-D5B0-4862-904B-A8C7B42FCE91}"/>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Global</a:t>
            </a:r>
            <a:r>
              <a:rPr lang="en-US" baseline="0"/>
              <a:t> M</a:t>
            </a:r>
            <a:r>
              <a:rPr lang="en-US"/>
              <a:t>arket Share of IKEA</a:t>
            </a:r>
          </a:p>
        </c:rich>
      </c:tx>
      <c:overlay val="0"/>
      <c:spPr>
        <a:noFill/>
        <a:ln>
          <a:noFill/>
        </a:ln>
        <a:effectLst/>
      </c:spPr>
    </c:title>
    <c:autoTitleDeleted val="0"/>
    <c:plotArea>
      <c:layout/>
      <c:barChart>
        <c:barDir val="bar"/>
        <c:grouping val="clustered"/>
        <c:varyColors val="0"/>
        <c:ser>
          <c:idx val="0"/>
          <c:order val="0"/>
          <c:tx>
            <c:strRef>
              <c:f>'[2059202.xlsx]Sheet5'!$B$1</c:f>
              <c:strCache>
                <c:ptCount val="1"/>
                <c:pt idx="0">
                  <c:v>market share</c:v>
                </c:pt>
              </c:strCache>
            </c:strRef>
          </c:tx>
          <c:spPr>
            <a:solidFill>
              <a:schemeClr val="accent1"/>
            </a:solidFill>
            <a:ln>
              <a:noFill/>
            </a:ln>
            <a:effectLst>
              <a:outerShdw blurRad="317500" algn="ctr" rotWithShape="0">
                <a:prstClr val="black">
                  <a:alpha val="25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'[2059202.xlsx]Sheet5'!$A$2:$A$6</c:f>
              <c:strCache>
                <c:ptCount val="5"/>
                <c:pt idx="0">
                  <c:v>Germany</c:v>
                </c:pt>
                <c:pt idx="1">
                  <c:v>USA</c:v>
                </c:pt>
                <c:pt idx="2">
                  <c:v>France</c:v>
                </c:pt>
                <c:pt idx="3">
                  <c:v>UK</c:v>
                </c:pt>
                <c:pt idx="4">
                  <c:v>China</c:v>
                </c:pt>
              </c:strCache>
            </c:strRef>
          </c:cat>
          <c:val>
            <c:numRef>
              <c:f>'[2059202.xlsx]Sheet5'!$B$2:$B$6</c:f>
              <c:numCache>
                <c:formatCode>0.00%</c:formatCode>
                <c:ptCount val="5"/>
                <c:pt idx="0">
                  <c:v>0.14199999999999999</c:v>
                </c:pt>
                <c:pt idx="1">
                  <c:v>0.13400000000000001</c:v>
                </c:pt>
                <c:pt idx="2">
                  <c:v>7.6999999999999999E-2</c:v>
                </c:pt>
                <c:pt idx="3" formatCode="0%">
                  <c:v>0.06</c:v>
                </c:pt>
                <c:pt idx="4">
                  <c:v>5.0999999999999997E-2</c:v>
                </c:pt>
              </c:numCache>
            </c:numRef>
          </c:val>
          <c:extLst>
            <c:ext xmlns:c16="http://schemas.microsoft.com/office/drawing/2014/chart" uri="{C3380CC4-5D6E-409C-BE32-E72D297353CC}">
              <c16:uniqueId val="{00000000-8C70-4823-86DE-94DCBB25CA14}"/>
            </c:ext>
          </c:extLst>
        </c:ser>
        <c:dLbls>
          <c:showLegendKey val="0"/>
          <c:showVal val="0"/>
          <c:showCatName val="0"/>
          <c:showSerName val="0"/>
          <c:showPercent val="0"/>
          <c:showBubbleSize val="0"/>
        </c:dLbls>
        <c:gapWidth val="150"/>
        <c:axId val="154913792"/>
        <c:axId val="154692416"/>
      </c:barChart>
      <c:valAx>
        <c:axId val="154692416"/>
        <c:scaling>
          <c:orientation val="minMax"/>
        </c:scaling>
        <c:delete val="0"/>
        <c:axPos val="b"/>
        <c:majorGridlines>
          <c:spPr>
            <a:ln w="9525" cap="flat" cmpd="sng" algn="ctr">
              <a:solidFill>
                <a:schemeClr val="dk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54913792"/>
        <c:crosses val="autoZero"/>
        <c:crossBetween val="between"/>
      </c:valAx>
      <c:catAx>
        <c:axId val="154913792"/>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54692416"/>
        <c:crosses val="autoZero"/>
        <c:auto val="1"/>
        <c:lblAlgn val="ctr"/>
        <c:lblOffset val="100"/>
        <c:noMultiLvlLbl val="0"/>
      </c:catAx>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Retail Sales of IKEA (in billion Euros)</a:t>
            </a:r>
          </a:p>
        </c:rich>
      </c:tx>
      <c:overlay val="0"/>
      <c:spPr>
        <a:noFill/>
        <a:ln>
          <a:noFill/>
        </a:ln>
        <a:effectLst/>
      </c:spPr>
    </c:title>
    <c:autoTitleDeleted val="0"/>
    <c:plotArea>
      <c:layout/>
      <c:lineChart>
        <c:grouping val="standard"/>
        <c:varyColors val="0"/>
        <c:ser>
          <c:idx val="0"/>
          <c:order val="0"/>
          <c:tx>
            <c:strRef>
              <c:f>'[2059202.xlsx]Sheet6'!$B$1</c:f>
              <c:strCache>
                <c:ptCount val="1"/>
                <c:pt idx="0">
                  <c:v>Retail Sales (in billion Euros)</c:v>
                </c:pt>
              </c:strCache>
            </c:strRef>
          </c:tx>
          <c:spPr>
            <a:ln w="22225" cap="rnd">
              <a:solidFill>
                <a:schemeClr val="accent1"/>
              </a:solidFill>
            </a:ln>
            <a:effectLst>
              <a:glow rad="139700">
                <a:schemeClr val="accent1">
                  <a:satMod val="175000"/>
                  <a:alpha val="14000"/>
                </a:schemeClr>
              </a:glow>
            </a:effectLst>
          </c:spPr>
          <c:marker>
            <c:symbol val="none"/>
          </c:marker>
          <c:cat>
            <c:numRef>
              <c:f>'[2059202.xlsx]Sheet6'!$A$2:$A$7</c:f>
              <c:numCache>
                <c:formatCode>General</c:formatCode>
                <c:ptCount val="6"/>
                <c:pt idx="0">
                  <c:v>2016</c:v>
                </c:pt>
                <c:pt idx="1">
                  <c:v>2017</c:v>
                </c:pt>
                <c:pt idx="2">
                  <c:v>2018</c:v>
                </c:pt>
                <c:pt idx="3">
                  <c:v>2019</c:v>
                </c:pt>
                <c:pt idx="4">
                  <c:v>2020</c:v>
                </c:pt>
                <c:pt idx="5">
                  <c:v>2021</c:v>
                </c:pt>
              </c:numCache>
            </c:numRef>
          </c:cat>
          <c:val>
            <c:numRef>
              <c:f>'[2059202.xlsx]Sheet6'!$B$2:$B$7</c:f>
              <c:numCache>
                <c:formatCode>General</c:formatCode>
                <c:ptCount val="6"/>
                <c:pt idx="0">
                  <c:v>36.4</c:v>
                </c:pt>
                <c:pt idx="1">
                  <c:v>38.299999999999997</c:v>
                </c:pt>
                <c:pt idx="2">
                  <c:v>38.799999999999997</c:v>
                </c:pt>
                <c:pt idx="3">
                  <c:v>41.3</c:v>
                </c:pt>
                <c:pt idx="4">
                  <c:v>39.6</c:v>
                </c:pt>
                <c:pt idx="5">
                  <c:v>41.9</c:v>
                </c:pt>
              </c:numCache>
            </c:numRef>
          </c:val>
          <c:smooth val="0"/>
          <c:extLst>
            <c:ext xmlns:c16="http://schemas.microsoft.com/office/drawing/2014/chart" uri="{C3380CC4-5D6E-409C-BE32-E72D297353CC}">
              <c16:uniqueId val="{00000000-7509-4A8E-A885-19B35A75DAB6}"/>
            </c:ext>
          </c:extLst>
        </c:ser>
        <c:dLbls>
          <c:showLegendKey val="0"/>
          <c:showVal val="0"/>
          <c:showCatName val="0"/>
          <c:showSerName val="0"/>
          <c:showPercent val="0"/>
          <c:showBubbleSize val="0"/>
        </c:dLbls>
        <c:smooth val="0"/>
        <c:axId val="158111232"/>
        <c:axId val="154694144"/>
      </c:lineChart>
      <c:catAx>
        <c:axId val="15811123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IN"/>
                  <a:t>Years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54694144"/>
        <c:crosses val="autoZero"/>
        <c:auto val="1"/>
        <c:lblAlgn val="ctr"/>
        <c:lblOffset val="100"/>
        <c:noMultiLvlLbl val="0"/>
      </c:catAx>
      <c:valAx>
        <c:axId val="154694144"/>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IN"/>
                  <a:t>Billion Euros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581112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2C40F0539604AB68FC08F085DE48505"/>
        <w:category>
          <w:name w:val="General"/>
          <w:gallery w:val="placeholder"/>
        </w:category>
        <w:types>
          <w:type w:val="bbPlcHdr"/>
        </w:types>
        <w:behaviors>
          <w:behavior w:val="content"/>
        </w:behaviors>
        <w:guid w:val="{8F4A379D-0BE9-407D-AD6D-051FB5E81595}"/>
      </w:docPartPr>
      <w:docPartBody>
        <w:p w:rsidR="00000000" w:rsidRDefault="00BE7393" w:rsidP="00BE7393">
          <w:pPr>
            <w:pStyle w:val="A2C40F0539604AB68FC08F085DE48505"/>
          </w:pPr>
          <w:r>
            <w:rPr>
              <w:rFonts w:asciiTheme="majorHAnsi" w:eastAsiaTheme="majorEastAsia" w:hAnsiTheme="majorHAnsi" w:cstheme="majorBidi"/>
              <w:sz w:val="80"/>
              <w:szCs w:val="80"/>
            </w:rPr>
            <w:t>[Type the document title]</w:t>
          </w:r>
        </w:p>
      </w:docPartBody>
    </w:docPart>
    <w:docPart>
      <w:docPartPr>
        <w:name w:val="88DD35C4512E4D279A71F31F7D6D131B"/>
        <w:category>
          <w:name w:val="General"/>
          <w:gallery w:val="placeholder"/>
        </w:category>
        <w:types>
          <w:type w:val="bbPlcHdr"/>
        </w:types>
        <w:behaviors>
          <w:behavior w:val="content"/>
        </w:behaviors>
        <w:guid w:val="{C8E092D1-E629-49DA-AC9B-E6B7CD7A6067}"/>
      </w:docPartPr>
      <w:docPartBody>
        <w:p w:rsidR="00000000" w:rsidRDefault="00BE7393" w:rsidP="00BE7393">
          <w:pPr>
            <w:pStyle w:val="88DD35C4512E4D279A71F31F7D6D131B"/>
          </w:pPr>
          <w:r>
            <w:rPr>
              <w:rFonts w:asciiTheme="majorHAnsi" w:eastAsiaTheme="majorEastAsia" w:hAnsiTheme="majorHAnsi" w:cstheme="majorBidi"/>
              <w:sz w:val="44"/>
              <w:szCs w:val="44"/>
            </w:rPr>
            <w:t>[Type the document subtitle]</w:t>
          </w:r>
        </w:p>
      </w:docPartBody>
    </w:docPart>
    <w:docPart>
      <w:docPartPr>
        <w:name w:val="3C08BED47423469D9777FE16B0D9B15F"/>
        <w:category>
          <w:name w:val="General"/>
          <w:gallery w:val="placeholder"/>
        </w:category>
        <w:types>
          <w:type w:val="bbPlcHdr"/>
        </w:types>
        <w:behaviors>
          <w:behavior w:val="content"/>
        </w:behaviors>
        <w:guid w:val="{B2ADEC18-75AC-4217-887C-0AC8D9ECF756}"/>
      </w:docPartPr>
      <w:docPartBody>
        <w:p w:rsidR="00000000" w:rsidRDefault="00BE7393" w:rsidP="00BE7393">
          <w:pPr>
            <w:pStyle w:val="3C08BED47423469D9777FE16B0D9B15F"/>
          </w:pPr>
          <w:r>
            <w:rPr>
              <w:b/>
              <w:bCs/>
            </w:rPr>
            <w:t>[Type the author name]</w:t>
          </w:r>
        </w:p>
      </w:docPartBody>
    </w:docPart>
    <w:docPart>
      <w:docPartPr>
        <w:name w:val="8CC74D32D68344E6A849C333FCA46901"/>
        <w:category>
          <w:name w:val="General"/>
          <w:gallery w:val="placeholder"/>
        </w:category>
        <w:types>
          <w:type w:val="bbPlcHdr"/>
        </w:types>
        <w:behaviors>
          <w:behavior w:val="content"/>
        </w:behaviors>
        <w:guid w:val="{81B36750-A356-4903-984D-B45D96160331}"/>
      </w:docPartPr>
      <w:docPartBody>
        <w:p w:rsidR="00000000" w:rsidRDefault="00BE7393" w:rsidP="00BE7393">
          <w:pPr>
            <w:pStyle w:val="8CC74D32D68344E6A849C333FCA46901"/>
          </w:pPr>
          <w:r>
            <w:rPr>
              <w:rFonts w:asciiTheme="majorHAnsi" w:eastAsiaTheme="majorEastAsia" w:hAnsiTheme="majorHAnsi" w:cstheme="majorBidi"/>
              <w:caps/>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393"/>
    <w:rsid w:val="003A39D4"/>
    <w:rsid w:val="00BE73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3BE04EE0FB40A0AB9199BAC83C88C8">
    <w:name w:val="D93BE04EE0FB40A0AB9199BAC83C88C8"/>
    <w:rsid w:val="00BE7393"/>
  </w:style>
  <w:style w:type="paragraph" w:customStyle="1" w:styleId="50F223D1FF7949EFBB423F1A4574D610">
    <w:name w:val="50F223D1FF7949EFBB423F1A4574D610"/>
    <w:rsid w:val="00BE7393"/>
  </w:style>
  <w:style w:type="paragraph" w:customStyle="1" w:styleId="3D72B4EE3C5148678375EA3164232EF7">
    <w:name w:val="3D72B4EE3C5148678375EA3164232EF7"/>
    <w:rsid w:val="00BE7393"/>
  </w:style>
  <w:style w:type="paragraph" w:customStyle="1" w:styleId="D18BE6E7157547499C7967E25DD3477D">
    <w:name w:val="D18BE6E7157547499C7967E25DD3477D"/>
    <w:rsid w:val="00BE7393"/>
  </w:style>
  <w:style w:type="paragraph" w:customStyle="1" w:styleId="E26A63462CD8438DB3FBA7F766696E06">
    <w:name w:val="E26A63462CD8438DB3FBA7F766696E06"/>
    <w:rsid w:val="00BE7393"/>
  </w:style>
  <w:style w:type="paragraph" w:customStyle="1" w:styleId="A2C40F0539604AB68FC08F085DE48505">
    <w:name w:val="A2C40F0539604AB68FC08F085DE48505"/>
    <w:rsid w:val="00BE7393"/>
  </w:style>
  <w:style w:type="paragraph" w:customStyle="1" w:styleId="88DD35C4512E4D279A71F31F7D6D131B">
    <w:name w:val="88DD35C4512E4D279A71F31F7D6D131B"/>
    <w:rsid w:val="00BE7393"/>
  </w:style>
  <w:style w:type="paragraph" w:customStyle="1" w:styleId="3C08BED47423469D9777FE16B0D9B15F">
    <w:name w:val="3C08BED47423469D9777FE16B0D9B15F"/>
    <w:rsid w:val="00BE7393"/>
  </w:style>
  <w:style w:type="paragraph" w:customStyle="1" w:styleId="C2707AB636EF435FB971CA8A3AD8708B">
    <w:name w:val="C2707AB636EF435FB971CA8A3AD8708B"/>
    <w:rsid w:val="00BE7393"/>
  </w:style>
  <w:style w:type="paragraph" w:customStyle="1" w:styleId="8CC74D32D68344E6A849C333FCA46901">
    <w:name w:val="8CC74D32D68344E6A849C333FCA46901"/>
    <w:rsid w:val="00BE7393"/>
  </w:style>
  <w:style w:type="paragraph" w:customStyle="1" w:styleId="69AE22A5397B4EE48666F883EDB98BD7">
    <w:name w:val="69AE22A5397B4EE48666F883EDB98BD7"/>
    <w:rsid w:val="00BE73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ID 2013043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98C712-8577-429E-84B5-009EC67D9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3287</Words>
  <Characters>18739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21983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 structure and operations of IKEA</dc:title>
  <dc:subject>LCBB5003</dc:subject>
  <dc:creator>BORISLAVA ZLATANOVA</dc:creator>
  <cp:lastModifiedBy>Nina Zlatanova</cp:lastModifiedBy>
  <cp:revision>2</cp:revision>
  <dcterms:created xsi:type="dcterms:W3CDTF">2022-09-09T18:28:00Z</dcterms:created>
  <dcterms:modified xsi:type="dcterms:W3CDTF">2022-09-09T18:28:00Z</dcterms:modified>
</cp:coreProperties>
</file>