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4.11.0 -->
  <w:body>
    <w:p w:rsidR="009C3C83" w:rsidRPr="00783EB3" w:rsidP="008705BE" w14:paraId="22693AA9" w14:textId="77777777">
      <w:pPr>
        <w:jc w:val="center"/>
        <w:rPr>
          <w:rFonts w:ascii="Arial" w:hAnsi="Arial" w:cs="Arial"/>
          <w:sz w:val="22"/>
          <w:szCs w:val="22"/>
          <w:lang w:val="en-GB"/>
        </w:rPr>
      </w:pPr>
    </w:p>
    <w:p w:rsidR="009C3C83" w:rsidRPr="00783EB3" w:rsidP="008705BE" w14:paraId="049BF4A3" w14:textId="77777777">
      <w:pPr>
        <w:jc w:val="center"/>
        <w:rPr>
          <w:rFonts w:ascii="Arial" w:hAnsi="Arial" w:cs="Arial"/>
          <w:b/>
          <w:bCs/>
          <w:lang w:val="en-GB"/>
        </w:rPr>
      </w:pPr>
    </w:p>
    <w:p w:rsidR="009C3C83" w:rsidRPr="00783EB3" w:rsidP="008705BE" w14:paraId="47A72FB9" w14:textId="77777777">
      <w:pPr>
        <w:jc w:val="center"/>
        <w:rPr>
          <w:rFonts w:ascii="Arial" w:hAnsi="Arial" w:cs="Arial"/>
          <w:b/>
          <w:bCs/>
          <w:lang w:val="en-GB"/>
        </w:rPr>
      </w:pPr>
    </w:p>
    <w:p w:rsidR="009C3C83" w:rsidRPr="00783EB3" w:rsidP="008705BE" w14:paraId="4030250C" w14:textId="77777777">
      <w:pPr>
        <w:jc w:val="center"/>
        <w:rPr>
          <w:rFonts w:ascii="Arial" w:hAnsi="Arial" w:cs="Arial"/>
          <w:b/>
          <w:bCs/>
          <w:lang w:val="en-GB"/>
        </w:rPr>
      </w:pPr>
    </w:p>
    <w:p w:rsidR="009C3C83" w:rsidRPr="00783EB3" w:rsidP="008705BE" w14:paraId="1BB40240" w14:textId="73DEAA17">
      <w:pPr>
        <w:jc w:val="center"/>
        <w:rPr>
          <w:rFonts w:ascii="Arial" w:hAnsi="Arial" w:cs="Arial"/>
          <w:b/>
          <w:bCs/>
          <w:lang w:val="en-GB"/>
        </w:rPr>
      </w:pPr>
      <w:r w:rsidRPr="00783EB3">
        <w:rPr>
          <w:rFonts w:ascii="Arial" w:hAnsi="Arial" w:cs="Arial"/>
          <w:b/>
          <w:bCs/>
          <w:lang w:val="en-GB"/>
        </w:rPr>
        <w:t>Component 2: Written Assignment (Report)</w:t>
      </w:r>
    </w:p>
    <w:p w:rsidR="009C3C83" w:rsidRPr="00783EB3" w:rsidP="008705BE" w14:paraId="65971F08" w14:textId="77777777">
      <w:pPr>
        <w:jc w:val="center"/>
        <w:rPr>
          <w:rFonts w:ascii="Arial" w:hAnsi="Arial" w:cs="Arial"/>
          <w:b/>
          <w:bCs/>
          <w:lang w:val="en-GB"/>
        </w:rPr>
      </w:pPr>
    </w:p>
    <w:p w:rsidR="008705BE" w:rsidRPr="00783EB3" w:rsidP="009C3C83" w14:paraId="526CAA00" w14:textId="1ADC5A91">
      <w:pPr>
        <w:jc w:val="center"/>
        <w:rPr>
          <w:rFonts w:ascii="Arial" w:hAnsi="Arial" w:cs="Arial"/>
          <w:b/>
          <w:bCs/>
          <w:lang w:val="en-GB"/>
        </w:rPr>
      </w:pPr>
      <w:r w:rsidRPr="00783EB3">
        <w:rPr>
          <w:rFonts w:ascii="Arial" w:hAnsi="Arial" w:cs="Arial"/>
          <w:b/>
          <w:bCs/>
          <w:lang w:val="en-GB"/>
        </w:rPr>
        <w:t>Critical Examination of Social Anxiety Disorder: Classification, Diagnosis, Treatment, and Rehabilitation in ICD-11</w:t>
      </w:r>
    </w:p>
    <w:p w:rsidR="008705BE" w:rsidRPr="00783EB3" w:rsidP="008705BE" w14:paraId="5E2A7ECC" w14:textId="77777777">
      <w:pPr>
        <w:jc w:val="center"/>
        <w:rPr>
          <w:rFonts w:ascii="Arial" w:hAnsi="Arial" w:cs="Arial"/>
          <w:b/>
          <w:bCs/>
          <w:lang w:val="en-GB"/>
        </w:rPr>
      </w:pPr>
    </w:p>
    <w:p w:rsidR="000F34E9" w:rsidRPr="00783EB3" w:rsidP="008705BE" w14:paraId="271B8A11" w14:textId="77777777">
      <w:pPr>
        <w:jc w:val="center"/>
        <w:rPr>
          <w:rFonts w:ascii="Arial" w:hAnsi="Arial" w:cs="Arial"/>
          <w:b/>
          <w:bCs/>
          <w:lang w:val="en-GB"/>
        </w:rPr>
      </w:pPr>
    </w:p>
    <w:p w:rsidR="009C3C83" w:rsidRPr="00783EB3" w:rsidP="008705BE" w14:paraId="487D7396" w14:textId="41715930">
      <w:pPr>
        <w:jc w:val="center"/>
        <w:rPr>
          <w:rFonts w:ascii="Arial" w:hAnsi="Arial" w:cs="Arial"/>
          <w:b/>
          <w:bCs/>
          <w:lang w:val="en-GB"/>
        </w:rPr>
      </w:pPr>
      <w:r w:rsidRPr="00783EB3">
        <w:rPr>
          <w:rFonts w:ascii="Arial" w:hAnsi="Arial" w:cs="Arial"/>
          <w:b/>
          <w:bCs/>
          <w:lang w:val="en-GB"/>
        </w:rPr>
        <w:t>Student Name:</w:t>
      </w:r>
      <w:r w:rsidR="007343A1">
        <w:rPr>
          <w:rFonts w:ascii="Arial" w:hAnsi="Arial" w:cs="Arial"/>
          <w:b/>
          <w:bCs/>
          <w:lang w:val="en-GB"/>
        </w:rPr>
        <w:t xml:space="preserve"> </w:t>
      </w:r>
      <w:r w:rsidRPr="007343A1" w:rsidR="007343A1">
        <w:rPr>
          <w:rFonts w:ascii="Arial" w:hAnsi="Arial" w:cs="Arial"/>
          <w:b/>
          <w:bCs/>
          <w:lang w:val="en-GB"/>
        </w:rPr>
        <w:t>Salma Bibi</w:t>
      </w:r>
    </w:p>
    <w:p w:rsidR="009C3C83" w:rsidRPr="00783EB3" w:rsidP="008705BE" w14:paraId="472E928C" w14:textId="6596765A">
      <w:pPr>
        <w:jc w:val="center"/>
        <w:rPr>
          <w:rFonts w:ascii="Arial" w:hAnsi="Arial" w:cs="Arial"/>
          <w:b/>
          <w:bCs/>
          <w:lang w:val="en-GB"/>
        </w:rPr>
      </w:pPr>
      <w:r w:rsidRPr="00783EB3">
        <w:rPr>
          <w:rFonts w:ascii="Arial" w:hAnsi="Arial" w:cs="Arial"/>
          <w:b/>
          <w:bCs/>
          <w:lang w:val="en-GB"/>
        </w:rPr>
        <w:t xml:space="preserve">Student ID: </w:t>
      </w:r>
      <w:r w:rsidRPr="007343A1" w:rsidR="007343A1">
        <w:rPr>
          <w:rFonts w:ascii="Arial" w:hAnsi="Arial" w:cs="Arial"/>
          <w:b/>
          <w:bCs/>
          <w:lang w:val="en-GB"/>
        </w:rPr>
        <w:t>2315819</w:t>
      </w:r>
    </w:p>
    <w:p w:rsidR="009C3C83" w:rsidRPr="00783EB3" w:rsidP="009C3C83" w14:paraId="70BAE9E7" w14:textId="3AAA277F">
      <w:pPr>
        <w:jc w:val="center"/>
        <w:rPr>
          <w:rFonts w:ascii="Arial" w:hAnsi="Arial" w:cs="Arial"/>
          <w:b/>
          <w:bCs/>
          <w:lang w:val="en-GB"/>
        </w:rPr>
      </w:pPr>
      <w:r w:rsidRPr="00783EB3">
        <w:rPr>
          <w:rFonts w:ascii="Arial" w:hAnsi="Arial" w:cs="Arial"/>
          <w:b/>
          <w:bCs/>
          <w:lang w:val="en-GB"/>
        </w:rPr>
        <w:t>Module: BMHP6029: Psychological Classifications and Provisions</w:t>
      </w:r>
    </w:p>
    <w:p w:rsidR="009C3C83" w:rsidRPr="00783EB3" w:rsidP="009C3C83" w14:paraId="7C084C94" w14:textId="2D91F529">
      <w:pPr>
        <w:jc w:val="center"/>
        <w:rPr>
          <w:rFonts w:ascii="Arial" w:hAnsi="Arial" w:cs="Arial"/>
          <w:b/>
          <w:bCs/>
          <w:lang w:val="en-GB"/>
        </w:rPr>
      </w:pPr>
      <w:r w:rsidRPr="00783EB3">
        <w:rPr>
          <w:rFonts w:ascii="Arial" w:hAnsi="Arial" w:cs="Arial"/>
          <w:b/>
          <w:bCs/>
          <w:lang w:val="en-GB"/>
        </w:rPr>
        <w:t xml:space="preserve">Lecturer's Name: </w:t>
      </w:r>
      <w:r w:rsidRPr="00783EB3" w:rsidR="002B1B9A">
        <w:rPr>
          <w:rFonts w:ascii="Arial" w:hAnsi="Arial" w:cs="Arial"/>
          <w:b/>
          <w:bCs/>
          <w:lang w:val="en-GB"/>
        </w:rPr>
        <w:t>Kennedy Obohwemu</w:t>
      </w:r>
    </w:p>
    <w:p w:rsidR="009C3C83" w:rsidRPr="00783EB3" w:rsidP="008705BE" w14:paraId="0AB65E97" w14:textId="77777777">
      <w:pPr>
        <w:jc w:val="center"/>
        <w:rPr>
          <w:rFonts w:ascii="Arial" w:hAnsi="Arial" w:cs="Arial"/>
          <w:sz w:val="22"/>
          <w:szCs w:val="22"/>
          <w:lang w:val="en-GB"/>
        </w:rPr>
      </w:pPr>
    </w:p>
    <w:p w:rsidR="009C3C83" w:rsidRPr="00783EB3" w:rsidP="008705BE" w14:paraId="631CAAA3" w14:textId="77777777">
      <w:pPr>
        <w:jc w:val="center"/>
        <w:rPr>
          <w:rFonts w:ascii="Arial" w:hAnsi="Arial" w:cs="Arial"/>
          <w:sz w:val="22"/>
          <w:szCs w:val="22"/>
          <w:lang w:val="en-GB"/>
        </w:rPr>
      </w:pPr>
    </w:p>
    <w:p w:rsidR="009C3C83" w:rsidRPr="00783EB3" w:rsidP="008705BE" w14:paraId="53439772" w14:textId="77777777">
      <w:pPr>
        <w:jc w:val="center"/>
        <w:rPr>
          <w:rFonts w:ascii="Arial" w:hAnsi="Arial" w:cs="Arial"/>
          <w:sz w:val="22"/>
          <w:szCs w:val="22"/>
          <w:lang w:val="en-GB"/>
        </w:rPr>
      </w:pPr>
    </w:p>
    <w:p w:rsidR="009C3C83" w:rsidRPr="00783EB3" w:rsidP="008705BE" w14:paraId="54CC3EFE" w14:textId="77777777">
      <w:pPr>
        <w:jc w:val="center"/>
        <w:rPr>
          <w:rFonts w:ascii="Arial" w:hAnsi="Arial" w:cs="Arial"/>
          <w:sz w:val="22"/>
          <w:szCs w:val="22"/>
          <w:lang w:val="en-GB"/>
        </w:rPr>
      </w:pPr>
    </w:p>
    <w:p w:rsidR="009C3C83" w:rsidRPr="00783EB3" w:rsidP="008705BE" w14:paraId="2D96C161" w14:textId="77777777">
      <w:pPr>
        <w:jc w:val="center"/>
        <w:rPr>
          <w:rFonts w:ascii="Arial" w:hAnsi="Arial" w:cs="Arial"/>
          <w:sz w:val="22"/>
          <w:szCs w:val="22"/>
          <w:lang w:val="en-GB"/>
        </w:rPr>
      </w:pPr>
    </w:p>
    <w:p w:rsidR="009C3C83" w:rsidRPr="00783EB3" w:rsidP="008705BE" w14:paraId="17E63B1A" w14:textId="77777777">
      <w:pPr>
        <w:jc w:val="center"/>
        <w:rPr>
          <w:rFonts w:ascii="Arial" w:hAnsi="Arial" w:cs="Arial"/>
          <w:sz w:val="22"/>
          <w:szCs w:val="22"/>
          <w:lang w:val="en-GB"/>
        </w:rPr>
      </w:pPr>
    </w:p>
    <w:p w:rsidR="009C3C83" w:rsidRPr="00783EB3" w:rsidP="008705BE" w14:paraId="292639E4" w14:textId="77777777">
      <w:pPr>
        <w:jc w:val="center"/>
        <w:rPr>
          <w:rFonts w:ascii="Arial" w:hAnsi="Arial" w:cs="Arial"/>
          <w:sz w:val="22"/>
          <w:szCs w:val="22"/>
          <w:lang w:val="en-GB"/>
        </w:rPr>
      </w:pPr>
    </w:p>
    <w:p w:rsidR="009C3C83" w:rsidRPr="00783EB3" w:rsidP="008705BE" w14:paraId="0166C3C4" w14:textId="77777777">
      <w:pPr>
        <w:jc w:val="center"/>
        <w:rPr>
          <w:rFonts w:ascii="Arial" w:hAnsi="Arial" w:cs="Arial"/>
          <w:sz w:val="22"/>
          <w:szCs w:val="22"/>
          <w:lang w:val="en-GB"/>
        </w:rPr>
      </w:pPr>
    </w:p>
    <w:p w:rsidR="009C3C83" w:rsidRPr="00783EB3" w:rsidP="008705BE" w14:paraId="2D0C4686" w14:textId="77777777">
      <w:pPr>
        <w:jc w:val="center"/>
        <w:rPr>
          <w:rFonts w:ascii="Arial" w:hAnsi="Arial" w:cs="Arial"/>
          <w:sz w:val="22"/>
          <w:szCs w:val="22"/>
          <w:lang w:val="en-GB"/>
        </w:rPr>
      </w:pPr>
    </w:p>
    <w:p w:rsidR="008705BE" w:rsidRPr="00783EB3" w:rsidP="000F34E9" w14:paraId="47D9532B" w14:textId="77777777">
      <w:pPr>
        <w:rPr>
          <w:rFonts w:ascii="Arial" w:hAnsi="Arial" w:cs="Arial"/>
          <w:sz w:val="22"/>
          <w:szCs w:val="22"/>
          <w:lang w:val="en-GB"/>
        </w:rPr>
      </w:pPr>
    </w:p>
    <w:sdt>
      <w:sdtPr>
        <w:rPr>
          <w:rFonts w:asciiTheme="minorBidi" w:eastAsiaTheme="minorHAnsi" w:hAnsiTheme="minorBidi" w:cstheme="minorBidi"/>
          <w:b/>
          <w:bCs/>
          <w:color w:val="auto"/>
          <w:kern w:val="2"/>
          <w:sz w:val="22"/>
          <w:szCs w:val="22"/>
          <w:lang w:val="en-GB"/>
          <w14:ligatures w14:val="standardContextual"/>
        </w:rPr>
        <w:id w:val="132461820"/>
        <w:docPartObj>
          <w:docPartGallery w:val="Table of Contents"/>
          <w:docPartUnique/>
        </w:docPartObj>
      </w:sdtPr>
      <w:sdtEndPr>
        <w:rPr>
          <w:noProof/>
        </w:rPr>
      </w:sdtEndPr>
      <w:sdtContent>
        <w:p w:rsidR="008705BE" w:rsidRPr="00783EB3" w:rsidP="001E1D42" w14:paraId="3C4D5260" w14:textId="3786B6DD">
          <w:pPr>
            <w:pStyle w:val="TOCHeading"/>
            <w:spacing w:line="360" w:lineRule="auto"/>
            <w:jc w:val="center"/>
            <w:rPr>
              <w:rFonts w:asciiTheme="minorBidi" w:hAnsiTheme="minorBidi" w:cstheme="minorBidi"/>
              <w:b/>
              <w:bCs/>
              <w:sz w:val="22"/>
              <w:szCs w:val="22"/>
              <w:lang w:val="en-GB"/>
            </w:rPr>
          </w:pPr>
          <w:r w:rsidRPr="00783EB3">
            <w:rPr>
              <w:rFonts w:asciiTheme="minorBidi" w:hAnsiTheme="minorBidi" w:cstheme="minorBidi"/>
              <w:b/>
              <w:bCs/>
              <w:sz w:val="22"/>
              <w:szCs w:val="22"/>
              <w:lang w:val="en-GB"/>
            </w:rPr>
            <w:t>Table of Contents</w:t>
          </w:r>
        </w:p>
        <w:p w:rsidR="008705BE" w:rsidRPr="00783EB3" w:rsidP="000F34E9" w14:paraId="07708CA2" w14:textId="44C18E0A">
          <w:pPr>
            <w:pStyle w:val="TOC1"/>
            <w:tabs>
              <w:tab w:val="left" w:pos="480"/>
              <w:tab w:val="right" w:leader="dot" w:pos="9350"/>
            </w:tabs>
            <w:rPr>
              <w:rFonts w:asciiTheme="minorBidi" w:hAnsiTheme="minorBidi"/>
              <w:b/>
              <w:bCs/>
              <w:noProof/>
              <w:sz w:val="22"/>
              <w:szCs w:val="22"/>
              <w:lang w:val="en-GB"/>
            </w:rPr>
          </w:pPr>
          <w:r w:rsidRPr="00783EB3">
            <w:rPr>
              <w:rFonts w:asciiTheme="minorBidi" w:hAnsiTheme="minorBidi"/>
              <w:b/>
              <w:bCs/>
              <w:sz w:val="22"/>
              <w:szCs w:val="22"/>
              <w:lang w:val="en-GB"/>
            </w:rPr>
            <w:fldChar w:fldCharType="begin"/>
          </w:r>
          <w:r w:rsidRPr="00783EB3">
            <w:rPr>
              <w:rFonts w:asciiTheme="minorBidi" w:hAnsiTheme="minorBidi"/>
              <w:b/>
              <w:bCs/>
              <w:sz w:val="22"/>
              <w:szCs w:val="22"/>
              <w:lang w:val="en-GB"/>
            </w:rPr>
            <w:instrText xml:space="preserve"> TOC \o "1-3" \h \z \u </w:instrText>
          </w:r>
          <w:r w:rsidRPr="00783EB3">
            <w:rPr>
              <w:rFonts w:asciiTheme="minorBidi" w:hAnsiTheme="minorBidi"/>
              <w:b/>
              <w:bCs/>
              <w:sz w:val="22"/>
              <w:szCs w:val="22"/>
              <w:lang w:val="en-GB"/>
            </w:rPr>
            <w:fldChar w:fldCharType="separate"/>
          </w:r>
          <w:hyperlink w:anchor="_Toc210222310" w:history="1">
            <w:r w:rsidRPr="00783EB3">
              <w:rPr>
                <w:rStyle w:val="Hyperlink"/>
                <w:rFonts w:asciiTheme="minorBidi" w:hAnsiTheme="minorBidi"/>
                <w:b/>
                <w:bCs/>
                <w:noProof/>
                <w:sz w:val="22"/>
                <w:szCs w:val="22"/>
                <w:lang w:val="en-GB"/>
              </w:rPr>
              <w:t>1.</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Introduction</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_Toc210222310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3</w:t>
            </w:r>
            <w:r w:rsidRPr="00783EB3">
              <w:rPr>
                <w:rFonts w:asciiTheme="minorBidi" w:hAnsiTheme="minorBidi"/>
                <w:b/>
                <w:bCs/>
                <w:noProof/>
                <w:webHidden/>
                <w:sz w:val="22"/>
                <w:szCs w:val="22"/>
                <w:lang w:val="en-GB"/>
              </w:rPr>
              <w:fldChar w:fldCharType="end"/>
            </w:r>
          </w:hyperlink>
        </w:p>
        <w:p w:rsidR="008705BE" w:rsidRPr="00783EB3" w:rsidP="000F34E9" w14:paraId="03CFE132" w14:textId="56133291">
          <w:pPr>
            <w:pStyle w:val="TOC1"/>
            <w:tabs>
              <w:tab w:val="left" w:pos="480"/>
              <w:tab w:val="right" w:leader="dot" w:pos="9350"/>
            </w:tabs>
            <w:rPr>
              <w:rFonts w:asciiTheme="minorBidi" w:hAnsiTheme="minorBidi"/>
              <w:b/>
              <w:bCs/>
              <w:noProof/>
              <w:sz w:val="22"/>
              <w:szCs w:val="22"/>
              <w:lang w:val="en-GB"/>
            </w:rPr>
          </w:pPr>
          <w:hyperlink w:anchor="_Toc210222311" w:history="1">
            <w:r w:rsidRPr="00783EB3">
              <w:rPr>
                <w:rStyle w:val="Hyperlink"/>
                <w:rFonts w:asciiTheme="minorBidi" w:hAnsiTheme="minorBidi"/>
                <w:b/>
                <w:bCs/>
                <w:noProof/>
                <w:sz w:val="22"/>
                <w:szCs w:val="22"/>
                <w:lang w:val="en-GB"/>
              </w:rPr>
              <w:t>2.</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Classification and Diagnosis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_Toc210222311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3</w:t>
            </w:r>
            <w:r w:rsidRPr="00783EB3">
              <w:rPr>
                <w:rFonts w:asciiTheme="minorBidi" w:hAnsiTheme="minorBidi"/>
                <w:b/>
                <w:bCs/>
                <w:noProof/>
                <w:webHidden/>
                <w:sz w:val="22"/>
                <w:szCs w:val="22"/>
                <w:lang w:val="en-GB"/>
              </w:rPr>
              <w:fldChar w:fldCharType="end"/>
            </w:r>
          </w:hyperlink>
        </w:p>
        <w:p w:rsidR="008705BE" w:rsidRPr="00783EB3" w:rsidP="000F34E9" w14:paraId="58FEF36F" w14:textId="376B33CB">
          <w:pPr>
            <w:pStyle w:val="TOC2"/>
            <w:tabs>
              <w:tab w:val="left" w:pos="960"/>
              <w:tab w:val="right" w:leader="dot" w:pos="9350"/>
            </w:tabs>
            <w:rPr>
              <w:rFonts w:asciiTheme="minorBidi" w:hAnsiTheme="minorBidi"/>
              <w:b/>
              <w:bCs/>
              <w:noProof/>
              <w:sz w:val="22"/>
              <w:szCs w:val="22"/>
              <w:lang w:val="en-GB"/>
            </w:rPr>
          </w:pPr>
          <w:hyperlink w:anchor="_Toc210222312" w:history="1">
            <w:r w:rsidRPr="00783EB3">
              <w:rPr>
                <w:rStyle w:val="Hyperlink"/>
                <w:rFonts w:asciiTheme="minorBidi" w:hAnsiTheme="minorBidi"/>
                <w:b/>
                <w:bCs/>
                <w:noProof/>
                <w:sz w:val="22"/>
                <w:szCs w:val="22"/>
                <w:lang w:val="en-GB"/>
              </w:rPr>
              <w:t>2.1</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ICD-11 Classification of Social Anxiety Disorder</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_Toc210222312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3</w:t>
            </w:r>
            <w:r w:rsidRPr="00783EB3">
              <w:rPr>
                <w:rFonts w:asciiTheme="minorBidi" w:hAnsiTheme="minorBidi"/>
                <w:b/>
                <w:bCs/>
                <w:noProof/>
                <w:webHidden/>
                <w:sz w:val="22"/>
                <w:szCs w:val="22"/>
                <w:lang w:val="en-GB"/>
              </w:rPr>
              <w:fldChar w:fldCharType="end"/>
            </w:r>
          </w:hyperlink>
        </w:p>
        <w:p w:rsidR="008705BE" w:rsidRPr="00783EB3" w:rsidP="000F34E9" w14:paraId="47CDD2F9" w14:textId="6F948D4F">
          <w:pPr>
            <w:pStyle w:val="TOC2"/>
            <w:tabs>
              <w:tab w:val="left" w:pos="960"/>
              <w:tab w:val="right" w:leader="dot" w:pos="9350"/>
            </w:tabs>
            <w:rPr>
              <w:rFonts w:asciiTheme="minorBidi" w:hAnsiTheme="minorBidi"/>
              <w:b/>
              <w:bCs/>
              <w:noProof/>
              <w:sz w:val="22"/>
              <w:szCs w:val="22"/>
              <w:lang w:val="en-GB"/>
            </w:rPr>
          </w:pPr>
          <w:hyperlink w:anchor="_Toc210222313" w:history="1">
            <w:r w:rsidRPr="00783EB3">
              <w:rPr>
                <w:rStyle w:val="Hyperlink"/>
                <w:rFonts w:asciiTheme="minorBidi" w:hAnsiTheme="minorBidi"/>
                <w:b/>
                <w:bCs/>
                <w:noProof/>
                <w:sz w:val="22"/>
                <w:szCs w:val="22"/>
                <w:lang w:val="en-GB"/>
              </w:rPr>
              <w:t>2.2</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Diagnostic Procedures and Criteria</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_Toc210222313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3</w:t>
            </w:r>
            <w:r w:rsidRPr="00783EB3">
              <w:rPr>
                <w:rFonts w:asciiTheme="minorBidi" w:hAnsiTheme="minorBidi"/>
                <w:b/>
                <w:bCs/>
                <w:noProof/>
                <w:webHidden/>
                <w:sz w:val="22"/>
                <w:szCs w:val="22"/>
                <w:lang w:val="en-GB"/>
              </w:rPr>
              <w:fldChar w:fldCharType="end"/>
            </w:r>
          </w:hyperlink>
        </w:p>
        <w:p w:rsidR="008705BE" w:rsidRPr="00783EB3" w:rsidP="000F34E9" w14:paraId="3E2378A4" w14:textId="65C19DDB">
          <w:pPr>
            <w:pStyle w:val="TOC2"/>
            <w:tabs>
              <w:tab w:val="left" w:pos="960"/>
              <w:tab w:val="right" w:leader="dot" w:pos="9350"/>
            </w:tabs>
            <w:rPr>
              <w:rFonts w:asciiTheme="minorBidi" w:hAnsiTheme="minorBidi"/>
              <w:b/>
              <w:bCs/>
              <w:noProof/>
              <w:sz w:val="22"/>
              <w:szCs w:val="22"/>
              <w:lang w:val="en-GB"/>
            </w:rPr>
          </w:pPr>
          <w:hyperlink w:anchor="_Toc210222314" w:history="1">
            <w:r w:rsidRPr="00783EB3">
              <w:rPr>
                <w:rStyle w:val="Hyperlink"/>
                <w:rFonts w:asciiTheme="minorBidi" w:hAnsiTheme="minorBidi"/>
                <w:b/>
                <w:bCs/>
                <w:noProof/>
                <w:sz w:val="22"/>
                <w:szCs w:val="22"/>
                <w:lang w:val="en-GB"/>
              </w:rPr>
              <w:t>2.3</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Terminology in Classification (Disorder, Condition, Illness)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_Toc210222314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4</w:t>
            </w:r>
            <w:r w:rsidRPr="00783EB3">
              <w:rPr>
                <w:rFonts w:asciiTheme="minorBidi" w:hAnsiTheme="minorBidi"/>
                <w:b/>
                <w:bCs/>
                <w:noProof/>
                <w:webHidden/>
                <w:sz w:val="22"/>
                <w:szCs w:val="22"/>
                <w:lang w:val="en-GB"/>
              </w:rPr>
              <w:fldChar w:fldCharType="end"/>
            </w:r>
          </w:hyperlink>
        </w:p>
        <w:p w:rsidR="008705BE" w:rsidRPr="00783EB3" w:rsidP="000F34E9" w14:paraId="71D811C7" w14:textId="426E9148">
          <w:pPr>
            <w:pStyle w:val="TOC2"/>
            <w:tabs>
              <w:tab w:val="left" w:pos="960"/>
              <w:tab w:val="right" w:leader="dot" w:pos="9350"/>
            </w:tabs>
            <w:rPr>
              <w:rFonts w:asciiTheme="minorBidi" w:hAnsiTheme="minorBidi"/>
              <w:b/>
              <w:bCs/>
              <w:noProof/>
              <w:sz w:val="22"/>
              <w:szCs w:val="22"/>
              <w:lang w:val="en-GB"/>
            </w:rPr>
          </w:pPr>
          <w:hyperlink w:anchor="_Toc210222315" w:history="1">
            <w:r w:rsidRPr="00783EB3">
              <w:rPr>
                <w:rStyle w:val="Hyperlink"/>
                <w:rFonts w:asciiTheme="minorBidi" w:hAnsiTheme="minorBidi"/>
                <w:b/>
                <w:bCs/>
                <w:noProof/>
                <w:sz w:val="22"/>
                <w:szCs w:val="22"/>
                <w:lang w:val="en-GB"/>
              </w:rPr>
              <w:t>2.4</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Development of Classification (ICD-10 vs ICD-11)</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_Toc210222315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4</w:t>
            </w:r>
            <w:r w:rsidRPr="00783EB3">
              <w:rPr>
                <w:rFonts w:asciiTheme="minorBidi" w:hAnsiTheme="minorBidi"/>
                <w:b/>
                <w:bCs/>
                <w:noProof/>
                <w:webHidden/>
                <w:sz w:val="22"/>
                <w:szCs w:val="22"/>
                <w:lang w:val="en-GB"/>
              </w:rPr>
              <w:fldChar w:fldCharType="end"/>
            </w:r>
          </w:hyperlink>
        </w:p>
        <w:p w:rsidR="008705BE" w:rsidRPr="00783EB3" w:rsidP="000F34E9" w14:paraId="092EF635" w14:textId="60DFEAB3">
          <w:pPr>
            <w:pStyle w:val="TOC1"/>
            <w:tabs>
              <w:tab w:val="left" w:pos="480"/>
              <w:tab w:val="right" w:leader="dot" w:pos="9350"/>
            </w:tabs>
            <w:rPr>
              <w:rFonts w:asciiTheme="minorBidi" w:hAnsiTheme="minorBidi"/>
              <w:b/>
              <w:bCs/>
              <w:noProof/>
              <w:sz w:val="22"/>
              <w:szCs w:val="22"/>
              <w:lang w:val="en-GB"/>
            </w:rPr>
          </w:pPr>
          <w:hyperlink w:anchor="_Toc210222316" w:history="1">
            <w:r w:rsidRPr="00783EB3">
              <w:rPr>
                <w:rStyle w:val="Hyperlink"/>
                <w:rFonts w:asciiTheme="minorBidi" w:hAnsiTheme="minorBidi"/>
                <w:b/>
                <w:bCs/>
                <w:noProof/>
                <w:sz w:val="22"/>
                <w:szCs w:val="22"/>
                <w:lang w:val="en-GB"/>
              </w:rPr>
              <w:t>3.</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Treatment and Rehabilitation</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_Toc210222316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4</w:t>
            </w:r>
            <w:r w:rsidRPr="00783EB3">
              <w:rPr>
                <w:rFonts w:asciiTheme="minorBidi" w:hAnsiTheme="minorBidi"/>
                <w:b/>
                <w:bCs/>
                <w:noProof/>
                <w:webHidden/>
                <w:sz w:val="22"/>
                <w:szCs w:val="22"/>
                <w:lang w:val="en-GB"/>
              </w:rPr>
              <w:fldChar w:fldCharType="end"/>
            </w:r>
          </w:hyperlink>
        </w:p>
        <w:p w:rsidR="008705BE" w:rsidRPr="00783EB3" w:rsidP="000F34E9" w14:paraId="69A80CEB" w14:textId="2E38DC85">
          <w:pPr>
            <w:pStyle w:val="TOC2"/>
            <w:tabs>
              <w:tab w:val="left" w:pos="960"/>
              <w:tab w:val="right" w:leader="dot" w:pos="9350"/>
            </w:tabs>
            <w:rPr>
              <w:rFonts w:asciiTheme="minorBidi" w:hAnsiTheme="minorBidi"/>
              <w:b/>
              <w:bCs/>
              <w:noProof/>
              <w:sz w:val="22"/>
              <w:szCs w:val="22"/>
              <w:lang w:val="en-GB"/>
            </w:rPr>
          </w:pPr>
          <w:hyperlink w:anchor="_Toc210222317" w:history="1">
            <w:r w:rsidRPr="00783EB3">
              <w:rPr>
                <w:rStyle w:val="Hyperlink"/>
                <w:rFonts w:asciiTheme="minorBidi" w:hAnsiTheme="minorBidi"/>
                <w:b/>
                <w:bCs/>
                <w:noProof/>
                <w:sz w:val="22"/>
                <w:szCs w:val="22"/>
                <w:lang w:val="en-GB"/>
              </w:rPr>
              <w:t>3.1</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Standard Treatment Approaches (Medication, Therapy, etc.)</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_Toc210222317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4</w:t>
            </w:r>
            <w:r w:rsidRPr="00783EB3">
              <w:rPr>
                <w:rFonts w:asciiTheme="minorBidi" w:hAnsiTheme="minorBidi"/>
                <w:b/>
                <w:bCs/>
                <w:noProof/>
                <w:webHidden/>
                <w:sz w:val="22"/>
                <w:szCs w:val="22"/>
                <w:lang w:val="en-GB"/>
              </w:rPr>
              <w:fldChar w:fldCharType="end"/>
            </w:r>
          </w:hyperlink>
        </w:p>
        <w:p w:rsidR="008705BE" w:rsidRPr="00783EB3" w:rsidP="000F34E9" w14:paraId="6F048004" w14:textId="36F175C8">
          <w:pPr>
            <w:pStyle w:val="TOC2"/>
            <w:tabs>
              <w:tab w:val="left" w:pos="960"/>
              <w:tab w:val="right" w:leader="dot" w:pos="9350"/>
            </w:tabs>
            <w:rPr>
              <w:rFonts w:asciiTheme="minorBidi" w:hAnsiTheme="minorBidi"/>
              <w:b/>
              <w:bCs/>
              <w:noProof/>
              <w:sz w:val="22"/>
              <w:szCs w:val="22"/>
              <w:lang w:val="en-GB"/>
            </w:rPr>
          </w:pPr>
          <w:hyperlink w:anchor="_Toc210222318" w:history="1">
            <w:r w:rsidRPr="00783EB3">
              <w:rPr>
                <w:rStyle w:val="Hyperlink"/>
                <w:rFonts w:asciiTheme="minorBidi" w:hAnsiTheme="minorBidi"/>
                <w:b/>
                <w:bCs/>
                <w:noProof/>
                <w:sz w:val="22"/>
                <w:szCs w:val="22"/>
                <w:lang w:val="en-GB"/>
              </w:rPr>
              <w:t>3.2</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Rehabilitation Approaches in ICD-11 and Practice</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_Toc210222318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5</w:t>
            </w:r>
            <w:r w:rsidRPr="00783EB3">
              <w:rPr>
                <w:rFonts w:asciiTheme="minorBidi" w:hAnsiTheme="minorBidi"/>
                <w:b/>
                <w:bCs/>
                <w:noProof/>
                <w:webHidden/>
                <w:sz w:val="22"/>
                <w:szCs w:val="22"/>
                <w:lang w:val="en-GB"/>
              </w:rPr>
              <w:fldChar w:fldCharType="end"/>
            </w:r>
          </w:hyperlink>
        </w:p>
        <w:p w:rsidR="008705BE" w:rsidRPr="00783EB3" w:rsidP="000F34E9" w14:paraId="1AB001D5" w14:textId="781515E8">
          <w:pPr>
            <w:pStyle w:val="TOC2"/>
            <w:tabs>
              <w:tab w:val="left" w:pos="960"/>
              <w:tab w:val="right" w:leader="dot" w:pos="9350"/>
            </w:tabs>
            <w:rPr>
              <w:rFonts w:asciiTheme="minorBidi" w:hAnsiTheme="minorBidi"/>
              <w:b/>
              <w:bCs/>
              <w:noProof/>
              <w:sz w:val="22"/>
              <w:szCs w:val="22"/>
              <w:lang w:val="en-GB"/>
            </w:rPr>
          </w:pPr>
          <w:hyperlink w:anchor="_Toc210222319" w:history="1">
            <w:r w:rsidRPr="00783EB3">
              <w:rPr>
                <w:rStyle w:val="Hyperlink"/>
                <w:rFonts w:asciiTheme="minorBidi" w:hAnsiTheme="minorBidi"/>
                <w:b/>
                <w:bCs/>
                <w:noProof/>
                <w:sz w:val="22"/>
                <w:szCs w:val="22"/>
                <w:lang w:val="en-GB"/>
              </w:rPr>
              <w:t>3.3</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Effectiveness and Limitations of Current Approaches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_Toc210222319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5</w:t>
            </w:r>
            <w:r w:rsidRPr="00783EB3">
              <w:rPr>
                <w:rFonts w:asciiTheme="minorBidi" w:hAnsiTheme="minorBidi"/>
                <w:b/>
                <w:bCs/>
                <w:noProof/>
                <w:webHidden/>
                <w:sz w:val="22"/>
                <w:szCs w:val="22"/>
                <w:lang w:val="en-GB"/>
              </w:rPr>
              <w:fldChar w:fldCharType="end"/>
            </w:r>
          </w:hyperlink>
        </w:p>
        <w:p w:rsidR="008705BE" w:rsidRPr="00783EB3" w:rsidP="000F34E9" w14:paraId="6D42FCE7" w14:textId="0A1D1C3A">
          <w:pPr>
            <w:pStyle w:val="TOC2"/>
            <w:tabs>
              <w:tab w:val="left" w:pos="960"/>
              <w:tab w:val="right" w:leader="dot" w:pos="9350"/>
            </w:tabs>
            <w:rPr>
              <w:rFonts w:asciiTheme="minorBidi" w:hAnsiTheme="minorBidi"/>
              <w:b/>
              <w:bCs/>
              <w:noProof/>
              <w:sz w:val="22"/>
              <w:szCs w:val="22"/>
              <w:lang w:val="en-GB"/>
            </w:rPr>
          </w:pPr>
          <w:hyperlink w:anchor="_Toc210222320" w:history="1">
            <w:r w:rsidRPr="00783EB3">
              <w:rPr>
                <w:rStyle w:val="Hyperlink"/>
                <w:rFonts w:asciiTheme="minorBidi" w:hAnsiTheme="minorBidi"/>
                <w:b/>
                <w:bCs/>
                <w:noProof/>
                <w:sz w:val="22"/>
                <w:szCs w:val="22"/>
                <w:lang w:val="en-GB"/>
              </w:rPr>
              <w:t>3.4</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Cross-Cultural and Systemic Differences in Treatment</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_Toc210222320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5</w:t>
            </w:r>
            <w:r w:rsidRPr="00783EB3">
              <w:rPr>
                <w:rFonts w:asciiTheme="minorBidi" w:hAnsiTheme="minorBidi"/>
                <w:b/>
                <w:bCs/>
                <w:noProof/>
                <w:webHidden/>
                <w:sz w:val="22"/>
                <w:szCs w:val="22"/>
                <w:lang w:val="en-GB"/>
              </w:rPr>
              <w:fldChar w:fldCharType="end"/>
            </w:r>
          </w:hyperlink>
        </w:p>
        <w:p w:rsidR="008705BE" w:rsidRPr="00783EB3" w:rsidP="000F34E9" w14:paraId="3DED106C" w14:textId="0C0EFF80">
          <w:pPr>
            <w:pStyle w:val="TOC1"/>
            <w:tabs>
              <w:tab w:val="left" w:pos="480"/>
              <w:tab w:val="right" w:leader="dot" w:pos="9350"/>
            </w:tabs>
            <w:rPr>
              <w:rFonts w:asciiTheme="minorBidi" w:hAnsiTheme="minorBidi"/>
              <w:b/>
              <w:bCs/>
              <w:noProof/>
              <w:sz w:val="22"/>
              <w:szCs w:val="22"/>
              <w:lang w:val="en-GB"/>
            </w:rPr>
          </w:pPr>
          <w:hyperlink w:anchor="_Toc210222321" w:history="1">
            <w:r w:rsidRPr="00783EB3">
              <w:rPr>
                <w:rStyle w:val="Hyperlink"/>
                <w:rFonts w:asciiTheme="minorBidi" w:hAnsiTheme="minorBidi"/>
                <w:b/>
                <w:bCs/>
                <w:noProof/>
                <w:sz w:val="22"/>
                <w:szCs w:val="22"/>
                <w:lang w:val="en-GB"/>
              </w:rPr>
              <w:t>4.</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Current Debates and Emerging Issues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_Toc210222321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6</w:t>
            </w:r>
            <w:r w:rsidRPr="00783EB3">
              <w:rPr>
                <w:rFonts w:asciiTheme="minorBidi" w:hAnsiTheme="minorBidi"/>
                <w:b/>
                <w:bCs/>
                <w:noProof/>
                <w:webHidden/>
                <w:sz w:val="22"/>
                <w:szCs w:val="22"/>
                <w:lang w:val="en-GB"/>
              </w:rPr>
              <w:fldChar w:fldCharType="end"/>
            </w:r>
          </w:hyperlink>
        </w:p>
        <w:p w:rsidR="008705BE" w:rsidRPr="00783EB3" w:rsidP="000F34E9" w14:paraId="4A9BC54B" w14:textId="0B374C3F">
          <w:pPr>
            <w:pStyle w:val="TOC2"/>
            <w:tabs>
              <w:tab w:val="left" w:pos="960"/>
              <w:tab w:val="right" w:leader="dot" w:pos="9350"/>
            </w:tabs>
            <w:rPr>
              <w:rFonts w:asciiTheme="minorBidi" w:hAnsiTheme="minorBidi"/>
              <w:b/>
              <w:bCs/>
              <w:noProof/>
              <w:sz w:val="22"/>
              <w:szCs w:val="22"/>
              <w:lang w:val="en-GB"/>
            </w:rPr>
          </w:pPr>
          <w:hyperlink w:anchor="_Toc210222322" w:history="1">
            <w:r w:rsidRPr="00783EB3">
              <w:rPr>
                <w:rStyle w:val="Hyperlink"/>
                <w:rFonts w:asciiTheme="minorBidi" w:hAnsiTheme="minorBidi"/>
                <w:b/>
                <w:bCs/>
                <w:noProof/>
                <w:sz w:val="22"/>
                <w:szCs w:val="22"/>
                <w:lang w:val="en-GB"/>
              </w:rPr>
              <w:t>4.1</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Debates on Classification and Diagnostic Boundaries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_Toc210222322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6</w:t>
            </w:r>
            <w:r w:rsidRPr="00783EB3">
              <w:rPr>
                <w:rFonts w:asciiTheme="minorBidi" w:hAnsiTheme="minorBidi"/>
                <w:b/>
                <w:bCs/>
                <w:noProof/>
                <w:webHidden/>
                <w:sz w:val="22"/>
                <w:szCs w:val="22"/>
                <w:lang w:val="en-GB"/>
              </w:rPr>
              <w:fldChar w:fldCharType="end"/>
            </w:r>
          </w:hyperlink>
        </w:p>
        <w:p w:rsidR="008705BE" w:rsidRPr="00783EB3" w:rsidP="000F34E9" w14:paraId="54ECA1B7" w14:textId="76B6FDC4">
          <w:pPr>
            <w:pStyle w:val="TOC2"/>
            <w:tabs>
              <w:tab w:val="left" w:pos="960"/>
              <w:tab w:val="right" w:leader="dot" w:pos="9350"/>
            </w:tabs>
            <w:rPr>
              <w:rFonts w:asciiTheme="minorBidi" w:hAnsiTheme="minorBidi"/>
              <w:b/>
              <w:bCs/>
              <w:noProof/>
              <w:sz w:val="22"/>
              <w:szCs w:val="22"/>
              <w:lang w:val="en-GB"/>
            </w:rPr>
          </w:pPr>
          <w:hyperlink w:anchor="_Toc210222323" w:history="1">
            <w:r w:rsidRPr="00783EB3">
              <w:rPr>
                <w:rStyle w:val="Hyperlink"/>
                <w:rFonts w:asciiTheme="minorBidi" w:hAnsiTheme="minorBidi"/>
                <w:b/>
                <w:bCs/>
                <w:noProof/>
                <w:sz w:val="22"/>
                <w:szCs w:val="22"/>
                <w:lang w:val="en-GB"/>
              </w:rPr>
              <w:t>4.2</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Neurodivergence and Reclassification Issues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_Toc210222323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6</w:t>
            </w:r>
            <w:r w:rsidRPr="00783EB3">
              <w:rPr>
                <w:rFonts w:asciiTheme="minorBidi" w:hAnsiTheme="minorBidi"/>
                <w:b/>
                <w:bCs/>
                <w:noProof/>
                <w:webHidden/>
                <w:sz w:val="22"/>
                <w:szCs w:val="22"/>
                <w:lang w:val="en-GB"/>
              </w:rPr>
              <w:fldChar w:fldCharType="end"/>
            </w:r>
          </w:hyperlink>
        </w:p>
        <w:p w:rsidR="008705BE" w:rsidRPr="00783EB3" w:rsidP="000F34E9" w14:paraId="1504D0A9" w14:textId="531CE783">
          <w:pPr>
            <w:pStyle w:val="TOC2"/>
            <w:tabs>
              <w:tab w:val="left" w:pos="960"/>
              <w:tab w:val="right" w:leader="dot" w:pos="9350"/>
            </w:tabs>
            <w:rPr>
              <w:rFonts w:asciiTheme="minorBidi" w:hAnsiTheme="minorBidi"/>
              <w:b/>
              <w:bCs/>
              <w:noProof/>
              <w:sz w:val="22"/>
              <w:szCs w:val="22"/>
              <w:lang w:val="en-GB"/>
            </w:rPr>
          </w:pPr>
          <w:hyperlink w:anchor="_Toc210222324" w:history="1">
            <w:r w:rsidRPr="00783EB3">
              <w:rPr>
                <w:rStyle w:val="Hyperlink"/>
                <w:rFonts w:asciiTheme="minorBidi" w:hAnsiTheme="minorBidi"/>
                <w:b/>
                <w:bCs/>
                <w:noProof/>
                <w:sz w:val="22"/>
                <w:szCs w:val="22"/>
                <w:lang w:val="en-GB"/>
              </w:rPr>
              <w:t>4.3</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Impact of Changing Diagnostic Criteria on Practice and Policy</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_Toc210222324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6</w:t>
            </w:r>
            <w:r w:rsidRPr="00783EB3">
              <w:rPr>
                <w:rFonts w:asciiTheme="minorBidi" w:hAnsiTheme="minorBidi"/>
                <w:b/>
                <w:bCs/>
                <w:noProof/>
                <w:webHidden/>
                <w:sz w:val="22"/>
                <w:szCs w:val="22"/>
                <w:lang w:val="en-GB"/>
              </w:rPr>
              <w:fldChar w:fldCharType="end"/>
            </w:r>
          </w:hyperlink>
        </w:p>
        <w:p w:rsidR="008705BE" w:rsidRPr="00783EB3" w:rsidP="000F34E9" w14:paraId="74C59B70" w14:textId="35F77E71">
          <w:pPr>
            <w:pStyle w:val="TOC2"/>
            <w:tabs>
              <w:tab w:val="left" w:pos="960"/>
              <w:tab w:val="right" w:leader="dot" w:pos="9350"/>
            </w:tabs>
            <w:rPr>
              <w:rFonts w:asciiTheme="minorBidi" w:hAnsiTheme="minorBidi"/>
              <w:b/>
              <w:bCs/>
              <w:noProof/>
              <w:sz w:val="22"/>
              <w:szCs w:val="22"/>
              <w:lang w:val="en-GB"/>
            </w:rPr>
          </w:pPr>
          <w:hyperlink w:anchor="_Toc210222325" w:history="1">
            <w:r w:rsidRPr="00783EB3">
              <w:rPr>
                <w:rStyle w:val="Hyperlink"/>
                <w:rFonts w:asciiTheme="minorBidi" w:hAnsiTheme="minorBidi"/>
                <w:b/>
                <w:bCs/>
                <w:noProof/>
                <w:sz w:val="22"/>
                <w:szCs w:val="22"/>
                <w:lang w:val="en-GB"/>
              </w:rPr>
              <w:t>4.4</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Political, Cultural, and Social Influences on Perception and Treatment</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_Toc210222325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7</w:t>
            </w:r>
            <w:r w:rsidRPr="00783EB3">
              <w:rPr>
                <w:rFonts w:asciiTheme="minorBidi" w:hAnsiTheme="minorBidi"/>
                <w:b/>
                <w:bCs/>
                <w:noProof/>
                <w:webHidden/>
                <w:sz w:val="22"/>
                <w:szCs w:val="22"/>
                <w:lang w:val="en-GB"/>
              </w:rPr>
              <w:fldChar w:fldCharType="end"/>
            </w:r>
          </w:hyperlink>
        </w:p>
        <w:p w:rsidR="008705BE" w:rsidRPr="00783EB3" w:rsidP="000F34E9" w14:paraId="5BE912CB" w14:textId="33156548">
          <w:pPr>
            <w:pStyle w:val="TOC2"/>
            <w:tabs>
              <w:tab w:val="right" w:leader="dot" w:pos="9350"/>
            </w:tabs>
            <w:rPr>
              <w:rFonts w:asciiTheme="minorBidi" w:hAnsiTheme="minorBidi"/>
              <w:b/>
              <w:bCs/>
              <w:noProof/>
              <w:sz w:val="22"/>
              <w:szCs w:val="22"/>
              <w:lang w:val="en-GB"/>
            </w:rPr>
          </w:pPr>
          <w:hyperlink w:anchor="_Toc210222326" w:history="1">
            <w:r w:rsidRPr="00783EB3">
              <w:rPr>
                <w:rStyle w:val="Hyperlink"/>
                <w:rFonts w:asciiTheme="minorBidi" w:hAnsiTheme="minorBidi"/>
                <w:b/>
                <w:bCs/>
                <w:noProof/>
                <w:sz w:val="22"/>
                <w:szCs w:val="22"/>
                <w:lang w:val="en-GB"/>
              </w:rPr>
              <w:t>4.5 UK Legislation and Guidelines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_Toc210222326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7</w:t>
            </w:r>
            <w:r w:rsidRPr="00783EB3">
              <w:rPr>
                <w:rFonts w:asciiTheme="minorBidi" w:hAnsiTheme="minorBidi"/>
                <w:b/>
                <w:bCs/>
                <w:noProof/>
                <w:webHidden/>
                <w:sz w:val="22"/>
                <w:szCs w:val="22"/>
                <w:lang w:val="en-GB"/>
              </w:rPr>
              <w:fldChar w:fldCharType="end"/>
            </w:r>
          </w:hyperlink>
        </w:p>
        <w:p w:rsidR="008705BE" w:rsidRPr="00783EB3" w:rsidP="000F34E9" w14:paraId="1782E05F" w14:textId="5557FC23">
          <w:pPr>
            <w:pStyle w:val="TOC1"/>
            <w:tabs>
              <w:tab w:val="left" w:pos="480"/>
              <w:tab w:val="right" w:leader="dot" w:pos="9350"/>
            </w:tabs>
            <w:rPr>
              <w:rFonts w:asciiTheme="minorBidi" w:hAnsiTheme="minorBidi"/>
              <w:b/>
              <w:bCs/>
              <w:noProof/>
              <w:sz w:val="22"/>
              <w:szCs w:val="22"/>
              <w:lang w:val="en-GB"/>
            </w:rPr>
          </w:pPr>
          <w:hyperlink w:anchor="_Toc210222327" w:history="1">
            <w:r w:rsidRPr="00783EB3">
              <w:rPr>
                <w:rStyle w:val="Hyperlink"/>
                <w:rFonts w:asciiTheme="minorBidi" w:hAnsiTheme="minorBidi"/>
                <w:b/>
                <w:bCs/>
                <w:noProof/>
                <w:sz w:val="22"/>
                <w:szCs w:val="22"/>
                <w:lang w:val="en-GB"/>
              </w:rPr>
              <w:t>5.</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Recommendations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_Toc210222327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8</w:t>
            </w:r>
            <w:r w:rsidRPr="00783EB3">
              <w:rPr>
                <w:rFonts w:asciiTheme="minorBidi" w:hAnsiTheme="minorBidi"/>
                <w:b/>
                <w:bCs/>
                <w:noProof/>
                <w:webHidden/>
                <w:sz w:val="22"/>
                <w:szCs w:val="22"/>
                <w:lang w:val="en-GB"/>
              </w:rPr>
              <w:fldChar w:fldCharType="end"/>
            </w:r>
          </w:hyperlink>
        </w:p>
        <w:p w:rsidR="008705BE" w:rsidRPr="00783EB3" w:rsidP="000F34E9" w14:paraId="12E66233" w14:textId="15DCC3A1">
          <w:pPr>
            <w:pStyle w:val="TOC2"/>
            <w:tabs>
              <w:tab w:val="left" w:pos="960"/>
              <w:tab w:val="right" w:leader="dot" w:pos="9350"/>
            </w:tabs>
            <w:rPr>
              <w:rFonts w:asciiTheme="minorBidi" w:hAnsiTheme="minorBidi"/>
              <w:b/>
              <w:bCs/>
              <w:noProof/>
              <w:sz w:val="22"/>
              <w:szCs w:val="22"/>
              <w:lang w:val="en-GB"/>
            </w:rPr>
          </w:pPr>
          <w:hyperlink w:anchor="_Toc210222328" w:history="1">
            <w:r w:rsidRPr="00783EB3">
              <w:rPr>
                <w:rStyle w:val="Hyperlink"/>
                <w:rFonts w:asciiTheme="minorBidi" w:hAnsiTheme="minorBidi"/>
                <w:b/>
                <w:bCs/>
                <w:noProof/>
                <w:sz w:val="22"/>
                <w:szCs w:val="22"/>
                <w:lang w:val="en-GB"/>
              </w:rPr>
              <w:t>5.1</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Improving Classification and Diagnosis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_Toc210222328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8</w:t>
            </w:r>
            <w:r w:rsidRPr="00783EB3">
              <w:rPr>
                <w:rFonts w:asciiTheme="minorBidi" w:hAnsiTheme="minorBidi"/>
                <w:b/>
                <w:bCs/>
                <w:noProof/>
                <w:webHidden/>
                <w:sz w:val="22"/>
                <w:szCs w:val="22"/>
                <w:lang w:val="en-GB"/>
              </w:rPr>
              <w:fldChar w:fldCharType="end"/>
            </w:r>
          </w:hyperlink>
        </w:p>
        <w:p w:rsidR="008705BE" w:rsidRPr="00783EB3" w:rsidP="000F34E9" w14:paraId="2B51EF28" w14:textId="48004671">
          <w:pPr>
            <w:pStyle w:val="TOC2"/>
            <w:tabs>
              <w:tab w:val="left" w:pos="960"/>
              <w:tab w:val="right" w:leader="dot" w:pos="9350"/>
            </w:tabs>
            <w:rPr>
              <w:rFonts w:asciiTheme="minorBidi" w:hAnsiTheme="minorBidi"/>
              <w:b/>
              <w:bCs/>
              <w:noProof/>
              <w:sz w:val="22"/>
              <w:szCs w:val="22"/>
              <w:lang w:val="en-GB"/>
            </w:rPr>
          </w:pPr>
          <w:hyperlink w:anchor="_Toc210222329" w:history="1">
            <w:r w:rsidRPr="00783EB3">
              <w:rPr>
                <w:rStyle w:val="Hyperlink"/>
                <w:rFonts w:asciiTheme="minorBidi" w:hAnsiTheme="minorBidi"/>
                <w:b/>
                <w:bCs/>
                <w:noProof/>
                <w:sz w:val="22"/>
                <w:szCs w:val="22"/>
                <w:lang w:val="en-GB"/>
              </w:rPr>
              <w:t>5.2</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Improving the Treatment and Rehabilitation Strategies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_Toc210222329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8</w:t>
            </w:r>
            <w:r w:rsidRPr="00783EB3">
              <w:rPr>
                <w:rFonts w:asciiTheme="minorBidi" w:hAnsiTheme="minorBidi"/>
                <w:b/>
                <w:bCs/>
                <w:noProof/>
                <w:webHidden/>
                <w:sz w:val="22"/>
                <w:szCs w:val="22"/>
                <w:lang w:val="en-GB"/>
              </w:rPr>
              <w:fldChar w:fldCharType="end"/>
            </w:r>
          </w:hyperlink>
        </w:p>
        <w:p w:rsidR="008705BE" w:rsidRPr="00783EB3" w:rsidP="000F34E9" w14:paraId="0150A6F4" w14:textId="155D5DE9">
          <w:pPr>
            <w:pStyle w:val="TOC2"/>
            <w:tabs>
              <w:tab w:val="left" w:pos="960"/>
              <w:tab w:val="right" w:leader="dot" w:pos="9350"/>
            </w:tabs>
            <w:rPr>
              <w:rFonts w:asciiTheme="minorBidi" w:hAnsiTheme="minorBidi"/>
              <w:b/>
              <w:bCs/>
              <w:noProof/>
              <w:sz w:val="22"/>
              <w:szCs w:val="22"/>
              <w:lang w:val="en-GB"/>
            </w:rPr>
          </w:pPr>
          <w:hyperlink w:anchor="_Toc210222330" w:history="1">
            <w:r w:rsidRPr="00783EB3">
              <w:rPr>
                <w:rStyle w:val="Hyperlink"/>
                <w:rFonts w:asciiTheme="minorBidi" w:hAnsiTheme="minorBidi"/>
                <w:b/>
                <w:bCs/>
                <w:noProof/>
                <w:sz w:val="22"/>
                <w:szCs w:val="22"/>
                <w:lang w:val="en-GB"/>
              </w:rPr>
              <w:t>5.3</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Policy and Practice Implications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_Toc210222330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8</w:t>
            </w:r>
            <w:r w:rsidRPr="00783EB3">
              <w:rPr>
                <w:rFonts w:asciiTheme="minorBidi" w:hAnsiTheme="minorBidi"/>
                <w:b/>
                <w:bCs/>
                <w:noProof/>
                <w:webHidden/>
                <w:sz w:val="22"/>
                <w:szCs w:val="22"/>
                <w:lang w:val="en-GB"/>
              </w:rPr>
              <w:fldChar w:fldCharType="end"/>
            </w:r>
          </w:hyperlink>
        </w:p>
        <w:p w:rsidR="008705BE" w:rsidRPr="00783EB3" w:rsidP="000F34E9" w14:paraId="0E2194D1" w14:textId="460F73F6">
          <w:pPr>
            <w:pStyle w:val="TOC2"/>
            <w:tabs>
              <w:tab w:val="left" w:pos="960"/>
              <w:tab w:val="right" w:leader="dot" w:pos="9350"/>
            </w:tabs>
            <w:rPr>
              <w:rFonts w:asciiTheme="minorBidi" w:hAnsiTheme="minorBidi"/>
              <w:b/>
              <w:bCs/>
              <w:noProof/>
              <w:sz w:val="22"/>
              <w:szCs w:val="22"/>
              <w:lang w:val="en-GB"/>
            </w:rPr>
          </w:pPr>
          <w:hyperlink w:anchor="_Toc210222331" w:history="1">
            <w:r w:rsidRPr="00783EB3">
              <w:rPr>
                <w:rStyle w:val="Hyperlink"/>
                <w:rFonts w:asciiTheme="minorBidi" w:hAnsiTheme="minorBidi"/>
                <w:b/>
                <w:bCs/>
                <w:noProof/>
                <w:sz w:val="22"/>
                <w:szCs w:val="22"/>
                <w:lang w:val="en-GB"/>
              </w:rPr>
              <w:t>5.4</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Future Research Recommendations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_Toc210222331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8</w:t>
            </w:r>
            <w:r w:rsidRPr="00783EB3">
              <w:rPr>
                <w:rFonts w:asciiTheme="minorBidi" w:hAnsiTheme="minorBidi"/>
                <w:b/>
                <w:bCs/>
                <w:noProof/>
                <w:webHidden/>
                <w:sz w:val="22"/>
                <w:szCs w:val="22"/>
                <w:lang w:val="en-GB"/>
              </w:rPr>
              <w:fldChar w:fldCharType="end"/>
            </w:r>
          </w:hyperlink>
        </w:p>
        <w:p w:rsidR="008705BE" w:rsidRPr="00783EB3" w:rsidP="000F34E9" w14:paraId="3956D5EB" w14:textId="2758652E">
          <w:pPr>
            <w:pStyle w:val="TOC1"/>
            <w:tabs>
              <w:tab w:val="left" w:pos="480"/>
              <w:tab w:val="right" w:leader="dot" w:pos="9350"/>
            </w:tabs>
            <w:rPr>
              <w:rFonts w:asciiTheme="minorBidi" w:hAnsiTheme="minorBidi"/>
              <w:b/>
              <w:bCs/>
              <w:noProof/>
              <w:sz w:val="22"/>
              <w:szCs w:val="22"/>
              <w:lang w:val="en-GB"/>
            </w:rPr>
          </w:pPr>
          <w:hyperlink w:anchor="_Toc210222332" w:history="1">
            <w:r w:rsidRPr="00783EB3">
              <w:rPr>
                <w:rStyle w:val="Hyperlink"/>
                <w:rFonts w:asciiTheme="minorBidi" w:hAnsiTheme="minorBidi"/>
                <w:b/>
                <w:bCs/>
                <w:noProof/>
                <w:sz w:val="22"/>
                <w:szCs w:val="22"/>
                <w:lang w:val="en-GB"/>
              </w:rPr>
              <w:t>6.</w:t>
            </w:r>
            <w:r w:rsidRPr="00783EB3">
              <w:rPr>
                <w:rFonts w:asciiTheme="minorBidi" w:hAnsiTheme="minorBidi"/>
                <w:b/>
                <w:bCs/>
                <w:noProof/>
                <w:sz w:val="22"/>
                <w:szCs w:val="22"/>
                <w:lang w:val="en-GB"/>
              </w:rPr>
              <w:tab/>
            </w:r>
            <w:r w:rsidRPr="00783EB3">
              <w:rPr>
                <w:rStyle w:val="Hyperlink"/>
                <w:rFonts w:asciiTheme="minorBidi" w:hAnsiTheme="minorBidi"/>
                <w:b/>
                <w:bCs/>
                <w:noProof/>
                <w:sz w:val="22"/>
                <w:szCs w:val="22"/>
                <w:lang w:val="en-GB"/>
              </w:rPr>
              <w:t>Conclusion</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_Toc210222332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9</w:t>
            </w:r>
            <w:r w:rsidRPr="00783EB3">
              <w:rPr>
                <w:rFonts w:asciiTheme="minorBidi" w:hAnsiTheme="minorBidi"/>
                <w:b/>
                <w:bCs/>
                <w:noProof/>
                <w:webHidden/>
                <w:sz w:val="22"/>
                <w:szCs w:val="22"/>
                <w:lang w:val="en-GB"/>
              </w:rPr>
              <w:fldChar w:fldCharType="end"/>
            </w:r>
          </w:hyperlink>
        </w:p>
        <w:p w:rsidR="008705BE" w:rsidRPr="00783EB3" w:rsidP="000F34E9" w14:paraId="53595BFE" w14:textId="56FC02C1">
          <w:pPr>
            <w:pStyle w:val="TOC1"/>
            <w:tabs>
              <w:tab w:val="right" w:leader="dot" w:pos="9350"/>
            </w:tabs>
            <w:rPr>
              <w:rFonts w:asciiTheme="minorBidi" w:hAnsiTheme="minorBidi"/>
              <w:b/>
              <w:bCs/>
              <w:noProof/>
              <w:sz w:val="22"/>
              <w:szCs w:val="22"/>
              <w:lang w:val="en-GB"/>
            </w:rPr>
          </w:pPr>
          <w:hyperlink w:anchor="_Toc210222333" w:history="1">
            <w:r w:rsidRPr="00783EB3">
              <w:rPr>
                <w:rStyle w:val="Hyperlink"/>
                <w:rFonts w:asciiTheme="minorBidi" w:hAnsiTheme="minorBidi"/>
                <w:b/>
                <w:bCs/>
                <w:noProof/>
                <w:sz w:val="22"/>
                <w:szCs w:val="22"/>
                <w:lang w:val="en-GB"/>
              </w:rPr>
              <w:t>References</w:t>
            </w:r>
            <w:r w:rsidRPr="00783EB3">
              <w:rPr>
                <w:rFonts w:asciiTheme="minorBidi" w:hAnsiTheme="minorBidi"/>
                <w:b/>
                <w:bCs/>
                <w:noProof/>
                <w:webHidden/>
                <w:sz w:val="22"/>
                <w:szCs w:val="22"/>
                <w:lang w:val="en-GB"/>
              </w:rPr>
              <w:tab/>
            </w:r>
            <w:r w:rsidRPr="00783EB3">
              <w:rPr>
                <w:rFonts w:asciiTheme="minorBidi" w:hAnsiTheme="minorBidi"/>
                <w:b/>
                <w:bCs/>
                <w:noProof/>
                <w:webHidden/>
                <w:sz w:val="22"/>
                <w:szCs w:val="22"/>
                <w:lang w:val="en-GB"/>
              </w:rPr>
              <w:fldChar w:fldCharType="begin"/>
            </w:r>
            <w:r w:rsidRPr="00783EB3">
              <w:rPr>
                <w:rFonts w:asciiTheme="minorBidi" w:hAnsiTheme="minorBidi"/>
                <w:b/>
                <w:bCs/>
                <w:noProof/>
                <w:webHidden/>
                <w:sz w:val="22"/>
                <w:szCs w:val="22"/>
                <w:lang w:val="en-GB"/>
              </w:rPr>
              <w:instrText xml:space="preserve"> PAGEREF _Toc210222333 \h </w:instrText>
            </w:r>
            <w:r w:rsidRPr="00783EB3">
              <w:rPr>
                <w:rFonts w:asciiTheme="minorBidi" w:hAnsiTheme="minorBidi"/>
                <w:b/>
                <w:bCs/>
                <w:noProof/>
                <w:webHidden/>
                <w:sz w:val="22"/>
                <w:szCs w:val="22"/>
                <w:lang w:val="en-GB"/>
              </w:rPr>
              <w:fldChar w:fldCharType="separate"/>
            </w:r>
            <w:r w:rsidRPr="00783EB3" w:rsidR="00D17031">
              <w:rPr>
                <w:rFonts w:asciiTheme="minorBidi" w:hAnsiTheme="minorBidi"/>
                <w:b/>
                <w:bCs/>
                <w:noProof/>
                <w:webHidden/>
                <w:sz w:val="22"/>
                <w:szCs w:val="22"/>
                <w:lang w:val="en-GB"/>
              </w:rPr>
              <w:t>10</w:t>
            </w:r>
            <w:r w:rsidRPr="00783EB3">
              <w:rPr>
                <w:rFonts w:asciiTheme="minorBidi" w:hAnsiTheme="minorBidi"/>
                <w:b/>
                <w:bCs/>
                <w:noProof/>
                <w:webHidden/>
                <w:sz w:val="22"/>
                <w:szCs w:val="22"/>
                <w:lang w:val="en-GB"/>
              </w:rPr>
              <w:fldChar w:fldCharType="end"/>
            </w:r>
          </w:hyperlink>
        </w:p>
        <w:p w:rsidR="008705BE" w:rsidRPr="00783EB3" w:rsidP="000F34E9" w14:paraId="7D5DFE05" w14:textId="355C787A">
          <w:pPr>
            <w:rPr>
              <w:rFonts w:asciiTheme="minorBidi" w:hAnsiTheme="minorBidi"/>
              <w:b/>
              <w:bCs/>
              <w:sz w:val="22"/>
              <w:szCs w:val="22"/>
              <w:lang w:val="en-GB"/>
            </w:rPr>
          </w:pPr>
          <w:r w:rsidRPr="00783EB3">
            <w:rPr>
              <w:rFonts w:asciiTheme="minorBidi" w:hAnsiTheme="minorBidi"/>
              <w:b/>
              <w:bCs/>
              <w:noProof/>
              <w:sz w:val="22"/>
              <w:szCs w:val="22"/>
              <w:lang w:val="en-GB"/>
            </w:rPr>
            <w:fldChar w:fldCharType="end"/>
          </w:r>
        </w:p>
      </w:sdtContent>
    </w:sdt>
    <w:p w:rsidR="000E736E" w:rsidRPr="00783EB3" w14:paraId="4FCFD80C" w14:textId="77777777">
      <w:pPr>
        <w:rPr>
          <w:rFonts w:ascii="Arial" w:hAnsi="Arial" w:cs="Arial"/>
          <w:sz w:val="22"/>
          <w:szCs w:val="22"/>
          <w:lang w:val="en-GB"/>
        </w:rPr>
      </w:pPr>
    </w:p>
    <w:p w:rsidR="004843E8" w:rsidRPr="00783EB3" w:rsidP="006A0B3C" w14:paraId="4D2565D0" w14:textId="77777777">
      <w:pPr>
        <w:pStyle w:val="Heading1"/>
        <w:numPr>
          <w:ilvl w:val="0"/>
          <w:numId w:val="2"/>
        </w:numPr>
        <w:rPr>
          <w:rFonts w:ascii="Arial" w:hAnsi="Arial" w:cs="Arial"/>
          <w:sz w:val="22"/>
          <w:szCs w:val="22"/>
          <w:lang w:val="en-GB"/>
        </w:rPr>
      </w:pPr>
      <w:bookmarkStart w:id="0" w:name="_Toc210222310"/>
      <w:r w:rsidRPr="00783EB3">
        <w:rPr>
          <w:rFonts w:ascii="Arial" w:hAnsi="Arial" w:cs="Arial"/>
          <w:sz w:val="22"/>
          <w:szCs w:val="22"/>
          <w:lang w:val="en-GB"/>
        </w:rPr>
        <w:t>Introduction</w:t>
      </w:r>
      <w:bookmarkEnd w:id="0"/>
    </w:p>
    <w:p w:rsidR="006A0B3C" w:rsidRPr="00783EB3" w:rsidP="004843E8" w14:paraId="607B58FF" w14:textId="77D20263">
      <w:pPr>
        <w:rPr>
          <w:rFonts w:ascii="Arial" w:hAnsi="Arial" w:cs="Arial"/>
          <w:sz w:val="22"/>
          <w:szCs w:val="22"/>
          <w:lang w:val="en-GB"/>
        </w:rPr>
      </w:pPr>
      <w:r w:rsidRPr="00783EB3">
        <w:rPr>
          <w:rFonts w:ascii="Arial" w:hAnsi="Arial" w:cs="Arial"/>
          <w:sz w:val="22"/>
          <w:szCs w:val="22"/>
          <w:lang w:val="en-GB"/>
        </w:rPr>
        <w:t>Social Anxiety Disorder (SAD) is a widespread mental condition, the symptoms of which include elevated and chronic anxiety about social experiences or performance, leading to avoidance and dysfunction (Koyuncu et al, 2019). It is among the most common anxiety disorders on earth, with a prevalence rate of about 7 per cent (</w:t>
      </w:r>
      <w:r w:rsidRPr="00783EB3">
        <w:rPr>
          <w:rFonts w:ascii="Arial" w:hAnsi="Arial" w:cs="Arial"/>
          <w:sz w:val="22"/>
          <w:szCs w:val="22"/>
          <w:lang w:val="en-GB"/>
        </w:rPr>
        <w:t>Emmelkamp</w:t>
      </w:r>
      <w:r w:rsidRPr="00783EB3">
        <w:rPr>
          <w:rFonts w:ascii="Arial" w:hAnsi="Arial" w:cs="Arial"/>
          <w:sz w:val="22"/>
          <w:szCs w:val="22"/>
          <w:lang w:val="en-GB"/>
        </w:rPr>
        <w:t xml:space="preserve"> et al, 2020). SAD typically starts in adolescence, and without treatment, it may persist into adulthood, resulting in comorbidities of depression, substance abuse, and poor quality of life (Neufeld et al, 2020). The choice of this disorder was informed by the assumption that it imposes a high burden on the health of the people, and it is questionable whether it should be defined and treated as a disorder or not. This is merely a critical analysis of SAD in the view of ICD-11 classification, diagnosis, treatment, and rehabilitation. It will also present current controversies, cultural interests, and policy implications, and provide evidence-based recommendations</w:t>
      </w:r>
      <w:r w:rsidRPr="00783EB3" w:rsidR="004843E8">
        <w:rPr>
          <w:rFonts w:ascii="Arial" w:hAnsi="Arial" w:cs="Arial"/>
          <w:sz w:val="22"/>
          <w:szCs w:val="22"/>
          <w:lang w:val="en-GB"/>
        </w:rPr>
        <w:t>.</w:t>
      </w:r>
      <w:r w:rsidRPr="00783EB3">
        <w:rPr>
          <w:rFonts w:ascii="Arial" w:hAnsi="Arial" w:cs="Arial"/>
          <w:sz w:val="22"/>
          <w:szCs w:val="22"/>
          <w:lang w:val="en-GB"/>
        </w:rPr>
        <w:t xml:space="preserve"> </w:t>
      </w:r>
    </w:p>
    <w:p w:rsidR="004843E8" w:rsidRPr="00783EB3" w:rsidP="004843E8" w14:paraId="21C92C89" w14:textId="6FCE5F02">
      <w:pPr>
        <w:pStyle w:val="Heading1"/>
        <w:numPr>
          <w:ilvl w:val="0"/>
          <w:numId w:val="2"/>
        </w:numPr>
        <w:rPr>
          <w:rFonts w:ascii="Arial" w:hAnsi="Arial" w:cs="Arial"/>
          <w:sz w:val="22"/>
          <w:szCs w:val="22"/>
          <w:lang w:val="en-GB"/>
        </w:rPr>
      </w:pPr>
      <w:bookmarkStart w:id="1" w:name="_Toc210222311"/>
      <w:r w:rsidRPr="00783EB3">
        <w:rPr>
          <w:rFonts w:ascii="Arial" w:hAnsi="Arial" w:cs="Arial"/>
          <w:sz w:val="22"/>
          <w:szCs w:val="22"/>
          <w:lang w:val="en-GB"/>
        </w:rPr>
        <w:t>Classification and Diagnosis</w:t>
      </w:r>
      <w:bookmarkEnd w:id="1"/>
    </w:p>
    <w:p w:rsidR="004843E8" w:rsidRPr="00783EB3" w:rsidP="00F20C60" w14:paraId="1EC280A4" w14:textId="76542D06">
      <w:pPr>
        <w:pStyle w:val="Heading2"/>
        <w:numPr>
          <w:ilvl w:val="1"/>
          <w:numId w:val="2"/>
        </w:numPr>
        <w:rPr>
          <w:rFonts w:ascii="Arial" w:hAnsi="Arial" w:cs="Arial"/>
          <w:sz w:val="22"/>
          <w:szCs w:val="22"/>
          <w:lang w:val="en-GB"/>
        </w:rPr>
      </w:pPr>
      <w:bookmarkStart w:id="2" w:name="_Toc210222312"/>
      <w:r w:rsidRPr="00783EB3">
        <w:rPr>
          <w:rFonts w:ascii="Arial" w:hAnsi="Arial" w:cs="Arial"/>
          <w:sz w:val="22"/>
          <w:szCs w:val="22"/>
          <w:lang w:val="en-GB"/>
        </w:rPr>
        <w:t>ICD-11 Classification of Social Anxiety Disorder</w:t>
      </w:r>
      <w:bookmarkEnd w:id="2"/>
    </w:p>
    <w:p w:rsidR="00F20C60" w:rsidRPr="00783EB3" w:rsidP="00F20C60" w14:paraId="5A693425" w14:textId="09E07219">
      <w:pPr>
        <w:rPr>
          <w:rFonts w:ascii="Arial" w:hAnsi="Arial" w:cs="Arial"/>
          <w:sz w:val="22"/>
          <w:szCs w:val="22"/>
          <w:lang w:val="en-GB"/>
        </w:rPr>
      </w:pPr>
      <w:r w:rsidRPr="00783EB3">
        <w:rPr>
          <w:rFonts w:ascii="Arial" w:hAnsi="Arial" w:cs="Arial"/>
          <w:sz w:val="22"/>
          <w:szCs w:val="22"/>
          <w:lang w:val="en-GB"/>
        </w:rPr>
        <w:t>In ICD-11, Social Anxiety Disorder (SAD) falls under the 6B04 Anxiety or fear-related disorders, with the latter one being defined as a persistent fear of social impact or a circumstance of acting where individuals might feel they would be judged by others (WHO, 2025). The classification denotes the central emphasis of over-fearing the negative assessment, avoidance, and disruption of the normal functioning of everyday life</w:t>
      </w:r>
      <w:r w:rsidRPr="00783EB3">
        <w:rPr>
          <w:rFonts w:ascii="Arial" w:hAnsi="Arial" w:cs="Arial"/>
          <w:sz w:val="22"/>
          <w:szCs w:val="22"/>
          <w:lang w:val="en-GB"/>
        </w:rPr>
        <w:t>.</w:t>
      </w:r>
    </w:p>
    <w:p w:rsidR="00C10ACA" w:rsidRPr="00783EB3" w:rsidP="00C10ACA" w14:paraId="29C9C412" w14:textId="2B1BFD47">
      <w:pPr>
        <w:jc w:val="center"/>
        <w:rPr>
          <w:rFonts w:ascii="Arial" w:hAnsi="Arial" w:cs="Arial"/>
          <w:sz w:val="22"/>
          <w:szCs w:val="22"/>
          <w:lang w:val="en-GB"/>
        </w:rPr>
      </w:pPr>
      <w:r w:rsidRPr="00783EB3">
        <w:rPr>
          <w:rFonts w:ascii="Arial" w:hAnsi="Arial" w:cs="Arial"/>
          <w:noProof/>
          <w:sz w:val="22"/>
          <w:szCs w:val="22"/>
          <w:lang w:val="en-GB"/>
        </w:rPr>
        <w:drawing>
          <wp:inline distT="0" distB="0" distL="0" distR="0">
            <wp:extent cx="3329766" cy="2292350"/>
            <wp:effectExtent l="0" t="0" r="0" b="0"/>
            <wp:docPr id="88467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675003" name="Picture 884675003"/>
                    <pic:cNvPicPr/>
                  </pic:nvPicPr>
                  <pic:blipFill>
                    <a:blip xmlns:r="http://schemas.openxmlformats.org/officeDocument/2006/relationships" r:embed="rId5" cstate="print">
                      <a:extLst>
                        <a:ext xmlns:a="http://schemas.openxmlformats.org/drawingml/2006/main" uri="{28A0092B-C50C-407E-A947-70E740481C1C}">
                          <a14:useLocalDpi xmlns:a14="http://schemas.microsoft.com/office/drawing/2010/main" val="0"/>
                        </a:ext>
                      </a:extLst>
                    </a:blip>
                    <a:stretch>
                      <a:fillRect/>
                    </a:stretch>
                  </pic:blipFill>
                  <pic:spPr>
                    <a:xfrm>
                      <a:off x="0" y="0"/>
                      <a:ext cx="3365206" cy="2316748"/>
                    </a:xfrm>
                    <a:prstGeom prst="rect">
                      <a:avLst/>
                    </a:prstGeom>
                  </pic:spPr>
                </pic:pic>
              </a:graphicData>
            </a:graphic>
          </wp:inline>
        </w:drawing>
      </w:r>
    </w:p>
    <w:p w:rsidR="00CF79FF" w:rsidRPr="00783EB3" w:rsidP="00CF79FF" w14:paraId="7FFF9B34" w14:textId="11209390">
      <w:pPr>
        <w:jc w:val="center"/>
        <w:rPr>
          <w:rFonts w:ascii="Arial" w:hAnsi="Arial" w:cs="Arial"/>
          <w:sz w:val="22"/>
          <w:szCs w:val="22"/>
          <w:lang w:val="en-GB"/>
        </w:rPr>
      </w:pPr>
      <w:r w:rsidRPr="00783EB3">
        <w:rPr>
          <w:rFonts w:ascii="Arial" w:hAnsi="Arial" w:cs="Arial"/>
          <w:sz w:val="22"/>
          <w:szCs w:val="22"/>
          <w:lang w:val="en-GB"/>
        </w:rPr>
        <w:t>Figure 1: Cycle for SAD (Rebello et al., 2019)</w:t>
      </w:r>
    </w:p>
    <w:p w:rsidR="00C10ACA" w:rsidRPr="00783EB3" w:rsidP="00CF79FF" w14:paraId="3E38555B" w14:textId="77777777">
      <w:pPr>
        <w:jc w:val="center"/>
        <w:rPr>
          <w:rFonts w:ascii="Arial" w:hAnsi="Arial" w:cs="Arial"/>
          <w:sz w:val="22"/>
          <w:szCs w:val="22"/>
          <w:lang w:val="en-GB"/>
        </w:rPr>
      </w:pPr>
    </w:p>
    <w:p w:rsidR="00F20C60" w:rsidRPr="00783EB3" w:rsidP="00F20C60" w14:paraId="20A5369D" w14:textId="22BF0E02">
      <w:pPr>
        <w:pStyle w:val="Heading2"/>
        <w:numPr>
          <w:ilvl w:val="1"/>
          <w:numId w:val="2"/>
        </w:numPr>
        <w:rPr>
          <w:rFonts w:ascii="Arial" w:hAnsi="Arial" w:cs="Arial"/>
          <w:sz w:val="22"/>
          <w:szCs w:val="22"/>
          <w:lang w:val="en-GB"/>
        </w:rPr>
      </w:pPr>
      <w:bookmarkStart w:id="3" w:name="_Toc210222313"/>
      <w:r w:rsidRPr="00783EB3">
        <w:rPr>
          <w:rFonts w:ascii="Arial" w:hAnsi="Arial" w:cs="Arial"/>
          <w:sz w:val="22"/>
          <w:szCs w:val="22"/>
          <w:lang w:val="en-GB"/>
        </w:rPr>
        <w:t>Diagnostic Procedures and Criteria</w:t>
      </w:r>
      <w:bookmarkEnd w:id="3"/>
    </w:p>
    <w:p w:rsidR="00F20C60" w:rsidRPr="00783EB3" w:rsidP="00F20C60" w14:paraId="3F5DAA06" w14:textId="712119BE">
      <w:pPr>
        <w:rPr>
          <w:rFonts w:ascii="Arial" w:hAnsi="Arial" w:cs="Arial"/>
          <w:sz w:val="22"/>
          <w:szCs w:val="22"/>
          <w:lang w:val="en-GB"/>
        </w:rPr>
      </w:pPr>
      <w:r w:rsidRPr="00783EB3">
        <w:rPr>
          <w:rFonts w:ascii="Arial" w:hAnsi="Arial" w:cs="Arial"/>
          <w:sz w:val="22"/>
          <w:szCs w:val="22"/>
          <w:lang w:val="en-GB"/>
        </w:rPr>
        <w:t xml:space="preserve">The SAD will be diagnosed under the ICD-11 as excessive symptoms of at least several months in </w:t>
      </w:r>
      <w:r w:rsidRPr="00783EB3" w:rsidR="0042087A">
        <w:rPr>
          <w:rFonts w:ascii="Arial" w:hAnsi="Arial" w:cs="Arial"/>
          <w:sz w:val="22"/>
          <w:szCs w:val="22"/>
          <w:lang w:val="en-GB"/>
        </w:rPr>
        <w:t>length but</w:t>
      </w:r>
      <w:r w:rsidRPr="00783EB3">
        <w:rPr>
          <w:rFonts w:ascii="Arial" w:hAnsi="Arial" w:cs="Arial"/>
          <w:sz w:val="22"/>
          <w:szCs w:val="22"/>
          <w:lang w:val="en-GB"/>
        </w:rPr>
        <w:t xml:space="preserve"> could not be better accounted for by some other medical or psychiatric condition (Rebello et al., 2019). Clinicians assess such vital traits as excessive fear, fear of social situations, and considerable distress in the work sphere, study sphere, or interpersonal sphere. Screening tools such as the Liebowitz social anxiety scale (LSAS) are usually employed to help in the clinical evaluation and structured interviews</w:t>
      </w:r>
      <w:r w:rsidRPr="00783EB3" w:rsidR="00CF79FF">
        <w:rPr>
          <w:rFonts w:ascii="Arial" w:hAnsi="Arial" w:cs="Arial"/>
          <w:sz w:val="22"/>
          <w:szCs w:val="22"/>
          <w:lang w:val="en-GB"/>
        </w:rPr>
        <w:t>.</w:t>
      </w:r>
    </w:p>
    <w:p w:rsidR="00F20C60" w:rsidRPr="00783EB3" w:rsidP="00F20C60" w14:paraId="446AEFA8" w14:textId="77777777">
      <w:pPr>
        <w:pStyle w:val="Heading2"/>
        <w:numPr>
          <w:ilvl w:val="1"/>
          <w:numId w:val="2"/>
        </w:numPr>
        <w:rPr>
          <w:rFonts w:ascii="Arial" w:hAnsi="Arial" w:cs="Arial"/>
          <w:sz w:val="22"/>
          <w:szCs w:val="22"/>
          <w:lang w:val="en-GB"/>
        </w:rPr>
      </w:pPr>
      <w:bookmarkStart w:id="4" w:name="_Toc210222314"/>
      <w:r w:rsidRPr="00783EB3">
        <w:rPr>
          <w:rFonts w:ascii="Arial" w:hAnsi="Arial" w:cs="Arial"/>
          <w:sz w:val="22"/>
          <w:szCs w:val="22"/>
          <w:lang w:val="en-GB"/>
        </w:rPr>
        <w:t>Terminology in Classification (Disorder, Condition, Illness)</w:t>
      </w:r>
      <w:bookmarkEnd w:id="4"/>
      <w:r w:rsidRPr="00783EB3">
        <w:rPr>
          <w:rFonts w:ascii="Arial" w:hAnsi="Arial" w:cs="Arial"/>
          <w:sz w:val="22"/>
          <w:szCs w:val="22"/>
          <w:lang w:val="en-GB"/>
        </w:rPr>
        <w:t xml:space="preserve"> </w:t>
      </w:r>
    </w:p>
    <w:p w:rsidR="00F20C60" w:rsidRPr="00783EB3" w:rsidP="00F20C60" w14:paraId="4CE01571" w14:textId="0D5FB388">
      <w:pPr>
        <w:rPr>
          <w:rFonts w:ascii="Arial" w:hAnsi="Arial" w:cs="Arial"/>
          <w:sz w:val="22"/>
          <w:szCs w:val="22"/>
          <w:lang w:val="en-GB"/>
        </w:rPr>
      </w:pPr>
      <w:r w:rsidRPr="00783EB3">
        <w:rPr>
          <w:rFonts w:ascii="Arial" w:hAnsi="Arial" w:cs="Arial"/>
          <w:sz w:val="22"/>
          <w:szCs w:val="22"/>
          <w:lang w:val="en-GB"/>
        </w:rPr>
        <w:t xml:space="preserve">The ICD-11 does not employ such terms as illness, condition, or disease; rather, it employs disorder. It is a marker of the emphasis of clinically identifiable </w:t>
      </w:r>
      <w:r w:rsidRPr="00783EB3" w:rsidR="005D2BFE">
        <w:rPr>
          <w:rFonts w:ascii="Arial" w:hAnsi="Arial" w:cs="Arial"/>
          <w:sz w:val="22"/>
          <w:szCs w:val="22"/>
          <w:lang w:val="en-GB"/>
        </w:rPr>
        <w:t>behavioural</w:t>
      </w:r>
      <w:r w:rsidRPr="00783EB3">
        <w:rPr>
          <w:rFonts w:ascii="Arial" w:hAnsi="Arial" w:cs="Arial"/>
          <w:sz w:val="22"/>
          <w:szCs w:val="22"/>
          <w:lang w:val="en-GB"/>
        </w:rPr>
        <w:t xml:space="preserve"> or experience patterns, resulting in extreme distress or impairment (Lebel et al., 2020). The term disorder does not imply a medical model that takes into consideration the psychosocial aspects of SAD</w:t>
      </w:r>
      <w:r w:rsidRPr="00783EB3" w:rsidR="00AB5EAD">
        <w:rPr>
          <w:rFonts w:ascii="Arial" w:hAnsi="Arial" w:cs="Arial"/>
          <w:sz w:val="22"/>
          <w:szCs w:val="22"/>
          <w:lang w:val="en-GB"/>
        </w:rPr>
        <w:t>.</w:t>
      </w:r>
    </w:p>
    <w:p w:rsidR="00F20C60" w:rsidRPr="00783EB3" w:rsidP="00F20C60" w14:paraId="5511394C" w14:textId="6C5B0C1F">
      <w:pPr>
        <w:pStyle w:val="Heading2"/>
        <w:numPr>
          <w:ilvl w:val="1"/>
          <w:numId w:val="2"/>
        </w:numPr>
        <w:rPr>
          <w:rFonts w:ascii="Arial" w:hAnsi="Arial" w:cs="Arial"/>
          <w:sz w:val="22"/>
          <w:szCs w:val="22"/>
          <w:lang w:val="en-GB"/>
        </w:rPr>
      </w:pPr>
      <w:bookmarkStart w:id="5" w:name="_Toc210222315"/>
      <w:r w:rsidRPr="00783EB3">
        <w:rPr>
          <w:rFonts w:ascii="Arial" w:hAnsi="Arial" w:cs="Arial"/>
          <w:sz w:val="22"/>
          <w:szCs w:val="22"/>
          <w:lang w:val="en-GB"/>
        </w:rPr>
        <w:t>Development of Classification (ICD-10 vs ICD-11)</w:t>
      </w:r>
      <w:bookmarkEnd w:id="5"/>
    </w:p>
    <w:p w:rsidR="00F20C60" w:rsidRPr="00783EB3" w:rsidP="00F20C60" w14:paraId="50DE2C3E" w14:textId="0545F430">
      <w:pPr>
        <w:rPr>
          <w:rFonts w:ascii="Arial" w:hAnsi="Arial" w:cs="Arial"/>
          <w:sz w:val="22"/>
          <w:szCs w:val="22"/>
          <w:lang w:val="en-GB"/>
        </w:rPr>
      </w:pPr>
      <w:r w:rsidRPr="00783EB3">
        <w:rPr>
          <w:rFonts w:ascii="Arial" w:hAnsi="Arial" w:cs="Arial"/>
          <w:sz w:val="22"/>
          <w:szCs w:val="22"/>
          <w:lang w:val="en-GB"/>
        </w:rPr>
        <w:t>The current ICD-10 refers to SAD as social phobia (F40.1) and is much more concerned with the fear of social performance situations. This definition of ICD-11 is furthered to feature not just the functional effects of avoidance, performance, and interactional fears (</w:t>
      </w:r>
      <w:r w:rsidRPr="00783EB3">
        <w:rPr>
          <w:rFonts w:ascii="Arial" w:hAnsi="Arial" w:cs="Arial"/>
          <w:sz w:val="22"/>
          <w:szCs w:val="22"/>
          <w:lang w:val="en-GB"/>
        </w:rPr>
        <w:t>Domschke</w:t>
      </w:r>
      <w:r w:rsidRPr="00783EB3">
        <w:rPr>
          <w:rFonts w:ascii="Arial" w:hAnsi="Arial" w:cs="Arial"/>
          <w:sz w:val="22"/>
          <w:szCs w:val="22"/>
          <w:lang w:val="en-GB"/>
        </w:rPr>
        <w:t xml:space="preserve"> et al., 2025). The change may be considered the manifestation of the complexity of SAD, early development, and high comorbidity with other disorders (Gaebel et al., 2020). The shifts in the terms and scope of ICD-11 diagnosis are more akin to those in DSM-</w:t>
      </w:r>
      <w:r w:rsidRPr="00783EB3" w:rsidR="00E75BCC">
        <w:rPr>
          <w:rFonts w:ascii="Arial" w:hAnsi="Arial" w:cs="Arial"/>
          <w:sz w:val="22"/>
          <w:szCs w:val="22"/>
          <w:lang w:val="en-GB"/>
        </w:rPr>
        <w:t>5 and</w:t>
      </w:r>
      <w:r w:rsidRPr="00783EB3">
        <w:rPr>
          <w:rFonts w:ascii="Arial" w:hAnsi="Arial" w:cs="Arial"/>
          <w:sz w:val="22"/>
          <w:szCs w:val="22"/>
          <w:lang w:val="en-GB"/>
        </w:rPr>
        <w:t xml:space="preserve"> promote consistency of the diagnostic systems</w:t>
      </w:r>
      <w:r w:rsidRPr="00783EB3" w:rsidR="00B04798">
        <w:rPr>
          <w:rFonts w:ascii="Arial" w:hAnsi="Arial" w:cs="Arial"/>
          <w:sz w:val="22"/>
          <w:szCs w:val="22"/>
          <w:lang w:val="en-GB"/>
        </w:rPr>
        <w:t>.</w:t>
      </w:r>
    </w:p>
    <w:p w:rsidR="00F20C60" w:rsidRPr="00783EB3" w:rsidP="008A1598" w14:paraId="081290D3" w14:textId="25C43B58">
      <w:pPr>
        <w:pStyle w:val="Heading1"/>
        <w:numPr>
          <w:ilvl w:val="0"/>
          <w:numId w:val="2"/>
        </w:numPr>
        <w:rPr>
          <w:rFonts w:ascii="Arial" w:hAnsi="Arial" w:cs="Arial"/>
          <w:sz w:val="22"/>
          <w:szCs w:val="22"/>
          <w:lang w:val="en-GB"/>
        </w:rPr>
      </w:pPr>
      <w:bookmarkStart w:id="6" w:name="_Toc210222316"/>
      <w:r w:rsidRPr="00783EB3">
        <w:rPr>
          <w:rFonts w:ascii="Arial" w:hAnsi="Arial" w:cs="Arial"/>
          <w:sz w:val="22"/>
          <w:szCs w:val="22"/>
          <w:lang w:val="en-GB"/>
        </w:rPr>
        <w:t>Treatment and Rehabilitation</w:t>
      </w:r>
      <w:bookmarkEnd w:id="6"/>
    </w:p>
    <w:p w:rsidR="008A1598" w:rsidRPr="00783EB3" w:rsidP="008A1598" w14:paraId="588A33AF" w14:textId="244D21A3">
      <w:pPr>
        <w:pStyle w:val="Heading2"/>
        <w:numPr>
          <w:ilvl w:val="1"/>
          <w:numId w:val="2"/>
        </w:numPr>
        <w:rPr>
          <w:rFonts w:ascii="Arial" w:hAnsi="Arial" w:cs="Arial"/>
          <w:sz w:val="22"/>
          <w:szCs w:val="22"/>
          <w:lang w:val="en-GB"/>
        </w:rPr>
      </w:pPr>
      <w:bookmarkStart w:id="7" w:name="_Toc210222317"/>
      <w:r w:rsidRPr="00783EB3">
        <w:rPr>
          <w:rFonts w:ascii="Arial" w:hAnsi="Arial" w:cs="Arial"/>
          <w:sz w:val="22"/>
          <w:szCs w:val="22"/>
          <w:lang w:val="en-GB"/>
        </w:rPr>
        <w:t>Standard Treatment Approaches (Medication, Therapy, etc.)</w:t>
      </w:r>
      <w:bookmarkEnd w:id="7"/>
    </w:p>
    <w:p w:rsidR="008A1598" w:rsidRPr="00783EB3" w:rsidP="008A1598" w14:paraId="1523D1F1" w14:textId="25172462">
      <w:pPr>
        <w:rPr>
          <w:rFonts w:ascii="Arial" w:hAnsi="Arial" w:cs="Arial"/>
          <w:sz w:val="22"/>
          <w:szCs w:val="22"/>
          <w:lang w:val="en-GB"/>
        </w:rPr>
      </w:pPr>
      <w:r w:rsidRPr="00783EB3">
        <w:rPr>
          <w:rFonts w:ascii="Arial" w:hAnsi="Arial" w:cs="Arial"/>
          <w:sz w:val="22"/>
          <w:szCs w:val="22"/>
          <w:lang w:val="en-GB"/>
        </w:rPr>
        <w:t>The most common types of treatment are cognitive-</w:t>
      </w:r>
      <w:r w:rsidRPr="00783EB3" w:rsidR="00E75BCC">
        <w:rPr>
          <w:rFonts w:ascii="Arial" w:hAnsi="Arial" w:cs="Arial"/>
          <w:sz w:val="22"/>
          <w:szCs w:val="22"/>
          <w:lang w:val="en-GB"/>
        </w:rPr>
        <w:t>behavioural</w:t>
      </w:r>
      <w:r w:rsidRPr="00783EB3">
        <w:rPr>
          <w:rFonts w:ascii="Arial" w:hAnsi="Arial" w:cs="Arial"/>
          <w:sz w:val="22"/>
          <w:szCs w:val="22"/>
          <w:lang w:val="en-GB"/>
        </w:rPr>
        <w:t xml:space="preserve"> therapy (CBT) and pharmacological intervention towards the treatment of Social Anxiety Disorder (SAD). CBT, especially exposure-based therapies and cognitive restructuring, has been deemed as the first-line therapy, which is long-term effective in minimising the anxiety- and avoidance-related </w:t>
      </w:r>
      <w:r w:rsidRPr="00783EB3" w:rsidR="00E75BCC">
        <w:rPr>
          <w:rFonts w:ascii="Arial" w:hAnsi="Arial" w:cs="Arial"/>
          <w:sz w:val="22"/>
          <w:szCs w:val="22"/>
          <w:lang w:val="en-GB"/>
        </w:rPr>
        <w:t>behaviours</w:t>
      </w:r>
      <w:r w:rsidRPr="00783EB3">
        <w:rPr>
          <w:rFonts w:ascii="Arial" w:hAnsi="Arial" w:cs="Arial"/>
          <w:sz w:val="22"/>
          <w:szCs w:val="22"/>
          <w:lang w:val="en-GB"/>
        </w:rPr>
        <w:t xml:space="preserve"> </w:t>
      </w:r>
      <w:r w:rsidRPr="00783EB3">
        <w:rPr>
          <w:rFonts w:ascii="Arial" w:hAnsi="Arial" w:cs="Arial"/>
          <w:sz w:val="22"/>
          <w:szCs w:val="22"/>
          <w:lang w:val="en-GB"/>
        </w:rPr>
        <w:t>(</w:t>
      </w:r>
      <w:r w:rsidRPr="00783EB3" w:rsidR="00AB5EAD">
        <w:rPr>
          <w:rFonts w:ascii="Arial" w:hAnsi="Arial" w:cs="Arial"/>
          <w:sz w:val="22"/>
          <w:szCs w:val="22"/>
          <w:lang w:val="en-GB"/>
        </w:rPr>
        <w:t>Pelissolo</w:t>
      </w:r>
      <w:r w:rsidRPr="00783EB3" w:rsidR="00AB5EAD">
        <w:rPr>
          <w:rFonts w:ascii="Arial" w:hAnsi="Arial" w:cs="Arial"/>
          <w:sz w:val="22"/>
          <w:szCs w:val="22"/>
          <w:lang w:val="en-GB"/>
        </w:rPr>
        <w:t xml:space="preserve"> et al., </w:t>
      </w:r>
      <w:r w:rsidRPr="00783EB3">
        <w:rPr>
          <w:rFonts w:ascii="Arial" w:hAnsi="Arial" w:cs="Arial"/>
          <w:sz w:val="22"/>
          <w:szCs w:val="22"/>
          <w:lang w:val="en-GB"/>
        </w:rPr>
        <w:t>201</w:t>
      </w:r>
      <w:r w:rsidRPr="00783EB3" w:rsidR="00AB5EAD">
        <w:rPr>
          <w:rFonts w:ascii="Arial" w:hAnsi="Arial" w:cs="Arial"/>
          <w:sz w:val="22"/>
          <w:szCs w:val="22"/>
          <w:lang w:val="en-GB"/>
        </w:rPr>
        <w:t>9</w:t>
      </w:r>
      <w:r w:rsidRPr="00783EB3">
        <w:rPr>
          <w:rFonts w:ascii="Arial" w:hAnsi="Arial" w:cs="Arial"/>
          <w:sz w:val="22"/>
          <w:szCs w:val="22"/>
          <w:lang w:val="en-GB"/>
        </w:rPr>
        <w:t>). Selective serotonin reuptake inhibitors (SSRIs) like paroxetine and sertraline, as well as serotonin-norepinephrine reuptake inhibitors (SNRIs), are pharmacological treatments that can be used to treat the core symptoms (</w:t>
      </w:r>
      <w:r w:rsidRPr="00783EB3" w:rsidR="00AB5EAD">
        <w:rPr>
          <w:rFonts w:ascii="Arial" w:hAnsi="Arial" w:cs="Arial"/>
          <w:sz w:val="22"/>
          <w:szCs w:val="22"/>
          <w:lang w:val="en-GB"/>
        </w:rPr>
        <w:t xml:space="preserve">Hope et al., </w:t>
      </w:r>
      <w:r w:rsidRPr="00783EB3">
        <w:rPr>
          <w:rFonts w:ascii="Arial" w:hAnsi="Arial" w:cs="Arial"/>
          <w:sz w:val="22"/>
          <w:szCs w:val="22"/>
          <w:lang w:val="en-GB"/>
        </w:rPr>
        <w:t>20</w:t>
      </w:r>
      <w:r w:rsidRPr="00783EB3" w:rsidR="00AB5EAD">
        <w:rPr>
          <w:rFonts w:ascii="Arial" w:hAnsi="Arial" w:cs="Arial"/>
          <w:sz w:val="22"/>
          <w:szCs w:val="22"/>
          <w:lang w:val="en-GB"/>
        </w:rPr>
        <w:t>19</w:t>
      </w:r>
      <w:r w:rsidRPr="00783EB3">
        <w:rPr>
          <w:rFonts w:ascii="Arial" w:hAnsi="Arial" w:cs="Arial"/>
          <w:sz w:val="22"/>
          <w:szCs w:val="22"/>
          <w:lang w:val="en-GB"/>
        </w:rPr>
        <w:t xml:space="preserve">). The benzodiazepines can be used temporarily but not in the </w:t>
      </w:r>
      <w:r w:rsidRPr="00783EB3" w:rsidR="00AB5EAD">
        <w:rPr>
          <w:rFonts w:ascii="Arial" w:hAnsi="Arial" w:cs="Arial"/>
          <w:sz w:val="22"/>
          <w:szCs w:val="22"/>
          <w:lang w:val="en-GB"/>
        </w:rPr>
        <w:t>long term</w:t>
      </w:r>
      <w:r w:rsidRPr="00783EB3">
        <w:rPr>
          <w:rFonts w:ascii="Arial" w:hAnsi="Arial" w:cs="Arial"/>
          <w:sz w:val="22"/>
          <w:szCs w:val="22"/>
          <w:lang w:val="en-GB"/>
        </w:rPr>
        <w:t xml:space="preserve"> because of the risk of dependence</w:t>
      </w:r>
      <w:r w:rsidRPr="00783EB3" w:rsidR="00AB5EAD">
        <w:rPr>
          <w:rFonts w:ascii="Arial" w:hAnsi="Arial" w:cs="Arial"/>
          <w:sz w:val="22"/>
          <w:szCs w:val="22"/>
          <w:lang w:val="en-GB"/>
        </w:rPr>
        <w:t>.</w:t>
      </w:r>
    </w:p>
    <w:p w:rsidR="00AC3587" w:rsidRPr="00783EB3" w:rsidP="008A1598" w14:paraId="11506DFE" w14:textId="4FAF947E">
      <w:pPr>
        <w:rPr>
          <w:rFonts w:ascii="Arial" w:hAnsi="Arial" w:cs="Arial"/>
          <w:sz w:val="22"/>
          <w:szCs w:val="22"/>
          <w:lang w:val="en-GB"/>
        </w:rPr>
      </w:pPr>
      <w:r w:rsidRPr="00783EB3">
        <w:rPr>
          <w:rFonts w:ascii="Arial" w:hAnsi="Arial" w:cs="Arial"/>
          <w:noProof/>
          <w:sz w:val="22"/>
          <w:szCs w:val="22"/>
          <w:lang w:val="en-GB"/>
        </w:rPr>
        <w:drawing>
          <wp:inline distT="0" distB="0" distL="0" distR="0">
            <wp:extent cx="5943600" cy="2085340"/>
            <wp:effectExtent l="0" t="0" r="0" b="0"/>
            <wp:docPr id="201753702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7537022" name="Picture 2017537022"/>
                    <pic:cNvPicPr/>
                  </pic:nvPicPr>
                  <pic:blipFill>
                    <a:blip xmlns:r="http://schemas.openxmlformats.org/officeDocument/2006/relationships" r:embed="rId6">
                      <a:extLst>
                        <a:ext xmlns:a="http://schemas.openxmlformats.org/drawingml/2006/main" uri="{28A0092B-C50C-407E-A947-70E740481C1C}">
                          <a14:useLocalDpi xmlns:a14="http://schemas.microsoft.com/office/drawing/2010/main" val="0"/>
                        </a:ext>
                      </a:extLst>
                    </a:blip>
                    <a:stretch>
                      <a:fillRect/>
                    </a:stretch>
                  </pic:blipFill>
                  <pic:spPr>
                    <a:xfrm>
                      <a:off x="0" y="0"/>
                      <a:ext cx="5943600" cy="2085340"/>
                    </a:xfrm>
                    <a:prstGeom prst="rect">
                      <a:avLst/>
                    </a:prstGeom>
                  </pic:spPr>
                </pic:pic>
              </a:graphicData>
            </a:graphic>
          </wp:inline>
        </w:drawing>
      </w:r>
    </w:p>
    <w:p w:rsidR="00AC3587" w:rsidRPr="00783EB3" w:rsidP="00AC3587" w14:paraId="4FF9DF61" w14:textId="78787F9D">
      <w:pPr>
        <w:jc w:val="center"/>
        <w:rPr>
          <w:rFonts w:ascii="Arial" w:hAnsi="Arial" w:cs="Arial"/>
          <w:sz w:val="22"/>
          <w:szCs w:val="22"/>
          <w:lang w:val="en-GB"/>
        </w:rPr>
      </w:pPr>
      <w:r w:rsidRPr="00783EB3">
        <w:rPr>
          <w:rFonts w:ascii="Arial" w:hAnsi="Arial" w:cs="Arial"/>
          <w:sz w:val="22"/>
          <w:szCs w:val="22"/>
          <w:lang w:val="en-GB"/>
        </w:rPr>
        <w:t>Figure 2 Treatment pathways (</w:t>
      </w:r>
      <w:r w:rsidRPr="00783EB3">
        <w:rPr>
          <w:rFonts w:ascii="Arial" w:hAnsi="Arial" w:cs="Arial"/>
          <w:sz w:val="22"/>
          <w:szCs w:val="22"/>
          <w:lang w:val="en-GB"/>
        </w:rPr>
        <w:t>Pelissolo</w:t>
      </w:r>
      <w:r w:rsidRPr="00783EB3">
        <w:rPr>
          <w:rFonts w:ascii="Arial" w:hAnsi="Arial" w:cs="Arial"/>
          <w:sz w:val="22"/>
          <w:szCs w:val="22"/>
          <w:lang w:val="en-GB"/>
        </w:rPr>
        <w:t xml:space="preserve"> et al., 2019)</w:t>
      </w:r>
    </w:p>
    <w:p w:rsidR="008A1598" w:rsidRPr="00783EB3" w:rsidP="008A1598" w14:paraId="3C6C1C0E" w14:textId="1EA9DE9F">
      <w:pPr>
        <w:pStyle w:val="Heading2"/>
        <w:numPr>
          <w:ilvl w:val="1"/>
          <w:numId w:val="2"/>
        </w:numPr>
        <w:rPr>
          <w:rFonts w:ascii="Arial" w:hAnsi="Arial" w:cs="Arial"/>
          <w:sz w:val="22"/>
          <w:szCs w:val="22"/>
          <w:lang w:val="en-GB"/>
        </w:rPr>
      </w:pPr>
      <w:bookmarkStart w:id="8" w:name="_Toc210222318"/>
      <w:r w:rsidRPr="00783EB3">
        <w:rPr>
          <w:rFonts w:ascii="Arial" w:hAnsi="Arial" w:cs="Arial"/>
          <w:sz w:val="22"/>
          <w:szCs w:val="22"/>
          <w:lang w:val="en-GB"/>
        </w:rPr>
        <w:t>Rehabilitation Approaches in ICD-11 and Practice</w:t>
      </w:r>
      <w:bookmarkEnd w:id="8"/>
    </w:p>
    <w:p w:rsidR="008A1598" w:rsidRPr="00783EB3" w:rsidP="008A1598" w14:paraId="16492419" w14:textId="28EE9CEF">
      <w:pPr>
        <w:rPr>
          <w:rFonts w:ascii="Arial" w:hAnsi="Arial" w:cs="Arial"/>
          <w:sz w:val="22"/>
          <w:szCs w:val="22"/>
          <w:lang w:val="en-GB"/>
        </w:rPr>
      </w:pPr>
      <w:r w:rsidRPr="00783EB3">
        <w:rPr>
          <w:rFonts w:ascii="Arial" w:hAnsi="Arial" w:cs="Arial"/>
          <w:sz w:val="22"/>
          <w:szCs w:val="22"/>
          <w:lang w:val="en-GB"/>
        </w:rPr>
        <w:t>According to ICD-11, rehabilitation must be aimed at the recovery of social performance and quality of life. These involve psychoeducation, social skills training, and workplace or academic accommodations to lessen the stigma and allow involvement. The use of group-based CBT is also discussed as an effective intervention practice in which peer support and isolation reduction are encouraged (</w:t>
      </w:r>
      <w:r w:rsidRPr="00783EB3" w:rsidR="00AB5EAD">
        <w:rPr>
          <w:rFonts w:ascii="Arial" w:hAnsi="Arial" w:cs="Arial"/>
          <w:sz w:val="22"/>
          <w:szCs w:val="22"/>
          <w:lang w:val="en-GB"/>
        </w:rPr>
        <w:t xml:space="preserve">Mulder et al., </w:t>
      </w:r>
      <w:r w:rsidRPr="00783EB3">
        <w:rPr>
          <w:rFonts w:ascii="Arial" w:hAnsi="Arial" w:cs="Arial"/>
          <w:sz w:val="22"/>
          <w:szCs w:val="22"/>
          <w:lang w:val="en-GB"/>
        </w:rPr>
        <w:t>20</w:t>
      </w:r>
      <w:r w:rsidRPr="00783EB3" w:rsidR="00AB5EAD">
        <w:rPr>
          <w:rFonts w:ascii="Arial" w:hAnsi="Arial" w:cs="Arial"/>
          <w:sz w:val="22"/>
          <w:szCs w:val="22"/>
          <w:lang w:val="en-GB"/>
        </w:rPr>
        <w:t>22</w:t>
      </w:r>
      <w:r w:rsidRPr="00783EB3">
        <w:rPr>
          <w:rFonts w:ascii="Arial" w:hAnsi="Arial" w:cs="Arial"/>
          <w:sz w:val="22"/>
          <w:szCs w:val="22"/>
          <w:lang w:val="en-GB"/>
        </w:rPr>
        <w:t>).</w:t>
      </w:r>
    </w:p>
    <w:p w:rsidR="008A1598" w:rsidRPr="00783EB3" w:rsidP="008A1598" w14:paraId="0F2C7387" w14:textId="4D49BC6C">
      <w:pPr>
        <w:pStyle w:val="Heading2"/>
        <w:numPr>
          <w:ilvl w:val="1"/>
          <w:numId w:val="2"/>
        </w:numPr>
        <w:rPr>
          <w:rFonts w:ascii="Arial" w:hAnsi="Arial" w:cs="Arial"/>
          <w:sz w:val="22"/>
          <w:szCs w:val="22"/>
          <w:lang w:val="en-GB"/>
        </w:rPr>
      </w:pPr>
      <w:bookmarkStart w:id="9" w:name="_Toc210222319"/>
      <w:r w:rsidRPr="00783EB3">
        <w:rPr>
          <w:rFonts w:ascii="Arial" w:hAnsi="Arial" w:cs="Arial"/>
          <w:sz w:val="22"/>
          <w:szCs w:val="22"/>
          <w:lang w:val="en-GB"/>
        </w:rPr>
        <w:t>Effectiveness and Limitations of Current Approaches</w:t>
      </w:r>
      <w:bookmarkEnd w:id="9"/>
    </w:p>
    <w:p w:rsidR="008A1598" w:rsidRPr="00783EB3" w:rsidP="008A1598" w14:paraId="195F5D64" w14:textId="7267CC25">
      <w:pPr>
        <w:rPr>
          <w:rFonts w:ascii="Arial" w:hAnsi="Arial" w:cs="Arial"/>
          <w:sz w:val="22"/>
          <w:szCs w:val="22"/>
          <w:lang w:val="en-GB"/>
        </w:rPr>
      </w:pPr>
      <w:r w:rsidRPr="00783EB3">
        <w:rPr>
          <w:rFonts w:ascii="Arial" w:hAnsi="Arial" w:cs="Arial"/>
          <w:sz w:val="22"/>
          <w:szCs w:val="22"/>
          <w:lang w:val="en-GB"/>
        </w:rPr>
        <w:t>CBT and SSRIs are effective; however, not every patient reacts equally. There are still concerns of relapse, especially when treatment is stopped. Side effects of the use of pharmacological treatments can include nausea, insomnia, or sexual dysfunction, and lower adherence (</w:t>
      </w:r>
      <w:r w:rsidRPr="00783EB3" w:rsidR="00AB5EAD">
        <w:rPr>
          <w:rFonts w:ascii="Arial" w:hAnsi="Arial" w:cs="Arial"/>
          <w:sz w:val="22"/>
          <w:szCs w:val="22"/>
          <w:lang w:val="en-GB"/>
        </w:rPr>
        <w:t xml:space="preserve">Bach et al., </w:t>
      </w:r>
      <w:r w:rsidRPr="00783EB3">
        <w:rPr>
          <w:rFonts w:ascii="Arial" w:hAnsi="Arial" w:cs="Arial"/>
          <w:sz w:val="22"/>
          <w:szCs w:val="22"/>
          <w:lang w:val="en-GB"/>
        </w:rPr>
        <w:t>202</w:t>
      </w:r>
      <w:r w:rsidRPr="00783EB3" w:rsidR="00AB5EAD">
        <w:rPr>
          <w:rFonts w:ascii="Arial" w:hAnsi="Arial" w:cs="Arial"/>
          <w:sz w:val="22"/>
          <w:szCs w:val="22"/>
          <w:lang w:val="en-GB"/>
        </w:rPr>
        <w:t>2</w:t>
      </w:r>
      <w:r w:rsidRPr="00783EB3">
        <w:rPr>
          <w:rFonts w:ascii="Arial" w:hAnsi="Arial" w:cs="Arial"/>
          <w:sz w:val="22"/>
          <w:szCs w:val="22"/>
          <w:lang w:val="en-GB"/>
        </w:rPr>
        <w:t xml:space="preserve">). In addition, cost, waiting time, and geographical differences tend to restrict access to </w:t>
      </w:r>
      <w:r w:rsidRPr="00783EB3" w:rsidR="00316BB9">
        <w:rPr>
          <w:rFonts w:ascii="Arial" w:hAnsi="Arial" w:cs="Arial"/>
          <w:sz w:val="22"/>
          <w:szCs w:val="22"/>
          <w:lang w:val="en-GB"/>
        </w:rPr>
        <w:t>specialised</w:t>
      </w:r>
      <w:r w:rsidRPr="00783EB3">
        <w:rPr>
          <w:rFonts w:ascii="Arial" w:hAnsi="Arial" w:cs="Arial"/>
          <w:sz w:val="22"/>
          <w:szCs w:val="22"/>
          <w:lang w:val="en-GB"/>
        </w:rPr>
        <w:t xml:space="preserve"> therapy.</w:t>
      </w:r>
    </w:p>
    <w:p w:rsidR="008A1598" w:rsidRPr="00783EB3" w:rsidP="008A1598" w14:paraId="6B985FDA" w14:textId="65E98611">
      <w:pPr>
        <w:pStyle w:val="Heading2"/>
        <w:numPr>
          <w:ilvl w:val="1"/>
          <w:numId w:val="2"/>
        </w:numPr>
        <w:rPr>
          <w:rFonts w:ascii="Arial" w:hAnsi="Arial" w:cs="Arial"/>
          <w:sz w:val="22"/>
          <w:szCs w:val="22"/>
          <w:lang w:val="en-GB"/>
        </w:rPr>
      </w:pPr>
      <w:bookmarkStart w:id="10" w:name="_Toc210222320"/>
      <w:r w:rsidRPr="00783EB3">
        <w:rPr>
          <w:rFonts w:ascii="Arial" w:hAnsi="Arial" w:cs="Arial"/>
          <w:sz w:val="22"/>
          <w:szCs w:val="22"/>
          <w:lang w:val="en-GB"/>
        </w:rPr>
        <w:t>Cross-Cultural and Systemic Differences in Treatment</w:t>
      </w:r>
      <w:bookmarkEnd w:id="10"/>
    </w:p>
    <w:p w:rsidR="008A1598" w:rsidRPr="00783EB3" w:rsidP="008A1598" w14:paraId="0A3B698E" w14:textId="689FFE5B">
      <w:pPr>
        <w:rPr>
          <w:rFonts w:ascii="Arial" w:hAnsi="Arial" w:cs="Arial"/>
          <w:sz w:val="22"/>
          <w:szCs w:val="22"/>
          <w:lang w:val="en-GB"/>
        </w:rPr>
      </w:pPr>
      <w:r w:rsidRPr="00783EB3">
        <w:rPr>
          <w:rFonts w:ascii="Arial" w:hAnsi="Arial" w:cs="Arial"/>
          <w:sz w:val="22"/>
          <w:szCs w:val="22"/>
          <w:lang w:val="en-GB"/>
        </w:rPr>
        <w:t>The methods of treatment are different in healthcare systems. CBT and SSRIs are accessible in high-income nations, and in low-income and middle-income nations, pharmacological intervention might be more popular since trained therapists are not always readily available (</w:t>
      </w:r>
      <w:r w:rsidRPr="00783EB3" w:rsidR="005841F2">
        <w:rPr>
          <w:rFonts w:ascii="Arial" w:hAnsi="Arial" w:cs="Arial"/>
          <w:sz w:val="22"/>
          <w:szCs w:val="22"/>
          <w:lang w:val="en-GB"/>
        </w:rPr>
        <w:t xml:space="preserve">Jefferies </w:t>
      </w:r>
      <w:r w:rsidRPr="00783EB3">
        <w:rPr>
          <w:rFonts w:ascii="Arial" w:hAnsi="Arial" w:cs="Arial"/>
          <w:sz w:val="22"/>
          <w:szCs w:val="22"/>
          <w:lang w:val="en-GB"/>
        </w:rPr>
        <w:t>et al., 20</w:t>
      </w:r>
      <w:r w:rsidRPr="00783EB3" w:rsidR="005841F2">
        <w:rPr>
          <w:rFonts w:ascii="Arial" w:hAnsi="Arial" w:cs="Arial"/>
          <w:sz w:val="22"/>
          <w:szCs w:val="22"/>
          <w:lang w:val="en-GB"/>
        </w:rPr>
        <w:t>20</w:t>
      </w:r>
      <w:r w:rsidRPr="00783EB3">
        <w:rPr>
          <w:rFonts w:ascii="Arial" w:hAnsi="Arial" w:cs="Arial"/>
          <w:sz w:val="22"/>
          <w:szCs w:val="22"/>
          <w:lang w:val="en-GB"/>
        </w:rPr>
        <w:t>). Help-seeking is also cultural, with symptoms being perceived as shyness in collectivist cultures instead of a clinical disorder, postponing treatment (</w:t>
      </w:r>
      <w:r w:rsidRPr="00783EB3" w:rsidR="005841F2">
        <w:rPr>
          <w:rFonts w:ascii="Arial" w:hAnsi="Arial" w:cs="Arial"/>
          <w:sz w:val="22"/>
          <w:szCs w:val="22"/>
          <w:lang w:val="en-GB"/>
        </w:rPr>
        <w:t>Yuchang</w:t>
      </w:r>
      <w:r w:rsidRPr="00783EB3">
        <w:rPr>
          <w:rFonts w:ascii="Arial" w:hAnsi="Arial" w:cs="Arial"/>
          <w:sz w:val="22"/>
          <w:szCs w:val="22"/>
          <w:lang w:val="en-GB"/>
        </w:rPr>
        <w:t xml:space="preserve"> et al., 201</w:t>
      </w:r>
      <w:r w:rsidRPr="00783EB3" w:rsidR="005841F2">
        <w:rPr>
          <w:rFonts w:ascii="Arial" w:hAnsi="Arial" w:cs="Arial"/>
          <w:sz w:val="22"/>
          <w:szCs w:val="22"/>
          <w:lang w:val="en-GB"/>
        </w:rPr>
        <w:t>9</w:t>
      </w:r>
      <w:r w:rsidRPr="00783EB3">
        <w:rPr>
          <w:rFonts w:ascii="Arial" w:hAnsi="Arial" w:cs="Arial"/>
          <w:sz w:val="22"/>
          <w:szCs w:val="22"/>
          <w:lang w:val="en-GB"/>
        </w:rPr>
        <w:t>). Such differences underscore the need to have culturally specific interventions.</w:t>
      </w:r>
    </w:p>
    <w:p w:rsidR="008A1598" w:rsidRPr="00783EB3" w:rsidP="008A1598" w14:paraId="3EE85514" w14:textId="1402A98E">
      <w:pPr>
        <w:pStyle w:val="Heading1"/>
        <w:numPr>
          <w:ilvl w:val="0"/>
          <w:numId w:val="2"/>
        </w:numPr>
        <w:rPr>
          <w:rFonts w:ascii="Arial" w:hAnsi="Arial" w:cs="Arial"/>
          <w:sz w:val="22"/>
          <w:szCs w:val="22"/>
          <w:lang w:val="en-GB"/>
        </w:rPr>
      </w:pPr>
      <w:bookmarkStart w:id="11" w:name="_Toc210222321"/>
      <w:r w:rsidRPr="00783EB3">
        <w:rPr>
          <w:rFonts w:ascii="Arial" w:hAnsi="Arial" w:cs="Arial"/>
          <w:sz w:val="22"/>
          <w:szCs w:val="22"/>
          <w:lang w:val="en-GB"/>
        </w:rPr>
        <w:t>Current Debates and Emerging Issues</w:t>
      </w:r>
      <w:bookmarkEnd w:id="11"/>
    </w:p>
    <w:p w:rsidR="00316BB9" w:rsidRPr="00783EB3" w:rsidP="00316BB9" w14:paraId="7B33A425" w14:textId="56ADDBA8">
      <w:pPr>
        <w:pStyle w:val="Heading2"/>
        <w:numPr>
          <w:ilvl w:val="1"/>
          <w:numId w:val="2"/>
        </w:numPr>
        <w:rPr>
          <w:rFonts w:ascii="Arial" w:hAnsi="Arial" w:cs="Arial"/>
          <w:sz w:val="22"/>
          <w:szCs w:val="22"/>
          <w:lang w:val="en-GB"/>
        </w:rPr>
      </w:pPr>
      <w:bookmarkStart w:id="12" w:name="_Toc210222322"/>
      <w:r w:rsidRPr="00783EB3">
        <w:rPr>
          <w:rFonts w:ascii="Arial" w:hAnsi="Arial" w:cs="Arial"/>
          <w:sz w:val="22"/>
          <w:szCs w:val="22"/>
          <w:lang w:val="en-GB"/>
        </w:rPr>
        <w:t>Debates on Classification and Diagnostic Boundaries</w:t>
      </w:r>
      <w:bookmarkEnd w:id="12"/>
    </w:p>
    <w:p w:rsidR="00316BB9" w:rsidRPr="00783EB3" w:rsidP="00316BB9" w14:paraId="6271240C" w14:textId="138C0768">
      <w:pPr>
        <w:rPr>
          <w:rFonts w:ascii="Arial" w:hAnsi="Arial" w:cs="Arial"/>
          <w:sz w:val="22"/>
          <w:szCs w:val="22"/>
          <w:lang w:val="en-GB"/>
        </w:rPr>
      </w:pPr>
      <w:r w:rsidRPr="00783EB3">
        <w:rPr>
          <w:rFonts w:ascii="Arial" w:hAnsi="Arial" w:cs="Arial"/>
          <w:sz w:val="22"/>
          <w:szCs w:val="22"/>
          <w:lang w:val="en-GB"/>
        </w:rPr>
        <w:t xml:space="preserve">Social Anxiety Disorder (SAD) is still subject to controversy; the most pertinent question is on the limits of its diagnosis. Opponents claim that the ICD-11 and DSM-5 guidelines threaten to </w:t>
      </w:r>
      <w:r w:rsidRPr="00783EB3" w:rsidR="009D2BAE">
        <w:rPr>
          <w:rFonts w:ascii="Arial" w:hAnsi="Arial" w:cs="Arial"/>
          <w:sz w:val="22"/>
          <w:szCs w:val="22"/>
          <w:lang w:val="en-GB"/>
        </w:rPr>
        <w:t>pathologise</w:t>
      </w:r>
      <w:r w:rsidRPr="00783EB3">
        <w:rPr>
          <w:rFonts w:ascii="Arial" w:hAnsi="Arial" w:cs="Arial"/>
          <w:sz w:val="22"/>
          <w:szCs w:val="22"/>
          <w:lang w:val="en-GB"/>
        </w:rPr>
        <w:t xml:space="preserve"> shyness and common social phobias and will therefore be </w:t>
      </w:r>
      <w:r w:rsidRPr="00783EB3" w:rsidR="00F51F33">
        <w:rPr>
          <w:rFonts w:ascii="Arial" w:hAnsi="Arial" w:cs="Arial"/>
          <w:sz w:val="22"/>
          <w:szCs w:val="22"/>
          <w:lang w:val="en-GB"/>
        </w:rPr>
        <w:t>overdiagnosed</w:t>
      </w:r>
      <w:r w:rsidRPr="00783EB3">
        <w:rPr>
          <w:rFonts w:ascii="Arial" w:hAnsi="Arial" w:cs="Arial"/>
          <w:sz w:val="22"/>
          <w:szCs w:val="22"/>
          <w:lang w:val="en-GB"/>
        </w:rPr>
        <w:t xml:space="preserve"> (</w:t>
      </w:r>
      <w:r w:rsidRPr="00783EB3" w:rsidR="005841F2">
        <w:rPr>
          <w:rFonts w:ascii="Arial" w:hAnsi="Arial" w:cs="Arial"/>
          <w:sz w:val="22"/>
          <w:szCs w:val="22"/>
          <w:lang w:val="en-GB"/>
        </w:rPr>
        <w:t xml:space="preserve">Park </w:t>
      </w:r>
      <w:r w:rsidRPr="00783EB3">
        <w:rPr>
          <w:rFonts w:ascii="Arial" w:hAnsi="Arial" w:cs="Arial"/>
          <w:sz w:val="22"/>
          <w:szCs w:val="22"/>
          <w:lang w:val="en-GB"/>
        </w:rPr>
        <w:t>et al., 20</w:t>
      </w:r>
      <w:r w:rsidRPr="00783EB3" w:rsidR="005841F2">
        <w:rPr>
          <w:rFonts w:ascii="Arial" w:hAnsi="Arial" w:cs="Arial"/>
          <w:sz w:val="22"/>
          <w:szCs w:val="22"/>
          <w:lang w:val="en-GB"/>
        </w:rPr>
        <w:t>20</w:t>
      </w:r>
      <w:r w:rsidRPr="00783EB3">
        <w:rPr>
          <w:rFonts w:ascii="Arial" w:hAnsi="Arial" w:cs="Arial"/>
          <w:sz w:val="22"/>
          <w:szCs w:val="22"/>
          <w:lang w:val="en-GB"/>
        </w:rPr>
        <w:t>). Alternatively, some argue that diagnostic thresholds are highly strict, and people with subclinical symptoms, but who still severely suffer and are impaired, are left out (</w:t>
      </w:r>
      <w:r w:rsidRPr="00783EB3" w:rsidR="005841F2">
        <w:rPr>
          <w:rFonts w:ascii="Arial" w:hAnsi="Arial" w:cs="Arial"/>
          <w:sz w:val="22"/>
          <w:szCs w:val="22"/>
          <w:lang w:val="en-GB"/>
        </w:rPr>
        <w:t>Lane</w:t>
      </w:r>
      <w:r w:rsidRPr="00783EB3">
        <w:rPr>
          <w:rFonts w:ascii="Arial" w:hAnsi="Arial" w:cs="Arial"/>
          <w:sz w:val="22"/>
          <w:szCs w:val="22"/>
          <w:lang w:val="en-GB"/>
        </w:rPr>
        <w:t>, 202</w:t>
      </w:r>
      <w:r w:rsidRPr="00783EB3" w:rsidR="005841F2">
        <w:rPr>
          <w:rFonts w:ascii="Arial" w:hAnsi="Arial" w:cs="Arial"/>
          <w:sz w:val="22"/>
          <w:szCs w:val="22"/>
          <w:lang w:val="en-GB"/>
        </w:rPr>
        <w:t>0</w:t>
      </w:r>
      <w:r w:rsidRPr="00783EB3">
        <w:rPr>
          <w:rFonts w:ascii="Arial" w:hAnsi="Arial" w:cs="Arial"/>
          <w:sz w:val="22"/>
          <w:szCs w:val="22"/>
          <w:lang w:val="en-GB"/>
        </w:rPr>
        <w:t>). The controversy is indicative of larger disagreements between a categorical and dimensional method of psychiatric classification. A dimensional model could be more effective in describing the range of social fears in question, the ones that may be mildly uncomfortable and those that are debilitating (</w:t>
      </w:r>
      <w:r w:rsidRPr="00783EB3" w:rsidR="00CF533A">
        <w:rPr>
          <w:rFonts w:ascii="Arial" w:hAnsi="Arial" w:cs="Arial"/>
          <w:sz w:val="22"/>
          <w:szCs w:val="22"/>
          <w:lang w:val="en-GB"/>
        </w:rPr>
        <w:t>Alomari et</w:t>
      </w:r>
      <w:r w:rsidRPr="00783EB3">
        <w:rPr>
          <w:rFonts w:ascii="Arial" w:hAnsi="Arial" w:cs="Arial"/>
          <w:sz w:val="22"/>
          <w:szCs w:val="22"/>
          <w:lang w:val="en-GB"/>
        </w:rPr>
        <w:t xml:space="preserve"> al., 20</w:t>
      </w:r>
      <w:r w:rsidRPr="00783EB3" w:rsidR="005841F2">
        <w:rPr>
          <w:rFonts w:ascii="Arial" w:hAnsi="Arial" w:cs="Arial"/>
          <w:sz w:val="22"/>
          <w:szCs w:val="22"/>
          <w:lang w:val="en-GB"/>
        </w:rPr>
        <w:t>22</w:t>
      </w:r>
      <w:r w:rsidRPr="00783EB3">
        <w:rPr>
          <w:rFonts w:ascii="Arial" w:hAnsi="Arial" w:cs="Arial"/>
          <w:sz w:val="22"/>
          <w:szCs w:val="22"/>
          <w:lang w:val="en-GB"/>
        </w:rPr>
        <w:t xml:space="preserve">). </w:t>
      </w:r>
    </w:p>
    <w:p w:rsidR="00316BB9" w:rsidRPr="00783EB3" w:rsidP="00316BB9" w14:paraId="33E1630C" w14:textId="56B2F0BB">
      <w:pPr>
        <w:pStyle w:val="Heading2"/>
        <w:numPr>
          <w:ilvl w:val="1"/>
          <w:numId w:val="2"/>
        </w:numPr>
        <w:rPr>
          <w:rFonts w:ascii="Arial" w:hAnsi="Arial" w:cs="Arial"/>
          <w:sz w:val="22"/>
          <w:szCs w:val="22"/>
          <w:lang w:val="en-GB"/>
        </w:rPr>
      </w:pPr>
      <w:bookmarkStart w:id="13" w:name="_Toc210222323"/>
      <w:r w:rsidRPr="00783EB3">
        <w:rPr>
          <w:rFonts w:ascii="Arial" w:hAnsi="Arial" w:cs="Arial"/>
          <w:sz w:val="22"/>
          <w:szCs w:val="22"/>
          <w:lang w:val="en-GB"/>
        </w:rPr>
        <w:t>Neurodivergence and Reclassification Issues</w:t>
      </w:r>
      <w:bookmarkEnd w:id="13"/>
    </w:p>
    <w:p w:rsidR="00316BB9" w:rsidRPr="00783EB3" w:rsidP="00316BB9" w14:paraId="27F0E828" w14:textId="1DF69592">
      <w:pPr>
        <w:rPr>
          <w:rFonts w:ascii="Arial" w:hAnsi="Arial" w:cs="Arial"/>
          <w:sz w:val="22"/>
          <w:szCs w:val="22"/>
          <w:lang w:val="en-GB"/>
        </w:rPr>
      </w:pPr>
      <w:r w:rsidRPr="00783EB3">
        <w:rPr>
          <w:rFonts w:ascii="Arial" w:hAnsi="Arial" w:cs="Arial"/>
          <w:sz w:val="22"/>
          <w:szCs w:val="22"/>
          <w:lang w:val="en-GB"/>
        </w:rPr>
        <w:t>The other controversy is the association of SAD with neurodivergence, especially autism spectrum disorder (ASD). Other researchers hold that having a diagnostic overlap makes it difficult to differentiate between SAD-related avoidance and ASD-related social communication issues (</w:t>
      </w:r>
      <w:r w:rsidRPr="00783EB3" w:rsidR="005841F2">
        <w:rPr>
          <w:rFonts w:ascii="Arial" w:hAnsi="Arial" w:cs="Arial"/>
          <w:sz w:val="22"/>
          <w:szCs w:val="22"/>
          <w:lang w:val="en-GB"/>
        </w:rPr>
        <w:t xml:space="preserve">Wilson </w:t>
      </w:r>
      <w:r w:rsidRPr="00783EB3">
        <w:rPr>
          <w:rFonts w:ascii="Arial" w:hAnsi="Arial" w:cs="Arial"/>
          <w:sz w:val="22"/>
          <w:szCs w:val="22"/>
          <w:lang w:val="en-GB"/>
        </w:rPr>
        <w:t>et al., 20</w:t>
      </w:r>
      <w:r w:rsidRPr="00783EB3" w:rsidR="005841F2">
        <w:rPr>
          <w:rFonts w:ascii="Arial" w:hAnsi="Arial" w:cs="Arial"/>
          <w:sz w:val="22"/>
          <w:szCs w:val="22"/>
          <w:lang w:val="en-GB"/>
        </w:rPr>
        <w:t>24</w:t>
      </w:r>
      <w:r w:rsidRPr="00783EB3">
        <w:rPr>
          <w:rFonts w:ascii="Arial" w:hAnsi="Arial" w:cs="Arial"/>
          <w:sz w:val="22"/>
          <w:szCs w:val="22"/>
          <w:lang w:val="en-GB"/>
        </w:rPr>
        <w:t xml:space="preserve">). This may lead to misdiagnosis and the misplacement of interventions, where a person may be subjected to anxiety-oriented </w:t>
      </w:r>
      <w:r w:rsidR="00783EB3">
        <w:rPr>
          <w:rFonts w:ascii="Arial" w:hAnsi="Arial" w:cs="Arial"/>
          <w:sz w:val="22"/>
          <w:szCs w:val="22"/>
          <w:lang w:val="en-GB"/>
        </w:rPr>
        <w:t>Programmes</w:t>
      </w:r>
      <w:r w:rsidRPr="00783EB3">
        <w:rPr>
          <w:rFonts w:ascii="Arial" w:hAnsi="Arial" w:cs="Arial"/>
          <w:sz w:val="22"/>
          <w:szCs w:val="22"/>
          <w:lang w:val="en-GB"/>
        </w:rPr>
        <w:t xml:space="preserve"> instead of autism-oriented </w:t>
      </w:r>
      <w:r w:rsidR="00783EB3">
        <w:rPr>
          <w:rFonts w:ascii="Arial" w:hAnsi="Arial" w:cs="Arial"/>
          <w:sz w:val="22"/>
          <w:szCs w:val="22"/>
          <w:lang w:val="en-GB"/>
        </w:rPr>
        <w:t>Programmes</w:t>
      </w:r>
      <w:r w:rsidRPr="00783EB3">
        <w:rPr>
          <w:rFonts w:ascii="Arial" w:hAnsi="Arial" w:cs="Arial"/>
          <w:sz w:val="22"/>
          <w:szCs w:val="22"/>
          <w:lang w:val="en-GB"/>
        </w:rPr>
        <w:t xml:space="preserve">. </w:t>
      </w:r>
      <w:r w:rsidRPr="00783EB3" w:rsidR="00B04798">
        <w:rPr>
          <w:rFonts w:ascii="Arial" w:hAnsi="Arial" w:cs="Arial"/>
          <w:sz w:val="22"/>
          <w:szCs w:val="22"/>
          <w:lang w:val="en-GB"/>
        </w:rPr>
        <w:t xml:space="preserve">This introduces some questions of whether SAD should be conceptualised more relaxed and accept some overlaps with neurodevelopmental </w:t>
      </w:r>
      <w:r w:rsidRPr="00783EB3" w:rsidR="00586CF8">
        <w:rPr>
          <w:rFonts w:ascii="Arial" w:hAnsi="Arial" w:cs="Arial"/>
          <w:sz w:val="22"/>
          <w:szCs w:val="22"/>
          <w:lang w:val="en-GB"/>
        </w:rPr>
        <w:t>conditions, yet</w:t>
      </w:r>
      <w:r w:rsidRPr="00783EB3" w:rsidR="00B04798">
        <w:rPr>
          <w:rFonts w:ascii="Arial" w:hAnsi="Arial" w:cs="Arial"/>
          <w:sz w:val="22"/>
          <w:szCs w:val="22"/>
          <w:lang w:val="en-GB"/>
        </w:rPr>
        <w:t xml:space="preserve"> be able to draw distinct diagnostic boundaries</w:t>
      </w:r>
      <w:r w:rsidRPr="00783EB3">
        <w:rPr>
          <w:rFonts w:ascii="Arial" w:hAnsi="Arial" w:cs="Arial"/>
          <w:sz w:val="22"/>
          <w:szCs w:val="22"/>
          <w:lang w:val="en-GB"/>
        </w:rPr>
        <w:t>.</w:t>
      </w:r>
    </w:p>
    <w:p w:rsidR="00316BB9" w:rsidRPr="00783EB3" w:rsidP="00316BB9" w14:paraId="1E28819A" w14:textId="4D5CFE3F">
      <w:pPr>
        <w:pStyle w:val="Heading2"/>
        <w:numPr>
          <w:ilvl w:val="1"/>
          <w:numId w:val="2"/>
        </w:numPr>
        <w:rPr>
          <w:rFonts w:ascii="Arial" w:hAnsi="Arial" w:cs="Arial"/>
          <w:sz w:val="22"/>
          <w:szCs w:val="22"/>
          <w:lang w:val="en-GB"/>
        </w:rPr>
      </w:pPr>
      <w:bookmarkStart w:id="14" w:name="_Toc210222324"/>
      <w:r w:rsidRPr="00783EB3">
        <w:rPr>
          <w:rFonts w:ascii="Arial" w:hAnsi="Arial" w:cs="Arial"/>
          <w:sz w:val="22"/>
          <w:szCs w:val="22"/>
          <w:lang w:val="en-GB"/>
        </w:rPr>
        <w:t>Impact of Changing Diagnostic Criteria on Practice and Policy</w:t>
      </w:r>
      <w:bookmarkEnd w:id="14"/>
    </w:p>
    <w:p w:rsidR="00316BB9" w:rsidRPr="00783EB3" w:rsidP="00316BB9" w14:paraId="28E87AA3" w14:textId="774A8778">
      <w:pPr>
        <w:rPr>
          <w:rFonts w:ascii="Arial" w:hAnsi="Arial" w:cs="Arial"/>
          <w:sz w:val="22"/>
          <w:szCs w:val="22"/>
          <w:lang w:val="en-GB"/>
        </w:rPr>
      </w:pPr>
      <w:r w:rsidRPr="00783EB3">
        <w:rPr>
          <w:rFonts w:ascii="Arial" w:hAnsi="Arial" w:cs="Arial"/>
          <w:sz w:val="22"/>
          <w:szCs w:val="22"/>
          <w:lang w:val="en-GB"/>
        </w:rPr>
        <w:t>The change from ICD-10 to ICD-11 has policy implications. The renaming of social phobia into social anxiety disorder is the result of the understanding of the wider and more debilitating nature of the condition (WHO, 2019). Such reclassification can enhance the awareness of the population and minimise stigma because it will package SAD as a disorder, not associated with performance-related fears (</w:t>
      </w:r>
      <w:r w:rsidRPr="00783EB3" w:rsidR="005841F2">
        <w:rPr>
          <w:rFonts w:ascii="Arial" w:hAnsi="Arial" w:cs="Arial"/>
          <w:sz w:val="22"/>
          <w:szCs w:val="22"/>
          <w:lang w:val="en-GB"/>
        </w:rPr>
        <w:t>Reed</w:t>
      </w:r>
      <w:r w:rsidRPr="00783EB3">
        <w:rPr>
          <w:rFonts w:ascii="Arial" w:hAnsi="Arial" w:cs="Arial"/>
          <w:sz w:val="22"/>
          <w:szCs w:val="22"/>
          <w:lang w:val="en-GB"/>
        </w:rPr>
        <w:t>, 202</w:t>
      </w:r>
      <w:r w:rsidRPr="00783EB3" w:rsidR="005841F2">
        <w:rPr>
          <w:rFonts w:ascii="Arial" w:hAnsi="Arial" w:cs="Arial"/>
          <w:sz w:val="22"/>
          <w:szCs w:val="22"/>
          <w:lang w:val="en-GB"/>
        </w:rPr>
        <w:t>5</w:t>
      </w:r>
      <w:r w:rsidRPr="00783EB3">
        <w:rPr>
          <w:rFonts w:ascii="Arial" w:hAnsi="Arial" w:cs="Arial"/>
          <w:sz w:val="22"/>
          <w:szCs w:val="22"/>
          <w:lang w:val="en-GB"/>
        </w:rPr>
        <w:t>). Nonetheless, alterations in diagnostic thresholds can be equally problematic to the healthcare systems, which can result in more people being eligible to receive treatment or needing greater access to mental health services (</w:t>
      </w:r>
      <w:r w:rsidRPr="00783EB3" w:rsidR="005841F2">
        <w:rPr>
          <w:rFonts w:ascii="Arial" w:hAnsi="Arial" w:cs="Arial"/>
          <w:sz w:val="22"/>
          <w:szCs w:val="22"/>
          <w:lang w:val="en-GB"/>
        </w:rPr>
        <w:t>Nolan</w:t>
      </w:r>
      <w:r w:rsidRPr="00783EB3">
        <w:rPr>
          <w:rFonts w:ascii="Arial" w:hAnsi="Arial" w:cs="Arial"/>
          <w:sz w:val="22"/>
          <w:szCs w:val="22"/>
          <w:lang w:val="en-GB"/>
        </w:rPr>
        <w:t>, 20</w:t>
      </w:r>
      <w:r w:rsidRPr="00783EB3" w:rsidR="005841F2">
        <w:rPr>
          <w:rFonts w:ascii="Arial" w:hAnsi="Arial" w:cs="Arial"/>
          <w:sz w:val="22"/>
          <w:szCs w:val="22"/>
          <w:lang w:val="en-GB"/>
        </w:rPr>
        <w:t>22</w:t>
      </w:r>
      <w:r w:rsidRPr="00783EB3">
        <w:rPr>
          <w:rFonts w:ascii="Arial" w:hAnsi="Arial" w:cs="Arial"/>
          <w:sz w:val="22"/>
          <w:szCs w:val="22"/>
          <w:lang w:val="en-GB"/>
        </w:rPr>
        <w:t>). Policymakers have been challenged with the issue of diagnostic inclusivity and sustainable provision of services.</w:t>
      </w:r>
    </w:p>
    <w:p w:rsidR="00316BB9" w:rsidRPr="00783EB3" w:rsidP="00316BB9" w14:paraId="1F4C27A1" w14:textId="2AF8B196">
      <w:pPr>
        <w:pStyle w:val="Heading2"/>
        <w:numPr>
          <w:ilvl w:val="1"/>
          <w:numId w:val="2"/>
        </w:numPr>
        <w:rPr>
          <w:rFonts w:ascii="Arial" w:hAnsi="Arial" w:cs="Arial"/>
          <w:sz w:val="22"/>
          <w:szCs w:val="22"/>
          <w:lang w:val="en-GB"/>
        </w:rPr>
      </w:pPr>
      <w:bookmarkStart w:id="15" w:name="_Toc210222325"/>
      <w:r w:rsidRPr="00783EB3">
        <w:rPr>
          <w:rFonts w:ascii="Arial" w:hAnsi="Arial" w:cs="Arial"/>
          <w:sz w:val="22"/>
          <w:szCs w:val="22"/>
          <w:lang w:val="en-GB"/>
        </w:rPr>
        <w:t>Political, Cultural, and Social Influences on Perception and Treatment</w:t>
      </w:r>
      <w:bookmarkEnd w:id="15"/>
    </w:p>
    <w:p w:rsidR="00316BB9" w:rsidRPr="00783EB3" w:rsidP="00316BB9" w14:paraId="226DC572" w14:textId="79EBAF28">
      <w:pPr>
        <w:rPr>
          <w:rFonts w:ascii="Arial" w:hAnsi="Arial" w:cs="Arial"/>
          <w:sz w:val="22"/>
          <w:szCs w:val="22"/>
          <w:lang w:val="en-GB"/>
        </w:rPr>
      </w:pPr>
      <w:r w:rsidRPr="00783EB3">
        <w:rPr>
          <w:rFonts w:ascii="Arial" w:hAnsi="Arial" w:cs="Arial"/>
          <w:sz w:val="22"/>
          <w:szCs w:val="22"/>
          <w:lang w:val="en-GB"/>
        </w:rPr>
        <w:t>The perception and treatment of SAD are greatly affected by cultural differences. SAD is well-known as a clinical state in the Western world, but avoidance of social situations may also be seen as signs of politeness or modesty in the collectivist culture and not as psychopathology (H</w:t>
      </w:r>
      <w:r w:rsidRPr="00783EB3" w:rsidR="005841F2">
        <w:rPr>
          <w:rFonts w:ascii="Arial" w:hAnsi="Arial" w:cs="Arial"/>
          <w:sz w:val="22"/>
          <w:szCs w:val="22"/>
          <w:lang w:val="en-GB"/>
        </w:rPr>
        <w:t>olly</w:t>
      </w:r>
      <w:r w:rsidRPr="00783EB3">
        <w:rPr>
          <w:rFonts w:ascii="Arial" w:hAnsi="Arial" w:cs="Arial"/>
          <w:sz w:val="22"/>
          <w:szCs w:val="22"/>
          <w:lang w:val="en-GB"/>
        </w:rPr>
        <w:t>, 20</w:t>
      </w:r>
      <w:r w:rsidRPr="00783EB3" w:rsidR="005841F2">
        <w:rPr>
          <w:rFonts w:ascii="Arial" w:hAnsi="Arial" w:cs="Arial"/>
          <w:sz w:val="22"/>
          <w:szCs w:val="22"/>
          <w:lang w:val="en-GB"/>
        </w:rPr>
        <w:t>24</w:t>
      </w:r>
      <w:r w:rsidRPr="00783EB3">
        <w:rPr>
          <w:rFonts w:ascii="Arial" w:hAnsi="Arial" w:cs="Arial"/>
          <w:sz w:val="22"/>
          <w:szCs w:val="22"/>
          <w:lang w:val="en-GB"/>
        </w:rPr>
        <w:t xml:space="preserve">). As an example, a culturally specific variant, </w:t>
      </w:r>
      <w:r w:rsidRPr="00783EB3">
        <w:rPr>
          <w:rFonts w:ascii="Arial" w:hAnsi="Arial" w:cs="Arial"/>
          <w:sz w:val="22"/>
          <w:szCs w:val="22"/>
          <w:lang w:val="en-GB"/>
        </w:rPr>
        <w:t>taijin</w:t>
      </w:r>
      <w:r w:rsidRPr="00783EB3">
        <w:rPr>
          <w:rFonts w:ascii="Arial" w:hAnsi="Arial" w:cs="Arial"/>
          <w:sz w:val="22"/>
          <w:szCs w:val="22"/>
          <w:lang w:val="en-GB"/>
        </w:rPr>
        <w:t xml:space="preserve"> </w:t>
      </w:r>
      <w:r w:rsidRPr="00783EB3">
        <w:rPr>
          <w:rFonts w:ascii="Arial" w:hAnsi="Arial" w:cs="Arial"/>
          <w:sz w:val="22"/>
          <w:szCs w:val="22"/>
          <w:lang w:val="en-GB"/>
        </w:rPr>
        <w:t>kyofusho</w:t>
      </w:r>
      <w:r w:rsidRPr="00783EB3">
        <w:rPr>
          <w:rFonts w:ascii="Arial" w:hAnsi="Arial" w:cs="Arial"/>
          <w:sz w:val="22"/>
          <w:szCs w:val="22"/>
          <w:lang w:val="en-GB"/>
        </w:rPr>
        <w:t>, defined by the fear of offending the other person, is identified in Japan to be overlapping but not the same as Western conceptualisations of SAD (</w:t>
      </w:r>
      <w:r w:rsidRPr="00783EB3" w:rsidR="005841F2">
        <w:rPr>
          <w:rFonts w:ascii="Arial" w:hAnsi="Arial" w:cs="Arial"/>
          <w:sz w:val="22"/>
          <w:szCs w:val="22"/>
          <w:lang w:val="en-GB"/>
        </w:rPr>
        <w:t xml:space="preserve">Chavira </w:t>
      </w:r>
      <w:r w:rsidRPr="00783EB3">
        <w:rPr>
          <w:rFonts w:ascii="Arial" w:hAnsi="Arial" w:cs="Arial"/>
          <w:sz w:val="22"/>
          <w:szCs w:val="22"/>
          <w:lang w:val="en-GB"/>
        </w:rPr>
        <w:t xml:space="preserve">et al., </w:t>
      </w:r>
      <w:r w:rsidRPr="00783EB3" w:rsidR="005841F2">
        <w:rPr>
          <w:rFonts w:ascii="Arial" w:hAnsi="Arial" w:cs="Arial"/>
          <w:sz w:val="22"/>
          <w:szCs w:val="22"/>
          <w:lang w:val="en-GB"/>
        </w:rPr>
        <w:t>2020</w:t>
      </w:r>
      <w:r w:rsidRPr="00783EB3">
        <w:rPr>
          <w:rFonts w:ascii="Arial" w:hAnsi="Arial" w:cs="Arial"/>
          <w:sz w:val="22"/>
          <w:szCs w:val="22"/>
          <w:lang w:val="en-GB"/>
        </w:rPr>
        <w:t>). Diagnosis and access to treatment are further influenced by political and social determinants such as healthcare funding, stigma, and mental health literacy. The stigma in society may prevent them from seeking help, and the systemic disparities imply that disadvantaged populations are likely to experience some further barriers to care (</w:t>
      </w:r>
      <w:r w:rsidRPr="00783EB3" w:rsidR="005841F2">
        <w:rPr>
          <w:rFonts w:ascii="Arial" w:hAnsi="Arial" w:cs="Arial"/>
          <w:sz w:val="22"/>
          <w:szCs w:val="22"/>
          <w:lang w:val="en-GB"/>
        </w:rPr>
        <w:t xml:space="preserve">Good </w:t>
      </w:r>
      <w:r w:rsidRPr="00783EB3">
        <w:rPr>
          <w:rFonts w:ascii="Arial" w:hAnsi="Arial" w:cs="Arial"/>
          <w:sz w:val="22"/>
          <w:szCs w:val="22"/>
          <w:lang w:val="en-GB"/>
        </w:rPr>
        <w:t>et al., 201</w:t>
      </w:r>
      <w:r w:rsidRPr="00783EB3" w:rsidR="005841F2">
        <w:rPr>
          <w:rFonts w:ascii="Arial" w:hAnsi="Arial" w:cs="Arial"/>
          <w:sz w:val="22"/>
          <w:szCs w:val="22"/>
          <w:lang w:val="en-GB"/>
        </w:rPr>
        <w:t>9</w:t>
      </w:r>
      <w:r w:rsidRPr="00783EB3">
        <w:rPr>
          <w:rFonts w:ascii="Arial" w:hAnsi="Arial" w:cs="Arial"/>
          <w:sz w:val="22"/>
          <w:szCs w:val="22"/>
          <w:lang w:val="en-GB"/>
        </w:rPr>
        <w:t>).</w:t>
      </w:r>
    </w:p>
    <w:p w:rsidR="00AC3587" w:rsidRPr="00783EB3" w:rsidP="00AC3587" w14:paraId="39BE0170" w14:textId="53B85B02">
      <w:pPr>
        <w:jc w:val="center"/>
        <w:rPr>
          <w:rFonts w:ascii="Arial" w:hAnsi="Arial" w:cs="Arial"/>
          <w:sz w:val="22"/>
          <w:szCs w:val="22"/>
          <w:lang w:val="en-GB"/>
        </w:rPr>
      </w:pPr>
      <w:r w:rsidRPr="00783EB3">
        <w:rPr>
          <w:rFonts w:ascii="Arial" w:hAnsi="Arial" w:cs="Arial"/>
          <w:noProof/>
          <w:sz w:val="22"/>
          <w:szCs w:val="22"/>
          <w:lang w:val="en-GB"/>
        </w:rPr>
        <w:drawing>
          <wp:inline distT="0" distB="0" distL="0" distR="0">
            <wp:extent cx="4007188" cy="2575988"/>
            <wp:effectExtent l="0" t="0" r="0" b="0"/>
            <wp:docPr id="8629778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977882" name="Picture 862977882"/>
                    <pic:cNvPicPr/>
                  </pic:nvPicPr>
                  <pic:blipFill>
                    <a:blip xmlns:r="http://schemas.openxmlformats.org/officeDocument/2006/relationships" r:embed="rId7">
                      <a:extLst>
                        <a:ext xmlns:a="http://schemas.openxmlformats.org/drawingml/2006/main" uri="{28A0092B-C50C-407E-A947-70E740481C1C}">
                          <a14:useLocalDpi xmlns:a14="http://schemas.microsoft.com/office/drawing/2010/main" val="0"/>
                        </a:ext>
                      </a:extLst>
                    </a:blip>
                    <a:stretch>
                      <a:fillRect/>
                    </a:stretch>
                  </pic:blipFill>
                  <pic:spPr>
                    <a:xfrm>
                      <a:off x="0" y="0"/>
                      <a:ext cx="4012681" cy="2579519"/>
                    </a:xfrm>
                    <a:prstGeom prst="rect">
                      <a:avLst/>
                    </a:prstGeom>
                  </pic:spPr>
                </pic:pic>
              </a:graphicData>
            </a:graphic>
          </wp:inline>
        </w:drawing>
      </w:r>
    </w:p>
    <w:p w:rsidR="00AC3587" w:rsidRPr="00783EB3" w:rsidP="00AC3587" w14:paraId="679A88FA" w14:textId="6941D05B">
      <w:pPr>
        <w:jc w:val="center"/>
        <w:rPr>
          <w:rFonts w:ascii="Arial" w:hAnsi="Arial" w:cs="Arial"/>
          <w:sz w:val="22"/>
          <w:szCs w:val="22"/>
          <w:lang w:val="en-GB"/>
        </w:rPr>
      </w:pPr>
      <w:r w:rsidRPr="00783EB3">
        <w:rPr>
          <w:rFonts w:ascii="Arial" w:hAnsi="Arial" w:cs="Arial"/>
          <w:sz w:val="22"/>
          <w:szCs w:val="22"/>
          <w:lang w:val="en-GB"/>
        </w:rPr>
        <w:t>Figure 3: Understanding overlap and cultural Nuances in SAD (Good et al., 2019)</w:t>
      </w:r>
    </w:p>
    <w:p w:rsidR="00316BB9" w:rsidRPr="00783EB3" w:rsidP="00316BB9" w14:paraId="42737285" w14:textId="028569CB">
      <w:pPr>
        <w:pStyle w:val="Heading2"/>
        <w:rPr>
          <w:rFonts w:ascii="Arial" w:hAnsi="Arial" w:cs="Arial"/>
          <w:sz w:val="22"/>
          <w:szCs w:val="22"/>
          <w:lang w:val="en-GB"/>
        </w:rPr>
      </w:pPr>
      <w:bookmarkStart w:id="16" w:name="_Toc210222326"/>
      <w:r w:rsidRPr="00783EB3">
        <w:rPr>
          <w:rFonts w:ascii="Arial" w:hAnsi="Arial" w:cs="Arial"/>
          <w:sz w:val="22"/>
          <w:szCs w:val="22"/>
          <w:lang w:val="en-GB"/>
        </w:rPr>
        <w:t>4.5 UK Legislation and Guidelines</w:t>
      </w:r>
      <w:bookmarkEnd w:id="16"/>
    </w:p>
    <w:p w:rsidR="00316BB9" w:rsidRPr="00783EB3" w:rsidP="00316BB9" w14:paraId="5E709C01" w14:textId="1F6150F5">
      <w:pPr>
        <w:rPr>
          <w:rFonts w:ascii="Arial" w:hAnsi="Arial" w:cs="Arial"/>
          <w:sz w:val="22"/>
          <w:szCs w:val="22"/>
          <w:lang w:val="en-GB"/>
        </w:rPr>
      </w:pPr>
      <w:r w:rsidRPr="00783EB3">
        <w:rPr>
          <w:rFonts w:ascii="Arial" w:hAnsi="Arial" w:cs="Arial"/>
          <w:sz w:val="22"/>
          <w:szCs w:val="22"/>
          <w:lang w:val="en-GB"/>
        </w:rPr>
        <w:t xml:space="preserve">In the UK, SAD is a disease that is treated and managed in accordance with the legislation and clinical guidelines. Laws on the issues of compulsory treatment are determined by the Mental Health Act 1983, yet the Act is not very relevant to SAD, as </w:t>
      </w:r>
      <w:r w:rsidRPr="00783EB3">
        <w:rPr>
          <w:rFonts w:ascii="Arial" w:hAnsi="Arial" w:cs="Arial"/>
          <w:sz w:val="22"/>
          <w:szCs w:val="22"/>
          <w:lang w:val="en-GB"/>
        </w:rPr>
        <w:t>the majority of</w:t>
      </w:r>
      <w:r w:rsidRPr="00783EB3">
        <w:rPr>
          <w:rFonts w:ascii="Arial" w:hAnsi="Arial" w:cs="Arial"/>
          <w:sz w:val="22"/>
          <w:szCs w:val="22"/>
          <w:lang w:val="en-GB"/>
        </w:rPr>
        <w:t xml:space="preserve"> patients receive treatment voluntarily (</w:t>
      </w:r>
      <w:r w:rsidRPr="00783EB3" w:rsidR="00CF533A">
        <w:rPr>
          <w:rFonts w:ascii="Arial" w:hAnsi="Arial" w:cs="Arial"/>
          <w:sz w:val="22"/>
          <w:szCs w:val="22"/>
          <w:lang w:val="en-GB"/>
        </w:rPr>
        <w:t>NHS</w:t>
      </w:r>
      <w:r w:rsidRPr="00783EB3">
        <w:rPr>
          <w:rFonts w:ascii="Arial" w:hAnsi="Arial" w:cs="Arial"/>
          <w:sz w:val="22"/>
          <w:szCs w:val="22"/>
          <w:lang w:val="en-GB"/>
        </w:rPr>
        <w:t xml:space="preserve">, </w:t>
      </w:r>
      <w:r w:rsidRPr="00783EB3" w:rsidR="00CF533A">
        <w:rPr>
          <w:rFonts w:ascii="Arial" w:hAnsi="Arial" w:cs="Arial"/>
          <w:sz w:val="22"/>
          <w:szCs w:val="22"/>
          <w:lang w:val="en-GB"/>
        </w:rPr>
        <w:t>2023</w:t>
      </w:r>
      <w:r w:rsidRPr="00783EB3">
        <w:rPr>
          <w:rFonts w:ascii="Arial" w:hAnsi="Arial" w:cs="Arial"/>
          <w:sz w:val="22"/>
          <w:szCs w:val="22"/>
          <w:lang w:val="en-GB"/>
        </w:rPr>
        <w:t>). Stronger are the NICE guidelines, which prescribe CBT as the initial intervention that should be followed by SSRIs, in case of non-response to the treatment (NICE, 2013). Also, the Equality Act 2010 safeguards those with SAD against discrimination in employment and education, as the disorder is known to be a potential disability where there is a significant degree of functional impairment (</w:t>
      </w:r>
      <w:r w:rsidRPr="00783EB3" w:rsidR="00CF533A">
        <w:rPr>
          <w:rFonts w:ascii="Arial" w:hAnsi="Arial" w:cs="Arial"/>
          <w:sz w:val="22"/>
          <w:szCs w:val="22"/>
          <w:lang w:val="en-GB"/>
        </w:rPr>
        <w:t>Bailey</w:t>
      </w:r>
      <w:r w:rsidRPr="00783EB3">
        <w:rPr>
          <w:rFonts w:ascii="Arial" w:hAnsi="Arial" w:cs="Arial"/>
          <w:sz w:val="22"/>
          <w:szCs w:val="22"/>
          <w:lang w:val="en-GB"/>
        </w:rPr>
        <w:t>, 20</w:t>
      </w:r>
      <w:r w:rsidRPr="00783EB3" w:rsidR="00CF533A">
        <w:rPr>
          <w:rFonts w:ascii="Arial" w:hAnsi="Arial" w:cs="Arial"/>
          <w:sz w:val="22"/>
          <w:szCs w:val="22"/>
          <w:lang w:val="en-GB"/>
        </w:rPr>
        <w:t>24</w:t>
      </w:r>
      <w:r w:rsidRPr="00783EB3">
        <w:rPr>
          <w:rFonts w:ascii="Arial" w:hAnsi="Arial" w:cs="Arial"/>
          <w:sz w:val="22"/>
          <w:szCs w:val="22"/>
          <w:lang w:val="en-GB"/>
        </w:rPr>
        <w:t xml:space="preserve">). However, NHS service delivery has </w:t>
      </w:r>
      <w:r w:rsidRPr="00783EB3">
        <w:rPr>
          <w:rFonts w:ascii="Arial" w:hAnsi="Arial" w:cs="Arial"/>
          <w:sz w:val="22"/>
          <w:szCs w:val="22"/>
          <w:lang w:val="en-GB"/>
        </w:rPr>
        <w:t>issues in demand response, where the waiting lists are very long, and different areas have unequal access (</w:t>
      </w:r>
      <w:r w:rsidRPr="00783EB3" w:rsidR="00CF533A">
        <w:rPr>
          <w:rFonts w:ascii="Arial" w:hAnsi="Arial" w:cs="Arial"/>
          <w:sz w:val="22"/>
          <w:szCs w:val="22"/>
          <w:lang w:val="en-GB"/>
        </w:rPr>
        <w:t>Warnock-Parkes</w:t>
      </w:r>
      <w:r w:rsidRPr="00783EB3">
        <w:rPr>
          <w:rFonts w:ascii="Arial" w:hAnsi="Arial" w:cs="Arial"/>
          <w:sz w:val="22"/>
          <w:szCs w:val="22"/>
          <w:lang w:val="en-GB"/>
        </w:rPr>
        <w:t xml:space="preserve"> et al., 20</w:t>
      </w:r>
      <w:r w:rsidRPr="00783EB3" w:rsidR="00CF533A">
        <w:rPr>
          <w:rFonts w:ascii="Arial" w:hAnsi="Arial" w:cs="Arial"/>
          <w:sz w:val="22"/>
          <w:szCs w:val="22"/>
          <w:lang w:val="en-GB"/>
        </w:rPr>
        <w:t>20</w:t>
      </w:r>
      <w:r w:rsidRPr="00783EB3">
        <w:rPr>
          <w:rFonts w:ascii="Arial" w:hAnsi="Arial" w:cs="Arial"/>
          <w:sz w:val="22"/>
          <w:szCs w:val="22"/>
          <w:lang w:val="en-GB"/>
        </w:rPr>
        <w:t xml:space="preserve">). These institutional problems point to the difference between the intent of the policy and how it is </w:t>
      </w:r>
      <w:r w:rsidRPr="00783EB3">
        <w:rPr>
          <w:rFonts w:ascii="Arial" w:hAnsi="Arial" w:cs="Arial"/>
          <w:sz w:val="22"/>
          <w:szCs w:val="22"/>
          <w:lang w:val="en-GB"/>
        </w:rPr>
        <w:t>actually implemented</w:t>
      </w:r>
      <w:r w:rsidRPr="00783EB3">
        <w:rPr>
          <w:rFonts w:ascii="Arial" w:hAnsi="Arial" w:cs="Arial"/>
          <w:sz w:val="22"/>
          <w:szCs w:val="22"/>
          <w:lang w:val="en-GB"/>
        </w:rPr>
        <w:t>.</w:t>
      </w:r>
    </w:p>
    <w:p w:rsidR="00316BB9" w:rsidRPr="00783EB3" w:rsidP="00316BB9" w14:paraId="2F4CD727" w14:textId="33258FEF">
      <w:pPr>
        <w:pStyle w:val="Heading1"/>
        <w:numPr>
          <w:ilvl w:val="0"/>
          <w:numId w:val="2"/>
        </w:numPr>
        <w:rPr>
          <w:rFonts w:ascii="Arial" w:hAnsi="Arial" w:cs="Arial"/>
          <w:sz w:val="22"/>
          <w:szCs w:val="22"/>
          <w:lang w:val="en-GB"/>
        </w:rPr>
      </w:pPr>
      <w:bookmarkStart w:id="17" w:name="_Toc210222327"/>
      <w:r w:rsidRPr="00783EB3">
        <w:rPr>
          <w:rFonts w:ascii="Arial" w:hAnsi="Arial" w:cs="Arial"/>
          <w:sz w:val="22"/>
          <w:szCs w:val="22"/>
          <w:lang w:val="en-GB"/>
        </w:rPr>
        <w:t>Recommendations</w:t>
      </w:r>
      <w:bookmarkEnd w:id="17"/>
    </w:p>
    <w:p w:rsidR="009D2BAE" w:rsidRPr="00783EB3" w:rsidP="009D2BAE" w14:paraId="44C61BE1" w14:textId="6EAB8D52">
      <w:pPr>
        <w:pStyle w:val="Heading2"/>
        <w:numPr>
          <w:ilvl w:val="1"/>
          <w:numId w:val="2"/>
        </w:numPr>
        <w:rPr>
          <w:rFonts w:ascii="Arial" w:hAnsi="Arial" w:cs="Arial"/>
          <w:sz w:val="22"/>
          <w:szCs w:val="22"/>
          <w:lang w:val="en-GB"/>
        </w:rPr>
      </w:pPr>
      <w:bookmarkStart w:id="18" w:name="_Toc210222328"/>
      <w:r w:rsidRPr="00783EB3">
        <w:rPr>
          <w:rFonts w:ascii="Arial" w:hAnsi="Arial" w:cs="Arial"/>
          <w:sz w:val="22"/>
          <w:szCs w:val="22"/>
          <w:lang w:val="en-GB"/>
        </w:rPr>
        <w:t>Improving Classification and Diagnosis</w:t>
      </w:r>
      <w:bookmarkEnd w:id="18"/>
    </w:p>
    <w:p w:rsidR="009D2BAE" w:rsidRPr="00783EB3" w:rsidP="009D2BAE" w14:paraId="6E57D936" w14:textId="0FCC5B07">
      <w:pPr>
        <w:rPr>
          <w:rFonts w:ascii="Arial" w:hAnsi="Arial" w:cs="Arial"/>
          <w:sz w:val="22"/>
          <w:szCs w:val="22"/>
          <w:lang w:val="en-GB"/>
        </w:rPr>
      </w:pPr>
      <w:r w:rsidRPr="00783EB3">
        <w:rPr>
          <w:rFonts w:ascii="Arial" w:hAnsi="Arial" w:cs="Arial"/>
          <w:sz w:val="22"/>
          <w:szCs w:val="22"/>
          <w:lang w:val="en-GB"/>
        </w:rPr>
        <w:t>Social Anxiety Disorder (SAD) has the potential to be better classified using a dimensional approach, in which the severity of the symptoms is determined along a continuum instead of using categorical thresholds (</w:t>
      </w:r>
      <w:r w:rsidRPr="00783EB3" w:rsidR="00CF533A">
        <w:rPr>
          <w:rFonts w:ascii="Arial" w:hAnsi="Arial" w:cs="Arial"/>
          <w:sz w:val="22"/>
          <w:szCs w:val="22"/>
          <w:lang w:val="en-GB"/>
        </w:rPr>
        <w:t>Fathi</w:t>
      </w:r>
      <w:r w:rsidRPr="00783EB3">
        <w:rPr>
          <w:rFonts w:ascii="Arial" w:hAnsi="Arial" w:cs="Arial"/>
          <w:sz w:val="22"/>
          <w:szCs w:val="22"/>
          <w:lang w:val="en-GB"/>
        </w:rPr>
        <w:t xml:space="preserve"> et al., 20</w:t>
      </w:r>
      <w:r w:rsidRPr="00783EB3" w:rsidR="00CF533A">
        <w:rPr>
          <w:rFonts w:ascii="Arial" w:hAnsi="Arial" w:cs="Arial"/>
          <w:sz w:val="22"/>
          <w:szCs w:val="22"/>
          <w:lang w:val="en-GB"/>
        </w:rPr>
        <w:t>20</w:t>
      </w:r>
      <w:r w:rsidRPr="00783EB3">
        <w:rPr>
          <w:rFonts w:ascii="Arial" w:hAnsi="Arial" w:cs="Arial"/>
          <w:sz w:val="22"/>
          <w:szCs w:val="22"/>
          <w:lang w:val="en-GB"/>
        </w:rPr>
        <w:t>). This would minimise the risks of over- and under-diagnosis, especially in people with subclinical symptoms who have functional impairment. Culturally sensitive diagnostic tools ought to be used as well to reduce misdiagnosis, particularly among cultures that do not regard social withdrawal as an issue (</w:t>
      </w:r>
      <w:r w:rsidRPr="00783EB3" w:rsidR="00CF533A">
        <w:rPr>
          <w:rFonts w:ascii="Arial" w:hAnsi="Arial" w:cs="Arial"/>
          <w:sz w:val="22"/>
          <w:szCs w:val="22"/>
          <w:lang w:val="en-GB"/>
        </w:rPr>
        <w:t>Koyuncu</w:t>
      </w:r>
      <w:r w:rsidRPr="00783EB3">
        <w:rPr>
          <w:rFonts w:ascii="Arial" w:hAnsi="Arial" w:cs="Arial"/>
          <w:sz w:val="22"/>
          <w:szCs w:val="22"/>
          <w:lang w:val="en-GB"/>
        </w:rPr>
        <w:t xml:space="preserve"> et al., 201</w:t>
      </w:r>
      <w:r w:rsidRPr="00783EB3" w:rsidR="00CF533A">
        <w:rPr>
          <w:rFonts w:ascii="Arial" w:hAnsi="Arial" w:cs="Arial"/>
          <w:sz w:val="22"/>
          <w:szCs w:val="22"/>
          <w:lang w:val="en-GB"/>
        </w:rPr>
        <w:t>9</w:t>
      </w:r>
      <w:r w:rsidRPr="00783EB3">
        <w:rPr>
          <w:rFonts w:ascii="Arial" w:hAnsi="Arial" w:cs="Arial"/>
          <w:sz w:val="22"/>
          <w:szCs w:val="22"/>
          <w:lang w:val="en-GB"/>
        </w:rPr>
        <w:t>).</w:t>
      </w:r>
    </w:p>
    <w:p w:rsidR="009D2BAE" w:rsidRPr="00783EB3" w:rsidP="009D2BAE" w14:paraId="76B919B1" w14:textId="4F52FB2A">
      <w:pPr>
        <w:pStyle w:val="Heading2"/>
        <w:numPr>
          <w:ilvl w:val="1"/>
          <w:numId w:val="2"/>
        </w:numPr>
        <w:rPr>
          <w:rFonts w:ascii="Arial" w:hAnsi="Arial" w:cs="Arial"/>
          <w:sz w:val="22"/>
          <w:szCs w:val="22"/>
          <w:lang w:val="en-GB"/>
        </w:rPr>
      </w:pPr>
      <w:bookmarkStart w:id="19" w:name="_Toc210222329"/>
      <w:r w:rsidRPr="00783EB3">
        <w:rPr>
          <w:rFonts w:ascii="Arial" w:hAnsi="Arial" w:cs="Arial"/>
          <w:sz w:val="22"/>
          <w:szCs w:val="22"/>
          <w:lang w:val="en-GB"/>
        </w:rPr>
        <w:t>Improving the Treatment and Rehabilitation Strategies</w:t>
      </w:r>
      <w:bookmarkEnd w:id="19"/>
    </w:p>
    <w:p w:rsidR="009D2BAE" w:rsidRPr="00783EB3" w:rsidP="009D2BAE" w14:paraId="5946B6EC" w14:textId="556890EB">
      <w:pPr>
        <w:rPr>
          <w:rFonts w:ascii="Arial" w:hAnsi="Arial" w:cs="Arial"/>
          <w:sz w:val="22"/>
          <w:szCs w:val="22"/>
          <w:lang w:val="en-GB"/>
        </w:rPr>
      </w:pPr>
      <w:r w:rsidRPr="00783EB3">
        <w:rPr>
          <w:rFonts w:ascii="Arial" w:hAnsi="Arial" w:cs="Arial"/>
          <w:sz w:val="22"/>
          <w:szCs w:val="22"/>
          <w:lang w:val="en-GB"/>
        </w:rPr>
        <w:t>The setting of treatment may be enhanced by introducing more access to evidence-based CBT programmes, especially online, which have been equally as effective as in-person treatment (Andrews et al., 2018). Pharmacological treatment is not to be discontinued but strictly monitored because of side effects and the risk of relapse (</w:t>
      </w:r>
      <w:r w:rsidRPr="00783EB3" w:rsidR="00CF533A">
        <w:rPr>
          <w:rFonts w:ascii="Arial" w:hAnsi="Arial" w:cs="Arial"/>
          <w:sz w:val="22"/>
          <w:szCs w:val="22"/>
          <w:lang w:val="en-GB"/>
        </w:rPr>
        <w:t>Warnock-Parkes</w:t>
      </w:r>
      <w:r w:rsidRPr="00783EB3">
        <w:rPr>
          <w:rFonts w:ascii="Arial" w:hAnsi="Arial" w:cs="Arial"/>
          <w:sz w:val="22"/>
          <w:szCs w:val="22"/>
          <w:lang w:val="en-GB"/>
        </w:rPr>
        <w:t xml:space="preserve"> et al., 20</w:t>
      </w:r>
      <w:r w:rsidRPr="00783EB3" w:rsidR="00CF533A">
        <w:rPr>
          <w:rFonts w:ascii="Arial" w:hAnsi="Arial" w:cs="Arial"/>
          <w:sz w:val="22"/>
          <w:szCs w:val="22"/>
          <w:lang w:val="en-GB"/>
        </w:rPr>
        <w:t>20</w:t>
      </w:r>
      <w:r w:rsidRPr="00783EB3">
        <w:rPr>
          <w:rFonts w:ascii="Arial" w:hAnsi="Arial" w:cs="Arial"/>
          <w:sz w:val="22"/>
          <w:szCs w:val="22"/>
          <w:lang w:val="en-GB"/>
        </w:rPr>
        <w:t>). To improve functional recovery, rehabilitation plans (social skills training and workplace accommodation) should be more fully incorporated (</w:t>
      </w:r>
      <w:r w:rsidRPr="00783EB3" w:rsidR="00CF533A">
        <w:rPr>
          <w:rFonts w:ascii="Arial" w:hAnsi="Arial" w:cs="Arial"/>
          <w:sz w:val="22"/>
          <w:szCs w:val="22"/>
          <w:lang w:val="en-GB"/>
        </w:rPr>
        <w:t>NHS</w:t>
      </w:r>
      <w:r w:rsidRPr="00783EB3">
        <w:rPr>
          <w:rFonts w:ascii="Arial" w:hAnsi="Arial" w:cs="Arial"/>
          <w:sz w:val="22"/>
          <w:szCs w:val="22"/>
          <w:lang w:val="en-GB"/>
        </w:rPr>
        <w:t>, 20</w:t>
      </w:r>
      <w:r w:rsidRPr="00783EB3" w:rsidR="00CF533A">
        <w:rPr>
          <w:rFonts w:ascii="Arial" w:hAnsi="Arial" w:cs="Arial"/>
          <w:sz w:val="22"/>
          <w:szCs w:val="22"/>
          <w:lang w:val="en-GB"/>
        </w:rPr>
        <w:t>23</w:t>
      </w:r>
      <w:r w:rsidRPr="00783EB3">
        <w:rPr>
          <w:rFonts w:ascii="Arial" w:hAnsi="Arial" w:cs="Arial"/>
          <w:sz w:val="22"/>
          <w:szCs w:val="22"/>
          <w:lang w:val="en-GB"/>
        </w:rPr>
        <w:t>).</w:t>
      </w:r>
    </w:p>
    <w:p w:rsidR="009D2BAE" w:rsidRPr="00783EB3" w:rsidP="009D2BAE" w14:paraId="3A775CCA" w14:textId="3C88A9FE">
      <w:pPr>
        <w:pStyle w:val="Heading2"/>
        <w:numPr>
          <w:ilvl w:val="1"/>
          <w:numId w:val="2"/>
        </w:numPr>
        <w:rPr>
          <w:rFonts w:ascii="Arial" w:hAnsi="Arial" w:cs="Arial"/>
          <w:sz w:val="22"/>
          <w:szCs w:val="22"/>
          <w:lang w:val="en-GB"/>
        </w:rPr>
      </w:pPr>
      <w:bookmarkStart w:id="20" w:name="_Toc210222330"/>
      <w:r w:rsidRPr="00783EB3">
        <w:rPr>
          <w:rFonts w:ascii="Arial" w:hAnsi="Arial" w:cs="Arial"/>
          <w:sz w:val="22"/>
          <w:szCs w:val="22"/>
          <w:lang w:val="en-GB"/>
        </w:rPr>
        <w:t>Policy and Practice Implications</w:t>
      </w:r>
      <w:bookmarkEnd w:id="20"/>
    </w:p>
    <w:p w:rsidR="009D2BAE" w:rsidRPr="00783EB3" w:rsidP="009D2BAE" w14:paraId="0C642B37" w14:textId="1624A3C6">
      <w:pPr>
        <w:rPr>
          <w:rFonts w:ascii="Arial" w:hAnsi="Arial" w:cs="Arial"/>
          <w:sz w:val="22"/>
          <w:szCs w:val="22"/>
          <w:lang w:val="en-GB"/>
        </w:rPr>
      </w:pPr>
      <w:r w:rsidRPr="00783EB3">
        <w:rPr>
          <w:rFonts w:ascii="Arial" w:hAnsi="Arial" w:cs="Arial"/>
          <w:sz w:val="22"/>
          <w:szCs w:val="22"/>
          <w:lang w:val="en-GB"/>
        </w:rPr>
        <w:t>At the policy level, it is essential to extend the mental health services of the NHS to limit the waiting time and inequality across regions (</w:t>
      </w:r>
      <w:r w:rsidRPr="00783EB3" w:rsidR="00CF533A">
        <w:rPr>
          <w:rFonts w:ascii="Arial" w:hAnsi="Arial" w:cs="Arial"/>
          <w:sz w:val="22"/>
          <w:szCs w:val="22"/>
          <w:lang w:val="en-GB"/>
        </w:rPr>
        <w:t>Hur</w:t>
      </w:r>
      <w:r w:rsidRPr="00783EB3">
        <w:rPr>
          <w:rFonts w:ascii="Arial" w:hAnsi="Arial" w:cs="Arial"/>
          <w:sz w:val="22"/>
          <w:szCs w:val="22"/>
          <w:lang w:val="en-GB"/>
        </w:rPr>
        <w:t xml:space="preserve"> et al., 20</w:t>
      </w:r>
      <w:r w:rsidRPr="00783EB3" w:rsidR="00CF533A">
        <w:rPr>
          <w:rFonts w:ascii="Arial" w:hAnsi="Arial" w:cs="Arial"/>
          <w:sz w:val="22"/>
          <w:szCs w:val="22"/>
          <w:lang w:val="en-GB"/>
        </w:rPr>
        <w:t>20</w:t>
      </w:r>
      <w:r w:rsidRPr="00783EB3">
        <w:rPr>
          <w:rFonts w:ascii="Arial" w:hAnsi="Arial" w:cs="Arial"/>
          <w:sz w:val="22"/>
          <w:szCs w:val="22"/>
          <w:lang w:val="en-GB"/>
        </w:rPr>
        <w:t xml:space="preserve">). CBT remains the most </w:t>
      </w:r>
      <w:r w:rsidRPr="00783EB3" w:rsidR="006C6F96">
        <w:rPr>
          <w:rFonts w:ascii="Arial" w:hAnsi="Arial" w:cs="Arial"/>
          <w:sz w:val="22"/>
          <w:szCs w:val="22"/>
          <w:lang w:val="en-GB"/>
        </w:rPr>
        <w:t>favoured</w:t>
      </w:r>
      <w:r w:rsidRPr="00783EB3">
        <w:rPr>
          <w:rFonts w:ascii="Arial" w:hAnsi="Arial" w:cs="Arial"/>
          <w:sz w:val="22"/>
          <w:szCs w:val="22"/>
          <w:lang w:val="en-GB"/>
        </w:rPr>
        <w:t xml:space="preserve"> intervention based on NICE guidelines, although other new modalities like acceptance and commitment therapy (ACT), which are found to be effective in the treatment of SAD, should be considered as the first-line intervention (</w:t>
      </w:r>
      <w:r w:rsidRPr="00783EB3" w:rsidR="00CF533A">
        <w:rPr>
          <w:rFonts w:ascii="Arial" w:hAnsi="Arial" w:cs="Arial"/>
          <w:sz w:val="22"/>
          <w:szCs w:val="22"/>
          <w:lang w:val="en-GB"/>
        </w:rPr>
        <w:t>Fang</w:t>
      </w:r>
      <w:r w:rsidRPr="00783EB3">
        <w:rPr>
          <w:rFonts w:ascii="Arial" w:hAnsi="Arial" w:cs="Arial"/>
          <w:sz w:val="22"/>
          <w:szCs w:val="22"/>
          <w:lang w:val="en-GB"/>
        </w:rPr>
        <w:t xml:space="preserve"> et al., 201</w:t>
      </w:r>
      <w:r w:rsidRPr="00783EB3" w:rsidR="00CF533A">
        <w:rPr>
          <w:rFonts w:ascii="Arial" w:hAnsi="Arial" w:cs="Arial"/>
          <w:sz w:val="22"/>
          <w:szCs w:val="22"/>
          <w:lang w:val="en-GB"/>
        </w:rPr>
        <w:t>9</w:t>
      </w:r>
      <w:r w:rsidRPr="00783EB3">
        <w:rPr>
          <w:rFonts w:ascii="Arial" w:hAnsi="Arial" w:cs="Arial"/>
          <w:sz w:val="22"/>
          <w:szCs w:val="22"/>
          <w:lang w:val="en-GB"/>
        </w:rPr>
        <w:t>). In addition, the stigma might be minimised by means of public health campaigns that should promote early help-seeking.</w:t>
      </w:r>
    </w:p>
    <w:p w:rsidR="009D2BAE" w:rsidRPr="00783EB3" w:rsidP="009D2BAE" w14:paraId="541DA50F" w14:textId="10E6072B">
      <w:pPr>
        <w:pStyle w:val="Heading2"/>
        <w:numPr>
          <w:ilvl w:val="1"/>
          <w:numId w:val="2"/>
        </w:numPr>
        <w:rPr>
          <w:rFonts w:ascii="Arial" w:hAnsi="Arial" w:cs="Arial"/>
          <w:sz w:val="22"/>
          <w:szCs w:val="22"/>
          <w:lang w:val="en-GB"/>
        </w:rPr>
      </w:pPr>
      <w:bookmarkStart w:id="21" w:name="_Toc210222331"/>
      <w:r w:rsidRPr="00783EB3">
        <w:rPr>
          <w:rFonts w:ascii="Arial" w:hAnsi="Arial" w:cs="Arial"/>
          <w:sz w:val="22"/>
          <w:szCs w:val="22"/>
          <w:lang w:val="en-GB"/>
        </w:rPr>
        <w:t>Future Research Recommendations</w:t>
      </w:r>
      <w:bookmarkEnd w:id="21"/>
    </w:p>
    <w:p w:rsidR="009D2BAE" w:rsidRPr="00783EB3" w:rsidP="009D2BAE" w14:paraId="19A51F39" w14:textId="696DCF83">
      <w:pPr>
        <w:rPr>
          <w:rFonts w:ascii="Arial" w:hAnsi="Arial" w:cs="Arial"/>
          <w:sz w:val="22"/>
          <w:szCs w:val="22"/>
          <w:lang w:val="en-GB"/>
        </w:rPr>
      </w:pPr>
      <w:r w:rsidRPr="00783EB3">
        <w:rPr>
          <w:rFonts w:ascii="Arial" w:hAnsi="Arial" w:cs="Arial"/>
          <w:sz w:val="22"/>
          <w:szCs w:val="22"/>
          <w:lang w:val="en-GB"/>
        </w:rPr>
        <w:t xml:space="preserve">The interaction between SAD and neurodivergence, </w:t>
      </w:r>
      <w:r w:rsidRPr="00783EB3">
        <w:rPr>
          <w:rFonts w:ascii="Arial" w:hAnsi="Arial" w:cs="Arial"/>
          <w:sz w:val="22"/>
          <w:szCs w:val="22"/>
          <w:lang w:val="en-GB"/>
        </w:rPr>
        <w:t>in particular in</w:t>
      </w:r>
      <w:r w:rsidRPr="00783EB3">
        <w:rPr>
          <w:rFonts w:ascii="Arial" w:hAnsi="Arial" w:cs="Arial"/>
          <w:sz w:val="22"/>
          <w:szCs w:val="22"/>
          <w:lang w:val="en-GB"/>
        </w:rPr>
        <w:t xml:space="preserve"> autism, is an issue that needs to be discussed more to help define the scope of diagnosis. It also requires longitudinal studies to establish the effects of treatment in the long-term, prevention of relapse, and cultural factors in establishing how disorders manifest (Chavira et al., 2020). With the help of this evidence, more specific, comprehensive, and efficacious interventions will be made</w:t>
      </w:r>
      <w:r w:rsidRPr="00783EB3">
        <w:rPr>
          <w:rFonts w:ascii="Arial" w:hAnsi="Arial" w:cs="Arial"/>
          <w:sz w:val="22"/>
          <w:szCs w:val="22"/>
          <w:lang w:val="en-GB"/>
        </w:rPr>
        <w:t>.</w:t>
      </w:r>
    </w:p>
    <w:p w:rsidR="009D2BAE" w:rsidRPr="00783EB3" w:rsidP="009D2BAE" w14:paraId="2CEDCF6F" w14:textId="6FBFA52F">
      <w:pPr>
        <w:pStyle w:val="Heading1"/>
        <w:numPr>
          <w:ilvl w:val="0"/>
          <w:numId w:val="2"/>
        </w:numPr>
        <w:rPr>
          <w:rFonts w:ascii="Arial" w:hAnsi="Arial" w:cs="Arial"/>
          <w:sz w:val="22"/>
          <w:szCs w:val="22"/>
          <w:lang w:val="en-GB"/>
        </w:rPr>
      </w:pPr>
      <w:bookmarkStart w:id="22" w:name="_Toc210222332"/>
      <w:r w:rsidRPr="00783EB3">
        <w:rPr>
          <w:rFonts w:ascii="Arial" w:hAnsi="Arial" w:cs="Arial"/>
          <w:sz w:val="22"/>
          <w:szCs w:val="22"/>
          <w:lang w:val="en-GB"/>
        </w:rPr>
        <w:t>Conclusion</w:t>
      </w:r>
      <w:bookmarkEnd w:id="22"/>
      <w:r w:rsidRPr="00783EB3">
        <w:rPr>
          <w:rFonts w:ascii="Arial" w:hAnsi="Arial" w:cs="Arial"/>
          <w:sz w:val="22"/>
          <w:szCs w:val="22"/>
          <w:lang w:val="en-GB"/>
        </w:rPr>
        <w:t xml:space="preserve"> </w:t>
      </w:r>
    </w:p>
    <w:p w:rsidR="009D2BAE" w:rsidRPr="00783EB3" w:rsidP="009D2BAE" w14:paraId="3C6E2E07" w14:textId="2F979669">
      <w:pPr>
        <w:rPr>
          <w:rFonts w:ascii="Arial" w:hAnsi="Arial" w:cs="Arial"/>
          <w:sz w:val="22"/>
          <w:szCs w:val="22"/>
          <w:lang w:val="en-GB"/>
        </w:rPr>
      </w:pPr>
      <w:r w:rsidRPr="00783EB3">
        <w:rPr>
          <w:rFonts w:ascii="Arial" w:hAnsi="Arial" w:cs="Arial"/>
          <w:sz w:val="22"/>
          <w:szCs w:val="22"/>
          <w:lang w:val="en-GB"/>
        </w:rPr>
        <w:t xml:space="preserve">Social Anxiety </w:t>
      </w:r>
      <w:r w:rsidRPr="00783EB3" w:rsidR="006C6F96">
        <w:rPr>
          <w:rFonts w:ascii="Arial" w:hAnsi="Arial" w:cs="Arial"/>
          <w:sz w:val="22"/>
          <w:szCs w:val="22"/>
          <w:lang w:val="en-GB"/>
        </w:rPr>
        <w:t>Disorder (</w:t>
      </w:r>
      <w:r w:rsidRPr="00783EB3">
        <w:rPr>
          <w:rFonts w:ascii="Arial" w:hAnsi="Arial" w:cs="Arial"/>
          <w:sz w:val="22"/>
          <w:szCs w:val="22"/>
          <w:lang w:val="en-GB"/>
        </w:rPr>
        <w:t>SAD) has been discussed in this report considering its diagnosis, treatment, ICD-11 classification, and rehabilitation. SAD is now regarded as a complicated problem that integrates performance and interactional phobia, and the traditional evidence-based treatments involve CBT and SSRIs. The recent discussions provide the limitations of diagnosis, the issue of neurodivergence, and the cultural factor, along with the issue of the provision of medical care. The returns are enormous; however, areas of access, cultural sensitivity, and long-range treatment outcomes are unsatisfactory. The primary domains that are significant in bettering practice and policy involve the enhancement of diagnosis, enhancing therapeutic selection, and enhancing research. Finally, there should be a more context-sensitive and inclusive approach that will help alleviate the burden of SAD in the world</w:t>
      </w:r>
      <w:r w:rsidRPr="00783EB3">
        <w:rPr>
          <w:rFonts w:ascii="Arial" w:hAnsi="Arial" w:cs="Arial"/>
          <w:sz w:val="22"/>
          <w:szCs w:val="22"/>
          <w:lang w:val="en-GB"/>
        </w:rPr>
        <w:t>.</w:t>
      </w:r>
    </w:p>
    <w:p w:rsidR="009D4FA0" w:rsidRPr="00783EB3" w:rsidP="009D2BAE" w14:paraId="457F2463" w14:textId="77777777">
      <w:pPr>
        <w:rPr>
          <w:rFonts w:ascii="Arial" w:hAnsi="Arial" w:cs="Arial"/>
          <w:sz w:val="22"/>
          <w:szCs w:val="22"/>
          <w:lang w:val="en-GB"/>
        </w:rPr>
      </w:pPr>
    </w:p>
    <w:p w:rsidR="009D4FA0" w:rsidRPr="00783EB3" w:rsidP="009D2BAE" w14:paraId="5A0BCDF9" w14:textId="77777777">
      <w:pPr>
        <w:rPr>
          <w:rFonts w:ascii="Arial" w:hAnsi="Arial" w:cs="Arial"/>
          <w:sz w:val="22"/>
          <w:szCs w:val="22"/>
          <w:lang w:val="en-GB"/>
        </w:rPr>
      </w:pPr>
    </w:p>
    <w:p w:rsidR="000E736E" w:rsidRPr="00783EB3" w:rsidP="009D2BAE" w14:paraId="6AAFB334" w14:textId="77777777">
      <w:pPr>
        <w:rPr>
          <w:rFonts w:ascii="Arial" w:hAnsi="Arial" w:cs="Arial"/>
          <w:sz w:val="22"/>
          <w:szCs w:val="22"/>
          <w:lang w:val="en-GB"/>
        </w:rPr>
      </w:pPr>
    </w:p>
    <w:p w:rsidR="000E736E" w:rsidRPr="00783EB3" w:rsidP="009D2BAE" w14:paraId="481FA134" w14:textId="77777777">
      <w:pPr>
        <w:rPr>
          <w:rFonts w:ascii="Arial" w:hAnsi="Arial" w:cs="Arial"/>
          <w:sz w:val="22"/>
          <w:szCs w:val="22"/>
          <w:lang w:val="en-GB"/>
        </w:rPr>
      </w:pPr>
    </w:p>
    <w:p w:rsidR="000E736E" w:rsidRPr="00783EB3" w:rsidP="009D2BAE" w14:paraId="1B231B13" w14:textId="77777777">
      <w:pPr>
        <w:rPr>
          <w:rFonts w:ascii="Arial" w:hAnsi="Arial" w:cs="Arial"/>
          <w:sz w:val="22"/>
          <w:szCs w:val="22"/>
          <w:lang w:val="en-GB"/>
        </w:rPr>
      </w:pPr>
    </w:p>
    <w:p w:rsidR="000E736E" w:rsidRPr="00783EB3" w:rsidP="009D2BAE" w14:paraId="1F195D9E" w14:textId="77777777">
      <w:pPr>
        <w:rPr>
          <w:rFonts w:ascii="Arial" w:hAnsi="Arial" w:cs="Arial"/>
          <w:sz w:val="22"/>
          <w:szCs w:val="22"/>
          <w:lang w:val="en-GB"/>
        </w:rPr>
      </w:pPr>
    </w:p>
    <w:p w:rsidR="009D4FA0" w:rsidRPr="00783EB3" w:rsidP="009D2BAE" w14:paraId="6541C3B6" w14:textId="77777777">
      <w:pPr>
        <w:rPr>
          <w:rFonts w:ascii="Arial" w:hAnsi="Arial" w:cs="Arial"/>
          <w:sz w:val="22"/>
          <w:szCs w:val="22"/>
          <w:lang w:val="en-GB"/>
        </w:rPr>
      </w:pPr>
    </w:p>
    <w:p w:rsidR="000E736E" w:rsidRPr="00783EB3" w:rsidP="009D2BAE" w14:paraId="68B1F005" w14:textId="77777777">
      <w:pPr>
        <w:rPr>
          <w:rFonts w:ascii="Arial" w:hAnsi="Arial" w:cs="Arial"/>
          <w:sz w:val="22"/>
          <w:szCs w:val="22"/>
          <w:lang w:val="en-GB"/>
        </w:rPr>
      </w:pPr>
    </w:p>
    <w:p w:rsidR="000E736E" w:rsidRPr="00783EB3" w:rsidP="009D2BAE" w14:paraId="171503C6" w14:textId="77777777">
      <w:pPr>
        <w:rPr>
          <w:rFonts w:ascii="Arial" w:hAnsi="Arial" w:cs="Arial"/>
          <w:sz w:val="22"/>
          <w:szCs w:val="22"/>
          <w:lang w:val="en-GB"/>
        </w:rPr>
      </w:pPr>
    </w:p>
    <w:p w:rsidR="000E736E" w:rsidRPr="00783EB3" w:rsidP="009D2BAE" w14:paraId="15FF8D36" w14:textId="77777777">
      <w:pPr>
        <w:rPr>
          <w:rFonts w:ascii="Arial" w:hAnsi="Arial" w:cs="Arial"/>
          <w:sz w:val="22"/>
          <w:szCs w:val="22"/>
          <w:lang w:val="en-GB"/>
        </w:rPr>
      </w:pPr>
    </w:p>
    <w:p w:rsidR="000E736E" w:rsidRPr="00783EB3" w:rsidP="009D2BAE" w14:paraId="63A6C882" w14:textId="77777777">
      <w:pPr>
        <w:rPr>
          <w:rFonts w:ascii="Arial" w:hAnsi="Arial" w:cs="Arial"/>
          <w:sz w:val="22"/>
          <w:szCs w:val="22"/>
          <w:lang w:val="en-GB"/>
        </w:rPr>
      </w:pPr>
    </w:p>
    <w:p w:rsidR="000E736E" w:rsidRPr="00783EB3" w:rsidP="009D2BAE" w14:paraId="061B200B" w14:textId="77777777">
      <w:pPr>
        <w:rPr>
          <w:rFonts w:ascii="Arial" w:hAnsi="Arial" w:cs="Arial"/>
          <w:sz w:val="22"/>
          <w:szCs w:val="22"/>
          <w:lang w:val="en-GB"/>
        </w:rPr>
      </w:pPr>
    </w:p>
    <w:p w:rsidR="000E736E" w:rsidRPr="00783EB3" w:rsidP="009D2BAE" w14:paraId="464E2C90" w14:textId="77777777">
      <w:pPr>
        <w:rPr>
          <w:rFonts w:ascii="Arial" w:hAnsi="Arial" w:cs="Arial"/>
          <w:sz w:val="22"/>
          <w:szCs w:val="22"/>
          <w:lang w:val="en-GB"/>
        </w:rPr>
      </w:pPr>
    </w:p>
    <w:p w:rsidR="000E736E" w:rsidRPr="00783EB3" w:rsidP="009D2BAE" w14:paraId="62224937" w14:textId="77777777">
      <w:pPr>
        <w:rPr>
          <w:rFonts w:ascii="Arial" w:hAnsi="Arial" w:cs="Arial"/>
          <w:sz w:val="22"/>
          <w:szCs w:val="22"/>
          <w:lang w:val="en-GB"/>
        </w:rPr>
      </w:pPr>
    </w:p>
    <w:p w:rsidR="000E736E" w:rsidRPr="00783EB3" w:rsidP="009D2BAE" w14:paraId="72B520A3" w14:textId="77777777">
      <w:pPr>
        <w:rPr>
          <w:rFonts w:ascii="Arial" w:hAnsi="Arial" w:cs="Arial"/>
          <w:sz w:val="22"/>
          <w:szCs w:val="22"/>
          <w:lang w:val="en-GB"/>
        </w:rPr>
      </w:pPr>
    </w:p>
    <w:p w:rsidR="000E736E" w:rsidRPr="00783EB3" w:rsidP="009D2BAE" w14:paraId="3731D5AF" w14:textId="77777777">
      <w:pPr>
        <w:rPr>
          <w:rFonts w:ascii="Arial" w:hAnsi="Arial" w:cs="Arial"/>
          <w:sz w:val="22"/>
          <w:szCs w:val="22"/>
          <w:lang w:val="en-GB"/>
        </w:rPr>
      </w:pPr>
    </w:p>
    <w:p w:rsidR="000E736E" w:rsidRPr="00783EB3" w:rsidP="000E736E" w14:paraId="7B393491" w14:textId="77777777">
      <w:pPr>
        <w:pStyle w:val="Heading1"/>
        <w:rPr>
          <w:rFonts w:ascii="Arial" w:hAnsi="Arial" w:cs="Arial"/>
          <w:sz w:val="22"/>
          <w:szCs w:val="22"/>
          <w:lang w:val="en-GB"/>
        </w:rPr>
      </w:pPr>
      <w:bookmarkStart w:id="23" w:name="_Toc210222333"/>
      <w:r w:rsidRPr="00783EB3">
        <w:rPr>
          <w:rFonts w:ascii="Arial" w:hAnsi="Arial" w:cs="Arial"/>
          <w:sz w:val="22"/>
          <w:szCs w:val="22"/>
          <w:lang w:val="en-GB"/>
        </w:rPr>
        <w:t>References</w:t>
      </w:r>
      <w:bookmarkEnd w:id="23"/>
    </w:p>
    <w:p w:rsidR="009D4FA0" w:rsidRPr="00783EB3" w:rsidP="006C6F96" w14:paraId="2BF2F9F4" w14:textId="77570536">
      <w:pPr>
        <w:jc w:val="left"/>
        <w:rPr>
          <w:rFonts w:asciiTheme="minorBidi" w:hAnsiTheme="minorBidi"/>
          <w:sz w:val="22"/>
          <w:szCs w:val="22"/>
          <w:lang w:val="en-GB"/>
        </w:rPr>
      </w:pPr>
      <w:r w:rsidRPr="00783EB3">
        <w:rPr>
          <w:rFonts w:asciiTheme="minorBidi" w:hAnsiTheme="minorBidi"/>
          <w:sz w:val="22"/>
          <w:szCs w:val="22"/>
          <w:lang w:val="en-GB"/>
        </w:rPr>
        <w:t xml:space="preserve">Alomari, N.A., </w:t>
      </w:r>
      <w:r w:rsidRPr="00783EB3">
        <w:rPr>
          <w:rFonts w:asciiTheme="minorBidi" w:hAnsiTheme="minorBidi"/>
          <w:sz w:val="22"/>
          <w:szCs w:val="22"/>
          <w:lang w:val="en-GB"/>
        </w:rPr>
        <w:t>Bedaiwi</w:t>
      </w:r>
      <w:r w:rsidRPr="00783EB3">
        <w:rPr>
          <w:rFonts w:asciiTheme="minorBidi" w:hAnsiTheme="minorBidi"/>
          <w:sz w:val="22"/>
          <w:szCs w:val="22"/>
          <w:lang w:val="en-GB"/>
        </w:rPr>
        <w:t xml:space="preserve">, S.K., </w:t>
      </w:r>
      <w:r w:rsidRPr="00783EB3">
        <w:rPr>
          <w:rFonts w:asciiTheme="minorBidi" w:hAnsiTheme="minorBidi"/>
          <w:sz w:val="22"/>
          <w:szCs w:val="22"/>
          <w:lang w:val="en-GB"/>
        </w:rPr>
        <w:t>Ghasib</w:t>
      </w:r>
      <w:r w:rsidRPr="00783EB3">
        <w:rPr>
          <w:rFonts w:asciiTheme="minorBidi" w:hAnsiTheme="minorBidi"/>
          <w:sz w:val="22"/>
          <w:szCs w:val="22"/>
          <w:lang w:val="en-GB"/>
        </w:rPr>
        <w:t xml:space="preserve">, A.M., </w:t>
      </w:r>
      <w:r w:rsidRPr="00783EB3">
        <w:rPr>
          <w:rFonts w:asciiTheme="minorBidi" w:hAnsiTheme="minorBidi"/>
          <w:sz w:val="22"/>
          <w:szCs w:val="22"/>
          <w:lang w:val="en-GB"/>
        </w:rPr>
        <w:t>Kabbarah</w:t>
      </w:r>
      <w:r w:rsidRPr="00783EB3">
        <w:rPr>
          <w:rFonts w:asciiTheme="minorBidi" w:hAnsiTheme="minorBidi"/>
          <w:sz w:val="22"/>
          <w:szCs w:val="22"/>
          <w:lang w:val="en-GB"/>
        </w:rPr>
        <w:t xml:space="preserve">, A.J., </w:t>
      </w:r>
      <w:r w:rsidRPr="00783EB3">
        <w:rPr>
          <w:rFonts w:asciiTheme="minorBidi" w:hAnsiTheme="minorBidi"/>
          <w:sz w:val="22"/>
          <w:szCs w:val="22"/>
          <w:lang w:val="en-GB"/>
        </w:rPr>
        <w:t>Alnefaie</w:t>
      </w:r>
      <w:r w:rsidRPr="00783EB3">
        <w:rPr>
          <w:rFonts w:asciiTheme="minorBidi" w:hAnsiTheme="minorBidi"/>
          <w:sz w:val="22"/>
          <w:szCs w:val="22"/>
          <w:lang w:val="en-GB"/>
        </w:rPr>
        <w:t xml:space="preserve">, S.A., Hariri, N., </w:t>
      </w:r>
      <w:r w:rsidRPr="00783EB3">
        <w:rPr>
          <w:rFonts w:asciiTheme="minorBidi" w:hAnsiTheme="minorBidi"/>
          <w:sz w:val="22"/>
          <w:szCs w:val="22"/>
          <w:lang w:val="en-GB"/>
        </w:rPr>
        <w:t>Altammar</w:t>
      </w:r>
      <w:r w:rsidRPr="00783EB3">
        <w:rPr>
          <w:rFonts w:asciiTheme="minorBidi" w:hAnsiTheme="minorBidi"/>
          <w:sz w:val="22"/>
          <w:szCs w:val="22"/>
          <w:lang w:val="en-GB"/>
        </w:rPr>
        <w:t xml:space="preserve">, M.A., Fadhel, A.M., </w:t>
      </w:r>
      <w:r w:rsidRPr="00783EB3">
        <w:rPr>
          <w:rFonts w:asciiTheme="minorBidi" w:hAnsiTheme="minorBidi"/>
          <w:sz w:val="22"/>
          <w:szCs w:val="22"/>
          <w:lang w:val="en-GB"/>
        </w:rPr>
        <w:t>Altowairqi</w:t>
      </w:r>
      <w:r w:rsidRPr="00783EB3">
        <w:rPr>
          <w:rFonts w:asciiTheme="minorBidi" w:hAnsiTheme="minorBidi"/>
          <w:sz w:val="22"/>
          <w:szCs w:val="22"/>
          <w:lang w:val="en-GB"/>
        </w:rPr>
        <w:t xml:space="preserve">, F.M., </w:t>
      </w:r>
      <w:r w:rsidRPr="00783EB3">
        <w:rPr>
          <w:rFonts w:asciiTheme="minorBidi" w:hAnsiTheme="minorBidi"/>
          <w:sz w:val="22"/>
          <w:szCs w:val="22"/>
          <w:lang w:val="en-GB"/>
        </w:rPr>
        <w:t>Ghasib</w:t>
      </w:r>
      <w:r w:rsidRPr="00783EB3">
        <w:rPr>
          <w:rFonts w:asciiTheme="minorBidi" w:hAnsiTheme="minorBidi"/>
          <w:sz w:val="22"/>
          <w:szCs w:val="22"/>
          <w:lang w:val="en-GB"/>
        </w:rPr>
        <w:t>, A.</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w:t>
      </w:r>
      <w:r w:rsidRPr="00783EB3">
        <w:rPr>
          <w:rFonts w:asciiTheme="minorBidi" w:hAnsiTheme="minorBidi"/>
          <w:sz w:val="22"/>
          <w:szCs w:val="22"/>
          <w:lang w:val="en-GB"/>
        </w:rPr>
        <w:t>Kabbarah</w:t>
      </w:r>
      <w:r w:rsidRPr="00783EB3">
        <w:rPr>
          <w:rFonts w:asciiTheme="minorBidi" w:hAnsiTheme="minorBidi"/>
          <w:sz w:val="22"/>
          <w:szCs w:val="22"/>
          <w:lang w:val="en-GB"/>
        </w:rPr>
        <w:t>, A., 2022. Social anxiety disorder: Associated conditions and therapeutic approaches. </w:t>
      </w:r>
      <w:r w:rsidRPr="00783EB3">
        <w:rPr>
          <w:rFonts w:asciiTheme="minorBidi" w:hAnsiTheme="minorBidi"/>
          <w:i/>
          <w:iCs/>
          <w:sz w:val="22"/>
          <w:szCs w:val="22"/>
          <w:lang w:val="en-GB"/>
        </w:rPr>
        <w:t>Cureus</w:t>
      </w:r>
      <w:r w:rsidRPr="00783EB3">
        <w:rPr>
          <w:rFonts w:asciiTheme="minorBidi" w:hAnsiTheme="minorBidi"/>
          <w:sz w:val="22"/>
          <w:szCs w:val="22"/>
          <w:lang w:val="en-GB"/>
        </w:rPr>
        <w:t>, </w:t>
      </w:r>
      <w:r w:rsidRPr="00783EB3">
        <w:rPr>
          <w:rFonts w:asciiTheme="minorBidi" w:hAnsiTheme="minorBidi"/>
          <w:i/>
          <w:iCs/>
          <w:sz w:val="22"/>
          <w:szCs w:val="22"/>
          <w:lang w:val="en-GB"/>
        </w:rPr>
        <w:t>14</w:t>
      </w:r>
      <w:r w:rsidRPr="00783EB3">
        <w:rPr>
          <w:rFonts w:asciiTheme="minorBidi" w:hAnsiTheme="minorBidi"/>
          <w:sz w:val="22"/>
          <w:szCs w:val="22"/>
          <w:lang w:val="en-GB"/>
        </w:rPr>
        <w:t>(12).</w:t>
      </w:r>
    </w:p>
    <w:p w:rsidR="009D4FA0" w:rsidRPr="00783EB3" w:rsidP="006C6F96" w14:paraId="236BCD80" w14:textId="77777777">
      <w:pPr>
        <w:jc w:val="left"/>
        <w:rPr>
          <w:rFonts w:asciiTheme="minorBidi" w:hAnsiTheme="minorBidi"/>
          <w:sz w:val="22"/>
          <w:szCs w:val="22"/>
          <w:lang w:val="en-GB"/>
        </w:rPr>
      </w:pPr>
      <w:r w:rsidRPr="00783EB3">
        <w:rPr>
          <w:rFonts w:asciiTheme="minorBidi" w:hAnsiTheme="minorBidi"/>
          <w:sz w:val="22"/>
          <w:szCs w:val="22"/>
          <w:lang w:val="en-GB"/>
        </w:rPr>
        <w:t>Bach, B. and Mulder, R., 2022. Clinical implications of ICD-11 for diagnosing and treating personality disorders. </w:t>
      </w:r>
      <w:r w:rsidRPr="00783EB3">
        <w:rPr>
          <w:rFonts w:asciiTheme="minorBidi" w:hAnsiTheme="minorBidi"/>
          <w:i/>
          <w:iCs/>
          <w:sz w:val="22"/>
          <w:szCs w:val="22"/>
          <w:lang w:val="en-GB"/>
        </w:rPr>
        <w:t>Current Psychiatry Reports</w:t>
      </w:r>
      <w:r w:rsidRPr="00783EB3">
        <w:rPr>
          <w:rFonts w:asciiTheme="minorBidi" w:hAnsiTheme="minorBidi"/>
          <w:sz w:val="22"/>
          <w:szCs w:val="22"/>
          <w:lang w:val="en-GB"/>
        </w:rPr>
        <w:t>, </w:t>
      </w:r>
      <w:r w:rsidRPr="00783EB3">
        <w:rPr>
          <w:rFonts w:asciiTheme="minorBidi" w:hAnsiTheme="minorBidi"/>
          <w:i/>
          <w:iCs/>
          <w:sz w:val="22"/>
          <w:szCs w:val="22"/>
          <w:lang w:val="en-GB"/>
        </w:rPr>
        <w:t>24</w:t>
      </w:r>
      <w:r w:rsidRPr="00783EB3">
        <w:rPr>
          <w:rFonts w:asciiTheme="minorBidi" w:hAnsiTheme="minorBidi"/>
          <w:sz w:val="22"/>
          <w:szCs w:val="22"/>
          <w:lang w:val="en-GB"/>
        </w:rPr>
        <w:t>(10), pp.553-563.</w:t>
      </w:r>
    </w:p>
    <w:p w:rsidR="009D4FA0" w:rsidRPr="00783EB3" w:rsidP="006C6F96" w14:paraId="79B76264" w14:textId="77777777">
      <w:pPr>
        <w:jc w:val="left"/>
        <w:rPr>
          <w:rFonts w:asciiTheme="minorBidi" w:hAnsiTheme="minorBidi"/>
          <w:sz w:val="22"/>
          <w:szCs w:val="22"/>
          <w:lang w:val="en-GB"/>
        </w:rPr>
      </w:pPr>
      <w:r w:rsidRPr="00783EB3">
        <w:rPr>
          <w:rFonts w:asciiTheme="minorBidi" w:hAnsiTheme="minorBidi"/>
          <w:sz w:val="22"/>
          <w:szCs w:val="22"/>
          <w:lang w:val="en-GB"/>
        </w:rPr>
        <w:t>Bailey, R., 2024. Why health anxiety needs NICE clinical guidelines. </w:t>
      </w:r>
      <w:r w:rsidRPr="00783EB3">
        <w:rPr>
          <w:rFonts w:asciiTheme="minorBidi" w:hAnsiTheme="minorBidi"/>
          <w:i/>
          <w:iCs/>
          <w:sz w:val="22"/>
          <w:szCs w:val="22"/>
          <w:lang w:val="en-GB"/>
        </w:rPr>
        <w:t>The Lancet Psychiatry</w:t>
      </w:r>
      <w:r w:rsidRPr="00783EB3">
        <w:rPr>
          <w:rFonts w:asciiTheme="minorBidi" w:hAnsiTheme="minorBidi"/>
          <w:sz w:val="22"/>
          <w:szCs w:val="22"/>
          <w:lang w:val="en-GB"/>
        </w:rPr>
        <w:t>, </w:t>
      </w:r>
      <w:r w:rsidRPr="00783EB3">
        <w:rPr>
          <w:rFonts w:asciiTheme="minorBidi" w:hAnsiTheme="minorBidi"/>
          <w:i/>
          <w:iCs/>
          <w:sz w:val="22"/>
          <w:szCs w:val="22"/>
          <w:lang w:val="en-GB"/>
        </w:rPr>
        <w:t>11</w:t>
      </w:r>
      <w:r w:rsidRPr="00783EB3">
        <w:rPr>
          <w:rFonts w:asciiTheme="minorBidi" w:hAnsiTheme="minorBidi"/>
          <w:sz w:val="22"/>
          <w:szCs w:val="22"/>
          <w:lang w:val="en-GB"/>
        </w:rPr>
        <w:t>(3), pp.164-165.</w:t>
      </w:r>
    </w:p>
    <w:p w:rsidR="009D4FA0" w:rsidRPr="00783EB3" w:rsidP="006C6F96" w14:paraId="0B468DB1" w14:textId="77777777">
      <w:pPr>
        <w:jc w:val="left"/>
        <w:rPr>
          <w:rFonts w:asciiTheme="minorBidi" w:hAnsiTheme="minorBidi"/>
          <w:sz w:val="22"/>
          <w:szCs w:val="22"/>
          <w:lang w:val="en-GB"/>
        </w:rPr>
      </w:pPr>
      <w:r w:rsidRPr="00783EB3">
        <w:rPr>
          <w:rFonts w:asciiTheme="minorBidi" w:hAnsiTheme="minorBidi"/>
          <w:sz w:val="22"/>
          <w:szCs w:val="22"/>
          <w:lang w:val="en-GB"/>
        </w:rPr>
        <w:t xml:space="preserve">Baroni, D., </w:t>
      </w:r>
      <w:r w:rsidRPr="00783EB3">
        <w:rPr>
          <w:rFonts w:asciiTheme="minorBidi" w:hAnsiTheme="minorBidi"/>
          <w:sz w:val="22"/>
          <w:szCs w:val="22"/>
          <w:lang w:val="en-GB"/>
        </w:rPr>
        <w:t>Caccico</w:t>
      </w:r>
      <w:r w:rsidRPr="00783EB3">
        <w:rPr>
          <w:rFonts w:asciiTheme="minorBidi" w:hAnsiTheme="minorBidi"/>
          <w:sz w:val="22"/>
          <w:szCs w:val="22"/>
          <w:lang w:val="en-GB"/>
        </w:rPr>
        <w:t xml:space="preserve">, L., </w:t>
      </w:r>
      <w:r w:rsidRPr="00783EB3">
        <w:rPr>
          <w:rFonts w:asciiTheme="minorBidi" w:hAnsiTheme="minorBidi"/>
          <w:sz w:val="22"/>
          <w:szCs w:val="22"/>
          <w:lang w:val="en-GB"/>
        </w:rPr>
        <w:t>Ciandri</w:t>
      </w:r>
      <w:r w:rsidRPr="00783EB3">
        <w:rPr>
          <w:rFonts w:asciiTheme="minorBidi" w:hAnsiTheme="minorBidi"/>
          <w:sz w:val="22"/>
          <w:szCs w:val="22"/>
          <w:lang w:val="en-GB"/>
        </w:rPr>
        <w:t xml:space="preserve">, S., Di Gesto, C., Di Leonardo, L., </w:t>
      </w:r>
      <w:r w:rsidRPr="00783EB3">
        <w:rPr>
          <w:rFonts w:asciiTheme="minorBidi" w:hAnsiTheme="minorBidi"/>
          <w:sz w:val="22"/>
          <w:szCs w:val="22"/>
          <w:lang w:val="en-GB"/>
        </w:rPr>
        <w:t>Fiesoli</w:t>
      </w:r>
      <w:r w:rsidRPr="00783EB3">
        <w:rPr>
          <w:rFonts w:asciiTheme="minorBidi" w:hAnsiTheme="minorBidi"/>
          <w:sz w:val="22"/>
          <w:szCs w:val="22"/>
          <w:lang w:val="en-GB"/>
        </w:rPr>
        <w:t xml:space="preserve">, A., Grassi, E., Lauretta, F., </w:t>
      </w:r>
      <w:r w:rsidRPr="00783EB3">
        <w:rPr>
          <w:rFonts w:asciiTheme="minorBidi" w:hAnsiTheme="minorBidi"/>
          <w:sz w:val="22"/>
          <w:szCs w:val="22"/>
          <w:lang w:val="en-GB"/>
        </w:rPr>
        <w:t>Lebruto</w:t>
      </w:r>
      <w:r w:rsidRPr="00783EB3">
        <w:rPr>
          <w:rFonts w:asciiTheme="minorBidi" w:hAnsiTheme="minorBidi"/>
          <w:sz w:val="22"/>
          <w:szCs w:val="22"/>
          <w:lang w:val="en-GB"/>
        </w:rPr>
        <w:t xml:space="preserve">, A., </w:t>
      </w:r>
      <w:r w:rsidRPr="00783EB3">
        <w:rPr>
          <w:rFonts w:asciiTheme="minorBidi" w:hAnsiTheme="minorBidi"/>
          <w:sz w:val="22"/>
          <w:szCs w:val="22"/>
          <w:lang w:val="en-GB"/>
        </w:rPr>
        <w:t>Marsigli</w:t>
      </w:r>
      <w:r w:rsidRPr="00783EB3">
        <w:rPr>
          <w:rFonts w:asciiTheme="minorBidi" w:hAnsiTheme="minorBidi"/>
          <w:sz w:val="22"/>
          <w:szCs w:val="22"/>
          <w:lang w:val="en-GB"/>
        </w:rPr>
        <w:t xml:space="preserve">, N. and </w:t>
      </w:r>
      <w:r w:rsidRPr="00783EB3">
        <w:rPr>
          <w:rFonts w:asciiTheme="minorBidi" w:hAnsiTheme="minorBidi"/>
          <w:sz w:val="22"/>
          <w:szCs w:val="22"/>
          <w:lang w:val="en-GB"/>
        </w:rPr>
        <w:t>Policardo</w:t>
      </w:r>
      <w:r w:rsidRPr="00783EB3">
        <w:rPr>
          <w:rFonts w:asciiTheme="minorBidi" w:hAnsiTheme="minorBidi"/>
          <w:sz w:val="22"/>
          <w:szCs w:val="22"/>
          <w:lang w:val="en-GB"/>
        </w:rPr>
        <w:t>, G.R., 2023. Measurement invariance of the Liebowitz Social Anxiety Scale</w:t>
      </w:r>
      <w:r w:rsidRPr="00783EB3">
        <w:rPr>
          <w:rFonts w:ascii="Cambria Math" w:hAnsi="Cambria Math" w:cs="Cambria Math"/>
          <w:sz w:val="22"/>
          <w:szCs w:val="22"/>
          <w:lang w:val="en-GB"/>
        </w:rPr>
        <w:t>‐</w:t>
      </w:r>
      <w:r w:rsidRPr="00783EB3">
        <w:rPr>
          <w:rFonts w:asciiTheme="minorBidi" w:hAnsiTheme="minorBidi"/>
          <w:sz w:val="22"/>
          <w:szCs w:val="22"/>
          <w:lang w:val="en-GB"/>
        </w:rPr>
        <w:t>Self</w:t>
      </w:r>
      <w:r w:rsidRPr="00783EB3">
        <w:rPr>
          <w:rFonts w:ascii="Cambria Math" w:hAnsi="Cambria Math" w:cs="Cambria Math"/>
          <w:sz w:val="22"/>
          <w:szCs w:val="22"/>
          <w:lang w:val="en-GB"/>
        </w:rPr>
        <w:t>‐</w:t>
      </w:r>
      <w:r w:rsidRPr="00783EB3">
        <w:rPr>
          <w:rFonts w:asciiTheme="minorBidi" w:hAnsiTheme="minorBidi"/>
          <w:sz w:val="22"/>
          <w:szCs w:val="22"/>
          <w:lang w:val="en-GB"/>
        </w:rPr>
        <w:t>Report. </w:t>
      </w:r>
      <w:r w:rsidRPr="00783EB3">
        <w:rPr>
          <w:rFonts w:asciiTheme="minorBidi" w:hAnsiTheme="minorBidi"/>
          <w:i/>
          <w:iCs/>
          <w:sz w:val="22"/>
          <w:szCs w:val="22"/>
          <w:lang w:val="en-GB"/>
        </w:rPr>
        <w:t>Journal of Clinical Psychology</w:t>
      </w:r>
      <w:r w:rsidRPr="00783EB3">
        <w:rPr>
          <w:rFonts w:asciiTheme="minorBidi" w:hAnsiTheme="minorBidi"/>
          <w:sz w:val="22"/>
          <w:szCs w:val="22"/>
          <w:lang w:val="en-GB"/>
        </w:rPr>
        <w:t>, </w:t>
      </w:r>
      <w:r w:rsidRPr="00783EB3">
        <w:rPr>
          <w:rFonts w:asciiTheme="minorBidi" w:hAnsiTheme="minorBidi"/>
          <w:i/>
          <w:iCs/>
          <w:sz w:val="22"/>
          <w:szCs w:val="22"/>
          <w:lang w:val="en-GB"/>
        </w:rPr>
        <w:t>79</w:t>
      </w:r>
      <w:r w:rsidRPr="00783EB3">
        <w:rPr>
          <w:rFonts w:asciiTheme="minorBidi" w:hAnsiTheme="minorBidi"/>
          <w:sz w:val="22"/>
          <w:szCs w:val="22"/>
          <w:lang w:val="en-GB"/>
        </w:rPr>
        <w:t>(2), pp.391-414.</w:t>
      </w:r>
    </w:p>
    <w:p w:rsidR="009D4FA0" w:rsidRPr="00783EB3" w:rsidP="006C6F96" w14:paraId="2CB6806A" w14:textId="77777777">
      <w:pPr>
        <w:jc w:val="left"/>
        <w:rPr>
          <w:rFonts w:asciiTheme="minorBidi" w:hAnsiTheme="minorBidi"/>
          <w:sz w:val="22"/>
          <w:szCs w:val="22"/>
          <w:lang w:val="en-GB"/>
        </w:rPr>
      </w:pPr>
      <w:r w:rsidRPr="00783EB3">
        <w:rPr>
          <w:rFonts w:asciiTheme="minorBidi" w:hAnsiTheme="minorBidi"/>
          <w:sz w:val="22"/>
          <w:szCs w:val="22"/>
          <w:lang w:val="en-GB"/>
        </w:rPr>
        <w:t>Chavira, D.A., Ponting, C. and Lewis-Fernández, R., 2020. Cultural and social aspects of anxiety disorders. </w:t>
      </w:r>
      <w:r w:rsidRPr="00783EB3">
        <w:rPr>
          <w:rFonts w:asciiTheme="minorBidi" w:hAnsiTheme="minorBidi"/>
          <w:i/>
          <w:iCs/>
          <w:sz w:val="22"/>
          <w:szCs w:val="22"/>
          <w:lang w:val="en-GB"/>
        </w:rPr>
        <w:t>The American Psychiatric Association Publishing textbook of anxiety, trauma, and OCD-related disorders</w:t>
      </w:r>
      <w:r w:rsidRPr="00783EB3">
        <w:rPr>
          <w:rFonts w:asciiTheme="minorBidi" w:hAnsiTheme="minorBidi"/>
          <w:sz w:val="22"/>
          <w:szCs w:val="22"/>
          <w:lang w:val="en-GB"/>
        </w:rPr>
        <w:t>, </w:t>
      </w:r>
      <w:r w:rsidRPr="00783EB3">
        <w:rPr>
          <w:rFonts w:asciiTheme="minorBidi" w:hAnsiTheme="minorBidi"/>
          <w:i/>
          <w:iCs/>
          <w:sz w:val="22"/>
          <w:szCs w:val="22"/>
          <w:lang w:val="en-GB"/>
        </w:rPr>
        <w:t>59</w:t>
      </w:r>
      <w:r w:rsidRPr="00783EB3">
        <w:rPr>
          <w:rFonts w:asciiTheme="minorBidi" w:hAnsiTheme="minorBidi"/>
          <w:sz w:val="22"/>
          <w:szCs w:val="22"/>
          <w:lang w:val="en-GB"/>
        </w:rPr>
        <w:t>.</w:t>
      </w:r>
    </w:p>
    <w:p w:rsidR="009D4FA0" w:rsidRPr="00783EB3" w:rsidP="006C6F96" w14:paraId="7069366D" w14:textId="62D2151F">
      <w:pPr>
        <w:jc w:val="left"/>
        <w:rPr>
          <w:rFonts w:asciiTheme="minorBidi" w:hAnsiTheme="minorBidi"/>
          <w:sz w:val="22"/>
          <w:szCs w:val="22"/>
          <w:lang w:val="en-GB"/>
        </w:rPr>
      </w:pPr>
      <w:r w:rsidRPr="007343A1">
        <w:rPr>
          <w:rFonts w:asciiTheme="minorBidi" w:hAnsiTheme="minorBidi"/>
          <w:sz w:val="22"/>
          <w:szCs w:val="22"/>
          <w:lang w:val="de-DE"/>
        </w:rPr>
        <w:t xml:space="preserve">Domschke, K. and Zwanzger, P., 2025. </w:t>
      </w:r>
      <w:r w:rsidRPr="00783EB3">
        <w:rPr>
          <w:rFonts w:asciiTheme="minorBidi" w:hAnsiTheme="minorBidi"/>
          <w:sz w:val="22"/>
          <w:szCs w:val="22"/>
          <w:lang w:val="en-GB"/>
        </w:rPr>
        <w:t xml:space="preserve">Taxonomy of anxiety disorders—a comparison of </w:t>
      </w:r>
      <w:r w:rsidRPr="00783EB3" w:rsidR="00B04798">
        <w:rPr>
          <w:rFonts w:asciiTheme="minorBidi" w:hAnsiTheme="minorBidi"/>
          <w:sz w:val="22"/>
          <w:szCs w:val="22"/>
          <w:lang w:val="en-GB"/>
        </w:rPr>
        <w:t>ICD-10</w:t>
      </w:r>
      <w:r w:rsidRPr="00783EB3">
        <w:rPr>
          <w:rFonts w:asciiTheme="minorBidi" w:hAnsiTheme="minorBidi"/>
          <w:sz w:val="22"/>
          <w:szCs w:val="22"/>
          <w:lang w:val="en-GB"/>
        </w:rPr>
        <w:t xml:space="preserve"> and </w:t>
      </w:r>
      <w:r w:rsidRPr="00783EB3" w:rsidR="00B04798">
        <w:rPr>
          <w:rFonts w:asciiTheme="minorBidi" w:hAnsiTheme="minorBidi"/>
          <w:sz w:val="22"/>
          <w:szCs w:val="22"/>
          <w:lang w:val="en-GB"/>
        </w:rPr>
        <w:t>ICD-11</w:t>
      </w:r>
      <w:r w:rsidRPr="00783EB3">
        <w:rPr>
          <w:rFonts w:asciiTheme="minorBidi" w:hAnsiTheme="minorBidi"/>
          <w:sz w:val="22"/>
          <w:szCs w:val="22"/>
          <w:lang w:val="en-GB"/>
        </w:rPr>
        <w:t>. </w:t>
      </w:r>
      <w:r w:rsidRPr="00783EB3">
        <w:rPr>
          <w:rFonts w:asciiTheme="minorBidi" w:hAnsiTheme="minorBidi"/>
          <w:i/>
          <w:iCs/>
          <w:sz w:val="22"/>
          <w:szCs w:val="22"/>
          <w:lang w:val="en-GB"/>
        </w:rPr>
        <w:t xml:space="preserve">Der </w:t>
      </w:r>
      <w:r w:rsidRPr="00783EB3">
        <w:rPr>
          <w:rFonts w:asciiTheme="minorBidi" w:hAnsiTheme="minorBidi"/>
          <w:i/>
          <w:iCs/>
          <w:sz w:val="22"/>
          <w:szCs w:val="22"/>
          <w:lang w:val="en-GB"/>
        </w:rPr>
        <w:t>Nervenarzt</w:t>
      </w:r>
      <w:r w:rsidRPr="00783EB3">
        <w:rPr>
          <w:rFonts w:asciiTheme="minorBidi" w:hAnsiTheme="minorBidi"/>
          <w:sz w:val="22"/>
          <w:szCs w:val="22"/>
          <w:lang w:val="en-GB"/>
        </w:rPr>
        <w:t>, pp.1-5.</w:t>
      </w:r>
    </w:p>
    <w:p w:rsidR="009D4FA0" w:rsidRPr="00783EB3" w:rsidP="006C6F96" w14:paraId="0F59DE39" w14:textId="25C67436">
      <w:pPr>
        <w:jc w:val="left"/>
        <w:rPr>
          <w:rFonts w:asciiTheme="minorBidi" w:hAnsiTheme="minorBidi"/>
          <w:sz w:val="22"/>
          <w:szCs w:val="22"/>
          <w:lang w:val="en-GB"/>
        </w:rPr>
      </w:pPr>
      <w:r w:rsidRPr="00783EB3">
        <w:rPr>
          <w:rFonts w:asciiTheme="minorBidi" w:hAnsiTheme="minorBidi"/>
          <w:sz w:val="22"/>
          <w:szCs w:val="22"/>
          <w:lang w:val="en-GB"/>
        </w:rPr>
        <w:t>Emmelkamp</w:t>
      </w:r>
      <w:r w:rsidRPr="00783EB3">
        <w:rPr>
          <w:rFonts w:asciiTheme="minorBidi" w:hAnsiTheme="minorBidi"/>
          <w:sz w:val="22"/>
          <w:szCs w:val="22"/>
          <w:lang w:val="en-GB"/>
        </w:rPr>
        <w:t xml:space="preserve">, P.M., Meyerbröker, K. and Morina, N., 2020. Virtual reality therapy </w:t>
      </w:r>
      <w:r w:rsidRPr="00783EB3" w:rsidR="00B04798">
        <w:rPr>
          <w:rFonts w:asciiTheme="minorBidi" w:hAnsiTheme="minorBidi"/>
          <w:sz w:val="22"/>
          <w:szCs w:val="22"/>
          <w:lang w:val="en-GB"/>
        </w:rPr>
        <w:t>for</w:t>
      </w:r>
      <w:r w:rsidRPr="00783EB3">
        <w:rPr>
          <w:rFonts w:asciiTheme="minorBidi" w:hAnsiTheme="minorBidi"/>
          <w:sz w:val="22"/>
          <w:szCs w:val="22"/>
          <w:lang w:val="en-GB"/>
        </w:rPr>
        <w:t xml:space="preserve"> social anxiety disorder. </w:t>
      </w:r>
      <w:r w:rsidRPr="00783EB3">
        <w:rPr>
          <w:rFonts w:asciiTheme="minorBidi" w:hAnsiTheme="minorBidi"/>
          <w:i/>
          <w:iCs/>
          <w:sz w:val="22"/>
          <w:szCs w:val="22"/>
          <w:lang w:val="en-GB"/>
        </w:rPr>
        <w:t>Current psychiatry reports</w:t>
      </w:r>
      <w:r w:rsidRPr="00783EB3">
        <w:rPr>
          <w:rFonts w:asciiTheme="minorBidi" w:hAnsiTheme="minorBidi"/>
          <w:sz w:val="22"/>
          <w:szCs w:val="22"/>
          <w:lang w:val="en-GB"/>
        </w:rPr>
        <w:t>, </w:t>
      </w:r>
      <w:r w:rsidRPr="00783EB3">
        <w:rPr>
          <w:rFonts w:asciiTheme="minorBidi" w:hAnsiTheme="minorBidi"/>
          <w:i/>
          <w:iCs/>
          <w:sz w:val="22"/>
          <w:szCs w:val="22"/>
          <w:lang w:val="en-GB"/>
        </w:rPr>
        <w:t>22</w:t>
      </w:r>
      <w:r w:rsidRPr="00783EB3">
        <w:rPr>
          <w:rFonts w:asciiTheme="minorBidi" w:hAnsiTheme="minorBidi"/>
          <w:sz w:val="22"/>
          <w:szCs w:val="22"/>
          <w:lang w:val="en-GB"/>
        </w:rPr>
        <w:t>(7), p.32.</w:t>
      </w:r>
    </w:p>
    <w:p w:rsidR="009D4FA0" w:rsidRPr="00783EB3" w:rsidP="006C6F96" w14:paraId="05AEF678" w14:textId="77777777">
      <w:pPr>
        <w:jc w:val="left"/>
        <w:rPr>
          <w:rFonts w:asciiTheme="minorBidi" w:hAnsiTheme="minorBidi"/>
          <w:sz w:val="22"/>
          <w:szCs w:val="22"/>
          <w:lang w:val="en-GB"/>
        </w:rPr>
      </w:pPr>
      <w:r w:rsidRPr="00783EB3">
        <w:rPr>
          <w:rFonts w:asciiTheme="minorBidi" w:hAnsiTheme="minorBidi"/>
          <w:sz w:val="22"/>
          <w:szCs w:val="22"/>
          <w:lang w:val="en-GB"/>
        </w:rPr>
        <w:t>Fang, M.L., Canham, S.L., Battersby, L., Sixsmith, J., Wada, M. and Sixsmith, A., 2019. Exploring privilege in the digital divide: implications for theory, policy, and practice. </w:t>
      </w:r>
      <w:r w:rsidRPr="00783EB3">
        <w:rPr>
          <w:rFonts w:asciiTheme="minorBidi" w:hAnsiTheme="minorBidi"/>
          <w:i/>
          <w:iCs/>
          <w:sz w:val="22"/>
          <w:szCs w:val="22"/>
          <w:lang w:val="en-GB"/>
        </w:rPr>
        <w:t>The Gerontologist</w:t>
      </w:r>
      <w:r w:rsidRPr="00783EB3">
        <w:rPr>
          <w:rFonts w:asciiTheme="minorBidi" w:hAnsiTheme="minorBidi"/>
          <w:sz w:val="22"/>
          <w:szCs w:val="22"/>
          <w:lang w:val="en-GB"/>
        </w:rPr>
        <w:t>, </w:t>
      </w:r>
      <w:r w:rsidRPr="00783EB3">
        <w:rPr>
          <w:rFonts w:asciiTheme="minorBidi" w:hAnsiTheme="minorBidi"/>
          <w:i/>
          <w:iCs/>
          <w:sz w:val="22"/>
          <w:szCs w:val="22"/>
          <w:lang w:val="en-GB"/>
        </w:rPr>
        <w:t>59</w:t>
      </w:r>
      <w:r w:rsidRPr="00783EB3">
        <w:rPr>
          <w:rFonts w:asciiTheme="minorBidi" w:hAnsiTheme="minorBidi"/>
          <w:sz w:val="22"/>
          <w:szCs w:val="22"/>
          <w:lang w:val="en-GB"/>
        </w:rPr>
        <w:t xml:space="preserve">(1), </w:t>
      </w:r>
      <w:r w:rsidRPr="00783EB3">
        <w:rPr>
          <w:rFonts w:asciiTheme="minorBidi" w:hAnsiTheme="minorBidi"/>
          <w:sz w:val="22"/>
          <w:szCs w:val="22"/>
          <w:lang w:val="en-GB"/>
        </w:rPr>
        <w:t>pp.e</w:t>
      </w:r>
      <w:r w:rsidRPr="00783EB3">
        <w:rPr>
          <w:rFonts w:asciiTheme="minorBidi" w:hAnsiTheme="minorBidi"/>
          <w:sz w:val="22"/>
          <w:szCs w:val="22"/>
          <w:lang w:val="en-GB"/>
        </w:rPr>
        <w:t>1-e15.</w:t>
      </w:r>
    </w:p>
    <w:p w:rsidR="009D4FA0" w:rsidRPr="00783EB3" w:rsidP="006C6F96" w14:paraId="24321131" w14:textId="5863A22E">
      <w:pPr>
        <w:jc w:val="left"/>
        <w:rPr>
          <w:rFonts w:asciiTheme="minorBidi" w:hAnsiTheme="minorBidi"/>
          <w:sz w:val="22"/>
          <w:szCs w:val="22"/>
          <w:lang w:val="en-GB"/>
        </w:rPr>
      </w:pPr>
      <w:r w:rsidRPr="00783EB3">
        <w:rPr>
          <w:rFonts w:asciiTheme="minorBidi" w:hAnsiTheme="minorBidi"/>
          <w:sz w:val="22"/>
          <w:szCs w:val="22"/>
          <w:lang w:val="en-GB"/>
        </w:rPr>
        <w:t xml:space="preserve">Fathi, S., Ahmadi, M., </w:t>
      </w:r>
      <w:r w:rsidRPr="00783EB3">
        <w:rPr>
          <w:rFonts w:asciiTheme="minorBidi" w:hAnsiTheme="minorBidi"/>
          <w:sz w:val="22"/>
          <w:szCs w:val="22"/>
          <w:lang w:val="en-GB"/>
        </w:rPr>
        <w:t>Birashk</w:t>
      </w:r>
      <w:r w:rsidRPr="00783EB3">
        <w:rPr>
          <w:rFonts w:asciiTheme="minorBidi" w:hAnsiTheme="minorBidi"/>
          <w:sz w:val="22"/>
          <w:szCs w:val="22"/>
          <w:lang w:val="en-GB"/>
        </w:rPr>
        <w:t>, B.</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Dehnad, A., 2020. Development and use of a clinical decision support system for the diagnosis of social anxiety disorder. </w:t>
      </w:r>
      <w:r w:rsidRPr="00783EB3">
        <w:rPr>
          <w:rFonts w:asciiTheme="minorBidi" w:hAnsiTheme="minorBidi"/>
          <w:i/>
          <w:iCs/>
          <w:sz w:val="22"/>
          <w:szCs w:val="22"/>
          <w:lang w:val="en-GB"/>
        </w:rPr>
        <w:t xml:space="preserve">Computer Methods and </w:t>
      </w:r>
      <w:r w:rsidR="00783EB3">
        <w:rPr>
          <w:rFonts w:asciiTheme="minorBidi" w:hAnsiTheme="minorBidi"/>
          <w:i/>
          <w:iCs/>
          <w:sz w:val="22"/>
          <w:szCs w:val="22"/>
          <w:lang w:val="en-GB"/>
        </w:rPr>
        <w:t>Programmes</w:t>
      </w:r>
      <w:r w:rsidRPr="00783EB3">
        <w:rPr>
          <w:rFonts w:asciiTheme="minorBidi" w:hAnsiTheme="minorBidi"/>
          <w:i/>
          <w:iCs/>
          <w:sz w:val="22"/>
          <w:szCs w:val="22"/>
          <w:lang w:val="en-GB"/>
        </w:rPr>
        <w:t xml:space="preserve"> in Biomedicine</w:t>
      </w:r>
      <w:r w:rsidRPr="00783EB3">
        <w:rPr>
          <w:rFonts w:asciiTheme="minorBidi" w:hAnsiTheme="minorBidi"/>
          <w:sz w:val="22"/>
          <w:szCs w:val="22"/>
          <w:lang w:val="en-GB"/>
        </w:rPr>
        <w:t>, </w:t>
      </w:r>
      <w:r w:rsidRPr="00783EB3">
        <w:rPr>
          <w:rFonts w:asciiTheme="minorBidi" w:hAnsiTheme="minorBidi"/>
          <w:i/>
          <w:iCs/>
          <w:sz w:val="22"/>
          <w:szCs w:val="22"/>
          <w:lang w:val="en-GB"/>
        </w:rPr>
        <w:t>190</w:t>
      </w:r>
      <w:r w:rsidRPr="00783EB3">
        <w:rPr>
          <w:rFonts w:asciiTheme="minorBidi" w:hAnsiTheme="minorBidi"/>
          <w:sz w:val="22"/>
          <w:szCs w:val="22"/>
          <w:lang w:val="en-GB"/>
        </w:rPr>
        <w:t>, p.105354.</w:t>
      </w:r>
    </w:p>
    <w:p w:rsidR="009D4FA0" w:rsidRPr="00783EB3" w:rsidP="006C6F96" w14:paraId="2FCA5619" w14:textId="1D0B110A">
      <w:pPr>
        <w:jc w:val="left"/>
        <w:rPr>
          <w:rFonts w:asciiTheme="minorBidi" w:hAnsiTheme="minorBidi"/>
          <w:sz w:val="22"/>
          <w:szCs w:val="22"/>
          <w:lang w:val="en-GB"/>
        </w:rPr>
      </w:pPr>
      <w:r w:rsidRPr="00783EB3">
        <w:rPr>
          <w:rFonts w:asciiTheme="minorBidi" w:hAnsiTheme="minorBidi"/>
          <w:sz w:val="22"/>
          <w:szCs w:val="22"/>
          <w:lang w:val="en-GB"/>
        </w:rPr>
        <w:t>Gaebel, W., Stricker, J.</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Kerst, A., 2020. Changes from ICD-10 to ICD-11 and future directions in psychiatric classification. </w:t>
      </w:r>
      <w:r w:rsidRPr="00783EB3">
        <w:rPr>
          <w:rFonts w:asciiTheme="minorBidi" w:hAnsiTheme="minorBidi"/>
          <w:i/>
          <w:iCs/>
          <w:sz w:val="22"/>
          <w:szCs w:val="22"/>
          <w:lang w:val="en-GB"/>
        </w:rPr>
        <w:t>Dialogues in clinical neuroscience</w:t>
      </w:r>
      <w:r w:rsidRPr="00783EB3">
        <w:rPr>
          <w:rFonts w:asciiTheme="minorBidi" w:hAnsiTheme="minorBidi"/>
          <w:sz w:val="22"/>
          <w:szCs w:val="22"/>
          <w:lang w:val="en-GB"/>
        </w:rPr>
        <w:t>, </w:t>
      </w:r>
      <w:r w:rsidRPr="00783EB3">
        <w:rPr>
          <w:rFonts w:asciiTheme="minorBidi" w:hAnsiTheme="minorBidi"/>
          <w:i/>
          <w:iCs/>
          <w:sz w:val="22"/>
          <w:szCs w:val="22"/>
          <w:lang w:val="en-GB"/>
        </w:rPr>
        <w:t>22</w:t>
      </w:r>
      <w:r w:rsidRPr="00783EB3">
        <w:rPr>
          <w:rFonts w:asciiTheme="minorBidi" w:hAnsiTheme="minorBidi"/>
          <w:sz w:val="22"/>
          <w:szCs w:val="22"/>
          <w:lang w:val="en-GB"/>
        </w:rPr>
        <w:t>(1), pp.7-15., W., Stricker, J.</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Kerst, A., 2020. Changes from ICD-10 to ICD-11 and future directions in psychiatric classification. </w:t>
      </w:r>
      <w:r w:rsidRPr="00783EB3">
        <w:rPr>
          <w:rFonts w:asciiTheme="minorBidi" w:hAnsiTheme="minorBidi"/>
          <w:i/>
          <w:iCs/>
          <w:sz w:val="22"/>
          <w:szCs w:val="22"/>
          <w:lang w:val="en-GB"/>
        </w:rPr>
        <w:t>Dialogues in clinical neuroscience</w:t>
      </w:r>
      <w:r w:rsidRPr="00783EB3">
        <w:rPr>
          <w:rFonts w:asciiTheme="minorBidi" w:hAnsiTheme="minorBidi"/>
          <w:sz w:val="22"/>
          <w:szCs w:val="22"/>
          <w:lang w:val="en-GB"/>
        </w:rPr>
        <w:t>, </w:t>
      </w:r>
      <w:r w:rsidRPr="00783EB3">
        <w:rPr>
          <w:rFonts w:asciiTheme="minorBidi" w:hAnsiTheme="minorBidi"/>
          <w:i/>
          <w:iCs/>
          <w:sz w:val="22"/>
          <w:szCs w:val="22"/>
          <w:lang w:val="en-GB"/>
        </w:rPr>
        <w:t>22</w:t>
      </w:r>
      <w:r w:rsidRPr="00783EB3">
        <w:rPr>
          <w:rFonts w:asciiTheme="minorBidi" w:hAnsiTheme="minorBidi"/>
          <w:sz w:val="22"/>
          <w:szCs w:val="22"/>
          <w:lang w:val="en-GB"/>
        </w:rPr>
        <w:t>(1), pp.7-15.</w:t>
      </w:r>
    </w:p>
    <w:p w:rsidR="009D4FA0" w:rsidRPr="00783EB3" w:rsidP="006C6F96" w14:paraId="0055D9FF" w14:textId="77777777">
      <w:pPr>
        <w:jc w:val="left"/>
        <w:rPr>
          <w:rFonts w:asciiTheme="minorBidi" w:hAnsiTheme="minorBidi"/>
          <w:sz w:val="22"/>
          <w:szCs w:val="22"/>
          <w:lang w:val="en-GB"/>
        </w:rPr>
      </w:pPr>
      <w:r w:rsidRPr="00783EB3">
        <w:rPr>
          <w:rFonts w:asciiTheme="minorBidi" w:hAnsiTheme="minorBidi"/>
          <w:sz w:val="22"/>
          <w:szCs w:val="22"/>
          <w:lang w:val="en-GB"/>
        </w:rPr>
        <w:t>Good, B.J. and Kleinman, A.M., 2019. Culture and anxiety: Cross-cultural evidence for the patterning of anxiety disorders. In </w:t>
      </w:r>
      <w:r w:rsidRPr="00783EB3">
        <w:rPr>
          <w:rFonts w:asciiTheme="minorBidi" w:hAnsiTheme="minorBidi"/>
          <w:i/>
          <w:iCs/>
          <w:sz w:val="22"/>
          <w:szCs w:val="22"/>
          <w:lang w:val="en-GB"/>
        </w:rPr>
        <w:t>Anxiety and the anxiety disorders</w:t>
      </w:r>
      <w:r w:rsidRPr="00783EB3">
        <w:rPr>
          <w:rFonts w:asciiTheme="minorBidi" w:hAnsiTheme="minorBidi"/>
          <w:sz w:val="22"/>
          <w:szCs w:val="22"/>
          <w:lang w:val="en-GB"/>
        </w:rPr>
        <w:t> (pp. 297-324). Routledge.</w:t>
      </w:r>
    </w:p>
    <w:p w:rsidR="009D4FA0" w:rsidRPr="00783EB3" w:rsidP="006C6F96" w14:paraId="7898C81A" w14:textId="77777777">
      <w:pPr>
        <w:jc w:val="left"/>
        <w:rPr>
          <w:rFonts w:asciiTheme="minorBidi" w:hAnsiTheme="minorBidi"/>
          <w:sz w:val="22"/>
          <w:szCs w:val="22"/>
          <w:lang w:val="en-GB"/>
        </w:rPr>
      </w:pPr>
      <w:r w:rsidRPr="00783EB3">
        <w:rPr>
          <w:rFonts w:asciiTheme="minorBidi" w:hAnsiTheme="minorBidi"/>
          <w:sz w:val="22"/>
          <w:szCs w:val="22"/>
          <w:lang w:val="en-GB"/>
        </w:rPr>
        <w:t>Holly, L.E., 2024. Cultural and Social Aspects of Anxiety Disorders. </w:t>
      </w:r>
      <w:r w:rsidRPr="00783EB3">
        <w:rPr>
          <w:rFonts w:asciiTheme="minorBidi" w:hAnsiTheme="minorBidi"/>
          <w:i/>
          <w:iCs/>
          <w:sz w:val="22"/>
          <w:szCs w:val="22"/>
          <w:lang w:val="en-GB"/>
        </w:rPr>
        <w:t>Psychiatric Clinics</w:t>
      </w:r>
      <w:r w:rsidRPr="00783EB3">
        <w:rPr>
          <w:rFonts w:asciiTheme="minorBidi" w:hAnsiTheme="minorBidi"/>
          <w:sz w:val="22"/>
          <w:szCs w:val="22"/>
          <w:lang w:val="en-GB"/>
        </w:rPr>
        <w:t>, </w:t>
      </w:r>
      <w:r w:rsidRPr="00783EB3">
        <w:rPr>
          <w:rFonts w:asciiTheme="minorBidi" w:hAnsiTheme="minorBidi"/>
          <w:i/>
          <w:iCs/>
          <w:sz w:val="22"/>
          <w:szCs w:val="22"/>
          <w:lang w:val="en-GB"/>
        </w:rPr>
        <w:t>47</w:t>
      </w:r>
      <w:r w:rsidRPr="00783EB3">
        <w:rPr>
          <w:rFonts w:asciiTheme="minorBidi" w:hAnsiTheme="minorBidi"/>
          <w:sz w:val="22"/>
          <w:szCs w:val="22"/>
          <w:lang w:val="en-GB"/>
        </w:rPr>
        <w:t>(4), pp.775-785.</w:t>
      </w:r>
    </w:p>
    <w:p w:rsidR="009D4FA0" w:rsidRPr="00783EB3" w:rsidP="006C6F96" w14:paraId="18417DB1" w14:textId="53C808B4">
      <w:pPr>
        <w:jc w:val="left"/>
        <w:rPr>
          <w:rFonts w:asciiTheme="minorBidi" w:hAnsiTheme="minorBidi"/>
          <w:sz w:val="22"/>
          <w:szCs w:val="22"/>
          <w:lang w:val="en-GB"/>
        </w:rPr>
      </w:pPr>
      <w:r w:rsidRPr="00783EB3">
        <w:rPr>
          <w:rFonts w:asciiTheme="minorBidi" w:hAnsiTheme="minorBidi"/>
          <w:sz w:val="22"/>
          <w:szCs w:val="22"/>
          <w:lang w:val="en-GB"/>
        </w:rPr>
        <w:t>Hope, D.A., Heimberg, R.G.</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Turk, C.L., 2019. </w:t>
      </w:r>
      <w:r w:rsidRPr="00783EB3">
        <w:rPr>
          <w:rFonts w:asciiTheme="minorBidi" w:hAnsiTheme="minorBidi"/>
          <w:i/>
          <w:iCs/>
          <w:sz w:val="22"/>
          <w:szCs w:val="22"/>
          <w:lang w:val="en-GB"/>
        </w:rPr>
        <w:t>Managing social anxiety: A cognitive-</w:t>
      </w:r>
      <w:r w:rsidRPr="00783EB3">
        <w:rPr>
          <w:rFonts w:asciiTheme="minorBidi" w:hAnsiTheme="minorBidi"/>
          <w:i/>
          <w:iCs/>
          <w:sz w:val="22"/>
          <w:szCs w:val="22"/>
          <w:lang w:val="en-GB"/>
        </w:rPr>
        <w:t>behavioural</w:t>
      </w:r>
      <w:r w:rsidRPr="00783EB3">
        <w:rPr>
          <w:rFonts w:asciiTheme="minorBidi" w:hAnsiTheme="minorBidi"/>
          <w:i/>
          <w:iCs/>
          <w:sz w:val="22"/>
          <w:szCs w:val="22"/>
          <w:lang w:val="en-GB"/>
        </w:rPr>
        <w:t xml:space="preserve"> therapy approach: Workbook</w:t>
      </w:r>
      <w:r w:rsidRPr="00783EB3">
        <w:rPr>
          <w:rFonts w:asciiTheme="minorBidi" w:hAnsiTheme="minorBidi"/>
          <w:sz w:val="22"/>
          <w:szCs w:val="22"/>
          <w:lang w:val="en-GB"/>
        </w:rPr>
        <w:t>. Oxford University Press.</w:t>
      </w:r>
    </w:p>
    <w:p w:rsidR="009D4FA0" w:rsidRPr="00783EB3" w:rsidP="006C6F96" w14:paraId="237FB4E9" w14:textId="2C272BFC">
      <w:pPr>
        <w:jc w:val="left"/>
        <w:rPr>
          <w:rFonts w:asciiTheme="minorBidi" w:hAnsiTheme="minorBidi"/>
          <w:sz w:val="22"/>
          <w:szCs w:val="22"/>
          <w:lang w:val="en-GB"/>
        </w:rPr>
      </w:pPr>
      <w:r w:rsidRPr="00783EB3">
        <w:rPr>
          <w:rFonts w:asciiTheme="minorBidi" w:hAnsiTheme="minorBidi"/>
          <w:sz w:val="22"/>
          <w:szCs w:val="22"/>
          <w:lang w:val="en-GB"/>
        </w:rPr>
        <w:t xml:space="preserve">Hur, J., DeYoung, K.A., Islam, S., Anderson, A.S., </w:t>
      </w:r>
      <w:r w:rsidRPr="00783EB3">
        <w:rPr>
          <w:rFonts w:asciiTheme="minorBidi" w:hAnsiTheme="minorBidi"/>
          <w:sz w:val="22"/>
          <w:szCs w:val="22"/>
          <w:lang w:val="en-GB"/>
        </w:rPr>
        <w:t>Barstead</w:t>
      </w:r>
      <w:r w:rsidRPr="00783EB3">
        <w:rPr>
          <w:rFonts w:asciiTheme="minorBidi" w:hAnsiTheme="minorBidi"/>
          <w:sz w:val="22"/>
          <w:szCs w:val="22"/>
          <w:lang w:val="en-GB"/>
        </w:rPr>
        <w:t>, M.G.</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w:t>
      </w:r>
      <w:r w:rsidRPr="00783EB3">
        <w:rPr>
          <w:rFonts w:asciiTheme="minorBidi" w:hAnsiTheme="minorBidi"/>
          <w:sz w:val="22"/>
          <w:szCs w:val="22"/>
          <w:lang w:val="en-GB"/>
        </w:rPr>
        <w:t>Shackman</w:t>
      </w:r>
      <w:r w:rsidRPr="00783EB3">
        <w:rPr>
          <w:rFonts w:asciiTheme="minorBidi" w:hAnsiTheme="minorBidi"/>
          <w:sz w:val="22"/>
          <w:szCs w:val="22"/>
          <w:lang w:val="en-GB"/>
        </w:rPr>
        <w:t>, A.J., 2020. Social context and the real-world consequences of social anxiety. </w:t>
      </w:r>
      <w:r w:rsidRPr="00783EB3">
        <w:rPr>
          <w:rFonts w:asciiTheme="minorBidi" w:hAnsiTheme="minorBidi"/>
          <w:i/>
          <w:iCs/>
          <w:sz w:val="22"/>
          <w:szCs w:val="22"/>
          <w:lang w:val="en-GB"/>
        </w:rPr>
        <w:t>Psychological Medicine</w:t>
      </w:r>
      <w:r w:rsidRPr="00783EB3">
        <w:rPr>
          <w:rFonts w:asciiTheme="minorBidi" w:hAnsiTheme="minorBidi"/>
          <w:sz w:val="22"/>
          <w:szCs w:val="22"/>
          <w:lang w:val="en-GB"/>
        </w:rPr>
        <w:t>, </w:t>
      </w:r>
      <w:r w:rsidRPr="00783EB3">
        <w:rPr>
          <w:rFonts w:asciiTheme="minorBidi" w:hAnsiTheme="minorBidi"/>
          <w:i/>
          <w:iCs/>
          <w:sz w:val="22"/>
          <w:szCs w:val="22"/>
          <w:lang w:val="en-GB"/>
        </w:rPr>
        <w:t>50</w:t>
      </w:r>
      <w:r w:rsidRPr="00783EB3">
        <w:rPr>
          <w:rFonts w:asciiTheme="minorBidi" w:hAnsiTheme="minorBidi"/>
          <w:sz w:val="22"/>
          <w:szCs w:val="22"/>
          <w:lang w:val="en-GB"/>
        </w:rPr>
        <w:t>(12), pp.1989-2000.</w:t>
      </w:r>
    </w:p>
    <w:p w:rsidR="009D4FA0" w:rsidRPr="00783EB3" w:rsidP="006C6F96" w14:paraId="754C1EAA" w14:textId="77777777">
      <w:pPr>
        <w:jc w:val="left"/>
        <w:rPr>
          <w:rFonts w:asciiTheme="minorBidi" w:hAnsiTheme="minorBidi"/>
          <w:sz w:val="22"/>
          <w:szCs w:val="22"/>
          <w:lang w:val="en-GB"/>
        </w:rPr>
      </w:pPr>
      <w:r w:rsidRPr="00783EB3">
        <w:rPr>
          <w:rFonts w:asciiTheme="minorBidi" w:hAnsiTheme="minorBidi"/>
          <w:sz w:val="22"/>
          <w:szCs w:val="22"/>
          <w:lang w:val="en-GB"/>
        </w:rPr>
        <w:t>Jefferies, P. and Ungar, M., 2020. Social anxiety in young people: A prevalence study in seven countries. </w:t>
      </w:r>
      <w:r w:rsidRPr="00783EB3">
        <w:rPr>
          <w:rFonts w:asciiTheme="minorBidi" w:hAnsiTheme="minorBidi"/>
          <w:i/>
          <w:iCs/>
          <w:sz w:val="22"/>
          <w:szCs w:val="22"/>
          <w:lang w:val="en-GB"/>
        </w:rPr>
        <w:t>PloS</w:t>
      </w:r>
      <w:r w:rsidRPr="00783EB3">
        <w:rPr>
          <w:rFonts w:asciiTheme="minorBidi" w:hAnsiTheme="minorBidi"/>
          <w:i/>
          <w:iCs/>
          <w:sz w:val="22"/>
          <w:szCs w:val="22"/>
          <w:lang w:val="en-GB"/>
        </w:rPr>
        <w:t xml:space="preserve"> one</w:t>
      </w:r>
      <w:r w:rsidRPr="00783EB3">
        <w:rPr>
          <w:rFonts w:asciiTheme="minorBidi" w:hAnsiTheme="minorBidi"/>
          <w:sz w:val="22"/>
          <w:szCs w:val="22"/>
          <w:lang w:val="en-GB"/>
        </w:rPr>
        <w:t>, </w:t>
      </w:r>
      <w:r w:rsidRPr="00783EB3">
        <w:rPr>
          <w:rFonts w:asciiTheme="minorBidi" w:hAnsiTheme="minorBidi"/>
          <w:i/>
          <w:iCs/>
          <w:sz w:val="22"/>
          <w:szCs w:val="22"/>
          <w:lang w:val="en-GB"/>
        </w:rPr>
        <w:t>15</w:t>
      </w:r>
      <w:r w:rsidRPr="00783EB3">
        <w:rPr>
          <w:rFonts w:asciiTheme="minorBidi" w:hAnsiTheme="minorBidi"/>
          <w:sz w:val="22"/>
          <w:szCs w:val="22"/>
          <w:lang w:val="en-GB"/>
        </w:rPr>
        <w:t>(9), p.e0239133.</w:t>
      </w:r>
    </w:p>
    <w:p w:rsidR="009D4FA0" w:rsidRPr="00783EB3" w:rsidP="006C6F96" w14:paraId="04415FAA" w14:textId="77777777">
      <w:pPr>
        <w:jc w:val="left"/>
        <w:rPr>
          <w:rFonts w:asciiTheme="minorBidi" w:hAnsiTheme="minorBidi"/>
          <w:sz w:val="22"/>
          <w:szCs w:val="22"/>
          <w:lang w:val="en-GB"/>
        </w:rPr>
      </w:pPr>
      <w:r w:rsidRPr="00783EB3">
        <w:rPr>
          <w:rFonts w:asciiTheme="minorBidi" w:hAnsiTheme="minorBidi"/>
          <w:sz w:val="22"/>
          <w:szCs w:val="22"/>
          <w:lang w:val="en-GB"/>
        </w:rPr>
        <w:t xml:space="preserve">Koyuncu, A., İnce, E., Ertekin, E. and </w:t>
      </w:r>
      <w:r w:rsidRPr="00783EB3">
        <w:rPr>
          <w:rFonts w:asciiTheme="minorBidi" w:hAnsiTheme="minorBidi"/>
          <w:sz w:val="22"/>
          <w:szCs w:val="22"/>
          <w:lang w:val="en-GB"/>
        </w:rPr>
        <w:t>Tükel</w:t>
      </w:r>
      <w:r w:rsidRPr="00783EB3">
        <w:rPr>
          <w:rFonts w:asciiTheme="minorBidi" w:hAnsiTheme="minorBidi"/>
          <w:sz w:val="22"/>
          <w:szCs w:val="22"/>
          <w:lang w:val="en-GB"/>
        </w:rPr>
        <w:t>, R., 2019. Comorbidity in social anxiety disorder: diagnostic and therapeutic challenges. </w:t>
      </w:r>
      <w:r w:rsidRPr="00783EB3">
        <w:rPr>
          <w:rFonts w:asciiTheme="minorBidi" w:hAnsiTheme="minorBidi"/>
          <w:i/>
          <w:iCs/>
          <w:sz w:val="22"/>
          <w:szCs w:val="22"/>
          <w:lang w:val="en-GB"/>
        </w:rPr>
        <w:t>Drugs in context</w:t>
      </w:r>
      <w:r w:rsidRPr="00783EB3">
        <w:rPr>
          <w:rFonts w:asciiTheme="minorBidi" w:hAnsiTheme="minorBidi"/>
          <w:sz w:val="22"/>
          <w:szCs w:val="22"/>
          <w:lang w:val="en-GB"/>
        </w:rPr>
        <w:t>, </w:t>
      </w:r>
      <w:r w:rsidRPr="00783EB3">
        <w:rPr>
          <w:rFonts w:asciiTheme="minorBidi" w:hAnsiTheme="minorBidi"/>
          <w:i/>
          <w:iCs/>
          <w:sz w:val="22"/>
          <w:szCs w:val="22"/>
          <w:lang w:val="en-GB"/>
        </w:rPr>
        <w:t>8</w:t>
      </w:r>
      <w:r w:rsidRPr="00783EB3">
        <w:rPr>
          <w:rFonts w:asciiTheme="minorBidi" w:hAnsiTheme="minorBidi"/>
          <w:sz w:val="22"/>
          <w:szCs w:val="22"/>
          <w:lang w:val="en-GB"/>
        </w:rPr>
        <w:t>, p.212573.</w:t>
      </w:r>
    </w:p>
    <w:p w:rsidR="009D4FA0" w:rsidRPr="00783EB3" w:rsidP="006C6F96" w14:paraId="5AFFB2A1" w14:textId="77777777">
      <w:pPr>
        <w:jc w:val="left"/>
        <w:rPr>
          <w:rFonts w:asciiTheme="minorBidi" w:hAnsiTheme="minorBidi"/>
          <w:sz w:val="22"/>
          <w:szCs w:val="22"/>
          <w:lang w:val="en-GB"/>
        </w:rPr>
      </w:pPr>
      <w:r w:rsidRPr="00783EB3">
        <w:rPr>
          <w:rFonts w:asciiTheme="minorBidi" w:hAnsiTheme="minorBidi"/>
          <w:sz w:val="22"/>
          <w:szCs w:val="22"/>
          <w:lang w:val="en-GB"/>
        </w:rPr>
        <w:t xml:space="preserve">Koyuncu, A., İnce, E., Ertekin, E. and </w:t>
      </w:r>
      <w:r w:rsidRPr="00783EB3">
        <w:rPr>
          <w:rFonts w:asciiTheme="minorBidi" w:hAnsiTheme="minorBidi"/>
          <w:sz w:val="22"/>
          <w:szCs w:val="22"/>
          <w:lang w:val="en-GB"/>
        </w:rPr>
        <w:t>Tükel</w:t>
      </w:r>
      <w:r w:rsidRPr="00783EB3">
        <w:rPr>
          <w:rFonts w:asciiTheme="minorBidi" w:hAnsiTheme="minorBidi"/>
          <w:sz w:val="22"/>
          <w:szCs w:val="22"/>
          <w:lang w:val="en-GB"/>
        </w:rPr>
        <w:t>, R., 2019. Comorbidity in social anxiety disorder: diagnostic and therapeutic challenges. </w:t>
      </w:r>
      <w:r w:rsidRPr="00783EB3">
        <w:rPr>
          <w:rFonts w:asciiTheme="minorBidi" w:hAnsiTheme="minorBidi"/>
          <w:i/>
          <w:iCs/>
          <w:sz w:val="22"/>
          <w:szCs w:val="22"/>
          <w:lang w:val="en-GB"/>
        </w:rPr>
        <w:t>Drugs in context</w:t>
      </w:r>
      <w:r w:rsidRPr="00783EB3">
        <w:rPr>
          <w:rFonts w:asciiTheme="minorBidi" w:hAnsiTheme="minorBidi"/>
          <w:sz w:val="22"/>
          <w:szCs w:val="22"/>
          <w:lang w:val="en-GB"/>
        </w:rPr>
        <w:t>, </w:t>
      </w:r>
      <w:r w:rsidRPr="00783EB3">
        <w:rPr>
          <w:rFonts w:asciiTheme="minorBidi" w:hAnsiTheme="minorBidi"/>
          <w:i/>
          <w:iCs/>
          <w:sz w:val="22"/>
          <w:szCs w:val="22"/>
          <w:lang w:val="en-GB"/>
        </w:rPr>
        <w:t>8</w:t>
      </w:r>
      <w:r w:rsidRPr="00783EB3">
        <w:rPr>
          <w:rFonts w:asciiTheme="minorBidi" w:hAnsiTheme="minorBidi"/>
          <w:sz w:val="22"/>
          <w:szCs w:val="22"/>
          <w:lang w:val="en-GB"/>
        </w:rPr>
        <w:t>, p.212573.</w:t>
      </w:r>
    </w:p>
    <w:p w:rsidR="009D4FA0" w:rsidRPr="00783EB3" w:rsidP="006C6F96" w14:paraId="1E74BB55" w14:textId="77777777">
      <w:pPr>
        <w:jc w:val="left"/>
        <w:rPr>
          <w:rFonts w:asciiTheme="minorBidi" w:hAnsiTheme="minorBidi"/>
          <w:sz w:val="22"/>
          <w:szCs w:val="22"/>
          <w:lang w:val="en-GB"/>
        </w:rPr>
      </w:pPr>
      <w:r w:rsidRPr="00783EB3">
        <w:rPr>
          <w:rFonts w:asciiTheme="minorBidi" w:hAnsiTheme="minorBidi"/>
          <w:sz w:val="22"/>
          <w:szCs w:val="22"/>
          <w:lang w:val="en-GB"/>
        </w:rPr>
        <w:t>Lane, R., 2020. Expanding boundaries in psychiatry: uncertainty in the context of diagnosis</w:t>
      </w:r>
      <w:r w:rsidRPr="00783EB3">
        <w:rPr>
          <w:rFonts w:ascii="Cambria Math" w:hAnsi="Cambria Math" w:cs="Cambria Math"/>
          <w:sz w:val="22"/>
          <w:szCs w:val="22"/>
          <w:lang w:val="en-GB"/>
        </w:rPr>
        <w:t>‐</w:t>
      </w:r>
      <w:r w:rsidRPr="00783EB3">
        <w:rPr>
          <w:rFonts w:asciiTheme="minorBidi" w:hAnsiTheme="minorBidi"/>
          <w:sz w:val="22"/>
          <w:szCs w:val="22"/>
          <w:lang w:val="en-GB"/>
        </w:rPr>
        <w:t>seeking and negotiation. </w:t>
      </w:r>
      <w:r w:rsidRPr="00783EB3">
        <w:rPr>
          <w:rFonts w:asciiTheme="minorBidi" w:hAnsiTheme="minorBidi"/>
          <w:i/>
          <w:iCs/>
          <w:sz w:val="22"/>
          <w:szCs w:val="22"/>
          <w:lang w:val="en-GB"/>
        </w:rPr>
        <w:t>Sociology of Health &amp; Illness</w:t>
      </w:r>
      <w:r w:rsidRPr="00783EB3">
        <w:rPr>
          <w:rFonts w:asciiTheme="minorBidi" w:hAnsiTheme="minorBidi"/>
          <w:sz w:val="22"/>
          <w:szCs w:val="22"/>
          <w:lang w:val="en-GB"/>
        </w:rPr>
        <w:t>, </w:t>
      </w:r>
      <w:r w:rsidRPr="00783EB3">
        <w:rPr>
          <w:rFonts w:asciiTheme="minorBidi" w:hAnsiTheme="minorBidi"/>
          <w:i/>
          <w:iCs/>
          <w:sz w:val="22"/>
          <w:szCs w:val="22"/>
          <w:lang w:val="en-GB"/>
        </w:rPr>
        <w:t>42</w:t>
      </w:r>
      <w:r w:rsidRPr="00783EB3">
        <w:rPr>
          <w:rFonts w:asciiTheme="minorBidi" w:hAnsiTheme="minorBidi"/>
          <w:sz w:val="22"/>
          <w:szCs w:val="22"/>
          <w:lang w:val="en-GB"/>
        </w:rPr>
        <w:t>, pp.69-83.</w:t>
      </w:r>
    </w:p>
    <w:p w:rsidR="009D4FA0" w:rsidRPr="00783EB3" w:rsidP="006C6F96" w14:paraId="7F43747B" w14:textId="7BD2F9D2">
      <w:pPr>
        <w:jc w:val="left"/>
        <w:rPr>
          <w:rFonts w:asciiTheme="minorBidi" w:hAnsiTheme="minorBidi"/>
          <w:sz w:val="22"/>
          <w:szCs w:val="22"/>
          <w:lang w:val="en-GB"/>
        </w:rPr>
      </w:pPr>
      <w:r w:rsidRPr="00783EB3">
        <w:rPr>
          <w:rFonts w:asciiTheme="minorBidi" w:hAnsiTheme="minorBidi"/>
          <w:sz w:val="22"/>
          <w:szCs w:val="22"/>
          <w:lang w:val="en-GB"/>
        </w:rPr>
        <w:t xml:space="preserve">Lebel, S., </w:t>
      </w:r>
      <w:r w:rsidRPr="00783EB3">
        <w:rPr>
          <w:rFonts w:asciiTheme="minorBidi" w:hAnsiTheme="minorBidi"/>
          <w:sz w:val="22"/>
          <w:szCs w:val="22"/>
          <w:lang w:val="en-GB"/>
        </w:rPr>
        <w:t>Mutsaers</w:t>
      </w:r>
      <w:r w:rsidRPr="00783EB3">
        <w:rPr>
          <w:rFonts w:asciiTheme="minorBidi" w:hAnsiTheme="minorBidi"/>
          <w:sz w:val="22"/>
          <w:szCs w:val="22"/>
          <w:lang w:val="en-GB"/>
        </w:rPr>
        <w:t>, B., Tomei, C., Leclair, C.S., Jones, G., Petricone-Westwood, D., Rutkowski, N., Ta, V., Trudel, G., Laflamme, S.Z.</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Lavigne, A.A., 2020. Health anxiety and illness-related fears across diverse chronic illnesses: A systematic review on conceptualisation, measurement, prevalence, course, and correlates. </w:t>
      </w:r>
      <w:r w:rsidRPr="00783EB3">
        <w:rPr>
          <w:rFonts w:asciiTheme="minorBidi" w:hAnsiTheme="minorBidi"/>
          <w:i/>
          <w:iCs/>
          <w:sz w:val="22"/>
          <w:szCs w:val="22"/>
          <w:lang w:val="en-GB"/>
        </w:rPr>
        <w:t>Plos</w:t>
      </w:r>
      <w:r w:rsidRPr="00783EB3">
        <w:rPr>
          <w:rFonts w:asciiTheme="minorBidi" w:hAnsiTheme="minorBidi"/>
          <w:i/>
          <w:iCs/>
          <w:sz w:val="22"/>
          <w:szCs w:val="22"/>
          <w:lang w:val="en-GB"/>
        </w:rPr>
        <w:t xml:space="preserve"> one</w:t>
      </w:r>
      <w:r w:rsidRPr="00783EB3">
        <w:rPr>
          <w:rFonts w:asciiTheme="minorBidi" w:hAnsiTheme="minorBidi"/>
          <w:sz w:val="22"/>
          <w:szCs w:val="22"/>
          <w:lang w:val="en-GB"/>
        </w:rPr>
        <w:t>, </w:t>
      </w:r>
      <w:r w:rsidRPr="00783EB3">
        <w:rPr>
          <w:rFonts w:asciiTheme="minorBidi" w:hAnsiTheme="minorBidi"/>
          <w:i/>
          <w:iCs/>
          <w:sz w:val="22"/>
          <w:szCs w:val="22"/>
          <w:lang w:val="en-GB"/>
        </w:rPr>
        <w:t>15</w:t>
      </w:r>
      <w:r w:rsidRPr="00783EB3">
        <w:rPr>
          <w:rFonts w:asciiTheme="minorBidi" w:hAnsiTheme="minorBidi"/>
          <w:sz w:val="22"/>
          <w:szCs w:val="22"/>
          <w:lang w:val="en-GB"/>
        </w:rPr>
        <w:t>(7), p.e0234124.</w:t>
      </w:r>
    </w:p>
    <w:p w:rsidR="009D4FA0" w:rsidRPr="00783EB3" w:rsidP="006C6F96" w14:paraId="59D89342" w14:textId="77777777">
      <w:pPr>
        <w:jc w:val="left"/>
        <w:rPr>
          <w:rFonts w:asciiTheme="minorBidi" w:hAnsiTheme="minorBidi"/>
          <w:sz w:val="22"/>
          <w:szCs w:val="22"/>
          <w:lang w:val="en-GB"/>
        </w:rPr>
      </w:pPr>
      <w:r w:rsidRPr="00783EB3">
        <w:rPr>
          <w:rFonts w:asciiTheme="minorBidi" w:hAnsiTheme="minorBidi"/>
          <w:sz w:val="22"/>
          <w:szCs w:val="22"/>
          <w:lang w:val="en-GB"/>
        </w:rPr>
        <w:t>Mulder, R. and Bach, B., 2022. Assessment and treatment of personality disorders within the ICD-11 framework.</w:t>
      </w:r>
    </w:p>
    <w:p w:rsidR="009D4FA0" w:rsidRPr="00783EB3" w:rsidP="006C6F96" w14:paraId="64963F7D" w14:textId="77777777">
      <w:pPr>
        <w:jc w:val="left"/>
        <w:rPr>
          <w:rFonts w:asciiTheme="minorBidi" w:hAnsiTheme="minorBidi"/>
          <w:sz w:val="22"/>
          <w:szCs w:val="22"/>
          <w:lang w:val="en-GB"/>
        </w:rPr>
      </w:pPr>
      <w:r w:rsidRPr="00783EB3">
        <w:rPr>
          <w:rFonts w:asciiTheme="minorBidi" w:hAnsiTheme="minorBidi"/>
          <w:sz w:val="22"/>
          <w:szCs w:val="22"/>
          <w:lang w:val="en-GB"/>
        </w:rPr>
        <w:t xml:space="preserve">National Institute for Health and Care Excellence (NICE) (2013) </w:t>
      </w:r>
      <w:r w:rsidRPr="00783EB3">
        <w:rPr>
          <w:rFonts w:asciiTheme="minorBidi" w:hAnsiTheme="minorBidi"/>
          <w:i/>
          <w:iCs/>
          <w:sz w:val="22"/>
          <w:szCs w:val="22"/>
          <w:lang w:val="en-GB"/>
        </w:rPr>
        <w:t>Social anxiety disorder: recognition, assessment and treatment (CG159)</w:t>
      </w:r>
      <w:r w:rsidRPr="00783EB3">
        <w:rPr>
          <w:rFonts w:asciiTheme="minorBidi" w:hAnsiTheme="minorBidi"/>
          <w:sz w:val="22"/>
          <w:szCs w:val="22"/>
          <w:lang w:val="en-GB"/>
        </w:rPr>
        <w:t>. London: NICE. (Reprinted with updated copyright 2024) [online]. Available at: https://www.nice.org.uk/guidance/cg159 (Accessed: 1 October 2025).</w:t>
      </w:r>
    </w:p>
    <w:p w:rsidR="009D4FA0" w:rsidRPr="00783EB3" w:rsidP="006C6F96" w14:paraId="730E898E" w14:textId="7FB532CC">
      <w:pPr>
        <w:jc w:val="left"/>
        <w:rPr>
          <w:rFonts w:asciiTheme="minorBidi" w:hAnsiTheme="minorBidi"/>
          <w:sz w:val="22"/>
          <w:szCs w:val="22"/>
          <w:lang w:val="en-GB"/>
        </w:rPr>
      </w:pPr>
      <w:r w:rsidRPr="00783EB3">
        <w:rPr>
          <w:rFonts w:asciiTheme="minorBidi" w:hAnsiTheme="minorBidi"/>
          <w:sz w:val="22"/>
          <w:szCs w:val="22"/>
          <w:lang w:val="en-GB"/>
        </w:rPr>
        <w:t>Neufeld, C.B., Palma, P.C., Caetano, K.A., Brust-Renck, P.G., Curtiss, J.</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Hofmann, S.G., 2020. A randomised clinical trial of group and individual cognitive-</w:t>
      </w:r>
      <w:r w:rsidRPr="00783EB3">
        <w:rPr>
          <w:rFonts w:asciiTheme="minorBidi" w:hAnsiTheme="minorBidi"/>
          <w:sz w:val="22"/>
          <w:szCs w:val="22"/>
          <w:lang w:val="en-GB"/>
        </w:rPr>
        <w:t>behavioural</w:t>
      </w:r>
      <w:r w:rsidRPr="00783EB3">
        <w:rPr>
          <w:rFonts w:asciiTheme="minorBidi" w:hAnsiTheme="minorBidi"/>
          <w:sz w:val="22"/>
          <w:szCs w:val="22"/>
          <w:lang w:val="en-GB"/>
        </w:rPr>
        <w:t xml:space="preserve"> therapy approaches for social anxiety disorder. </w:t>
      </w:r>
      <w:r w:rsidRPr="00783EB3">
        <w:rPr>
          <w:rFonts w:asciiTheme="minorBidi" w:hAnsiTheme="minorBidi"/>
          <w:i/>
          <w:iCs/>
          <w:sz w:val="22"/>
          <w:szCs w:val="22"/>
          <w:lang w:val="en-GB"/>
        </w:rPr>
        <w:t>International Journal of Clinical and Health Psychology</w:t>
      </w:r>
      <w:r w:rsidRPr="00783EB3">
        <w:rPr>
          <w:rFonts w:asciiTheme="minorBidi" w:hAnsiTheme="minorBidi"/>
          <w:sz w:val="22"/>
          <w:szCs w:val="22"/>
          <w:lang w:val="en-GB"/>
        </w:rPr>
        <w:t>, </w:t>
      </w:r>
      <w:r w:rsidRPr="00783EB3">
        <w:rPr>
          <w:rFonts w:asciiTheme="minorBidi" w:hAnsiTheme="minorBidi"/>
          <w:i/>
          <w:iCs/>
          <w:sz w:val="22"/>
          <w:szCs w:val="22"/>
          <w:lang w:val="en-GB"/>
        </w:rPr>
        <w:t>20</w:t>
      </w:r>
      <w:r w:rsidRPr="00783EB3">
        <w:rPr>
          <w:rFonts w:asciiTheme="minorBidi" w:hAnsiTheme="minorBidi"/>
          <w:sz w:val="22"/>
          <w:szCs w:val="22"/>
          <w:lang w:val="en-GB"/>
        </w:rPr>
        <w:t>(1), pp.29-37.</w:t>
      </w:r>
    </w:p>
    <w:p w:rsidR="009D4FA0" w:rsidRPr="00783EB3" w:rsidP="006C6F96" w14:paraId="0FC0030D" w14:textId="77777777">
      <w:pPr>
        <w:jc w:val="left"/>
        <w:rPr>
          <w:rFonts w:asciiTheme="minorBidi" w:hAnsiTheme="minorBidi"/>
          <w:sz w:val="22"/>
          <w:szCs w:val="22"/>
          <w:lang w:val="en-GB"/>
        </w:rPr>
      </w:pPr>
      <w:r w:rsidRPr="00783EB3">
        <w:rPr>
          <w:rFonts w:asciiTheme="minorBidi" w:hAnsiTheme="minorBidi"/>
          <w:sz w:val="22"/>
          <w:szCs w:val="22"/>
          <w:lang w:val="en-GB"/>
        </w:rPr>
        <w:t xml:space="preserve">NHS (2023) ‘Social anxiety (social phobia)’ [online]. Available at: </w:t>
      </w:r>
      <w:hyperlink r:id="rId8" w:tgtFrame="_new" w:history="1">
        <w:r w:rsidRPr="00783EB3">
          <w:rPr>
            <w:rStyle w:val="Hyperlink"/>
            <w:rFonts w:asciiTheme="minorBidi" w:hAnsiTheme="minorBidi"/>
            <w:sz w:val="22"/>
            <w:szCs w:val="22"/>
            <w:lang w:val="en-GB"/>
          </w:rPr>
          <w:t>https://www.nhs.uk/mental-health/conditions/social-anxiety/</w:t>
        </w:r>
      </w:hyperlink>
      <w:r w:rsidRPr="00783EB3">
        <w:rPr>
          <w:rFonts w:asciiTheme="minorBidi" w:hAnsiTheme="minorBidi"/>
          <w:sz w:val="22"/>
          <w:szCs w:val="22"/>
          <w:lang w:val="en-GB"/>
        </w:rPr>
        <w:t xml:space="preserve"> (Accessed: 1 October 2025).</w:t>
      </w:r>
    </w:p>
    <w:p w:rsidR="009D4FA0" w:rsidRPr="00783EB3" w:rsidP="006C6F96" w14:paraId="5441C3F1" w14:textId="774BC0D8">
      <w:pPr>
        <w:jc w:val="left"/>
        <w:rPr>
          <w:rFonts w:asciiTheme="minorBidi" w:hAnsiTheme="minorBidi"/>
          <w:sz w:val="22"/>
          <w:szCs w:val="22"/>
          <w:lang w:val="en-GB"/>
        </w:rPr>
      </w:pPr>
      <w:r w:rsidRPr="00783EB3">
        <w:rPr>
          <w:rFonts w:asciiTheme="minorBidi" w:hAnsiTheme="minorBidi"/>
          <w:sz w:val="22"/>
          <w:szCs w:val="22"/>
          <w:lang w:val="en-GB"/>
        </w:rPr>
        <w:t>Nolan, M., 2022. </w:t>
      </w:r>
      <w:r w:rsidRPr="00783EB3">
        <w:rPr>
          <w:rFonts w:asciiTheme="minorBidi" w:hAnsiTheme="minorBidi"/>
          <w:i/>
          <w:iCs/>
          <w:sz w:val="22"/>
          <w:szCs w:val="22"/>
          <w:lang w:val="en-GB"/>
        </w:rPr>
        <w:t xml:space="preserve">Implications for the Construction of Diagnostic Identity Following the Reclassification of Asperger’s Syndrome in the </w:t>
      </w:r>
      <w:r w:rsidRPr="00783EB3" w:rsidR="00B04798">
        <w:rPr>
          <w:rFonts w:asciiTheme="minorBidi" w:hAnsiTheme="minorBidi"/>
          <w:i/>
          <w:iCs/>
          <w:sz w:val="22"/>
          <w:szCs w:val="22"/>
          <w:lang w:val="en-GB"/>
        </w:rPr>
        <w:t>DSM-5</w:t>
      </w:r>
      <w:r w:rsidRPr="00783EB3">
        <w:rPr>
          <w:rFonts w:asciiTheme="minorBidi" w:hAnsiTheme="minorBidi"/>
          <w:i/>
          <w:iCs/>
          <w:sz w:val="22"/>
          <w:szCs w:val="22"/>
          <w:lang w:val="en-GB"/>
        </w:rPr>
        <w:t>: A Scoping Review</w:t>
      </w:r>
      <w:r w:rsidRPr="00783EB3">
        <w:rPr>
          <w:rFonts w:asciiTheme="minorBidi" w:hAnsiTheme="minorBidi"/>
          <w:sz w:val="22"/>
          <w:szCs w:val="22"/>
          <w:lang w:val="en-GB"/>
        </w:rPr>
        <w:t> (Doctoral dissertation, RMIT University).</w:t>
      </w:r>
    </w:p>
    <w:p w:rsidR="009D4FA0" w:rsidRPr="00783EB3" w:rsidP="006C6F96" w14:paraId="7A06D38E" w14:textId="77777777">
      <w:pPr>
        <w:jc w:val="left"/>
        <w:rPr>
          <w:rFonts w:asciiTheme="minorBidi" w:hAnsiTheme="minorBidi"/>
          <w:sz w:val="22"/>
          <w:szCs w:val="22"/>
          <w:lang w:val="en-GB"/>
        </w:rPr>
      </w:pPr>
      <w:r w:rsidRPr="00783EB3">
        <w:rPr>
          <w:rFonts w:asciiTheme="minorBidi" w:hAnsiTheme="minorBidi"/>
          <w:sz w:val="22"/>
          <w:szCs w:val="22"/>
          <w:lang w:val="en-GB"/>
        </w:rPr>
        <w:t>Park, S.C. and Kim, Y.K., 2020. Anxiety disorders in the DSM-5: changes, controversies, and future directions. </w:t>
      </w:r>
      <w:r w:rsidRPr="00783EB3">
        <w:rPr>
          <w:rFonts w:asciiTheme="minorBidi" w:hAnsiTheme="minorBidi"/>
          <w:i/>
          <w:iCs/>
          <w:sz w:val="22"/>
          <w:szCs w:val="22"/>
          <w:lang w:val="en-GB"/>
        </w:rPr>
        <w:t>Anxiety Disorders: Rethinking and Understanding Recent Discoveries</w:t>
      </w:r>
      <w:r w:rsidRPr="00783EB3">
        <w:rPr>
          <w:rFonts w:asciiTheme="minorBidi" w:hAnsiTheme="minorBidi"/>
          <w:sz w:val="22"/>
          <w:szCs w:val="22"/>
          <w:lang w:val="en-GB"/>
        </w:rPr>
        <w:t>, pp.187-196.</w:t>
      </w:r>
    </w:p>
    <w:p w:rsidR="009D4FA0" w:rsidRPr="00783EB3" w:rsidP="006C6F96" w14:paraId="72EEFB13" w14:textId="77777777">
      <w:pPr>
        <w:jc w:val="left"/>
        <w:rPr>
          <w:rFonts w:asciiTheme="minorBidi" w:hAnsiTheme="minorBidi"/>
          <w:sz w:val="22"/>
          <w:szCs w:val="22"/>
          <w:lang w:val="en-GB"/>
        </w:rPr>
      </w:pPr>
      <w:r w:rsidRPr="00783EB3">
        <w:rPr>
          <w:rFonts w:asciiTheme="minorBidi" w:hAnsiTheme="minorBidi"/>
          <w:sz w:val="22"/>
          <w:szCs w:val="22"/>
          <w:lang w:val="en-GB"/>
        </w:rPr>
        <w:t>Pelissolo</w:t>
      </w:r>
      <w:r w:rsidRPr="00783EB3">
        <w:rPr>
          <w:rFonts w:asciiTheme="minorBidi" w:hAnsiTheme="minorBidi"/>
          <w:sz w:val="22"/>
          <w:szCs w:val="22"/>
          <w:lang w:val="en-GB"/>
        </w:rPr>
        <w:t xml:space="preserve">, A., Abou Kassm, S. and </w:t>
      </w:r>
      <w:r w:rsidRPr="00783EB3">
        <w:rPr>
          <w:rFonts w:asciiTheme="minorBidi" w:hAnsiTheme="minorBidi"/>
          <w:sz w:val="22"/>
          <w:szCs w:val="22"/>
          <w:lang w:val="en-GB"/>
        </w:rPr>
        <w:t>Delhay</w:t>
      </w:r>
      <w:r w:rsidRPr="00783EB3">
        <w:rPr>
          <w:rFonts w:asciiTheme="minorBidi" w:hAnsiTheme="minorBidi"/>
          <w:sz w:val="22"/>
          <w:szCs w:val="22"/>
          <w:lang w:val="en-GB"/>
        </w:rPr>
        <w:t xml:space="preserve">, L., 2019. Therapeutic strategies for social anxiety disorder: where are we </w:t>
      </w:r>
      <w:r w:rsidRPr="00783EB3">
        <w:rPr>
          <w:rFonts w:asciiTheme="minorBidi" w:hAnsiTheme="minorBidi"/>
          <w:sz w:val="22"/>
          <w:szCs w:val="22"/>
          <w:lang w:val="en-GB"/>
        </w:rPr>
        <w:t>now?.</w:t>
      </w:r>
      <w:r w:rsidRPr="00783EB3">
        <w:rPr>
          <w:rFonts w:asciiTheme="minorBidi" w:hAnsiTheme="minorBidi"/>
          <w:sz w:val="22"/>
          <w:szCs w:val="22"/>
          <w:lang w:val="en-GB"/>
        </w:rPr>
        <w:t> </w:t>
      </w:r>
      <w:r w:rsidRPr="00783EB3">
        <w:rPr>
          <w:rFonts w:asciiTheme="minorBidi" w:hAnsiTheme="minorBidi"/>
          <w:i/>
          <w:iCs/>
          <w:sz w:val="22"/>
          <w:szCs w:val="22"/>
          <w:lang w:val="en-GB"/>
        </w:rPr>
        <w:t>Expert review of neurotherapeutics</w:t>
      </w:r>
      <w:r w:rsidRPr="00783EB3">
        <w:rPr>
          <w:rFonts w:asciiTheme="minorBidi" w:hAnsiTheme="minorBidi"/>
          <w:sz w:val="22"/>
          <w:szCs w:val="22"/>
          <w:lang w:val="en-GB"/>
        </w:rPr>
        <w:t>, </w:t>
      </w:r>
      <w:r w:rsidRPr="00783EB3">
        <w:rPr>
          <w:rFonts w:asciiTheme="minorBidi" w:hAnsiTheme="minorBidi"/>
          <w:i/>
          <w:iCs/>
          <w:sz w:val="22"/>
          <w:szCs w:val="22"/>
          <w:lang w:val="en-GB"/>
        </w:rPr>
        <w:t>19</w:t>
      </w:r>
      <w:r w:rsidRPr="00783EB3">
        <w:rPr>
          <w:rFonts w:asciiTheme="minorBidi" w:hAnsiTheme="minorBidi"/>
          <w:sz w:val="22"/>
          <w:szCs w:val="22"/>
          <w:lang w:val="en-GB"/>
        </w:rPr>
        <w:t>(12), pp.1179-1189.</w:t>
      </w:r>
    </w:p>
    <w:p w:rsidR="009D4FA0" w:rsidRPr="00783EB3" w:rsidP="006C6F96" w14:paraId="5522F7EB" w14:textId="77777777">
      <w:pPr>
        <w:jc w:val="left"/>
        <w:rPr>
          <w:rFonts w:asciiTheme="minorBidi" w:hAnsiTheme="minorBidi"/>
          <w:sz w:val="22"/>
          <w:szCs w:val="22"/>
          <w:lang w:val="en-GB"/>
        </w:rPr>
      </w:pPr>
      <w:r w:rsidRPr="00783EB3">
        <w:rPr>
          <w:rFonts w:asciiTheme="minorBidi" w:hAnsiTheme="minorBidi"/>
          <w:sz w:val="22"/>
          <w:szCs w:val="22"/>
          <w:lang w:val="en-GB"/>
        </w:rPr>
        <w:t xml:space="preserve">Rebello, T.J., Keeley, J.W., Kogan, C.S., Sharan, P., Matsumoto, C., Kuligyna, M., Domínguez-Martínez, T., </w:t>
      </w:r>
      <w:r w:rsidRPr="00783EB3">
        <w:rPr>
          <w:rFonts w:asciiTheme="minorBidi" w:hAnsiTheme="minorBidi"/>
          <w:sz w:val="22"/>
          <w:szCs w:val="22"/>
          <w:lang w:val="en-GB"/>
        </w:rPr>
        <w:t>Stona</w:t>
      </w:r>
      <w:r w:rsidRPr="00783EB3">
        <w:rPr>
          <w:rFonts w:asciiTheme="minorBidi" w:hAnsiTheme="minorBidi"/>
          <w:sz w:val="22"/>
          <w:szCs w:val="22"/>
          <w:lang w:val="en-GB"/>
        </w:rPr>
        <w:t>, A.C., Grenier, J., Huang, J. and Zhong, N., 2019. Anxiety and fear-related disorders in the ICD-11: results from a global case-controlled field study. </w:t>
      </w:r>
      <w:r w:rsidRPr="00783EB3">
        <w:rPr>
          <w:rFonts w:asciiTheme="minorBidi" w:hAnsiTheme="minorBidi"/>
          <w:i/>
          <w:iCs/>
          <w:sz w:val="22"/>
          <w:szCs w:val="22"/>
          <w:lang w:val="en-GB"/>
        </w:rPr>
        <w:t>Archives of medical research</w:t>
      </w:r>
      <w:r w:rsidRPr="00783EB3">
        <w:rPr>
          <w:rFonts w:asciiTheme="minorBidi" w:hAnsiTheme="minorBidi"/>
          <w:sz w:val="22"/>
          <w:szCs w:val="22"/>
          <w:lang w:val="en-GB"/>
        </w:rPr>
        <w:t>, </w:t>
      </w:r>
      <w:r w:rsidRPr="00783EB3">
        <w:rPr>
          <w:rFonts w:asciiTheme="minorBidi" w:hAnsiTheme="minorBidi"/>
          <w:i/>
          <w:iCs/>
          <w:sz w:val="22"/>
          <w:szCs w:val="22"/>
          <w:lang w:val="en-GB"/>
        </w:rPr>
        <w:t>50</w:t>
      </w:r>
      <w:r w:rsidRPr="00783EB3">
        <w:rPr>
          <w:rFonts w:asciiTheme="minorBidi" w:hAnsiTheme="minorBidi"/>
          <w:sz w:val="22"/>
          <w:szCs w:val="22"/>
          <w:lang w:val="en-GB"/>
        </w:rPr>
        <w:t>(8), pp.490-501.</w:t>
      </w:r>
    </w:p>
    <w:p w:rsidR="009D4FA0" w:rsidRPr="00783EB3" w:rsidP="006C6F96" w14:paraId="398DE17E" w14:textId="77777777">
      <w:pPr>
        <w:jc w:val="left"/>
        <w:rPr>
          <w:rFonts w:asciiTheme="minorBidi" w:hAnsiTheme="minorBidi"/>
          <w:sz w:val="22"/>
          <w:szCs w:val="22"/>
          <w:lang w:val="en-GB"/>
        </w:rPr>
      </w:pPr>
      <w:r w:rsidRPr="00783EB3">
        <w:rPr>
          <w:rFonts w:asciiTheme="minorBidi" w:hAnsiTheme="minorBidi"/>
          <w:sz w:val="22"/>
          <w:szCs w:val="22"/>
          <w:lang w:val="en-GB"/>
        </w:rPr>
        <w:t>Reed, A., 2025. </w:t>
      </w:r>
      <w:r w:rsidRPr="00783EB3">
        <w:rPr>
          <w:rFonts w:asciiTheme="minorBidi" w:hAnsiTheme="minorBidi"/>
          <w:i/>
          <w:iCs/>
          <w:sz w:val="22"/>
          <w:szCs w:val="22"/>
          <w:lang w:val="en-GB"/>
        </w:rPr>
        <w:t>Association of Social Anxiety With Core Symptoms of Autism Spectrum Disorder</w:t>
      </w:r>
      <w:r w:rsidRPr="00783EB3">
        <w:rPr>
          <w:rFonts w:asciiTheme="minorBidi" w:hAnsiTheme="minorBidi"/>
          <w:sz w:val="22"/>
          <w:szCs w:val="22"/>
          <w:lang w:val="en-GB"/>
        </w:rPr>
        <w:t> (Doctoral dissertation, University of Hartford).</w:t>
      </w:r>
    </w:p>
    <w:p w:rsidR="009D4FA0" w:rsidRPr="00783EB3" w:rsidP="006C6F96" w14:paraId="13106090" w14:textId="77A4C1DF">
      <w:pPr>
        <w:jc w:val="left"/>
        <w:rPr>
          <w:rFonts w:asciiTheme="minorBidi" w:hAnsiTheme="minorBidi"/>
          <w:sz w:val="22"/>
          <w:szCs w:val="22"/>
          <w:lang w:val="en-GB"/>
        </w:rPr>
      </w:pPr>
      <w:r w:rsidRPr="00783EB3">
        <w:rPr>
          <w:rFonts w:asciiTheme="minorBidi" w:hAnsiTheme="minorBidi"/>
          <w:sz w:val="22"/>
          <w:szCs w:val="22"/>
          <w:lang w:val="en-GB"/>
        </w:rPr>
        <w:t>Warnock-Parkes, E., Wild, J., Thew, G.R., Kerr, A., Grey, N., Stott, R., Ehlers, A.</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Clark, D.M., 2020. Treating social anxiety disorder remotely with cognitive therapy. </w:t>
      </w:r>
      <w:r w:rsidRPr="00783EB3">
        <w:rPr>
          <w:rFonts w:asciiTheme="minorBidi" w:hAnsiTheme="minorBidi"/>
          <w:i/>
          <w:iCs/>
          <w:sz w:val="22"/>
          <w:szCs w:val="22"/>
          <w:lang w:val="en-GB"/>
        </w:rPr>
        <w:t>The Cognitive Behaviour Therapist</w:t>
      </w:r>
      <w:r w:rsidRPr="00783EB3">
        <w:rPr>
          <w:rFonts w:asciiTheme="minorBidi" w:hAnsiTheme="minorBidi"/>
          <w:sz w:val="22"/>
          <w:szCs w:val="22"/>
          <w:lang w:val="en-GB"/>
        </w:rPr>
        <w:t>, </w:t>
      </w:r>
      <w:r w:rsidRPr="00783EB3">
        <w:rPr>
          <w:rFonts w:asciiTheme="minorBidi" w:hAnsiTheme="minorBidi"/>
          <w:i/>
          <w:iCs/>
          <w:sz w:val="22"/>
          <w:szCs w:val="22"/>
          <w:lang w:val="en-GB"/>
        </w:rPr>
        <w:t>13</w:t>
      </w:r>
      <w:r w:rsidRPr="00783EB3">
        <w:rPr>
          <w:rFonts w:asciiTheme="minorBidi" w:hAnsiTheme="minorBidi"/>
          <w:sz w:val="22"/>
          <w:szCs w:val="22"/>
          <w:lang w:val="en-GB"/>
        </w:rPr>
        <w:t xml:space="preserve">, </w:t>
      </w:r>
      <w:r w:rsidRPr="00783EB3" w:rsidR="00B04798">
        <w:rPr>
          <w:rFonts w:asciiTheme="minorBidi" w:hAnsiTheme="minorBidi"/>
          <w:sz w:val="22"/>
          <w:szCs w:val="22"/>
          <w:lang w:val="en-GB"/>
        </w:rPr>
        <w:t>p. 30</w:t>
      </w:r>
      <w:r w:rsidRPr="00783EB3">
        <w:rPr>
          <w:rFonts w:asciiTheme="minorBidi" w:hAnsiTheme="minorBidi"/>
          <w:sz w:val="22"/>
          <w:szCs w:val="22"/>
          <w:lang w:val="en-GB"/>
        </w:rPr>
        <w:t>.</w:t>
      </w:r>
    </w:p>
    <w:p w:rsidR="009D4FA0" w:rsidRPr="00783EB3" w:rsidP="006C6F96" w14:paraId="76553A38" w14:textId="77777777">
      <w:pPr>
        <w:jc w:val="left"/>
        <w:rPr>
          <w:rFonts w:asciiTheme="minorBidi" w:hAnsiTheme="minorBidi"/>
          <w:sz w:val="22"/>
          <w:szCs w:val="22"/>
          <w:lang w:val="en-GB"/>
        </w:rPr>
      </w:pPr>
      <w:r w:rsidRPr="00783EB3">
        <w:rPr>
          <w:rFonts w:asciiTheme="minorBidi" w:hAnsiTheme="minorBidi"/>
          <w:sz w:val="22"/>
          <w:szCs w:val="22"/>
          <w:lang w:val="en-GB"/>
        </w:rPr>
        <w:t xml:space="preserve">Wilson, A.C. and </w:t>
      </w:r>
      <w:r w:rsidRPr="00783EB3">
        <w:rPr>
          <w:rFonts w:asciiTheme="minorBidi" w:hAnsiTheme="minorBidi"/>
          <w:sz w:val="22"/>
          <w:szCs w:val="22"/>
          <w:lang w:val="en-GB"/>
        </w:rPr>
        <w:t>Gullon</w:t>
      </w:r>
      <w:r w:rsidRPr="00783EB3">
        <w:rPr>
          <w:rFonts w:asciiTheme="minorBidi" w:hAnsiTheme="minorBidi"/>
          <w:sz w:val="22"/>
          <w:szCs w:val="22"/>
          <w:lang w:val="en-GB"/>
        </w:rPr>
        <w:t>-Scott, F., 2024. ‘It’s not always textbook social anxiety’: A survey-based study investigating the nature of social anxiety and experiences of therapy in autistic people. </w:t>
      </w:r>
      <w:r w:rsidRPr="00783EB3">
        <w:rPr>
          <w:rFonts w:asciiTheme="minorBidi" w:hAnsiTheme="minorBidi"/>
          <w:i/>
          <w:iCs/>
          <w:sz w:val="22"/>
          <w:szCs w:val="22"/>
          <w:lang w:val="en-GB"/>
        </w:rPr>
        <w:t>Autism</w:t>
      </w:r>
      <w:r w:rsidRPr="00783EB3">
        <w:rPr>
          <w:rFonts w:asciiTheme="minorBidi" w:hAnsiTheme="minorBidi"/>
          <w:sz w:val="22"/>
          <w:szCs w:val="22"/>
          <w:lang w:val="en-GB"/>
        </w:rPr>
        <w:t>, </w:t>
      </w:r>
      <w:r w:rsidRPr="00783EB3">
        <w:rPr>
          <w:rFonts w:asciiTheme="minorBidi" w:hAnsiTheme="minorBidi"/>
          <w:i/>
          <w:iCs/>
          <w:sz w:val="22"/>
          <w:szCs w:val="22"/>
          <w:lang w:val="en-GB"/>
        </w:rPr>
        <w:t>28</w:t>
      </w:r>
      <w:r w:rsidRPr="00783EB3">
        <w:rPr>
          <w:rFonts w:asciiTheme="minorBidi" w:hAnsiTheme="minorBidi"/>
          <w:sz w:val="22"/>
          <w:szCs w:val="22"/>
          <w:lang w:val="en-GB"/>
        </w:rPr>
        <w:t>(11), pp.2923-2936.</w:t>
      </w:r>
    </w:p>
    <w:p w:rsidR="009D4FA0" w:rsidRPr="00783EB3" w:rsidP="006C6F96" w14:paraId="3EA7623E" w14:textId="77777777">
      <w:pPr>
        <w:jc w:val="left"/>
        <w:rPr>
          <w:rFonts w:asciiTheme="minorBidi" w:hAnsiTheme="minorBidi"/>
          <w:sz w:val="22"/>
          <w:szCs w:val="22"/>
          <w:lang w:val="en-GB"/>
        </w:rPr>
      </w:pPr>
      <w:r w:rsidRPr="00783EB3">
        <w:rPr>
          <w:rFonts w:asciiTheme="minorBidi" w:hAnsiTheme="minorBidi"/>
          <w:sz w:val="22"/>
          <w:szCs w:val="22"/>
          <w:lang w:val="en-GB"/>
        </w:rPr>
        <w:t xml:space="preserve">World Health Organisation (WHO) (2025) </w:t>
      </w:r>
      <w:r w:rsidRPr="00783EB3">
        <w:rPr>
          <w:rFonts w:asciiTheme="minorBidi" w:hAnsiTheme="minorBidi"/>
          <w:i/>
          <w:iCs/>
          <w:sz w:val="22"/>
          <w:szCs w:val="22"/>
          <w:lang w:val="en-GB"/>
        </w:rPr>
        <w:t>ICD-11: MMS browser</w:t>
      </w:r>
      <w:r w:rsidRPr="00783EB3">
        <w:rPr>
          <w:rFonts w:asciiTheme="minorBidi" w:hAnsiTheme="minorBidi"/>
          <w:sz w:val="22"/>
          <w:szCs w:val="22"/>
          <w:lang w:val="en-GB"/>
        </w:rPr>
        <w:t xml:space="preserve"> [online]. Geneva: WHO. Available at: </w:t>
      </w:r>
      <w:hyperlink r:id="rId9" w:history="1">
        <w:r w:rsidRPr="00783EB3">
          <w:rPr>
            <w:rStyle w:val="Hyperlink"/>
            <w:rFonts w:asciiTheme="minorBidi" w:hAnsiTheme="minorBidi"/>
            <w:sz w:val="22"/>
            <w:szCs w:val="22"/>
            <w:lang w:val="en-GB"/>
          </w:rPr>
          <w:t>https://icd.who.int/browse/2025-01/mms/en</w:t>
        </w:r>
      </w:hyperlink>
      <w:r w:rsidRPr="00783EB3">
        <w:rPr>
          <w:rFonts w:asciiTheme="minorBidi" w:hAnsiTheme="minorBidi"/>
          <w:sz w:val="22"/>
          <w:szCs w:val="22"/>
          <w:lang w:val="en-GB"/>
        </w:rPr>
        <w:t xml:space="preserve"> (Accessed: 1 Oct 2025).</w:t>
      </w:r>
    </w:p>
    <w:p w:rsidR="006A0B3C" w:rsidRPr="00783EB3" w:rsidP="006C6F96" w14:paraId="17C502E0" w14:textId="31E90A1A">
      <w:pPr>
        <w:jc w:val="left"/>
        <w:rPr>
          <w:rFonts w:asciiTheme="minorBidi" w:hAnsiTheme="minorBidi"/>
          <w:sz w:val="22"/>
          <w:szCs w:val="22"/>
          <w:lang w:val="en-GB"/>
        </w:rPr>
      </w:pPr>
      <w:r w:rsidRPr="00783EB3">
        <w:rPr>
          <w:rFonts w:asciiTheme="minorBidi" w:hAnsiTheme="minorBidi"/>
          <w:sz w:val="22"/>
          <w:szCs w:val="22"/>
          <w:lang w:val="en-GB"/>
        </w:rPr>
        <w:t>Yuchang</w:t>
      </w:r>
      <w:r w:rsidRPr="00783EB3">
        <w:rPr>
          <w:rFonts w:asciiTheme="minorBidi" w:hAnsiTheme="minorBidi"/>
          <w:sz w:val="22"/>
          <w:szCs w:val="22"/>
          <w:lang w:val="en-GB"/>
        </w:rPr>
        <w:t xml:space="preserve">, J., Junyi, L., </w:t>
      </w:r>
      <w:r w:rsidRPr="00783EB3">
        <w:rPr>
          <w:rFonts w:asciiTheme="minorBidi" w:hAnsiTheme="minorBidi"/>
          <w:sz w:val="22"/>
          <w:szCs w:val="22"/>
          <w:lang w:val="en-GB"/>
        </w:rPr>
        <w:t>Junxiu</w:t>
      </w:r>
      <w:r w:rsidRPr="00783EB3">
        <w:rPr>
          <w:rFonts w:asciiTheme="minorBidi" w:hAnsiTheme="minorBidi"/>
          <w:sz w:val="22"/>
          <w:szCs w:val="22"/>
          <w:lang w:val="en-GB"/>
        </w:rPr>
        <w:t>, A., Jing, W.</w:t>
      </w:r>
      <w:r w:rsidRPr="00783EB3" w:rsidR="00B04798">
        <w:rPr>
          <w:rFonts w:asciiTheme="minorBidi" w:hAnsiTheme="minorBidi"/>
          <w:sz w:val="22"/>
          <w:szCs w:val="22"/>
          <w:lang w:val="en-GB"/>
        </w:rPr>
        <w:t>,</w:t>
      </w:r>
      <w:r w:rsidRPr="00783EB3">
        <w:rPr>
          <w:rFonts w:asciiTheme="minorBidi" w:hAnsiTheme="minorBidi"/>
          <w:sz w:val="22"/>
          <w:szCs w:val="22"/>
          <w:lang w:val="en-GB"/>
        </w:rPr>
        <w:t xml:space="preserve"> and </w:t>
      </w:r>
      <w:r w:rsidRPr="00783EB3">
        <w:rPr>
          <w:rFonts w:asciiTheme="minorBidi" w:hAnsiTheme="minorBidi"/>
          <w:sz w:val="22"/>
          <w:szCs w:val="22"/>
          <w:lang w:val="en-GB"/>
        </w:rPr>
        <w:t>Mingcheng</w:t>
      </w:r>
      <w:r w:rsidRPr="00783EB3">
        <w:rPr>
          <w:rFonts w:asciiTheme="minorBidi" w:hAnsiTheme="minorBidi"/>
          <w:sz w:val="22"/>
          <w:szCs w:val="22"/>
          <w:lang w:val="en-GB"/>
        </w:rPr>
        <w:t xml:space="preserve">, H., 2019. The differential victimisation associated with depression and anxiety in </w:t>
      </w:r>
      <w:r w:rsidRPr="00783EB3" w:rsidR="00B04798">
        <w:rPr>
          <w:rFonts w:asciiTheme="minorBidi" w:hAnsiTheme="minorBidi"/>
          <w:sz w:val="22"/>
          <w:szCs w:val="22"/>
          <w:lang w:val="en-GB"/>
        </w:rPr>
        <w:t xml:space="preserve">a </w:t>
      </w:r>
      <w:r w:rsidRPr="00783EB3">
        <w:rPr>
          <w:rFonts w:asciiTheme="minorBidi" w:hAnsiTheme="minorBidi"/>
          <w:sz w:val="22"/>
          <w:szCs w:val="22"/>
          <w:lang w:val="en-GB"/>
        </w:rPr>
        <w:t>cross-cultural perspective: A meta-analysis. </w:t>
      </w:r>
      <w:r w:rsidRPr="00783EB3">
        <w:rPr>
          <w:rFonts w:asciiTheme="minorBidi" w:hAnsiTheme="minorBidi"/>
          <w:i/>
          <w:iCs/>
          <w:sz w:val="22"/>
          <w:szCs w:val="22"/>
          <w:lang w:val="en-GB"/>
        </w:rPr>
        <w:t>Trauma, Violence, &amp; Abuse</w:t>
      </w:r>
      <w:r w:rsidRPr="00783EB3">
        <w:rPr>
          <w:rFonts w:asciiTheme="minorBidi" w:hAnsiTheme="minorBidi"/>
          <w:sz w:val="22"/>
          <w:szCs w:val="22"/>
          <w:lang w:val="en-GB"/>
        </w:rPr>
        <w:t>, </w:t>
      </w:r>
      <w:r w:rsidRPr="00783EB3">
        <w:rPr>
          <w:rFonts w:asciiTheme="minorBidi" w:hAnsiTheme="minorBidi"/>
          <w:i/>
          <w:iCs/>
          <w:sz w:val="22"/>
          <w:szCs w:val="22"/>
          <w:lang w:val="en-GB"/>
        </w:rPr>
        <w:t>20</w:t>
      </w:r>
      <w:r w:rsidRPr="00783EB3">
        <w:rPr>
          <w:rFonts w:asciiTheme="minorBidi" w:hAnsiTheme="minorBidi"/>
          <w:sz w:val="22"/>
          <w:szCs w:val="22"/>
          <w:lang w:val="en-GB"/>
        </w:rPr>
        <w:t>(4), pp.560-573.</w:t>
      </w:r>
    </w:p>
    <w:sectPr>
      <w:footerReference w:type="default" r:id="rId1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1056434830"/>
      <w:docPartObj>
        <w:docPartGallery w:val="Page Numbers (Bottom of Page)"/>
        <w:docPartUnique/>
      </w:docPartObj>
    </w:sdtPr>
    <w:sdtContent>
      <w:p w:rsidR="000F34E9" w14:paraId="6EF849F6" w14:textId="166EF4B4">
        <w:pPr>
          <w:pStyle w:val="Footer"/>
          <w:jc w:val="right"/>
        </w:pPr>
        <w:r>
          <w:fldChar w:fldCharType="begin"/>
        </w:r>
        <w:r>
          <w:instrText>PAGE   \* MERGEFORMAT</w:instrText>
        </w:r>
        <w:r>
          <w:fldChar w:fldCharType="separate"/>
        </w:r>
        <w:r>
          <w:rPr>
            <w:lang w:val="de-DE"/>
          </w:rPr>
          <w:t>2</w:t>
        </w:r>
        <w:r>
          <w:fldChar w:fldCharType="end"/>
        </w:r>
      </w:p>
    </w:sdtContent>
  </w:sdt>
  <w:p w:rsidR="000F34E9" w14:paraId="2F8FB7F7" w14:textId="77777777">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63C8421C"/>
    <w:multiLevelType w:val="hybridMultilevel"/>
    <w:tmpl w:val="C358B49C"/>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762A697B"/>
    <w:multiLevelType w:val="multilevel"/>
    <w:tmpl w:val="323C9A2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33863398">
    <w:abstractNumId w:val="0"/>
  </w:num>
  <w:num w:numId="2" w16cid:durableId="149450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B3C"/>
    <w:rsid w:val="000531D2"/>
    <w:rsid w:val="000A5170"/>
    <w:rsid w:val="000E736E"/>
    <w:rsid w:val="000F34E9"/>
    <w:rsid w:val="001246C9"/>
    <w:rsid w:val="0014216C"/>
    <w:rsid w:val="001E1D42"/>
    <w:rsid w:val="001F7B10"/>
    <w:rsid w:val="002A53F8"/>
    <w:rsid w:val="002B1B9A"/>
    <w:rsid w:val="00316BB9"/>
    <w:rsid w:val="00344C1C"/>
    <w:rsid w:val="003F6007"/>
    <w:rsid w:val="00404E32"/>
    <w:rsid w:val="0042087A"/>
    <w:rsid w:val="004843E8"/>
    <w:rsid w:val="004C28F5"/>
    <w:rsid w:val="004E1AEF"/>
    <w:rsid w:val="00557FC1"/>
    <w:rsid w:val="005841F2"/>
    <w:rsid w:val="00586CF8"/>
    <w:rsid w:val="005A5196"/>
    <w:rsid w:val="005D1515"/>
    <w:rsid w:val="005D2BFE"/>
    <w:rsid w:val="005E3B7F"/>
    <w:rsid w:val="006A0B3C"/>
    <w:rsid w:val="006C6F96"/>
    <w:rsid w:val="007343A1"/>
    <w:rsid w:val="00783EB3"/>
    <w:rsid w:val="007B01C2"/>
    <w:rsid w:val="007C4169"/>
    <w:rsid w:val="007F14A6"/>
    <w:rsid w:val="008520F2"/>
    <w:rsid w:val="008705BE"/>
    <w:rsid w:val="008A1598"/>
    <w:rsid w:val="008A475E"/>
    <w:rsid w:val="00911501"/>
    <w:rsid w:val="00975742"/>
    <w:rsid w:val="0099244A"/>
    <w:rsid w:val="009C3C83"/>
    <w:rsid w:val="009D2BAE"/>
    <w:rsid w:val="009D4FA0"/>
    <w:rsid w:val="009E4268"/>
    <w:rsid w:val="00A22F7A"/>
    <w:rsid w:val="00AB5EAD"/>
    <w:rsid w:val="00AC3587"/>
    <w:rsid w:val="00B04798"/>
    <w:rsid w:val="00C10ACA"/>
    <w:rsid w:val="00CC2482"/>
    <w:rsid w:val="00CF533A"/>
    <w:rsid w:val="00CF79FF"/>
    <w:rsid w:val="00D17031"/>
    <w:rsid w:val="00E27288"/>
    <w:rsid w:val="00E75BCC"/>
    <w:rsid w:val="00EA19A7"/>
    <w:rsid w:val="00EA7E8A"/>
    <w:rsid w:val="00F20C60"/>
    <w:rsid w:val="00F51F33"/>
    <w:rsid w:val="00F871EC"/>
  </w:rsids>
  <m:mathPr>
    <m:mathFont m:val="Cambria Math"/>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14:docId w14:val="4C89325F"/>
  <w15:chartTrackingRefBased/>
  <w15:docId w15:val="{EBB3A494-E4B6-4E03-99F0-CFEE9B4B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4216C"/>
    <w:pPr>
      <w:spacing w:line="360" w:lineRule="auto"/>
      <w:jc w:val="both"/>
    </w:pPr>
    <w:rPr>
      <w:rFonts w:ascii="Times New Roman" w:hAnsi="Times New Roman"/>
    </w:rPr>
  </w:style>
  <w:style w:type="paragraph" w:styleId="Heading1">
    <w:name w:val="heading 1"/>
    <w:basedOn w:val="Normal"/>
    <w:next w:val="Normal"/>
    <w:link w:val="Heading1Char"/>
    <w:uiPriority w:val="9"/>
    <w:qFormat/>
    <w:rsid w:val="005E3B7F"/>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5E3B7F"/>
    <w:pPr>
      <w:keepNext/>
      <w:keepLines/>
      <w:spacing w:before="160" w:after="80"/>
      <w:outlineLvl w:val="1"/>
    </w:pPr>
    <w:rPr>
      <w:rFonts w:eastAsiaTheme="majorEastAsia" w:cstheme="majorBidi"/>
      <w:b/>
      <w:i/>
      <w:szCs w:val="32"/>
    </w:rPr>
  </w:style>
  <w:style w:type="paragraph" w:styleId="Heading3">
    <w:name w:val="heading 3"/>
    <w:basedOn w:val="Normal"/>
    <w:next w:val="Normal"/>
    <w:link w:val="Heading3Char"/>
    <w:uiPriority w:val="9"/>
    <w:semiHidden/>
    <w:unhideWhenUsed/>
    <w:qFormat/>
    <w:rsid w:val="006A0B3C"/>
    <w:pPr>
      <w:keepNext/>
      <w:keepLines/>
      <w:spacing w:before="160" w:after="80"/>
      <w:outlineLvl w:val="2"/>
    </w:pPr>
    <w:rPr>
      <w:rFonts w:asciiTheme="minorHAnsi" w:eastAsiaTheme="majorEastAsia" w:hAnsiTheme="min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6A0B3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A0B3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6A0B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0B3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0B3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0B3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B7F"/>
    <w:rPr>
      <w:rFonts w:ascii="Times New Roman" w:hAnsi="Times New Roman" w:eastAsiaTheme="majorEastAsia" w:cstheme="majorBidi"/>
      <w:b/>
      <w:szCs w:val="40"/>
    </w:rPr>
  </w:style>
  <w:style w:type="character" w:customStyle="1" w:styleId="Heading2Char">
    <w:name w:val="Heading 2 Char"/>
    <w:basedOn w:val="DefaultParagraphFont"/>
    <w:link w:val="Heading2"/>
    <w:uiPriority w:val="9"/>
    <w:rsid w:val="005E3B7F"/>
    <w:rPr>
      <w:rFonts w:ascii="Times New Roman" w:hAnsi="Times New Roman" w:eastAsiaTheme="majorEastAsia" w:cstheme="majorBidi"/>
      <w:b/>
      <w:i/>
      <w:szCs w:val="32"/>
    </w:rPr>
  </w:style>
  <w:style w:type="character" w:customStyle="1" w:styleId="Heading3Char">
    <w:name w:val="Heading 3 Char"/>
    <w:basedOn w:val="DefaultParagraphFont"/>
    <w:link w:val="Heading3"/>
    <w:uiPriority w:val="9"/>
    <w:semiHidden/>
    <w:rsid w:val="006A0B3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6A0B3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6A0B3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6A0B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B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B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B3C"/>
    <w:rPr>
      <w:rFonts w:eastAsiaTheme="majorEastAsia" w:cstheme="majorBidi"/>
      <w:color w:val="272727" w:themeColor="text1" w:themeTint="D8"/>
    </w:rPr>
  </w:style>
  <w:style w:type="paragraph" w:styleId="Title">
    <w:name w:val="Title"/>
    <w:basedOn w:val="Normal"/>
    <w:next w:val="Normal"/>
    <w:link w:val="TitleChar"/>
    <w:uiPriority w:val="10"/>
    <w:qFormat/>
    <w:rsid w:val="006A0B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B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B3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B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B3C"/>
    <w:pPr>
      <w:spacing w:before="160"/>
      <w:jc w:val="center"/>
    </w:pPr>
    <w:rPr>
      <w:i/>
      <w:iCs/>
      <w:color w:val="404040" w:themeColor="text1" w:themeTint="BF"/>
    </w:rPr>
  </w:style>
  <w:style w:type="character" w:customStyle="1" w:styleId="QuoteChar">
    <w:name w:val="Quote Char"/>
    <w:basedOn w:val="DefaultParagraphFont"/>
    <w:link w:val="Quote"/>
    <w:uiPriority w:val="29"/>
    <w:rsid w:val="006A0B3C"/>
    <w:rPr>
      <w:rFonts w:ascii="Times New Roman" w:hAnsi="Times New Roman"/>
      <w:i/>
      <w:iCs/>
      <w:color w:val="404040" w:themeColor="text1" w:themeTint="BF"/>
    </w:rPr>
  </w:style>
  <w:style w:type="paragraph" w:styleId="ListParagraph">
    <w:name w:val="List Paragraph"/>
    <w:basedOn w:val="Normal"/>
    <w:uiPriority w:val="34"/>
    <w:qFormat/>
    <w:rsid w:val="006A0B3C"/>
    <w:pPr>
      <w:ind w:left="720"/>
      <w:contextualSpacing/>
    </w:pPr>
  </w:style>
  <w:style w:type="character" w:styleId="IntenseEmphasis">
    <w:name w:val="Intense Emphasis"/>
    <w:basedOn w:val="DefaultParagraphFont"/>
    <w:uiPriority w:val="21"/>
    <w:qFormat/>
    <w:rsid w:val="006A0B3C"/>
    <w:rPr>
      <w:i/>
      <w:iCs/>
      <w:color w:val="2E74B5" w:themeColor="accent1" w:themeShade="BF"/>
    </w:rPr>
  </w:style>
  <w:style w:type="paragraph" w:styleId="IntenseQuote">
    <w:name w:val="Intense Quote"/>
    <w:basedOn w:val="Normal"/>
    <w:next w:val="Normal"/>
    <w:link w:val="IntenseQuoteChar"/>
    <w:uiPriority w:val="30"/>
    <w:qFormat/>
    <w:rsid w:val="006A0B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6A0B3C"/>
    <w:rPr>
      <w:rFonts w:ascii="Times New Roman" w:hAnsi="Times New Roman"/>
      <w:i/>
      <w:iCs/>
      <w:color w:val="2E74B5" w:themeColor="accent1" w:themeShade="BF"/>
    </w:rPr>
  </w:style>
  <w:style w:type="character" w:styleId="IntenseReference">
    <w:name w:val="Intense Reference"/>
    <w:basedOn w:val="DefaultParagraphFont"/>
    <w:uiPriority w:val="32"/>
    <w:qFormat/>
    <w:rsid w:val="006A0B3C"/>
    <w:rPr>
      <w:b/>
      <w:bCs/>
      <w:smallCaps/>
      <w:color w:val="2E74B5" w:themeColor="accent1" w:themeShade="BF"/>
      <w:spacing w:val="5"/>
    </w:rPr>
  </w:style>
  <w:style w:type="character" w:styleId="Hyperlink">
    <w:name w:val="Hyperlink"/>
    <w:basedOn w:val="DefaultParagraphFont"/>
    <w:uiPriority w:val="99"/>
    <w:unhideWhenUsed/>
    <w:rsid w:val="009D4FA0"/>
    <w:rPr>
      <w:color w:val="0563C1" w:themeColor="hyperlink"/>
      <w:u w:val="single"/>
    </w:rPr>
  </w:style>
  <w:style w:type="paragraph" w:styleId="TOCHeading">
    <w:name w:val="TOC Heading"/>
    <w:basedOn w:val="Heading1"/>
    <w:next w:val="Normal"/>
    <w:uiPriority w:val="39"/>
    <w:unhideWhenUsed/>
    <w:qFormat/>
    <w:rsid w:val="008705BE"/>
    <w:pPr>
      <w:spacing w:before="240" w:after="0" w:line="259" w:lineRule="auto"/>
      <w:jc w:val="left"/>
      <w:outlineLvl w:val="9"/>
    </w:pPr>
    <w:rPr>
      <w:rFonts w:asciiTheme="majorHAnsi" w:hAnsiTheme="majorHAnsi"/>
      <w:b w:val="0"/>
      <w:color w:val="2E74B5" w:themeColor="accent1" w:themeShade="BF"/>
      <w:kern w:val="0"/>
      <w:sz w:val="32"/>
      <w:szCs w:val="32"/>
      <w14:ligatures w14:val="none"/>
    </w:rPr>
  </w:style>
  <w:style w:type="paragraph" w:styleId="TOC1">
    <w:name w:val="toc 1"/>
    <w:basedOn w:val="Normal"/>
    <w:next w:val="Normal"/>
    <w:autoRedefine/>
    <w:uiPriority w:val="39"/>
    <w:unhideWhenUsed/>
    <w:rsid w:val="008705BE"/>
    <w:pPr>
      <w:spacing w:after="100"/>
    </w:pPr>
  </w:style>
  <w:style w:type="paragraph" w:styleId="TOC2">
    <w:name w:val="toc 2"/>
    <w:basedOn w:val="Normal"/>
    <w:next w:val="Normal"/>
    <w:autoRedefine/>
    <w:uiPriority w:val="39"/>
    <w:unhideWhenUsed/>
    <w:rsid w:val="008705BE"/>
    <w:pPr>
      <w:spacing w:after="100"/>
      <w:ind w:left="240"/>
    </w:pPr>
  </w:style>
  <w:style w:type="paragraph" w:styleId="Header">
    <w:name w:val="header"/>
    <w:basedOn w:val="Normal"/>
    <w:link w:val="HeaderChar"/>
    <w:uiPriority w:val="99"/>
    <w:unhideWhenUsed/>
    <w:rsid w:val="000F34E9"/>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34E9"/>
    <w:rPr>
      <w:rFonts w:ascii="Times New Roman" w:hAnsi="Times New Roman"/>
    </w:rPr>
  </w:style>
  <w:style w:type="paragraph" w:styleId="Footer">
    <w:name w:val="footer"/>
    <w:basedOn w:val="Normal"/>
    <w:link w:val="FooterChar"/>
    <w:uiPriority w:val="99"/>
    <w:unhideWhenUsed/>
    <w:rsid w:val="000F34E9"/>
    <w:pPr>
      <w:tabs>
        <w:tab w:val="center" w:pos="4536"/>
        <w:tab w:val="right" w:pos="9072"/>
      </w:tabs>
      <w:spacing w:after="0" w:line="240" w:lineRule="auto"/>
    </w:pPr>
  </w:style>
  <w:style w:type="character" w:customStyle="1" w:styleId="FooterChar">
    <w:name w:val="Footer Char"/>
    <w:basedOn w:val="DefaultParagraphFont"/>
    <w:link w:val="Footer"/>
    <w:uiPriority w:val="99"/>
    <w:rsid w:val="000F34E9"/>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media/image2.png" /><Relationship Id="rId7" Type="http://schemas.openxmlformats.org/officeDocument/2006/relationships/image" Target="media/image3.png" /><Relationship Id="rId8" Type="http://schemas.openxmlformats.org/officeDocument/2006/relationships/hyperlink" Target="https://www.nhs.uk/mental-health/conditions/social-anxiety/?utm_source=chatgpt.com" TargetMode="External" /><Relationship Id="rId9" Type="http://schemas.openxmlformats.org/officeDocument/2006/relationships/hyperlink" Target="https://icd.who.int/browse/2025-01/mms/en"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D591F6-5D8A-4C98-854F-BB3A33A12B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3142</Words>
  <Characters>19798</Characters>
  <Application>Microsoft Office Word</Application>
  <DocSecurity>0</DocSecurity>
  <Lines>164</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Salma Bibi</dc:creator>
  <cp:revision>42</cp:revision>
  <dcterms:created xsi:type="dcterms:W3CDTF">2025-10-01T07:24:00Z</dcterms:created>
  <dcterms:modified xsi:type="dcterms:W3CDTF">2025-10-03T13:50:00Z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cb09f606-058a-42d0-8d93-1432df7bad5a</vt:lpwstr>
  </property>
</Properties>
</file>