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21"/>
          <w:szCs w:val="21"/>
        </w:rPr>
      </w:pPr>
      <w:r>
        <w:rPr>
          <w:rFonts w:hint="default" w:ascii="Times New Roman" w:hAnsi="Times New Roman" w:cs="Times New Roman"/>
          <w:sz w:val="21"/>
          <w:szCs w:val="21"/>
        </w:rPr>
        <w:t>Critically discuss whether Boudicca was just a literary invention. Does a critical analysis of ancient literary and archaeological sources allow us to demonstrate her existence and her alleged activities without any doubt?</w:t>
      </w:r>
    </w:p>
    <w:p>
      <w:pPr>
        <w:pStyle w:val="3"/>
        <w:rPr>
          <w:rFonts w:hint="default" w:ascii="Times New Roman" w:hAnsi="Times New Roman" w:cs="Times New Roman"/>
          <w:sz w:val="21"/>
          <w:szCs w:val="21"/>
          <w:lang w:val="en-GB"/>
        </w:rPr>
      </w:pPr>
    </w:p>
    <w:p>
      <w:pPr>
        <w:pStyle w:val="3"/>
        <w:rPr>
          <w:rFonts w:hint="default" w:ascii="Times New Roman" w:hAnsi="Times New Roman" w:cs="Times New Roman"/>
          <w:sz w:val="21"/>
          <w:szCs w:val="21"/>
          <w:lang w:val="en-GB"/>
        </w:rPr>
      </w:pPr>
      <w:r>
        <w:rPr>
          <w:rFonts w:hint="default" w:ascii="Times New Roman" w:hAnsi="Times New Roman" w:cs="Times New Roman"/>
          <w:sz w:val="21"/>
          <w:szCs w:val="21"/>
          <w:lang w:val="en-GB"/>
        </w:rPr>
        <w:t xml:space="preserve">Boudicca was the alleged queen of the Iceni tribe located in modern day Norfolk in the British isles. She is said to have led an open revolt against the Roman governor </w:t>
      </w:r>
      <w:r>
        <w:rPr>
          <w:rFonts w:hint="default" w:ascii="Times New Roman" w:hAnsi="Times New Roman" w:cs="Times New Roman"/>
          <w:sz w:val="21"/>
          <w:szCs w:val="21"/>
        </w:rPr>
        <w:t>Gaius Suetonius Paulinus</w:t>
      </w:r>
      <w:r>
        <w:rPr>
          <w:rFonts w:hint="default" w:ascii="Times New Roman" w:hAnsi="Times New Roman" w:cs="Times New Roman"/>
          <w:sz w:val="21"/>
          <w:szCs w:val="21"/>
          <w:lang w:val="en-GB"/>
        </w:rPr>
        <w:t xml:space="preserve"> and the Roman Empire between the years 61 and 62 AD</w:t>
      </w:r>
      <w:r>
        <w:rPr>
          <w:rStyle w:val="8"/>
          <w:rFonts w:hint="default" w:ascii="Times New Roman" w:hAnsi="Times New Roman" w:cs="Times New Roman"/>
          <w:sz w:val="21"/>
          <w:szCs w:val="21"/>
          <w:lang w:val="en-GB"/>
        </w:rPr>
        <w:footnoteReference w:id="0"/>
      </w:r>
      <w:r>
        <w:rPr>
          <w:rFonts w:hint="default" w:ascii="Times New Roman" w:hAnsi="Times New Roman" w:cs="Times New Roman"/>
          <w:sz w:val="21"/>
          <w:szCs w:val="21"/>
          <w:lang w:val="en-GB"/>
        </w:rPr>
        <w:t>. However, historians and scholars are not all in accordance with the belief of her existence</w:t>
      </w:r>
      <w:r>
        <w:rPr>
          <w:rStyle w:val="8"/>
          <w:rFonts w:hint="default" w:ascii="Times New Roman" w:hAnsi="Times New Roman" w:cs="Times New Roman"/>
          <w:sz w:val="21"/>
          <w:szCs w:val="21"/>
          <w:lang w:val="en-GB"/>
        </w:rPr>
        <w:footnoteReference w:id="1"/>
      </w:r>
      <w:r>
        <w:rPr>
          <w:rFonts w:hint="default" w:ascii="Times New Roman" w:hAnsi="Times New Roman" w:cs="Times New Roman"/>
          <w:sz w:val="21"/>
          <w:szCs w:val="21"/>
          <w:lang w:val="en-GB"/>
        </w:rPr>
        <w:t>. The two main sources that we have detailing Boudicca and her revolt against the Romans are secondary accounts by the authors and statesmen Publius Tacitus and Dio Cassius</w:t>
      </w:r>
      <w:r>
        <w:rPr>
          <w:rStyle w:val="8"/>
          <w:rFonts w:hint="default" w:ascii="Times New Roman" w:hAnsi="Times New Roman" w:cs="Times New Roman"/>
          <w:sz w:val="21"/>
          <w:szCs w:val="21"/>
          <w:lang w:val="en-GB"/>
        </w:rPr>
        <w:footnoteReference w:id="2"/>
      </w:r>
      <w:r>
        <w:rPr>
          <w:rFonts w:hint="default" w:ascii="Times New Roman" w:hAnsi="Times New Roman" w:cs="Times New Roman"/>
          <w:sz w:val="21"/>
          <w:szCs w:val="21"/>
          <w:lang w:val="en-GB"/>
        </w:rPr>
        <w:t>, but neither of these authors are contemporary to the events at hand, and both have discrepancies within their own writings, with Tacitus writing around thirty years after the revolt and Dio Cassius writing around one hundred and forty years after. This will obviously causes discrepancies when trying to determine how much of what they wrote historically happened and how much for simply fictionalised for the audience. There are archaeological and historical records of certain Roman towns being assaulted and burned down such as Camulodonum, Verilamium and Londinium</w:t>
      </w:r>
      <w:r>
        <w:rPr>
          <w:rStyle w:val="8"/>
          <w:rFonts w:hint="default" w:ascii="Times New Roman" w:hAnsi="Times New Roman" w:cs="Times New Roman"/>
          <w:sz w:val="21"/>
          <w:szCs w:val="21"/>
          <w:lang w:val="en-GB"/>
        </w:rPr>
        <w:footnoteReference w:id="3"/>
      </w:r>
      <w:r>
        <w:rPr>
          <w:rFonts w:hint="default" w:ascii="Times New Roman" w:hAnsi="Times New Roman" w:cs="Times New Roman"/>
          <w:sz w:val="21"/>
          <w:szCs w:val="21"/>
          <w:lang w:val="en-GB"/>
        </w:rPr>
        <w:t>. These records correlate with the accounts of both authors Tacitus and Dio Cassius, despite this, the differences in their accounts regarding Boudicca and her revolt are too many, the discrepancies combined with the lapse in time from the event to its recording put both of their works into question. This leads us to ask, are the works of Tacitus more reliable and accurate than those of Dio Cassius.</w:t>
      </w:r>
    </w:p>
    <w:p>
      <w:pPr>
        <w:pStyle w:val="3"/>
        <w:rPr>
          <w:rFonts w:hint="default" w:ascii="Times New Roman" w:hAnsi="Times New Roman" w:cs="Times New Roman"/>
          <w:sz w:val="21"/>
          <w:szCs w:val="21"/>
          <w:lang w:val="en-GB"/>
        </w:rPr>
      </w:pPr>
    </w:p>
    <w:p>
      <w:pPr>
        <w:pStyle w:val="3"/>
        <w:rPr>
          <w:rFonts w:hint="default" w:ascii="Times New Roman" w:hAnsi="Times New Roman" w:cs="Times New Roman"/>
          <w:sz w:val="21"/>
          <w:szCs w:val="21"/>
          <w:lang w:val="en-GB"/>
        </w:rPr>
      </w:pPr>
    </w:p>
    <w:p>
      <w:pPr>
        <w:pStyle w:val="3"/>
        <w:rPr>
          <w:rFonts w:hint="default" w:ascii="Times New Roman" w:hAnsi="Times New Roman" w:cs="Times New Roman"/>
          <w:i w:val="0"/>
          <w:iCs w:val="0"/>
          <w:sz w:val="21"/>
          <w:szCs w:val="21"/>
          <w:lang w:val="en-GB"/>
        </w:rPr>
      </w:pPr>
      <w:r>
        <w:rPr>
          <w:rFonts w:hint="default" w:ascii="Times New Roman" w:hAnsi="Times New Roman" w:cs="Times New Roman"/>
          <w:sz w:val="21"/>
          <w:szCs w:val="21"/>
          <w:lang w:val="en-GB"/>
        </w:rPr>
        <w:t>Dio Cassius is one of the two main sources we have detailing the life and rebellion of the Iceni  Queen Boudicca</w:t>
      </w:r>
      <w:r>
        <w:rPr>
          <w:rStyle w:val="8"/>
          <w:rFonts w:hint="default" w:ascii="Times New Roman" w:hAnsi="Times New Roman" w:cs="Times New Roman"/>
          <w:sz w:val="21"/>
          <w:szCs w:val="21"/>
          <w:lang w:val="en-GB"/>
        </w:rPr>
        <w:footnoteReference w:id="4"/>
      </w:r>
      <w:r>
        <w:rPr>
          <w:rFonts w:hint="default" w:ascii="Times New Roman" w:hAnsi="Times New Roman" w:cs="Times New Roman"/>
          <w:sz w:val="21"/>
          <w:szCs w:val="21"/>
          <w:lang w:val="en-GB"/>
        </w:rPr>
        <w:t>. Dio Cassius was writing in the early third century AD in Bithynia, modern day Turkey</w:t>
      </w:r>
      <w:r>
        <w:rPr>
          <w:rStyle w:val="8"/>
          <w:rFonts w:hint="default" w:ascii="Times New Roman" w:hAnsi="Times New Roman" w:cs="Times New Roman"/>
          <w:sz w:val="21"/>
          <w:szCs w:val="21"/>
          <w:lang w:val="en-GB"/>
        </w:rPr>
        <w:footnoteReference w:id="5"/>
      </w:r>
      <w:r>
        <w:rPr>
          <w:rFonts w:hint="default" w:ascii="Times New Roman" w:hAnsi="Times New Roman" w:cs="Times New Roman"/>
          <w:sz w:val="21"/>
          <w:szCs w:val="21"/>
          <w:lang w:val="en-GB"/>
        </w:rPr>
        <w:t xml:space="preserve">, this would have placed him writing roughly one hundred and forty years after the Iceni rebellion under Boudicca. In the first two lines of his </w:t>
      </w:r>
      <w:r>
        <w:rPr>
          <w:rFonts w:hint="default" w:ascii="Times New Roman" w:hAnsi="Times New Roman" w:cs="Times New Roman"/>
          <w:i/>
          <w:iCs/>
          <w:sz w:val="21"/>
          <w:szCs w:val="21"/>
          <w:lang w:val="en-GB"/>
        </w:rPr>
        <w:t>Roman histories</w:t>
      </w:r>
      <w:r>
        <w:rPr>
          <w:rFonts w:hint="default" w:ascii="Times New Roman" w:hAnsi="Times New Roman" w:cs="Times New Roman"/>
          <w:i w:val="0"/>
          <w:iCs w:val="0"/>
          <w:sz w:val="21"/>
          <w:szCs w:val="21"/>
          <w:lang w:val="en-GB"/>
        </w:rPr>
        <w:t>, Dio states that only two cities were sacked by Boudicca during the revolt</w:t>
      </w:r>
      <w:r>
        <w:rPr>
          <w:rStyle w:val="8"/>
          <w:rFonts w:hint="default" w:ascii="Times New Roman" w:hAnsi="Times New Roman" w:cs="Times New Roman"/>
          <w:i w:val="0"/>
          <w:iCs w:val="0"/>
          <w:sz w:val="21"/>
          <w:szCs w:val="21"/>
          <w:lang w:val="en-GB"/>
        </w:rPr>
        <w:footnoteReference w:id="6"/>
      </w:r>
      <w:r>
        <w:rPr>
          <w:rFonts w:hint="default" w:ascii="Times New Roman" w:hAnsi="Times New Roman" w:cs="Times New Roman"/>
          <w:i w:val="0"/>
          <w:iCs w:val="0"/>
          <w:sz w:val="21"/>
          <w:szCs w:val="21"/>
          <w:lang w:val="en-GB"/>
        </w:rPr>
        <w:t>. However, the archaeological evidence reveals to us that there were at least three cities sacked and destroyed during the rebellion at the time</w:t>
      </w:r>
      <w:r>
        <w:rPr>
          <w:rStyle w:val="8"/>
          <w:rFonts w:hint="default" w:ascii="Times New Roman" w:hAnsi="Times New Roman" w:cs="Times New Roman"/>
          <w:i w:val="0"/>
          <w:iCs w:val="0"/>
          <w:sz w:val="21"/>
          <w:szCs w:val="21"/>
          <w:lang w:val="en-GB"/>
        </w:rPr>
        <w:footnoteReference w:id="7"/>
      </w:r>
      <w:r>
        <w:rPr>
          <w:rFonts w:hint="default" w:ascii="Times New Roman" w:hAnsi="Times New Roman" w:cs="Times New Roman"/>
          <w:i w:val="0"/>
          <w:iCs w:val="0"/>
          <w:sz w:val="21"/>
          <w:szCs w:val="21"/>
          <w:lang w:val="en-GB"/>
        </w:rPr>
        <w:t>. The archaeological evidence shows us that the Roman cities of Camulodonum, Londinium and Verilamium were sacked, but compared to the accounts given to us by Tacitus earlier, Dio Cassius either forgot to mention the third city, or he did not do his due diligence.</w:t>
      </w:r>
    </w:p>
    <w:p>
      <w:pPr>
        <w:pStyle w:val="3"/>
        <w:rPr>
          <w:rFonts w:hint="default" w:ascii="Times New Roman" w:hAnsi="Times New Roman" w:cs="Times New Roman"/>
          <w:i w:val="0"/>
          <w:iCs w:val="0"/>
          <w:sz w:val="21"/>
          <w:szCs w:val="21"/>
          <w:lang w:val="en-GB"/>
        </w:rPr>
      </w:pPr>
      <w:r>
        <w:rPr>
          <w:rFonts w:hint="default" w:ascii="Times New Roman" w:hAnsi="Times New Roman" w:cs="Times New Roman"/>
          <w:i w:val="0"/>
          <w:iCs w:val="0"/>
          <w:sz w:val="21"/>
          <w:szCs w:val="21"/>
          <w:lang w:val="en-GB"/>
        </w:rPr>
        <w:t>Dio’s over use of pathetic fallacy cast a shadow of doubt over the reliability of his work, the vocabulary he uses to describe the colour of the English Channel is very emotive and highly fictionalised. Dio describes the channel as.</w:t>
      </w:r>
    </w:p>
    <w:p>
      <w:pPr>
        <w:pStyle w:val="3"/>
        <w:rPr>
          <w:rFonts w:hint="default" w:ascii="Times New Roman" w:hAnsi="Times New Roman" w:cs="Times New Roman"/>
          <w:i w:val="0"/>
          <w:iCs w:val="0"/>
          <w:sz w:val="21"/>
          <w:szCs w:val="21"/>
          <w:lang w:val="en-GB"/>
        </w:rPr>
      </w:pPr>
    </w:p>
    <w:p>
      <w:pPr>
        <w:pStyle w:val="3"/>
        <w:jc w:val="center"/>
        <w:rPr>
          <w:rFonts w:hint="default" w:ascii="Times New Roman" w:hAnsi="Times New Roman" w:eastAsia="Times New Roman" w:cs="Times New Roman"/>
          <w:sz w:val="21"/>
          <w:szCs w:val="21"/>
          <w:lang w:val="en-GB"/>
        </w:rPr>
      </w:pPr>
      <w:r>
        <w:rPr>
          <w:rFonts w:hint="default" w:ascii="Times New Roman" w:hAnsi="Times New Roman" w:eastAsia="Times New Roman" w:cs="Times New Roman"/>
          <w:sz w:val="21"/>
          <w:szCs w:val="21"/>
          <w:lang w:val="en-GB"/>
        </w:rPr>
        <w:t>“</w:t>
      </w:r>
      <w:r>
        <w:rPr>
          <w:rFonts w:hint="default" w:ascii="Times New Roman" w:hAnsi="Times New Roman" w:eastAsia="Times New Roman" w:cs="Times New Roman"/>
          <w:sz w:val="21"/>
          <w:szCs w:val="21"/>
        </w:rPr>
        <w:t>and the ocean between the island and Gaul once grew blood-red at flood tide</w:t>
      </w:r>
      <w:r>
        <w:rPr>
          <w:rStyle w:val="8"/>
          <w:rFonts w:hint="default" w:ascii="Times New Roman" w:hAnsi="Times New Roman" w:eastAsia="Times New Roman" w:cs="Times New Roman"/>
          <w:sz w:val="21"/>
          <w:szCs w:val="21"/>
        </w:rPr>
        <w:footnoteReference w:id="8"/>
      </w:r>
      <w:r>
        <w:rPr>
          <w:rFonts w:hint="default" w:ascii="Times New Roman" w:hAnsi="Times New Roman" w:eastAsia="Times New Roman" w:cs="Times New Roman"/>
          <w:sz w:val="21"/>
          <w:szCs w:val="21"/>
          <w:lang w:val="en-GB"/>
        </w:rPr>
        <w:t>”</w:t>
      </w:r>
    </w:p>
    <w:p>
      <w:pPr>
        <w:pStyle w:val="3"/>
        <w:jc w:val="left"/>
        <w:rPr>
          <w:rFonts w:hint="default" w:ascii="Times New Roman" w:hAnsi="Times New Roman" w:eastAsia="Times New Roman" w:cs="Times New Roman"/>
          <w:sz w:val="21"/>
          <w:szCs w:val="21"/>
          <w:lang w:val="en-GB"/>
        </w:rPr>
      </w:pPr>
    </w:p>
    <w:p>
      <w:pPr>
        <w:pStyle w:val="3"/>
        <w:jc w:val="left"/>
        <w:rPr>
          <w:rFonts w:hint="default" w:ascii="Times New Roman" w:hAnsi="Times New Roman" w:eastAsia="Times New Roman" w:cs="Times New Roman"/>
          <w:i w:val="0"/>
          <w:iCs w:val="0"/>
          <w:sz w:val="21"/>
          <w:szCs w:val="21"/>
          <w:lang w:val="en-GB"/>
        </w:rPr>
      </w:pPr>
      <w:r>
        <w:rPr>
          <w:rFonts w:hint="default" w:ascii="Times New Roman" w:hAnsi="Times New Roman" w:eastAsia="Times New Roman" w:cs="Times New Roman"/>
          <w:sz w:val="21"/>
          <w:szCs w:val="21"/>
          <w:lang w:val="en-GB"/>
        </w:rPr>
        <w:t xml:space="preserve">This is clearly a narrative tool employed by Dio to hold the readers attention, but this opens the resat of his work up to question. The description he gives us of the English channel almost has an element of the fantastic to it. Unlike Tacitus and </w:t>
      </w:r>
      <w:r>
        <w:rPr>
          <w:rFonts w:hint="default" w:ascii="Times New Roman" w:hAnsi="Times New Roman" w:eastAsia="Times New Roman" w:cs="Times New Roman"/>
          <w:i/>
          <w:iCs/>
          <w:sz w:val="21"/>
          <w:szCs w:val="21"/>
          <w:lang w:val="en-GB"/>
        </w:rPr>
        <w:t xml:space="preserve">The Annals, </w:t>
      </w:r>
      <w:r>
        <w:rPr>
          <w:rFonts w:hint="default" w:ascii="Times New Roman" w:hAnsi="Times New Roman" w:eastAsia="Times New Roman" w:cs="Times New Roman"/>
          <w:i w:val="0"/>
          <w:iCs w:val="0"/>
          <w:sz w:val="21"/>
          <w:szCs w:val="21"/>
          <w:lang w:val="en-GB"/>
        </w:rPr>
        <w:t>Dio Cassius clearly labels Boudicca as the woman who was responsible for the rallying and leadership of the Iceni rebels against the Romans.</w:t>
      </w:r>
    </w:p>
    <w:p>
      <w:pPr>
        <w:pStyle w:val="3"/>
        <w:jc w:val="left"/>
        <w:rPr>
          <w:rFonts w:hint="default" w:ascii="Times New Roman" w:hAnsi="Times New Roman" w:eastAsia="Times New Roman" w:cs="Times New Roman"/>
          <w:i w:val="0"/>
          <w:iCs w:val="0"/>
          <w:sz w:val="21"/>
          <w:szCs w:val="21"/>
          <w:lang w:val="en-GB"/>
        </w:rPr>
      </w:pPr>
    </w:p>
    <w:p>
      <w:pPr>
        <w:pStyle w:val="3"/>
        <w:jc w:val="center"/>
        <w:rPr>
          <w:rFonts w:hint="default" w:ascii="Times New Roman" w:hAnsi="Times New Roman" w:eastAsia="Times New Roman" w:cs="Times New Roman"/>
          <w:sz w:val="21"/>
          <w:szCs w:val="21"/>
          <w:lang w:val="en-GB"/>
        </w:rPr>
      </w:pPr>
      <w:r>
        <w:rPr>
          <w:rFonts w:hint="default" w:ascii="Times New Roman" w:hAnsi="Times New Roman" w:eastAsia="Times New Roman" w:cs="Times New Roman"/>
          <w:i w:val="0"/>
          <w:iCs w:val="0"/>
          <w:sz w:val="21"/>
          <w:szCs w:val="21"/>
          <w:lang w:val="en-GB"/>
        </w:rPr>
        <w:t>“</w:t>
      </w:r>
      <w:r>
        <w:rPr>
          <w:rFonts w:hint="default" w:ascii="Times New Roman" w:hAnsi="Times New Roman" w:eastAsia="Times New Roman" w:cs="Times New Roman"/>
          <w:sz w:val="21"/>
          <w:szCs w:val="21"/>
        </w:rPr>
        <w:t>the person who was chiefly instrumental in rousing the natives and persuading them to fight the Romans, the person who was thought worthy to be their leader and who directed the conduct of the entire war, was Buduica</w:t>
      </w:r>
      <w:r>
        <w:rPr>
          <w:rStyle w:val="8"/>
          <w:rFonts w:hint="default" w:ascii="Times New Roman" w:hAnsi="Times New Roman" w:eastAsia="Times New Roman" w:cs="Times New Roman"/>
          <w:sz w:val="21"/>
          <w:szCs w:val="21"/>
        </w:rPr>
        <w:footnoteReference w:id="9"/>
      </w:r>
      <w:r>
        <w:rPr>
          <w:rStyle w:val="8"/>
          <w:rFonts w:hint="default" w:ascii="Times New Roman" w:hAnsi="Times New Roman" w:eastAsia="Times New Roman" w:cs="Times New Roman"/>
          <w:sz w:val="21"/>
          <w:szCs w:val="21"/>
        </w:rPr>
        <w:footnoteReference w:id="10"/>
      </w:r>
      <w:r>
        <w:rPr>
          <w:rFonts w:hint="default" w:ascii="Times New Roman" w:hAnsi="Times New Roman" w:eastAsia="Times New Roman" w:cs="Times New Roman"/>
          <w:sz w:val="21"/>
          <w:szCs w:val="21"/>
          <w:lang w:val="en-GB"/>
        </w:rPr>
        <w:t>”</w:t>
      </w:r>
    </w:p>
    <w:p>
      <w:pPr>
        <w:pStyle w:val="3"/>
        <w:jc w:val="left"/>
        <w:rPr>
          <w:rFonts w:hint="default" w:ascii="Times New Roman" w:hAnsi="Times New Roman" w:cs="Times New Roman"/>
          <w:i w:val="0"/>
          <w:iCs w:val="0"/>
          <w:sz w:val="21"/>
          <w:szCs w:val="21"/>
          <w:lang w:val="en-GB"/>
        </w:rPr>
      </w:pPr>
      <w:r>
        <w:rPr>
          <w:rFonts w:hint="default" w:ascii="Times New Roman" w:hAnsi="Times New Roman" w:cs="Times New Roman"/>
          <w:i w:val="0"/>
          <w:iCs w:val="0"/>
          <w:sz w:val="21"/>
          <w:szCs w:val="21"/>
          <w:lang w:val="en-GB"/>
        </w:rPr>
        <w:br w:type="textWrapping"/>
      </w:r>
      <w:r>
        <w:rPr>
          <w:rFonts w:hint="default" w:ascii="Times New Roman" w:hAnsi="Times New Roman" w:cs="Times New Roman"/>
          <w:i w:val="0"/>
          <w:iCs w:val="0"/>
          <w:sz w:val="21"/>
          <w:szCs w:val="21"/>
          <w:lang w:val="en-GB"/>
        </w:rPr>
        <w:t xml:space="preserve">Dio Cassius also claims that Boudicca was a “Briton woman of the royal family.” This is contrary to what Tacitus writes in </w:t>
      </w:r>
      <w:r>
        <w:rPr>
          <w:rFonts w:hint="default" w:ascii="Times New Roman" w:hAnsi="Times New Roman" w:cs="Times New Roman"/>
          <w:i/>
          <w:iCs/>
          <w:sz w:val="21"/>
          <w:szCs w:val="21"/>
          <w:lang w:val="en-GB"/>
        </w:rPr>
        <w:t>The Annals</w:t>
      </w:r>
      <w:r>
        <w:rPr>
          <w:rFonts w:hint="default" w:ascii="Times New Roman" w:hAnsi="Times New Roman" w:cs="Times New Roman"/>
          <w:i w:val="0"/>
          <w:iCs w:val="0"/>
          <w:sz w:val="21"/>
          <w:szCs w:val="21"/>
          <w:lang w:val="en-GB"/>
        </w:rPr>
        <w:t>. Over his two works detailing Boudicca, Tacitus refers to her as both royal and not royal</w:t>
      </w:r>
      <w:r>
        <w:rPr>
          <w:rStyle w:val="8"/>
          <w:rFonts w:hint="default" w:ascii="Times New Roman" w:hAnsi="Times New Roman" w:cs="Times New Roman"/>
          <w:i w:val="0"/>
          <w:iCs w:val="0"/>
          <w:sz w:val="21"/>
          <w:szCs w:val="21"/>
          <w:lang w:val="en-GB"/>
        </w:rPr>
        <w:footnoteReference w:id="11"/>
      </w:r>
      <w:r>
        <w:rPr>
          <w:rFonts w:hint="default" w:ascii="Times New Roman" w:hAnsi="Times New Roman" w:cs="Times New Roman"/>
          <w:i w:val="0"/>
          <w:iCs w:val="0"/>
          <w:sz w:val="21"/>
          <w:szCs w:val="21"/>
          <w:lang w:val="en-GB"/>
        </w:rPr>
        <w:t>. Dio Cassius on the other hand, only refers to her as nobility in his works, this would improve his reliability. The speech that is given by Boudicca prior to the battle of Watling street more than likely did not sound anything like the one Dio gives us. Firstly, she would not have spoken Latin, so Adler points out, it would not have been been a real representation of it</w:t>
      </w:r>
      <w:r>
        <w:rPr>
          <w:rStyle w:val="8"/>
          <w:rFonts w:hint="default" w:ascii="Times New Roman" w:hAnsi="Times New Roman" w:cs="Times New Roman"/>
          <w:i w:val="0"/>
          <w:iCs w:val="0"/>
          <w:sz w:val="21"/>
          <w:szCs w:val="21"/>
          <w:lang w:val="en-GB"/>
        </w:rPr>
        <w:footnoteReference w:id="12"/>
      </w:r>
      <w:r>
        <w:rPr>
          <w:rFonts w:hint="default" w:ascii="Times New Roman" w:hAnsi="Times New Roman" w:cs="Times New Roman"/>
          <w:i w:val="0"/>
          <w:iCs w:val="0"/>
          <w:sz w:val="21"/>
          <w:szCs w:val="21"/>
          <w:lang w:val="en-GB"/>
        </w:rPr>
        <w:t>. Rich comments that Dio Cassius’s writing style is very heavily influenced by the ancient writers, primarily the Athenian Thucydides</w:t>
      </w:r>
      <w:r>
        <w:rPr>
          <w:rStyle w:val="8"/>
          <w:rFonts w:hint="default" w:ascii="Times New Roman" w:hAnsi="Times New Roman" w:cs="Times New Roman"/>
          <w:i w:val="0"/>
          <w:iCs w:val="0"/>
          <w:sz w:val="21"/>
          <w:szCs w:val="21"/>
          <w:lang w:val="en-GB"/>
        </w:rPr>
        <w:footnoteReference w:id="13"/>
      </w:r>
      <w:r>
        <w:rPr>
          <w:rFonts w:hint="default" w:ascii="Times New Roman" w:hAnsi="Times New Roman" w:cs="Times New Roman"/>
          <w:i w:val="0"/>
          <w:iCs w:val="0"/>
          <w:sz w:val="21"/>
          <w:szCs w:val="21"/>
          <w:lang w:val="en-GB"/>
        </w:rPr>
        <w:t>. However, despite his accurateness, Thucydides admitted to fictionalising the majority of the speeches in his texts</w:t>
      </w:r>
      <w:r>
        <w:rPr>
          <w:rStyle w:val="8"/>
          <w:rFonts w:hint="default" w:ascii="Times New Roman" w:hAnsi="Times New Roman" w:cs="Times New Roman"/>
          <w:i w:val="0"/>
          <w:iCs w:val="0"/>
          <w:sz w:val="21"/>
          <w:szCs w:val="21"/>
          <w:lang w:val="en-GB"/>
        </w:rPr>
        <w:footnoteReference w:id="14"/>
      </w:r>
      <w:r>
        <w:rPr>
          <w:rFonts w:hint="default" w:ascii="Times New Roman" w:hAnsi="Times New Roman" w:cs="Times New Roman"/>
          <w:i w:val="0"/>
          <w:iCs w:val="0"/>
          <w:sz w:val="21"/>
          <w:szCs w:val="21"/>
          <w:lang w:val="en-GB"/>
        </w:rPr>
        <w:t>. This would have led Dio to do the same. Meaning, the whole speech can be disregarded.</w:t>
      </w:r>
    </w:p>
    <w:p>
      <w:pPr>
        <w:pStyle w:val="3"/>
        <w:jc w:val="left"/>
        <w:rPr>
          <w:rFonts w:hint="default" w:ascii="Times New Roman" w:hAnsi="Times New Roman" w:cs="Times New Roman"/>
          <w:i w:val="0"/>
          <w:iCs w:val="0"/>
          <w:sz w:val="21"/>
          <w:szCs w:val="21"/>
          <w:lang w:val="en-GB"/>
        </w:rPr>
      </w:pPr>
    </w:p>
    <w:p>
      <w:pPr>
        <w:pStyle w:val="3"/>
        <w:jc w:val="left"/>
        <w:rPr>
          <w:rFonts w:hint="default" w:ascii="Times New Roman" w:hAnsi="Times New Roman" w:cs="Times New Roman"/>
          <w:i w:val="0"/>
          <w:iCs w:val="0"/>
          <w:sz w:val="21"/>
          <w:szCs w:val="21"/>
          <w:lang w:val="en-GB"/>
        </w:rPr>
      </w:pPr>
      <w:r>
        <w:rPr>
          <w:rFonts w:hint="default" w:ascii="Times New Roman" w:hAnsi="Times New Roman" w:cs="Times New Roman"/>
          <w:i w:val="0"/>
          <w:iCs w:val="0"/>
          <w:sz w:val="21"/>
          <w:szCs w:val="21"/>
          <w:lang w:val="en-GB"/>
        </w:rPr>
        <w:t xml:space="preserve">Dio and Tacitus seem to disagree in their accounts of Boudicca’s death and The way Dio describes the death and burial of Boudicca is also questionable. </w:t>
      </w:r>
    </w:p>
    <w:p>
      <w:pPr>
        <w:pStyle w:val="3"/>
        <w:jc w:val="left"/>
        <w:rPr>
          <w:rFonts w:hint="default" w:ascii="Times New Roman" w:hAnsi="Times New Roman" w:cs="Times New Roman"/>
          <w:i w:val="0"/>
          <w:iCs w:val="0"/>
          <w:sz w:val="21"/>
          <w:szCs w:val="21"/>
          <w:lang w:val="en-GB"/>
        </w:rPr>
      </w:pPr>
    </w:p>
    <w:p>
      <w:pPr>
        <w:pStyle w:val="3"/>
        <w:jc w:val="center"/>
        <w:rPr>
          <w:rFonts w:hint="default" w:ascii="Times New Roman" w:hAnsi="Times New Roman" w:cs="Times New Roman"/>
          <w:sz w:val="21"/>
          <w:szCs w:val="21"/>
          <w:lang w:val="en-GB"/>
        </w:rPr>
      </w:pPr>
      <w:r>
        <w:rPr>
          <w:rFonts w:hint="default" w:ascii="Times New Roman" w:hAnsi="Times New Roman" w:cs="Times New Roman"/>
          <w:sz w:val="21"/>
          <w:szCs w:val="21"/>
          <w:lang w:val="en-GB"/>
        </w:rPr>
        <w:t>“</w:t>
      </w:r>
      <w:r>
        <w:rPr>
          <w:rFonts w:hint="default" w:ascii="Times New Roman" w:hAnsi="Times New Roman" w:cs="Times New Roman"/>
          <w:sz w:val="21"/>
          <w:szCs w:val="21"/>
        </w:rPr>
        <w:t> Buduica fell sick and died. The Britons mourned her deeply and gave her a costly burial</w:t>
      </w:r>
      <w:r>
        <w:rPr>
          <w:rStyle w:val="8"/>
          <w:rFonts w:hint="default" w:ascii="Times New Roman" w:hAnsi="Times New Roman" w:eastAsia="Times New Roman" w:cs="Times New Roman"/>
          <w:sz w:val="21"/>
          <w:szCs w:val="21"/>
        </w:rPr>
        <w:footnoteReference w:id="15"/>
      </w:r>
      <w:r>
        <w:rPr>
          <w:rFonts w:hint="default" w:ascii="Times New Roman" w:hAnsi="Times New Roman" w:cs="Times New Roman"/>
          <w:sz w:val="21"/>
          <w:szCs w:val="21"/>
          <w:lang w:val="en-GB"/>
        </w:rPr>
        <w:t>”</w:t>
      </w:r>
    </w:p>
    <w:p>
      <w:pPr>
        <w:pStyle w:val="3"/>
        <w:jc w:val="center"/>
        <w:rPr>
          <w:rFonts w:hint="default" w:ascii="Times New Roman" w:hAnsi="Times New Roman" w:cs="Times New Roman"/>
          <w:sz w:val="21"/>
          <w:szCs w:val="21"/>
          <w:lang w:val="en-GB"/>
        </w:rPr>
      </w:pPr>
    </w:p>
    <w:p>
      <w:pPr>
        <w:pStyle w:val="3"/>
        <w:jc w:val="left"/>
        <w:rPr>
          <w:rFonts w:hint="default" w:ascii="Times New Roman" w:hAnsi="Times New Roman" w:cs="Times New Roman"/>
          <w:sz w:val="21"/>
          <w:szCs w:val="21"/>
          <w:lang w:val="en-GB"/>
        </w:rPr>
      </w:pPr>
      <w:r>
        <w:rPr>
          <w:rFonts w:hint="default" w:ascii="Times New Roman" w:hAnsi="Times New Roman" w:cs="Times New Roman"/>
          <w:sz w:val="21"/>
          <w:szCs w:val="21"/>
          <w:lang w:val="en-GB"/>
        </w:rPr>
        <w:t>This account varies to that of Tacitus in two ways, firstly, Tacitus tells us that “</w:t>
      </w:r>
      <w:r>
        <w:rPr>
          <w:rFonts w:hint="default" w:ascii="Times New Roman" w:hAnsi="Times New Roman" w:cs="Times New Roman"/>
          <w:sz w:val="21"/>
          <w:szCs w:val="21"/>
        </w:rPr>
        <w:t>Boudicea put an end to her life by poison</w:t>
      </w:r>
      <w:r>
        <w:rPr>
          <w:rFonts w:hint="default" w:ascii="Times New Roman" w:hAnsi="Times New Roman" w:cs="Times New Roman"/>
          <w:sz w:val="21"/>
          <w:szCs w:val="21"/>
          <w:lang w:val="en-GB"/>
        </w:rPr>
        <w:t>”</w:t>
      </w:r>
      <w:r>
        <w:rPr>
          <w:rStyle w:val="8"/>
          <w:rFonts w:hint="default" w:ascii="Times New Roman" w:hAnsi="Times New Roman" w:cs="Times New Roman"/>
          <w:sz w:val="21"/>
          <w:szCs w:val="21"/>
          <w:lang w:val="en-GB"/>
        </w:rPr>
        <w:footnoteReference w:id="16"/>
      </w:r>
      <w:r>
        <w:rPr>
          <w:rFonts w:hint="default" w:ascii="Times New Roman" w:hAnsi="Times New Roman" w:cs="Times New Roman"/>
          <w:sz w:val="21"/>
          <w:szCs w:val="21"/>
          <w:lang w:val="en-GB"/>
        </w:rPr>
        <w:t>, this does give us a cause for Boudicca’s death, unlike the vague ambiguity of Dio’s account. The second variation Tacitus does not mention. Dio states that Boudicca received a “costly burial</w:t>
      </w:r>
      <w:r>
        <w:rPr>
          <w:rStyle w:val="8"/>
          <w:rFonts w:hint="default" w:ascii="Times New Roman" w:hAnsi="Times New Roman" w:cs="Times New Roman"/>
          <w:sz w:val="21"/>
          <w:szCs w:val="21"/>
          <w:lang w:val="en-GB"/>
        </w:rPr>
        <w:footnoteReference w:id="17"/>
      </w:r>
      <w:r>
        <w:rPr>
          <w:rFonts w:hint="default" w:ascii="Times New Roman" w:hAnsi="Times New Roman" w:cs="Times New Roman"/>
          <w:sz w:val="21"/>
          <w:szCs w:val="21"/>
          <w:lang w:val="en-GB"/>
        </w:rPr>
        <w:t>”. The fact the Romans allowed the Iceni to take her body and give her a burial is questionable. Had the Romans truly allowed her this costly burial, they would have created a martyr out of her, which would have been the last thing an occupying would have wanted. The end of Dio’s account also differs to that of Tacitus, as it is lacking. Tacitus goes on to write about the Emperor sending more men to support the Romans in Britain</w:t>
      </w:r>
      <w:r>
        <w:rPr>
          <w:rStyle w:val="8"/>
          <w:rFonts w:hint="default" w:ascii="Times New Roman" w:hAnsi="Times New Roman" w:cs="Times New Roman"/>
          <w:sz w:val="21"/>
          <w:szCs w:val="21"/>
          <w:lang w:val="en-GB"/>
        </w:rPr>
        <w:footnoteReference w:id="18"/>
      </w:r>
      <w:r>
        <w:rPr>
          <w:rFonts w:hint="default" w:ascii="Times New Roman" w:hAnsi="Times New Roman" w:cs="Times New Roman"/>
          <w:sz w:val="21"/>
          <w:szCs w:val="21"/>
          <w:lang w:val="en-GB"/>
        </w:rPr>
        <w:t>. This outcome is more than probable. However Dio’s account ends with “So much for the affairs in Britain</w:t>
      </w:r>
      <w:r>
        <w:rPr>
          <w:rStyle w:val="8"/>
          <w:rFonts w:hint="default" w:ascii="Times New Roman" w:hAnsi="Times New Roman" w:cs="Times New Roman"/>
          <w:sz w:val="21"/>
          <w:szCs w:val="21"/>
          <w:lang w:val="en-GB"/>
        </w:rPr>
        <w:footnoteReference w:id="19"/>
      </w:r>
      <w:r>
        <w:rPr>
          <w:rFonts w:hint="default" w:ascii="Times New Roman" w:hAnsi="Times New Roman" w:cs="Times New Roman"/>
          <w:sz w:val="21"/>
          <w:szCs w:val="21"/>
          <w:lang w:val="en-GB"/>
        </w:rPr>
        <w:t>” this is a very weak ending to the account. This ending supports the claim she dud not exist, as it is a very ‘happily ever after’ ending to the ‘story’. Due to this and other factors laid out, it is more than likely she was fictionalised.</w:t>
      </w:r>
    </w:p>
    <w:p>
      <w:pPr>
        <w:pStyle w:val="3"/>
        <w:rPr>
          <w:rFonts w:hint="default" w:ascii="Times New Roman" w:hAnsi="Times New Roman" w:cs="Times New Roman"/>
          <w:sz w:val="21"/>
          <w:szCs w:val="21"/>
          <w:lang w:val="en-GB"/>
        </w:rPr>
      </w:pPr>
    </w:p>
    <w:p>
      <w:pPr>
        <w:pStyle w:val="3"/>
        <w:rPr>
          <w:rFonts w:hint="default" w:ascii="Times New Roman" w:hAnsi="Times New Roman" w:cs="Times New Roman"/>
          <w:sz w:val="21"/>
          <w:szCs w:val="21"/>
          <w:lang w:val="en-GB"/>
        </w:rPr>
      </w:pPr>
      <w:r>
        <w:rPr>
          <w:rFonts w:hint="default" w:ascii="Times New Roman" w:hAnsi="Times New Roman" w:cs="Times New Roman"/>
          <w:sz w:val="21"/>
          <w:szCs w:val="21"/>
          <w:lang w:val="en-GB"/>
        </w:rPr>
        <w:t>Boudicca’s so called revolt against the Roman empire led to the destructions and looting of the towns, Camulodonum, Verilamium and Londinium. Colchester, St Albans and London respectively</w:t>
      </w:r>
      <w:r>
        <w:rPr>
          <w:rStyle w:val="8"/>
          <w:rFonts w:hint="default" w:ascii="Times New Roman" w:hAnsi="Times New Roman" w:cs="Times New Roman"/>
          <w:sz w:val="21"/>
          <w:szCs w:val="21"/>
          <w:lang w:val="en-GB"/>
        </w:rPr>
        <w:footnoteReference w:id="20"/>
      </w:r>
      <w:r>
        <w:rPr>
          <w:rFonts w:hint="default" w:ascii="Times New Roman" w:hAnsi="Times New Roman" w:cs="Times New Roman"/>
          <w:sz w:val="21"/>
          <w:szCs w:val="21"/>
          <w:lang w:val="en-GB"/>
        </w:rPr>
        <w:t xml:space="preserve">. Tacitus, writing in his </w:t>
      </w:r>
      <w:r>
        <w:rPr>
          <w:rFonts w:hint="default" w:ascii="Times New Roman" w:hAnsi="Times New Roman" w:cs="Times New Roman"/>
          <w:i/>
          <w:iCs/>
          <w:sz w:val="21"/>
          <w:szCs w:val="21"/>
          <w:lang w:val="en-GB"/>
        </w:rPr>
        <w:t>Annals</w:t>
      </w:r>
      <w:r>
        <w:rPr>
          <w:rFonts w:hint="default" w:ascii="Times New Roman" w:hAnsi="Times New Roman" w:cs="Times New Roman"/>
          <w:sz w:val="21"/>
          <w:szCs w:val="21"/>
          <w:lang w:val="en-GB"/>
        </w:rPr>
        <w:t xml:space="preserve"> tells us in relatively good detail that the rebel British force fell on these towns during the revolt. </w:t>
      </w:r>
    </w:p>
    <w:p>
      <w:pPr>
        <w:pStyle w:val="3"/>
        <w:rPr>
          <w:rFonts w:hint="default" w:ascii="Times New Roman" w:hAnsi="Times New Roman" w:cs="Times New Roman"/>
          <w:sz w:val="21"/>
          <w:szCs w:val="21"/>
          <w:lang w:val="en-GB"/>
        </w:rPr>
      </w:pPr>
    </w:p>
    <w:p>
      <w:pPr>
        <w:pStyle w:val="3"/>
        <w:jc w:val="center"/>
        <w:rPr>
          <w:rFonts w:hint="default" w:ascii="Times New Roman" w:hAnsi="Times New Roman" w:cs="Times New Roman"/>
          <w:sz w:val="21"/>
          <w:szCs w:val="21"/>
          <w:lang w:val="en-GB"/>
        </w:rPr>
      </w:pPr>
      <w:r>
        <w:rPr>
          <w:rFonts w:hint="default" w:ascii="Times New Roman" w:hAnsi="Times New Roman" w:cs="Times New Roman"/>
          <w:sz w:val="21"/>
          <w:szCs w:val="21"/>
          <w:lang w:val="en-GB"/>
        </w:rPr>
        <w:t>“</w:t>
      </w:r>
      <w:r>
        <w:rPr>
          <w:rFonts w:hint="default" w:ascii="Times New Roman" w:hAnsi="Times New Roman" w:cs="Times New Roman"/>
          <w:sz w:val="21"/>
          <w:szCs w:val="21"/>
        </w:rPr>
        <w:t>Like ruin fell on the town of </w:t>
      </w:r>
      <w:r>
        <w:rPr>
          <w:rFonts w:hint="default" w:ascii="Times New Roman" w:hAnsi="Times New Roman" w:cs="Times New Roman"/>
          <w:sz w:val="21"/>
          <w:szCs w:val="21"/>
          <w:lang w:val="en-GB"/>
        </w:rPr>
        <w:t>Verilamium</w:t>
      </w:r>
      <w:r>
        <w:rPr>
          <w:rFonts w:hint="default" w:ascii="Times New Roman" w:hAnsi="Times New Roman" w:cs="Times New Roman"/>
          <w:sz w:val="21"/>
          <w:szCs w:val="21"/>
        </w:rPr>
        <w:t>, for the barbarians, who delighted in plunder and were indifferent to all else, passed by the fortresses with military garrisons, and attacked whatever offered most wealth to the spoiler</w:t>
      </w:r>
      <w:r>
        <w:rPr>
          <w:rFonts w:hint="default" w:ascii="Times New Roman" w:hAnsi="Times New Roman" w:cs="Times New Roman"/>
          <w:sz w:val="21"/>
          <w:szCs w:val="21"/>
          <w:lang w:val="en-GB"/>
        </w:rPr>
        <w:t>.</w:t>
      </w:r>
      <w:r>
        <w:rPr>
          <w:rStyle w:val="8"/>
          <w:rFonts w:hint="default" w:ascii="Times New Roman" w:hAnsi="Times New Roman" w:cs="Times New Roman"/>
          <w:sz w:val="21"/>
          <w:szCs w:val="21"/>
          <w:lang w:val="en-GB"/>
        </w:rPr>
        <w:footnoteReference w:id="21"/>
      </w:r>
      <w:r>
        <w:rPr>
          <w:rFonts w:hint="default" w:ascii="Times New Roman" w:hAnsi="Times New Roman" w:cs="Times New Roman"/>
          <w:sz w:val="21"/>
          <w:szCs w:val="21"/>
          <w:lang w:val="en-GB"/>
        </w:rPr>
        <w:t>”</w:t>
      </w:r>
    </w:p>
    <w:p>
      <w:pPr>
        <w:pStyle w:val="3"/>
        <w:rPr>
          <w:rFonts w:hint="default" w:ascii="Times New Roman" w:hAnsi="Times New Roman" w:cs="Times New Roman"/>
          <w:sz w:val="21"/>
          <w:szCs w:val="21"/>
          <w:lang w:val="en-GB"/>
        </w:rPr>
      </w:pPr>
    </w:p>
    <w:p>
      <w:pPr>
        <w:pStyle w:val="3"/>
        <w:rPr>
          <w:rFonts w:hint="default" w:ascii="Times New Roman" w:hAnsi="Times New Roman" w:cs="Times New Roman"/>
          <w:sz w:val="21"/>
          <w:szCs w:val="21"/>
          <w:lang w:val="en-GB"/>
        </w:rPr>
      </w:pPr>
      <w:r>
        <w:rPr>
          <w:rFonts w:hint="default" w:ascii="Times New Roman" w:hAnsi="Times New Roman" w:cs="Times New Roman"/>
          <w:sz w:val="21"/>
          <w:szCs w:val="21"/>
          <w:lang w:val="en-GB"/>
        </w:rPr>
        <w:t>This shows us that according to Tacitus’</w:t>
      </w:r>
      <w:r>
        <w:rPr>
          <w:rFonts w:hint="default" w:ascii="Times New Roman" w:hAnsi="Times New Roman" w:cs="Times New Roman"/>
          <w:i/>
          <w:iCs/>
          <w:sz w:val="21"/>
          <w:szCs w:val="21"/>
          <w:lang w:val="en-GB"/>
        </w:rPr>
        <w:t xml:space="preserve"> Annals </w:t>
      </w:r>
      <w:r>
        <w:rPr>
          <w:rFonts w:hint="default" w:ascii="Times New Roman" w:hAnsi="Times New Roman" w:cs="Times New Roman"/>
          <w:sz w:val="21"/>
          <w:szCs w:val="21"/>
          <w:lang w:val="en-GB"/>
        </w:rPr>
        <w:t xml:space="preserve">the Iceni rebel force led the raids against these few select Roman cities, however, at no point in </w:t>
      </w:r>
      <w:r>
        <w:rPr>
          <w:rFonts w:hint="default" w:ascii="Times New Roman" w:hAnsi="Times New Roman" w:cs="Times New Roman"/>
          <w:i/>
          <w:iCs/>
          <w:sz w:val="21"/>
          <w:szCs w:val="21"/>
          <w:lang w:val="en-GB"/>
        </w:rPr>
        <w:t>The</w:t>
      </w:r>
      <w:r>
        <w:rPr>
          <w:rFonts w:hint="default" w:ascii="Times New Roman" w:hAnsi="Times New Roman" w:cs="Times New Roman"/>
          <w:sz w:val="21"/>
          <w:szCs w:val="21"/>
          <w:lang w:val="en-GB"/>
        </w:rPr>
        <w:t xml:space="preserve"> </w:t>
      </w:r>
      <w:r>
        <w:rPr>
          <w:rFonts w:hint="default" w:ascii="Times New Roman" w:hAnsi="Times New Roman" w:cs="Times New Roman"/>
          <w:i/>
          <w:iCs/>
          <w:sz w:val="21"/>
          <w:szCs w:val="21"/>
          <w:lang w:val="en-GB"/>
        </w:rPr>
        <w:t>Annals</w:t>
      </w:r>
      <w:r>
        <w:rPr>
          <w:rFonts w:hint="default" w:ascii="Times New Roman" w:hAnsi="Times New Roman" w:cs="Times New Roman"/>
          <w:sz w:val="21"/>
          <w:szCs w:val="21"/>
          <w:lang w:val="en-GB"/>
        </w:rPr>
        <w:t xml:space="preserve"> at all does he actually mention that Boudicca was the one instigating or in fact leading these three assaults. However Scott seems to imply that Boudicca did in fact have a personal part to play in these attacks, Scott refers to the rebel force as “Boudicca’s army”</w:t>
      </w:r>
      <w:r>
        <w:rPr>
          <w:rStyle w:val="8"/>
          <w:rFonts w:hint="default" w:ascii="Times New Roman" w:hAnsi="Times New Roman" w:cs="Times New Roman"/>
          <w:sz w:val="21"/>
          <w:szCs w:val="21"/>
          <w:lang w:val="en-GB"/>
        </w:rPr>
        <w:footnoteReference w:id="22"/>
      </w:r>
      <w:r>
        <w:rPr>
          <w:rFonts w:hint="default" w:ascii="Times New Roman" w:hAnsi="Times New Roman" w:cs="Times New Roman"/>
          <w:sz w:val="21"/>
          <w:szCs w:val="21"/>
          <w:lang w:val="en-GB"/>
        </w:rPr>
        <w:t xml:space="preserve">. On the other hand, Scott may have learned this from reading Tacitus’s later text, </w:t>
      </w:r>
      <w:r>
        <w:rPr>
          <w:rFonts w:hint="default" w:ascii="Times New Roman" w:hAnsi="Times New Roman" w:cs="Times New Roman"/>
          <w:i/>
          <w:iCs/>
          <w:sz w:val="21"/>
          <w:szCs w:val="21"/>
          <w:lang w:val="en-GB"/>
        </w:rPr>
        <w:t>The Agricola</w:t>
      </w:r>
      <w:r>
        <w:rPr>
          <w:rFonts w:hint="default" w:ascii="Times New Roman" w:hAnsi="Times New Roman" w:cs="Times New Roman"/>
          <w:sz w:val="21"/>
          <w:szCs w:val="21"/>
          <w:lang w:val="en-GB"/>
        </w:rPr>
        <w:t xml:space="preserve">. </w:t>
      </w:r>
      <w:r>
        <w:rPr>
          <w:rFonts w:hint="default" w:ascii="Times New Roman" w:hAnsi="Times New Roman" w:cs="Times New Roman"/>
          <w:i/>
          <w:iCs/>
          <w:sz w:val="21"/>
          <w:szCs w:val="21"/>
          <w:lang w:val="en-GB"/>
        </w:rPr>
        <w:t xml:space="preserve">The Agricola </w:t>
      </w:r>
      <w:r>
        <w:rPr>
          <w:rFonts w:hint="default" w:ascii="Times New Roman" w:hAnsi="Times New Roman" w:cs="Times New Roman"/>
          <w:sz w:val="21"/>
          <w:szCs w:val="21"/>
          <w:lang w:val="en-GB"/>
        </w:rPr>
        <w:t>is Tacitus’s account of his father in law’s life</w:t>
      </w:r>
      <w:r>
        <w:rPr>
          <w:rStyle w:val="8"/>
          <w:rFonts w:hint="default" w:ascii="Times New Roman" w:hAnsi="Times New Roman" w:cs="Times New Roman"/>
          <w:i w:val="0"/>
          <w:iCs w:val="0"/>
          <w:sz w:val="21"/>
          <w:szCs w:val="21"/>
          <w:lang w:val="en-GB"/>
        </w:rPr>
        <w:footnoteReference w:id="23"/>
      </w:r>
      <w:r>
        <w:rPr>
          <w:rFonts w:hint="default" w:ascii="Times New Roman" w:hAnsi="Times New Roman" w:cs="Times New Roman"/>
          <w:sz w:val="21"/>
          <w:szCs w:val="21"/>
          <w:lang w:val="en-GB"/>
        </w:rPr>
        <w:t xml:space="preserve"> , Gnaeus Julius Agricola, who was a Roman military commander, statesman and the governor of Britain from </w:t>
      </w:r>
      <w:r>
        <w:rPr>
          <w:rFonts w:hint="default" w:ascii="Times New Roman" w:hAnsi="Times New Roman" w:cs="Times New Roman"/>
          <w:sz w:val="21"/>
          <w:szCs w:val="21"/>
        </w:rPr>
        <w:t>AD 77</w:t>
      </w:r>
      <w:r>
        <w:rPr>
          <w:rFonts w:hint="default" w:ascii="Times New Roman" w:hAnsi="Times New Roman" w:cs="Times New Roman"/>
          <w:sz w:val="21"/>
          <w:szCs w:val="21"/>
          <w:lang w:val="en-GB"/>
        </w:rPr>
        <w:t xml:space="preserve"> to </w:t>
      </w:r>
      <w:r>
        <w:rPr>
          <w:rFonts w:hint="default" w:ascii="Times New Roman" w:hAnsi="Times New Roman" w:cs="Times New Roman"/>
          <w:sz w:val="21"/>
          <w:szCs w:val="21"/>
        </w:rPr>
        <w:t>78</w:t>
      </w:r>
      <w:r>
        <w:rPr>
          <w:rFonts w:hint="default" w:ascii="Times New Roman" w:hAnsi="Times New Roman" w:cs="Times New Roman"/>
          <w:sz w:val="21"/>
          <w:szCs w:val="21"/>
          <w:lang w:val="en-GB"/>
        </w:rPr>
        <w:t xml:space="preserve"> AD</w:t>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and</w:t>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 xml:space="preserve">from </w:t>
      </w:r>
      <w:r>
        <w:rPr>
          <w:rFonts w:hint="default" w:ascii="Times New Roman" w:hAnsi="Times New Roman" w:cs="Times New Roman"/>
          <w:sz w:val="21"/>
          <w:szCs w:val="21"/>
        </w:rPr>
        <w:t>83</w:t>
      </w:r>
      <w:r>
        <w:rPr>
          <w:rFonts w:hint="default" w:ascii="Times New Roman" w:hAnsi="Times New Roman" w:cs="Times New Roman"/>
          <w:sz w:val="21"/>
          <w:szCs w:val="21"/>
          <w:lang w:val="en-GB"/>
        </w:rPr>
        <w:t xml:space="preserve"> to </w:t>
      </w:r>
      <w:r>
        <w:rPr>
          <w:rFonts w:hint="default" w:ascii="Times New Roman" w:hAnsi="Times New Roman" w:cs="Times New Roman"/>
          <w:sz w:val="21"/>
          <w:szCs w:val="21"/>
        </w:rPr>
        <w:t>84</w:t>
      </w:r>
      <w:r>
        <w:rPr>
          <w:rFonts w:hint="default" w:ascii="Times New Roman" w:hAnsi="Times New Roman" w:cs="Times New Roman"/>
          <w:sz w:val="21"/>
          <w:szCs w:val="21"/>
          <w:lang w:val="en-GB"/>
        </w:rPr>
        <w:t xml:space="preserve"> AD</w:t>
      </w:r>
      <w:r>
        <w:rPr>
          <w:rStyle w:val="8"/>
          <w:rFonts w:hint="default" w:ascii="Times New Roman" w:hAnsi="Times New Roman" w:eastAsia="sans-serif" w:cs="Times New Roman"/>
          <w:b w:val="0"/>
          <w:i w:val="0"/>
          <w:caps w:val="0"/>
          <w:color w:val="222222"/>
          <w:spacing w:val="0"/>
          <w:sz w:val="21"/>
          <w:szCs w:val="21"/>
          <w:shd w:val="clear" w:fill="FFFFFF"/>
          <w:lang w:val="en-GB"/>
        </w:rPr>
        <w:footnoteReference w:id="24"/>
      </w:r>
      <w:r>
        <w:rPr>
          <w:rFonts w:hint="default" w:ascii="Times New Roman" w:hAnsi="Times New Roman" w:cs="Times New Roman"/>
          <w:sz w:val="21"/>
          <w:szCs w:val="21"/>
          <w:lang w:val="en-GB"/>
        </w:rPr>
        <w:t xml:space="preserve">. </w:t>
      </w:r>
    </w:p>
    <w:p>
      <w:pPr>
        <w:pStyle w:val="3"/>
        <w:rPr>
          <w:rFonts w:hint="default" w:ascii="Times New Roman" w:hAnsi="Times New Roman" w:cs="Times New Roman"/>
          <w:sz w:val="21"/>
          <w:szCs w:val="21"/>
          <w:lang w:val="en-GB"/>
        </w:rPr>
      </w:pPr>
    </w:p>
    <w:p>
      <w:pPr>
        <w:pStyle w:val="3"/>
        <w:rPr>
          <w:rFonts w:hint="default" w:ascii="Times New Roman" w:hAnsi="Times New Roman" w:cs="Times New Roman"/>
          <w:sz w:val="21"/>
          <w:szCs w:val="21"/>
          <w:lang w:val="en-GB"/>
        </w:rPr>
      </w:pPr>
    </w:p>
    <w:p>
      <w:pPr>
        <w:pStyle w:val="3"/>
        <w:rPr>
          <w:rFonts w:hint="default" w:ascii="Times New Roman" w:hAnsi="Times New Roman" w:cs="Times New Roman"/>
          <w:sz w:val="21"/>
          <w:szCs w:val="21"/>
          <w:lang w:val="en-GB"/>
        </w:rPr>
      </w:pPr>
      <w:r>
        <w:rPr>
          <w:rFonts w:hint="default" w:ascii="Times New Roman" w:hAnsi="Times New Roman" w:cs="Times New Roman"/>
          <w:sz w:val="21"/>
          <w:szCs w:val="21"/>
          <w:lang w:val="en-GB"/>
        </w:rPr>
        <w:t xml:space="preserve">Writing in </w:t>
      </w:r>
      <w:r>
        <w:rPr>
          <w:rFonts w:hint="default" w:ascii="Times New Roman" w:hAnsi="Times New Roman" w:cs="Times New Roman"/>
          <w:i/>
          <w:iCs/>
          <w:sz w:val="21"/>
          <w:szCs w:val="21"/>
          <w:lang w:val="en-GB"/>
        </w:rPr>
        <w:t xml:space="preserve">The Agricola </w:t>
      </w:r>
      <w:r>
        <w:rPr>
          <w:rFonts w:hint="default" w:ascii="Times New Roman" w:hAnsi="Times New Roman" w:cs="Times New Roman"/>
          <w:i w:val="0"/>
          <w:iCs w:val="0"/>
          <w:sz w:val="21"/>
          <w:szCs w:val="21"/>
          <w:lang w:val="en-GB"/>
        </w:rPr>
        <w:t>Tacitus Is very direct by labelling Boudicca as the chief instigator of gathering the Iceni rebels in support of the revolt against the Roman rule.</w:t>
      </w:r>
    </w:p>
    <w:p>
      <w:pPr>
        <w:pStyle w:val="3"/>
        <w:rPr>
          <w:rFonts w:hint="default" w:ascii="Times New Roman" w:hAnsi="Times New Roman" w:cs="Times New Roman"/>
          <w:sz w:val="21"/>
          <w:szCs w:val="21"/>
          <w:lang w:val="en-GB"/>
        </w:rPr>
      </w:pPr>
    </w:p>
    <w:p>
      <w:pPr>
        <w:pStyle w:val="3"/>
        <w:jc w:val="center"/>
        <w:rPr>
          <w:rFonts w:hint="default" w:ascii="Times New Roman" w:hAnsi="Times New Roman" w:eastAsia="Georgia" w:cs="Times New Roman"/>
          <w:b w:val="0"/>
          <w:i w:val="0"/>
          <w:caps w:val="0"/>
          <w:color w:val="000000"/>
          <w:spacing w:val="0"/>
          <w:sz w:val="21"/>
          <w:szCs w:val="21"/>
          <w:lang w:val="en-GB"/>
        </w:rPr>
      </w:pPr>
      <w:r>
        <w:rPr>
          <w:rFonts w:hint="default" w:ascii="Times New Roman" w:hAnsi="Times New Roman" w:eastAsia="Georgia" w:cs="Times New Roman"/>
          <w:b w:val="0"/>
          <w:i w:val="0"/>
          <w:caps w:val="0"/>
          <w:color w:val="000000"/>
          <w:spacing w:val="0"/>
          <w:sz w:val="21"/>
          <w:szCs w:val="21"/>
          <w:lang w:val="en-GB"/>
        </w:rPr>
        <w:t>“</w:t>
      </w:r>
      <w:r>
        <w:rPr>
          <w:rFonts w:hint="default" w:ascii="Times New Roman" w:hAnsi="Times New Roman" w:eastAsia="Georgia" w:cs="Times New Roman"/>
          <w:b w:val="0"/>
          <w:i w:val="0"/>
          <w:caps w:val="0"/>
          <w:color w:val="000000"/>
          <w:spacing w:val="0"/>
          <w:sz w:val="21"/>
          <w:szCs w:val="21"/>
        </w:rPr>
        <w:t>Rousing each other by this and like language, under the leadership of Boudicea, a woman of kingly descent </w:t>
      </w:r>
      <w:r>
        <w:rPr>
          <w:rStyle w:val="8"/>
          <w:rFonts w:hint="default" w:ascii="Times New Roman" w:hAnsi="Times New Roman" w:eastAsia="Georgia" w:cs="Times New Roman"/>
          <w:b w:val="0"/>
          <w:i w:val="0"/>
          <w:caps w:val="0"/>
          <w:color w:val="000000"/>
          <w:spacing w:val="0"/>
          <w:sz w:val="21"/>
          <w:szCs w:val="21"/>
        </w:rPr>
        <w:footnoteReference w:id="25"/>
      </w:r>
      <w:r>
        <w:rPr>
          <w:rFonts w:hint="default" w:ascii="Times New Roman" w:hAnsi="Times New Roman" w:eastAsia="Georgia" w:cs="Times New Roman"/>
          <w:b w:val="0"/>
          <w:i w:val="0"/>
          <w:caps w:val="0"/>
          <w:color w:val="000000"/>
          <w:spacing w:val="0"/>
          <w:sz w:val="21"/>
          <w:szCs w:val="21"/>
          <w:lang w:val="en-GB"/>
        </w:rPr>
        <w:t>”</w:t>
      </w:r>
    </w:p>
    <w:p>
      <w:pPr>
        <w:pStyle w:val="3"/>
        <w:jc w:val="center"/>
        <w:rPr>
          <w:rFonts w:hint="default" w:ascii="Times New Roman" w:hAnsi="Times New Roman" w:eastAsia="Georgia" w:cs="Times New Roman"/>
          <w:b w:val="0"/>
          <w:i w:val="0"/>
          <w:caps w:val="0"/>
          <w:color w:val="000000"/>
          <w:spacing w:val="0"/>
          <w:sz w:val="21"/>
          <w:szCs w:val="21"/>
          <w:lang w:val="en-GB"/>
        </w:rPr>
      </w:pPr>
    </w:p>
    <w:p>
      <w:pPr>
        <w:pStyle w:val="3"/>
        <w:jc w:val="left"/>
        <w:rPr>
          <w:rFonts w:hint="default" w:ascii="Times New Roman" w:hAnsi="Times New Roman" w:eastAsia="Georgia" w:cs="Times New Roman"/>
          <w:b w:val="0"/>
          <w:i w:val="0"/>
          <w:iCs w:val="0"/>
          <w:caps w:val="0"/>
          <w:color w:val="000000"/>
          <w:spacing w:val="0"/>
          <w:sz w:val="21"/>
          <w:szCs w:val="21"/>
          <w:lang w:val="en-GB"/>
        </w:rPr>
      </w:pPr>
      <w:r>
        <w:rPr>
          <w:rFonts w:hint="default" w:ascii="Times New Roman" w:hAnsi="Times New Roman" w:eastAsia="Georgia" w:cs="Times New Roman"/>
          <w:b w:val="0"/>
          <w:i w:val="0"/>
          <w:caps w:val="0"/>
          <w:color w:val="000000"/>
          <w:spacing w:val="0"/>
          <w:sz w:val="21"/>
          <w:szCs w:val="21"/>
          <w:lang w:val="en-GB"/>
        </w:rPr>
        <w:t xml:space="preserve">This line form </w:t>
      </w:r>
      <w:r>
        <w:rPr>
          <w:rFonts w:hint="default" w:ascii="Times New Roman" w:hAnsi="Times New Roman" w:eastAsia="Georgia" w:cs="Times New Roman"/>
          <w:b w:val="0"/>
          <w:i/>
          <w:iCs/>
          <w:caps w:val="0"/>
          <w:color w:val="000000"/>
          <w:spacing w:val="0"/>
          <w:sz w:val="21"/>
          <w:szCs w:val="21"/>
          <w:lang w:val="en-GB"/>
        </w:rPr>
        <w:t>The Agricola</w:t>
      </w:r>
      <w:r>
        <w:rPr>
          <w:rFonts w:hint="default" w:ascii="Times New Roman" w:hAnsi="Times New Roman" w:eastAsia="Georgia" w:cs="Times New Roman"/>
          <w:b w:val="0"/>
          <w:i w:val="0"/>
          <w:caps w:val="0"/>
          <w:color w:val="000000"/>
          <w:spacing w:val="0"/>
          <w:sz w:val="21"/>
          <w:szCs w:val="21"/>
          <w:lang w:val="en-GB"/>
        </w:rPr>
        <w:t xml:space="preserve"> contradicts his writing on Boudicca in </w:t>
      </w:r>
      <w:r>
        <w:rPr>
          <w:rFonts w:hint="default" w:ascii="Times New Roman" w:hAnsi="Times New Roman" w:eastAsia="Georgia" w:cs="Times New Roman"/>
          <w:b w:val="0"/>
          <w:i/>
          <w:iCs/>
          <w:caps w:val="0"/>
          <w:color w:val="000000"/>
          <w:spacing w:val="0"/>
          <w:sz w:val="21"/>
          <w:szCs w:val="21"/>
          <w:lang w:val="en-GB"/>
        </w:rPr>
        <w:t xml:space="preserve">The Annals </w:t>
      </w:r>
      <w:r>
        <w:rPr>
          <w:rFonts w:hint="default" w:ascii="Times New Roman" w:hAnsi="Times New Roman" w:eastAsia="Georgia" w:cs="Times New Roman"/>
          <w:b w:val="0"/>
          <w:i w:val="0"/>
          <w:iCs w:val="0"/>
          <w:caps w:val="0"/>
          <w:color w:val="000000"/>
          <w:spacing w:val="0"/>
          <w:sz w:val="21"/>
          <w:szCs w:val="21"/>
          <w:lang w:val="en-GB"/>
        </w:rPr>
        <w:t>twice</w:t>
      </w:r>
      <w:r>
        <w:rPr>
          <w:rFonts w:hint="default" w:ascii="Times New Roman" w:hAnsi="Times New Roman" w:eastAsia="Georgia" w:cs="Times New Roman"/>
          <w:b w:val="0"/>
          <w:i w:val="0"/>
          <w:caps w:val="0"/>
          <w:color w:val="000000"/>
          <w:spacing w:val="0"/>
          <w:sz w:val="21"/>
          <w:szCs w:val="21"/>
          <w:lang w:val="en-GB"/>
        </w:rPr>
        <w:t>. He labels Boudicca as the leader of the Iceni rebels, which she is never mentioned as before hand, he also claims she is “A woman of kingly decent”</w:t>
      </w:r>
      <w:r>
        <w:rPr>
          <w:rStyle w:val="8"/>
          <w:rFonts w:hint="default" w:ascii="Times New Roman" w:hAnsi="Times New Roman" w:eastAsia="Georgia" w:cs="Times New Roman"/>
          <w:b w:val="0"/>
          <w:i w:val="0"/>
          <w:caps w:val="0"/>
          <w:color w:val="000000"/>
          <w:spacing w:val="0"/>
          <w:sz w:val="21"/>
          <w:szCs w:val="21"/>
          <w:lang w:val="en-GB"/>
        </w:rPr>
        <w:footnoteReference w:id="26"/>
      </w:r>
      <w:r>
        <w:rPr>
          <w:rFonts w:hint="default" w:ascii="Times New Roman" w:hAnsi="Times New Roman" w:eastAsia="Georgia" w:cs="Times New Roman"/>
          <w:b w:val="0"/>
          <w:i w:val="0"/>
          <w:caps w:val="0"/>
          <w:color w:val="000000"/>
          <w:spacing w:val="0"/>
          <w:sz w:val="21"/>
          <w:szCs w:val="21"/>
          <w:lang w:val="en-GB"/>
        </w:rPr>
        <w:t xml:space="preserve">” When Tacitus is retelling Boudicca's </w:t>
      </w:r>
      <w:r>
        <w:rPr>
          <w:rFonts w:hint="default" w:ascii="Times New Roman" w:hAnsi="Times New Roman" w:eastAsia="Georgia" w:cs="Times New Roman"/>
          <w:b w:val="0"/>
          <w:i w:val="0"/>
          <w:color w:val="000000"/>
          <w:spacing w:val="0"/>
          <w:sz w:val="21"/>
          <w:szCs w:val="21"/>
          <w:lang w:val="en-GB"/>
        </w:rPr>
        <w:t>speech at the battle of Watling street</w:t>
      </w:r>
      <w:r>
        <w:rPr>
          <w:rFonts w:hint="default" w:ascii="Times New Roman" w:hAnsi="Times New Roman" w:eastAsia="Georgia" w:cs="Times New Roman"/>
          <w:b w:val="0"/>
          <w:i w:val="0"/>
          <w:caps w:val="0"/>
          <w:color w:val="000000"/>
          <w:spacing w:val="0"/>
          <w:sz w:val="21"/>
          <w:szCs w:val="21"/>
          <w:lang w:val="en-GB"/>
        </w:rPr>
        <w:t xml:space="preserve"> in his </w:t>
      </w:r>
      <w:r>
        <w:rPr>
          <w:rFonts w:hint="default" w:ascii="Times New Roman" w:hAnsi="Times New Roman" w:eastAsia="Georgia" w:cs="Times New Roman"/>
          <w:b w:val="0"/>
          <w:i/>
          <w:iCs/>
          <w:caps w:val="0"/>
          <w:color w:val="000000"/>
          <w:spacing w:val="0"/>
          <w:sz w:val="21"/>
          <w:szCs w:val="21"/>
          <w:lang w:val="en-GB"/>
        </w:rPr>
        <w:t xml:space="preserve">Annals, </w:t>
      </w:r>
      <w:r>
        <w:rPr>
          <w:rFonts w:hint="default" w:ascii="Times New Roman" w:hAnsi="Times New Roman" w:eastAsia="Georgia" w:cs="Times New Roman"/>
          <w:b w:val="0"/>
          <w:i w:val="0"/>
          <w:iCs w:val="0"/>
          <w:caps w:val="0"/>
          <w:color w:val="000000"/>
          <w:spacing w:val="0"/>
          <w:sz w:val="21"/>
          <w:szCs w:val="21"/>
          <w:lang w:val="en-GB"/>
        </w:rPr>
        <w:t xml:space="preserve">he opens with the line. </w:t>
      </w:r>
    </w:p>
    <w:p>
      <w:pPr>
        <w:pStyle w:val="3"/>
        <w:jc w:val="left"/>
        <w:rPr>
          <w:rFonts w:hint="default" w:ascii="Times New Roman" w:hAnsi="Times New Roman" w:eastAsia="Georgia" w:cs="Times New Roman"/>
          <w:b w:val="0"/>
          <w:i w:val="0"/>
          <w:iCs w:val="0"/>
          <w:caps w:val="0"/>
          <w:color w:val="000000"/>
          <w:spacing w:val="0"/>
          <w:sz w:val="21"/>
          <w:szCs w:val="21"/>
          <w:lang w:val="en-GB"/>
        </w:rPr>
      </w:pPr>
    </w:p>
    <w:p>
      <w:pPr>
        <w:pStyle w:val="3"/>
        <w:jc w:val="center"/>
        <w:rPr>
          <w:rFonts w:hint="default" w:ascii="Times New Roman" w:hAnsi="Times New Roman" w:cs="Times New Roman"/>
          <w:sz w:val="21"/>
          <w:szCs w:val="21"/>
          <w:lang w:val="en-GB"/>
        </w:rPr>
      </w:pPr>
      <w:r>
        <w:rPr>
          <w:rFonts w:hint="default" w:ascii="Times New Roman" w:hAnsi="Times New Roman" w:cs="Times New Roman"/>
          <w:sz w:val="21"/>
          <w:szCs w:val="21"/>
          <w:lang w:val="en-GB"/>
        </w:rPr>
        <w:t>“</w:t>
      </w:r>
      <w:r>
        <w:rPr>
          <w:rFonts w:hint="default" w:ascii="Times New Roman" w:hAnsi="Times New Roman" w:cs="Times New Roman"/>
          <w:sz w:val="21"/>
          <w:szCs w:val="21"/>
        </w:rPr>
        <w:t>But now," she said, "it is not as a woman descended from noble ancestry</w:t>
      </w:r>
      <w:r>
        <w:rPr>
          <w:rFonts w:hint="default" w:ascii="Times New Roman" w:hAnsi="Times New Roman" w:cs="Times New Roman"/>
          <w:sz w:val="21"/>
          <w:szCs w:val="21"/>
          <w:lang w:val="en-GB"/>
        </w:rPr>
        <w:t>.</w:t>
      </w:r>
      <w:r>
        <w:rPr>
          <w:rStyle w:val="8"/>
          <w:rFonts w:hint="default" w:ascii="Times New Roman" w:hAnsi="Times New Roman" w:cs="Times New Roman"/>
          <w:sz w:val="21"/>
          <w:szCs w:val="21"/>
        </w:rPr>
        <w:footnoteReference w:id="27"/>
      </w:r>
      <w:r>
        <w:rPr>
          <w:rFonts w:hint="default" w:ascii="Times New Roman" w:hAnsi="Times New Roman" w:cs="Times New Roman"/>
          <w:sz w:val="21"/>
          <w:szCs w:val="21"/>
          <w:lang w:val="en-GB"/>
        </w:rPr>
        <w:t>”</w:t>
      </w:r>
    </w:p>
    <w:p>
      <w:pPr>
        <w:pStyle w:val="3"/>
        <w:jc w:val="center"/>
        <w:rPr>
          <w:rFonts w:hint="default" w:ascii="Times New Roman" w:hAnsi="Times New Roman" w:cs="Times New Roman"/>
          <w:sz w:val="21"/>
          <w:szCs w:val="21"/>
          <w:lang w:val="en-GB"/>
        </w:rPr>
      </w:pPr>
    </w:p>
    <w:p>
      <w:pPr>
        <w:pStyle w:val="3"/>
        <w:jc w:val="left"/>
        <w:rPr>
          <w:rFonts w:hint="default" w:ascii="Times New Roman" w:hAnsi="Times New Roman" w:cs="Times New Roman"/>
          <w:sz w:val="21"/>
          <w:szCs w:val="21"/>
          <w:lang w:val="en-GB"/>
        </w:rPr>
      </w:pPr>
      <w:r>
        <w:rPr>
          <w:rFonts w:hint="default" w:ascii="Times New Roman" w:hAnsi="Times New Roman" w:eastAsia="Georgia" w:cs="Times New Roman"/>
          <w:b w:val="0"/>
          <w:i w:val="0"/>
          <w:caps w:val="0"/>
          <w:color w:val="000000"/>
          <w:spacing w:val="0"/>
          <w:sz w:val="21"/>
          <w:szCs w:val="21"/>
          <w:lang w:val="en-GB"/>
        </w:rPr>
        <w:t>Tacitus was clearly not present at the battle of Watling street as he was only 5 or six at the time,</w:t>
      </w:r>
      <w:r>
        <w:rPr>
          <w:rStyle w:val="8"/>
          <w:rFonts w:hint="default" w:ascii="Times New Roman" w:hAnsi="Times New Roman" w:eastAsia="Georgia" w:cs="Times New Roman"/>
          <w:b w:val="0"/>
          <w:i w:val="0"/>
          <w:caps w:val="0"/>
          <w:color w:val="000000"/>
          <w:spacing w:val="0"/>
          <w:sz w:val="21"/>
          <w:szCs w:val="21"/>
          <w:lang w:val="en-GB"/>
        </w:rPr>
        <w:footnoteReference w:id="28"/>
      </w:r>
      <w:r>
        <w:rPr>
          <w:rFonts w:hint="default" w:ascii="Times New Roman" w:hAnsi="Times New Roman" w:eastAsia="Georgia" w:cs="Times New Roman"/>
          <w:b w:val="0"/>
          <w:i w:val="0"/>
          <w:caps w:val="0"/>
          <w:color w:val="000000"/>
          <w:spacing w:val="0"/>
          <w:sz w:val="21"/>
          <w:szCs w:val="21"/>
          <w:lang w:val="en-GB"/>
        </w:rPr>
        <w:t xml:space="preserve"> so “Boudicca’s” speech is more </w:t>
      </w:r>
      <w:r>
        <w:rPr>
          <w:rFonts w:hint="default" w:ascii="Times New Roman" w:hAnsi="Times New Roman" w:eastAsia="Georgia" w:cs="Times New Roman"/>
          <w:b w:val="0"/>
          <w:i w:val="0"/>
          <w:color w:val="000000"/>
          <w:spacing w:val="0"/>
          <w:sz w:val="21"/>
          <w:szCs w:val="21"/>
          <w:lang w:val="en-GB"/>
        </w:rPr>
        <w:t>than</w:t>
      </w:r>
      <w:r>
        <w:rPr>
          <w:rFonts w:hint="default" w:ascii="Times New Roman" w:hAnsi="Times New Roman" w:eastAsia="Georgia" w:cs="Times New Roman"/>
          <w:b w:val="0"/>
          <w:i w:val="0"/>
          <w:caps w:val="0"/>
          <w:color w:val="000000"/>
          <w:spacing w:val="0"/>
          <w:sz w:val="21"/>
          <w:szCs w:val="21"/>
          <w:lang w:val="en-GB"/>
        </w:rPr>
        <w:t xml:space="preserve"> </w:t>
      </w:r>
      <w:r>
        <w:rPr>
          <w:rFonts w:hint="default" w:ascii="Times New Roman" w:hAnsi="Times New Roman" w:eastAsia="Georgia" w:cs="Times New Roman"/>
          <w:b w:val="0"/>
          <w:i w:val="0"/>
          <w:color w:val="000000"/>
          <w:spacing w:val="0"/>
          <w:sz w:val="21"/>
          <w:szCs w:val="21"/>
          <w:lang w:val="en-GB"/>
        </w:rPr>
        <w:t>likely</w:t>
      </w:r>
      <w:r>
        <w:rPr>
          <w:rFonts w:hint="default" w:ascii="Times New Roman" w:hAnsi="Times New Roman" w:eastAsia="Georgia" w:cs="Times New Roman"/>
          <w:b w:val="0"/>
          <w:i w:val="0"/>
          <w:caps w:val="0"/>
          <w:color w:val="000000"/>
          <w:spacing w:val="0"/>
          <w:sz w:val="21"/>
          <w:szCs w:val="21"/>
          <w:lang w:val="en-GB"/>
        </w:rPr>
        <w:t xml:space="preserve"> fictional </w:t>
      </w:r>
      <w:r>
        <w:rPr>
          <w:rFonts w:hint="default" w:ascii="Times New Roman" w:hAnsi="Times New Roman" w:eastAsia="Georgia" w:cs="Times New Roman"/>
          <w:b w:val="0"/>
          <w:i w:val="0"/>
          <w:color w:val="000000"/>
          <w:spacing w:val="0"/>
          <w:sz w:val="21"/>
          <w:szCs w:val="21"/>
          <w:lang w:val="en-GB"/>
        </w:rPr>
        <w:t>and</w:t>
      </w:r>
      <w:r>
        <w:rPr>
          <w:rFonts w:hint="default" w:ascii="Times New Roman" w:hAnsi="Times New Roman" w:eastAsia="Georgia" w:cs="Times New Roman"/>
          <w:b w:val="0"/>
          <w:i w:val="0"/>
          <w:caps w:val="0"/>
          <w:color w:val="000000"/>
          <w:spacing w:val="0"/>
          <w:sz w:val="21"/>
          <w:szCs w:val="21"/>
          <w:lang w:val="en-GB"/>
        </w:rPr>
        <w:t xml:space="preserve"> possibly never happened. Similar to Dio Cassius, Adler also concludes that the speech given by Tacitus was not an “accurate reflection</w:t>
      </w:r>
      <w:r>
        <w:rPr>
          <w:rStyle w:val="8"/>
          <w:rFonts w:hint="default" w:ascii="Times New Roman" w:hAnsi="Times New Roman" w:eastAsia="Georgia" w:cs="Times New Roman"/>
          <w:b w:val="0"/>
          <w:i w:val="0"/>
          <w:caps w:val="0"/>
          <w:color w:val="000000"/>
          <w:spacing w:val="0"/>
          <w:sz w:val="21"/>
          <w:szCs w:val="21"/>
          <w:lang w:val="en-GB"/>
        </w:rPr>
        <w:footnoteReference w:id="29"/>
      </w:r>
      <w:r>
        <w:rPr>
          <w:rFonts w:hint="default" w:ascii="Times New Roman" w:hAnsi="Times New Roman" w:eastAsia="Georgia" w:cs="Times New Roman"/>
          <w:b w:val="0"/>
          <w:i w:val="0"/>
          <w:caps w:val="0"/>
          <w:color w:val="000000"/>
          <w:spacing w:val="0"/>
          <w:sz w:val="21"/>
          <w:szCs w:val="21"/>
          <w:lang w:val="en-GB"/>
        </w:rPr>
        <w:t xml:space="preserve">” of what Boudicca ‘said’. </w:t>
      </w:r>
      <w:r>
        <w:rPr>
          <w:rFonts w:hint="default" w:ascii="Times New Roman" w:hAnsi="Times New Roman" w:cs="Times New Roman"/>
          <w:sz w:val="21"/>
          <w:szCs w:val="21"/>
          <w:lang w:val="en-GB"/>
        </w:rPr>
        <w:t>By giving the reader an awe inspiring speech, he keeps the readers attention, this may help to explain the contradictions in his work. At the time, Boudicca would not have spoken Greek or Latin</w:t>
      </w:r>
      <w:r>
        <w:rPr>
          <w:rStyle w:val="8"/>
          <w:rFonts w:hint="default" w:ascii="Times New Roman" w:hAnsi="Times New Roman" w:cs="Times New Roman"/>
          <w:sz w:val="21"/>
          <w:szCs w:val="21"/>
          <w:lang w:val="en-GB"/>
        </w:rPr>
        <w:footnoteReference w:id="30"/>
      </w:r>
      <w:r>
        <w:rPr>
          <w:rFonts w:hint="default" w:ascii="Times New Roman" w:hAnsi="Times New Roman" w:cs="Times New Roman"/>
          <w:sz w:val="21"/>
          <w:szCs w:val="21"/>
          <w:lang w:val="en-GB"/>
        </w:rPr>
        <w:t>, Adler comments that it was “highly unlikely” that Tacitus would have had “adequate information on her speeches</w:t>
      </w:r>
      <w:r>
        <w:rPr>
          <w:rStyle w:val="8"/>
          <w:rFonts w:hint="default" w:ascii="Times New Roman" w:hAnsi="Times New Roman" w:cs="Times New Roman"/>
          <w:sz w:val="21"/>
          <w:szCs w:val="21"/>
          <w:lang w:val="en-GB"/>
        </w:rPr>
        <w:footnoteReference w:id="31"/>
      </w:r>
      <w:r>
        <w:rPr>
          <w:rFonts w:hint="default" w:ascii="Times New Roman" w:hAnsi="Times New Roman" w:cs="Times New Roman"/>
          <w:sz w:val="21"/>
          <w:szCs w:val="21"/>
          <w:lang w:val="en-GB"/>
        </w:rPr>
        <w:t>”. Tacitus’s own personal biases may have also had an influence on the wording of his prose. Agricola was his father in law</w:t>
      </w:r>
      <w:r>
        <w:rPr>
          <w:rStyle w:val="8"/>
          <w:rFonts w:hint="default" w:ascii="Times New Roman" w:hAnsi="Times New Roman" w:cs="Times New Roman"/>
          <w:sz w:val="21"/>
          <w:szCs w:val="21"/>
          <w:lang w:val="en-GB"/>
        </w:rPr>
        <w:footnoteReference w:id="32"/>
      </w:r>
      <w:r>
        <w:rPr>
          <w:rFonts w:hint="default" w:ascii="Times New Roman" w:hAnsi="Times New Roman" w:cs="Times New Roman"/>
          <w:sz w:val="21"/>
          <w:szCs w:val="21"/>
          <w:lang w:val="en-GB"/>
        </w:rPr>
        <w:t>, and he would have wanted to put him in the best possible light he could. If the people of Rome read about Agricola’s life and the hand he gave in defeating the powerful and dangerous Iceni queen who led a revolt against the Empire, it would bring more honour to their household. Opposed to simply fighting against an unnamed Iceni leader and crushing the rebel British band which caused serious problem</w:t>
      </w:r>
      <w:r>
        <w:rPr>
          <w:rStyle w:val="8"/>
          <w:rFonts w:hint="default" w:ascii="Times New Roman" w:hAnsi="Times New Roman" w:cs="Times New Roman"/>
          <w:sz w:val="21"/>
          <w:szCs w:val="21"/>
          <w:lang w:val="en-GB"/>
        </w:rPr>
        <w:footnoteReference w:id="33"/>
      </w:r>
      <w:r>
        <w:rPr>
          <w:rFonts w:hint="default" w:ascii="Times New Roman" w:hAnsi="Times New Roman" w:cs="Times New Roman"/>
          <w:sz w:val="21"/>
          <w:szCs w:val="21"/>
          <w:lang w:val="en-GB"/>
        </w:rPr>
        <w:t xml:space="preserve">, which would have brought not as much honour. </w:t>
      </w:r>
    </w:p>
    <w:p>
      <w:pPr>
        <w:rPr>
          <w:rFonts w:hint="default" w:ascii="Times New Roman" w:hAnsi="Times New Roman" w:cs="Times New Roman"/>
          <w:sz w:val="21"/>
          <w:szCs w:val="21"/>
          <w:lang w:val="en-GB"/>
        </w:rPr>
      </w:pPr>
    </w:p>
    <w:p>
      <w:pPr>
        <w:rPr>
          <w:rFonts w:hint="default" w:ascii="Times New Roman" w:hAnsi="Times New Roman" w:cs="Times New Roman"/>
          <w:i w:val="0"/>
          <w:iCs w:val="0"/>
          <w:sz w:val="21"/>
          <w:szCs w:val="21"/>
          <w:lang w:val="en-GB"/>
        </w:rPr>
      </w:pPr>
      <w:r>
        <w:rPr>
          <w:rFonts w:hint="default" w:ascii="Times New Roman" w:hAnsi="Times New Roman" w:cs="Times New Roman"/>
          <w:i/>
          <w:iCs/>
          <w:sz w:val="21"/>
          <w:szCs w:val="21"/>
          <w:lang w:val="en-GB"/>
        </w:rPr>
        <w:t>The Agricola</w:t>
      </w:r>
      <w:r>
        <w:rPr>
          <w:rFonts w:hint="default" w:ascii="Times New Roman" w:hAnsi="Times New Roman" w:cs="Times New Roman"/>
          <w:i w:val="0"/>
          <w:iCs w:val="0"/>
          <w:sz w:val="21"/>
          <w:szCs w:val="21"/>
          <w:lang w:val="en-GB"/>
        </w:rPr>
        <w:t xml:space="preserve"> was written in 98 AD</w:t>
      </w:r>
      <w:r>
        <w:rPr>
          <w:rStyle w:val="8"/>
          <w:rFonts w:hint="default" w:ascii="Times New Roman" w:hAnsi="Times New Roman" w:cs="Times New Roman"/>
          <w:i w:val="0"/>
          <w:iCs w:val="0"/>
          <w:sz w:val="21"/>
          <w:szCs w:val="21"/>
          <w:lang w:val="en-GB"/>
        </w:rPr>
        <w:footnoteReference w:id="34"/>
      </w:r>
      <w:r>
        <w:rPr>
          <w:rFonts w:hint="default" w:ascii="Times New Roman" w:hAnsi="Times New Roman" w:cs="Times New Roman"/>
          <w:i w:val="0"/>
          <w:iCs w:val="0"/>
          <w:sz w:val="21"/>
          <w:szCs w:val="21"/>
          <w:lang w:val="en-GB"/>
        </w:rPr>
        <w:t xml:space="preserve"> five years after the death of Agricola. </w:t>
      </w:r>
      <w:r>
        <w:rPr>
          <w:rFonts w:hint="default" w:ascii="Times New Roman" w:hAnsi="Times New Roman" w:cs="Times New Roman"/>
          <w:i/>
          <w:iCs/>
          <w:sz w:val="21"/>
          <w:szCs w:val="21"/>
          <w:lang w:val="en-GB"/>
        </w:rPr>
        <w:t xml:space="preserve">The Annals </w:t>
      </w:r>
      <w:r>
        <w:rPr>
          <w:rFonts w:hint="default" w:ascii="Times New Roman" w:hAnsi="Times New Roman" w:cs="Times New Roman"/>
          <w:i w:val="0"/>
          <w:iCs w:val="0"/>
          <w:sz w:val="21"/>
          <w:szCs w:val="21"/>
          <w:lang w:val="en-GB"/>
        </w:rPr>
        <w:t>were written in either 105 AD or 106AD</w:t>
      </w:r>
      <w:r>
        <w:rPr>
          <w:rStyle w:val="8"/>
          <w:rFonts w:hint="default" w:ascii="Times New Roman" w:hAnsi="Times New Roman" w:eastAsia="Georgia" w:cs="Times New Roman"/>
          <w:b w:val="0"/>
          <w:i w:val="0"/>
          <w:caps w:val="0"/>
          <w:color w:val="000000"/>
          <w:spacing w:val="0"/>
          <w:sz w:val="21"/>
          <w:szCs w:val="21"/>
          <w:lang w:val="en-GB"/>
        </w:rPr>
        <w:footnoteReference w:id="35"/>
      </w:r>
      <w:r>
        <w:rPr>
          <w:rFonts w:hint="default" w:ascii="Times New Roman" w:hAnsi="Times New Roman" w:cs="Times New Roman"/>
          <w:i w:val="0"/>
          <w:iCs w:val="0"/>
          <w:sz w:val="21"/>
          <w:szCs w:val="21"/>
          <w:lang w:val="en-GB"/>
        </w:rPr>
        <w:t xml:space="preserve">. </w:t>
      </w:r>
      <w:r>
        <w:rPr>
          <w:rFonts w:hint="default" w:ascii="Times New Roman" w:hAnsi="Times New Roman" w:cs="Times New Roman"/>
          <w:i/>
          <w:iCs/>
          <w:sz w:val="21"/>
          <w:szCs w:val="21"/>
          <w:lang w:val="en-GB"/>
        </w:rPr>
        <w:t xml:space="preserve">The Annals </w:t>
      </w:r>
      <w:r>
        <w:rPr>
          <w:rFonts w:hint="default" w:ascii="Times New Roman" w:hAnsi="Times New Roman" w:cs="Times New Roman"/>
          <w:i w:val="0"/>
          <w:iCs w:val="0"/>
          <w:sz w:val="21"/>
          <w:szCs w:val="21"/>
          <w:lang w:val="en-GB"/>
        </w:rPr>
        <w:t xml:space="preserve">were more focused on the Romans in Britain as a whole, not just Agricola and his affairs. Tacitus also used </w:t>
      </w:r>
      <w:r>
        <w:rPr>
          <w:rFonts w:hint="default" w:ascii="Times New Roman" w:hAnsi="Times New Roman" w:cs="Times New Roman"/>
          <w:i/>
          <w:iCs/>
          <w:sz w:val="21"/>
          <w:szCs w:val="21"/>
          <w:lang w:val="en-GB"/>
        </w:rPr>
        <w:t>The Annals</w:t>
      </w:r>
      <w:r>
        <w:rPr>
          <w:rFonts w:hint="default" w:ascii="Times New Roman" w:hAnsi="Times New Roman" w:cs="Times New Roman"/>
          <w:i w:val="0"/>
          <w:iCs w:val="0"/>
          <w:sz w:val="21"/>
          <w:szCs w:val="21"/>
          <w:lang w:val="en-GB"/>
        </w:rPr>
        <w:t xml:space="preserve"> as a weapon against the emperor Nero.</w:t>
      </w:r>
      <w:r>
        <w:rPr>
          <w:rStyle w:val="8"/>
          <w:rFonts w:hint="default" w:ascii="Times New Roman" w:hAnsi="Times New Roman" w:cs="Times New Roman"/>
          <w:i w:val="0"/>
          <w:iCs w:val="0"/>
          <w:sz w:val="21"/>
          <w:szCs w:val="21"/>
          <w:lang w:val="en-GB"/>
        </w:rPr>
        <w:footnoteReference w:id="36"/>
      </w:r>
      <w:r>
        <w:rPr>
          <w:rFonts w:hint="default" w:ascii="Times New Roman" w:hAnsi="Times New Roman" w:cs="Times New Roman"/>
          <w:i w:val="0"/>
          <w:iCs w:val="0"/>
          <w:sz w:val="21"/>
          <w:szCs w:val="21"/>
          <w:lang w:val="en-GB"/>
        </w:rPr>
        <w:t xml:space="preserve"> The fact that Boudicca, who caused so much trouble for the Empire was a woman, and not descended from noble ancestry</w:t>
      </w:r>
      <w:r>
        <w:rPr>
          <w:rStyle w:val="8"/>
          <w:rFonts w:hint="default" w:ascii="Times New Roman" w:hAnsi="Times New Roman" w:cs="Times New Roman"/>
          <w:i w:val="0"/>
          <w:iCs w:val="0"/>
          <w:sz w:val="21"/>
          <w:szCs w:val="21"/>
          <w:lang w:val="en-GB"/>
        </w:rPr>
        <w:footnoteReference w:id="37"/>
      </w:r>
      <w:r>
        <w:rPr>
          <w:rFonts w:hint="default" w:ascii="Times New Roman" w:hAnsi="Times New Roman" w:cs="Times New Roman"/>
          <w:i w:val="0"/>
          <w:iCs w:val="0"/>
          <w:sz w:val="21"/>
          <w:szCs w:val="21"/>
          <w:lang w:val="en-GB"/>
        </w:rPr>
        <w:t xml:space="preserve"> showed the Romans that Nero was no fit leader as he couldn’t effectively halt the warpath of an Iceni Queen.</w:t>
      </w:r>
    </w:p>
    <w:p>
      <w:pPr>
        <w:rPr>
          <w:rFonts w:hint="default" w:ascii="Times New Roman" w:hAnsi="Times New Roman" w:cs="Times New Roman"/>
          <w:i w:val="0"/>
          <w:iCs w:val="0"/>
          <w:sz w:val="21"/>
          <w:szCs w:val="21"/>
          <w:lang w:val="en-GB"/>
        </w:rPr>
      </w:pPr>
    </w:p>
    <w:p>
      <w:pPr>
        <w:pStyle w:val="3"/>
        <w:jc w:val="left"/>
        <w:rPr>
          <w:rFonts w:hint="default" w:ascii="Times New Roman" w:hAnsi="Times New Roman" w:cs="Times New Roman"/>
          <w:sz w:val="21"/>
          <w:szCs w:val="21"/>
          <w:lang w:val="en-GB"/>
        </w:rPr>
      </w:pPr>
    </w:p>
    <w:p>
      <w:pPr>
        <w:pStyle w:val="3"/>
        <w:jc w:val="left"/>
        <w:rPr>
          <w:rFonts w:hint="default" w:ascii="Times New Roman" w:hAnsi="Times New Roman" w:cs="Times New Roman"/>
          <w:sz w:val="21"/>
          <w:szCs w:val="21"/>
          <w:lang w:val="en-GB"/>
        </w:rPr>
      </w:pPr>
      <w:r>
        <w:rPr>
          <w:rFonts w:hint="default" w:ascii="Times New Roman" w:hAnsi="Times New Roman" w:cs="Times New Roman"/>
          <w:sz w:val="21"/>
          <w:szCs w:val="21"/>
          <w:lang w:val="en-GB"/>
        </w:rPr>
        <w:t xml:space="preserve">Hornblower, when writing about Tacitus in the </w:t>
      </w:r>
      <w:r>
        <w:rPr>
          <w:rStyle w:val="11"/>
          <w:rFonts w:hint="default" w:ascii="Times New Roman" w:hAnsi="Times New Roman" w:cs="Times New Roman"/>
          <w:sz w:val="21"/>
          <w:szCs w:val="21"/>
        </w:rPr>
        <w:t>Who's who in the classical world</w:t>
      </w:r>
      <w:r>
        <w:rPr>
          <w:rStyle w:val="8"/>
          <w:rFonts w:hint="default" w:ascii="Times New Roman" w:hAnsi="Times New Roman" w:cs="Times New Roman"/>
          <w:sz w:val="21"/>
          <w:szCs w:val="21"/>
        </w:rPr>
        <w:footnoteReference w:id="38"/>
      </w:r>
      <w:r>
        <w:rPr>
          <w:rFonts w:hint="default" w:ascii="Times New Roman" w:hAnsi="Times New Roman" w:cs="Times New Roman"/>
          <w:sz w:val="21"/>
          <w:szCs w:val="21"/>
          <w:lang w:val="en-GB"/>
        </w:rPr>
        <w:t xml:space="preserve"> states tha</w:t>
      </w:r>
      <w:r>
        <w:rPr>
          <w:rFonts w:hint="default" w:ascii="Times New Roman" w:hAnsi="Times New Roman" w:cs="Times New Roman"/>
          <w:sz w:val="21"/>
          <w:szCs w:val="21"/>
        </w:rPr>
        <w:t>t</w:t>
      </w:r>
      <w:r>
        <w:rPr>
          <w:rFonts w:hint="default" w:ascii="Times New Roman" w:hAnsi="Times New Roman" w:cs="Times New Roman"/>
          <w:sz w:val="21"/>
          <w:szCs w:val="21"/>
          <w:lang w:val="en-GB"/>
        </w:rPr>
        <w:t>.</w:t>
      </w:r>
    </w:p>
    <w:p>
      <w:pPr>
        <w:pStyle w:val="3"/>
        <w:jc w:val="left"/>
        <w:rPr>
          <w:rFonts w:hint="default" w:ascii="Times New Roman" w:hAnsi="Times New Roman" w:cs="Times New Roman"/>
          <w:sz w:val="21"/>
          <w:szCs w:val="21"/>
          <w:lang w:val="en-GB"/>
        </w:rPr>
      </w:pPr>
    </w:p>
    <w:p>
      <w:pPr>
        <w:pStyle w:val="3"/>
        <w:jc w:val="center"/>
        <w:rPr>
          <w:rFonts w:hint="default" w:ascii="Times New Roman" w:hAnsi="Times New Roman" w:cs="Times New Roman"/>
          <w:sz w:val="21"/>
          <w:szCs w:val="21"/>
          <w:lang w:val="en-GB"/>
        </w:rPr>
      </w:pPr>
      <w:r>
        <w:rPr>
          <w:rFonts w:hint="default" w:ascii="Times New Roman" w:hAnsi="Times New Roman" w:cs="Times New Roman"/>
          <w:sz w:val="21"/>
          <w:szCs w:val="21"/>
          <w:lang w:val="en-GB"/>
        </w:rPr>
        <w:t>“</w:t>
      </w:r>
      <w:r>
        <w:rPr>
          <w:rFonts w:hint="default" w:ascii="Times New Roman" w:hAnsi="Times New Roman" w:cs="Times New Roman"/>
          <w:sz w:val="21"/>
          <w:szCs w:val="21"/>
        </w:rPr>
        <w:t>Tacitus did not write according to the canons of modern historiography. His aim is to provide a narrative that will hold the reader's attention</w:t>
      </w:r>
      <w:r>
        <w:rPr>
          <w:rStyle w:val="8"/>
          <w:rFonts w:hint="default" w:ascii="Times New Roman" w:hAnsi="Times New Roman" w:eastAsia="SimSun" w:cs="Times New Roman"/>
          <w:b w:val="0"/>
          <w:i w:val="0"/>
          <w:caps w:val="0"/>
          <w:color w:val="000000"/>
          <w:spacing w:val="0"/>
          <w:sz w:val="21"/>
          <w:szCs w:val="21"/>
          <w:shd w:val="clear" w:fill="FFFFFF"/>
        </w:rPr>
        <w:footnoteReference w:id="39"/>
      </w:r>
      <w:r>
        <w:rPr>
          <w:rFonts w:hint="default" w:ascii="Times New Roman" w:hAnsi="Times New Roman" w:cs="Times New Roman"/>
          <w:sz w:val="21"/>
          <w:szCs w:val="21"/>
          <w:lang w:val="en-GB"/>
        </w:rPr>
        <w:t xml:space="preserve">” </w:t>
      </w:r>
    </w:p>
    <w:p>
      <w:pPr>
        <w:pStyle w:val="3"/>
        <w:jc w:val="center"/>
        <w:rPr>
          <w:rFonts w:hint="default" w:ascii="Times New Roman" w:hAnsi="Times New Roman" w:cs="Times New Roman"/>
          <w:sz w:val="21"/>
          <w:szCs w:val="21"/>
          <w:lang w:val="en-GB"/>
        </w:rPr>
      </w:pPr>
    </w:p>
    <w:p>
      <w:pPr>
        <w:pStyle w:val="3"/>
        <w:jc w:val="left"/>
        <w:rPr>
          <w:rFonts w:hint="default" w:ascii="Times New Roman" w:hAnsi="Times New Roman" w:cs="Times New Roman"/>
          <w:sz w:val="21"/>
          <w:szCs w:val="21"/>
          <w:lang w:val="en-GB"/>
        </w:rPr>
      </w:pPr>
      <w:r>
        <w:rPr>
          <w:rFonts w:hint="default" w:ascii="Times New Roman" w:hAnsi="Times New Roman" w:cs="Times New Roman"/>
          <w:sz w:val="21"/>
          <w:szCs w:val="21"/>
          <w:lang w:val="en-GB"/>
        </w:rPr>
        <w:t xml:space="preserve">This opinion from Hornblower straight away casts a shadow over the reliability of Tacitus's works, by claiming he only wrote with a narrative to hold the readers attention, shows us Tacitus may not have written with the truth of what actually happened in the front of his mind. </w:t>
      </w:r>
      <w:r>
        <w:rPr>
          <w:rFonts w:hint="default" w:ascii="Times New Roman" w:hAnsi="Times New Roman" w:cs="Times New Roman"/>
          <w:sz w:val="21"/>
          <w:szCs w:val="21"/>
        </w:rPr>
        <w:t>Aldhouse-Green</w:t>
      </w:r>
      <w:r>
        <w:rPr>
          <w:rFonts w:hint="default" w:ascii="Times New Roman" w:hAnsi="Times New Roman" w:cs="Times New Roman"/>
          <w:sz w:val="21"/>
          <w:szCs w:val="21"/>
          <w:lang w:val="en-GB"/>
        </w:rPr>
        <w:t xml:space="preserve"> agreeing with Hornblower’s interpretation of Tacitus’s work comments</w:t>
      </w:r>
    </w:p>
    <w:p>
      <w:pPr>
        <w:pStyle w:val="3"/>
        <w:jc w:val="left"/>
        <w:rPr>
          <w:rFonts w:hint="default" w:ascii="Times New Roman" w:hAnsi="Times New Roman" w:cs="Times New Roman"/>
          <w:sz w:val="21"/>
          <w:szCs w:val="21"/>
          <w:lang w:val="en-GB"/>
        </w:rPr>
      </w:pPr>
    </w:p>
    <w:p>
      <w:pPr>
        <w:pStyle w:val="3"/>
        <w:jc w:val="center"/>
        <w:rPr>
          <w:rFonts w:hint="default" w:ascii="Times New Roman" w:hAnsi="Times New Roman" w:cs="Times New Roman"/>
          <w:sz w:val="21"/>
          <w:szCs w:val="21"/>
          <w:lang w:val="en-GB"/>
        </w:rPr>
      </w:pPr>
      <w:r>
        <w:rPr>
          <w:rFonts w:hint="default" w:ascii="Times New Roman" w:hAnsi="Times New Roman" w:cs="Times New Roman"/>
          <w:sz w:val="21"/>
          <w:szCs w:val="21"/>
          <w:lang w:val="en-GB"/>
        </w:rPr>
        <w:t>“</w:t>
      </w:r>
      <w:r>
        <w:rPr>
          <w:rFonts w:hint="default" w:ascii="Times New Roman" w:hAnsi="Times New Roman" w:cs="Times New Roman"/>
          <w:sz w:val="21"/>
          <w:szCs w:val="21"/>
        </w:rPr>
        <w:t xml:space="preserve">The story of </w:t>
      </w:r>
      <w:r>
        <w:rPr>
          <w:rFonts w:hint="default" w:ascii="Times New Roman" w:hAnsi="Times New Roman" w:cs="Times New Roman"/>
          <w:sz w:val="21"/>
          <w:szCs w:val="21"/>
          <w:lang w:val="en-GB"/>
        </w:rPr>
        <w:t>Boudicca</w:t>
      </w:r>
      <w:r>
        <w:rPr>
          <w:rFonts w:hint="default" w:ascii="Times New Roman" w:hAnsi="Times New Roman" w:cs="Times New Roman"/>
          <w:sz w:val="21"/>
          <w:szCs w:val="21"/>
        </w:rPr>
        <w:t xml:space="preserve"> gifts any author with a plot-line rich in narrative causality</w:t>
      </w:r>
      <w:r>
        <w:rPr>
          <w:rFonts w:hint="default" w:ascii="Times New Roman" w:hAnsi="Times New Roman" w:cs="Times New Roman"/>
          <w:sz w:val="21"/>
          <w:szCs w:val="21"/>
          <w:lang w:val="en-GB"/>
        </w:rPr>
        <w:t>”</w:t>
      </w:r>
      <w:r>
        <w:rPr>
          <w:rFonts w:hint="default" w:ascii="Times New Roman" w:hAnsi="Times New Roman" w:cs="Times New Roman"/>
          <w:sz w:val="21"/>
          <w:szCs w:val="21"/>
          <w:vertAlign w:val="superscript"/>
          <w:lang w:val="en-GB"/>
        </w:rPr>
        <w:footnoteReference w:id="40"/>
      </w:r>
    </w:p>
    <w:p>
      <w:pPr>
        <w:pStyle w:val="3"/>
        <w:jc w:val="center"/>
        <w:rPr>
          <w:rFonts w:hint="default" w:ascii="Times New Roman" w:hAnsi="Times New Roman" w:cs="Times New Roman"/>
          <w:sz w:val="21"/>
          <w:szCs w:val="21"/>
          <w:lang w:val="en-GB"/>
        </w:rPr>
      </w:pPr>
    </w:p>
    <w:p>
      <w:pPr>
        <w:pStyle w:val="3"/>
        <w:jc w:val="left"/>
        <w:rPr>
          <w:rFonts w:hint="default" w:ascii="Times New Roman" w:hAnsi="Times New Roman" w:cs="Times New Roman"/>
          <w:sz w:val="21"/>
          <w:szCs w:val="21"/>
          <w:lang w:val="en-GB"/>
        </w:rPr>
      </w:pPr>
      <w:r>
        <w:rPr>
          <w:rFonts w:hint="default" w:ascii="Times New Roman" w:hAnsi="Times New Roman" w:cs="Times New Roman"/>
          <w:sz w:val="21"/>
          <w:szCs w:val="21"/>
        </w:rPr>
        <w:t>Aldhouse-Green</w:t>
      </w:r>
      <w:r>
        <w:rPr>
          <w:rFonts w:hint="default" w:ascii="Times New Roman" w:hAnsi="Times New Roman" w:cs="Times New Roman"/>
          <w:sz w:val="21"/>
          <w:szCs w:val="21"/>
          <w:lang w:val="en-GB"/>
        </w:rPr>
        <w:t xml:space="preserve"> then goes on to compare the works regarding Boudicca to a nineteenth century tragedy, this leads us even further to doubt </w:t>
      </w:r>
    </w:p>
    <w:p>
      <w:pPr>
        <w:pStyle w:val="3"/>
        <w:jc w:val="left"/>
        <w:rPr>
          <w:rFonts w:hint="default" w:ascii="Times New Roman" w:hAnsi="Times New Roman" w:cs="Times New Roman"/>
          <w:sz w:val="21"/>
          <w:szCs w:val="21"/>
          <w:lang w:val="en-GB"/>
        </w:rPr>
      </w:pPr>
    </w:p>
    <w:p>
      <w:pPr>
        <w:pStyle w:val="3"/>
        <w:jc w:val="center"/>
        <w:rPr>
          <w:rFonts w:hint="default" w:ascii="Times New Roman" w:hAnsi="Times New Roman" w:cs="Times New Roman"/>
          <w:sz w:val="21"/>
          <w:szCs w:val="21"/>
          <w:lang w:val="en-GB"/>
        </w:rPr>
      </w:pPr>
      <w:r>
        <w:rPr>
          <w:rFonts w:hint="default" w:ascii="Times New Roman" w:hAnsi="Times New Roman" w:eastAsia="SimSun" w:cs="Times New Roman"/>
          <w:sz w:val="21"/>
          <w:szCs w:val="21"/>
          <w:lang w:val="en-GB"/>
        </w:rPr>
        <w:t>“</w:t>
      </w:r>
      <w:r>
        <w:rPr>
          <w:rFonts w:hint="default" w:ascii="Times New Roman" w:hAnsi="Times New Roman" w:eastAsia="SimSun" w:cs="Times New Roman"/>
          <w:sz w:val="21"/>
          <w:szCs w:val="21"/>
        </w:rPr>
        <w:t>together with a set of characters and themes straight from a Jacobean tragedy</w:t>
      </w:r>
      <w:r>
        <w:rPr>
          <w:rFonts w:hint="default" w:ascii="Times New Roman" w:hAnsi="Times New Roman" w:eastAsia="SimSun" w:cs="Times New Roman"/>
          <w:sz w:val="21"/>
          <w:szCs w:val="21"/>
          <w:lang w:val="en-GB"/>
        </w:rPr>
        <w:t>”</w:t>
      </w:r>
      <w:r>
        <w:rPr>
          <w:rStyle w:val="8"/>
          <w:rFonts w:hint="default" w:ascii="Times New Roman" w:hAnsi="Times New Roman" w:cs="Times New Roman"/>
          <w:sz w:val="21"/>
          <w:szCs w:val="21"/>
          <w:lang w:val="en-GB"/>
        </w:rPr>
        <w:footnoteReference w:id="41"/>
      </w:r>
    </w:p>
    <w:p>
      <w:pPr>
        <w:pStyle w:val="3"/>
        <w:jc w:val="center"/>
        <w:rPr>
          <w:rFonts w:hint="default" w:ascii="Times New Roman" w:hAnsi="Times New Roman" w:cs="Times New Roman"/>
          <w:sz w:val="21"/>
          <w:szCs w:val="21"/>
          <w:lang w:val="en-GB"/>
        </w:rPr>
      </w:pPr>
    </w:p>
    <w:p>
      <w:pPr>
        <w:rPr>
          <w:rFonts w:hint="default" w:ascii="Times New Roman" w:hAnsi="Times New Roman" w:cs="Times New Roman"/>
          <w:sz w:val="21"/>
          <w:szCs w:val="21"/>
          <w:lang w:val="en-GB"/>
        </w:rPr>
      </w:pPr>
      <w:r>
        <w:rPr>
          <w:rFonts w:hint="default" w:ascii="Times New Roman" w:hAnsi="Times New Roman" w:eastAsia="SimSun" w:cs="Times New Roman"/>
          <w:sz w:val="21"/>
          <w:szCs w:val="21"/>
          <w:lang w:val="en-GB"/>
        </w:rPr>
        <w:t xml:space="preserve">This implies that </w:t>
      </w:r>
      <w:r>
        <w:rPr>
          <w:rFonts w:hint="default" w:ascii="Times New Roman" w:hAnsi="Times New Roman" w:eastAsia="SimSun" w:cs="Times New Roman"/>
          <w:sz w:val="21"/>
          <w:szCs w:val="21"/>
        </w:rPr>
        <w:t>Aldhouse-Green</w:t>
      </w:r>
      <w:r>
        <w:rPr>
          <w:rFonts w:hint="default" w:ascii="Times New Roman" w:hAnsi="Times New Roman" w:eastAsia="SimSun" w:cs="Times New Roman"/>
          <w:sz w:val="21"/>
          <w:szCs w:val="21"/>
          <w:lang w:val="en-GB"/>
        </w:rPr>
        <w:t xml:space="preserve"> is not fully convinced on the idea that Boudicca was a genuine historical figure, but in fact a literary character created to suit a purpose. With the amount of discrepancies in his work, it is quite likely Tacitus did not fully know if Boudicca as we knew her ever existed. Modern scholarship agrees that Ta</w:t>
      </w:r>
      <w:r>
        <w:rPr>
          <w:rFonts w:hint="default" w:ascii="Times New Roman" w:hAnsi="Times New Roman" w:cs="Times New Roman"/>
          <w:sz w:val="21"/>
          <w:szCs w:val="21"/>
          <w:lang w:val="en-GB"/>
        </w:rPr>
        <w:t>citus's works have been perverted from the absolute truth to suit a certain style of readership. Adler commented that our understanding of Tacitus is shaky due to the disagreements of the major details. It is likely that a Boudicca-esque figure existed, and did lead a rebellion against the British, however, from Tacitus’s work, there is not enough proof that she existed as we know her.</w:t>
      </w:r>
    </w:p>
    <w:p>
      <w:pPr>
        <w:rPr>
          <w:rFonts w:hint="default" w:ascii="Times New Roman" w:hAnsi="Times New Roman" w:cs="Times New Roman"/>
          <w:sz w:val="21"/>
          <w:szCs w:val="21"/>
          <w:lang w:val="en-GB"/>
        </w:rPr>
      </w:pPr>
    </w:p>
    <w:p>
      <w:pPr>
        <w:rPr>
          <w:rFonts w:hint="default" w:ascii="Times New Roman" w:hAnsi="Times New Roman" w:cs="Times New Roman"/>
          <w:sz w:val="21"/>
          <w:szCs w:val="21"/>
          <w:lang w:val="en-GB"/>
        </w:rPr>
      </w:pPr>
    </w:p>
    <w:p>
      <w:pPr>
        <w:rPr>
          <w:rFonts w:hint="default" w:ascii="Times New Roman" w:hAnsi="Times New Roman" w:cs="Times New Roman"/>
          <w:sz w:val="21"/>
          <w:szCs w:val="21"/>
          <w:lang w:val="en-GB"/>
        </w:rPr>
      </w:pPr>
      <w:r>
        <w:rPr>
          <w:rFonts w:hint="default" w:ascii="Times New Roman" w:hAnsi="Times New Roman" w:cs="Times New Roman"/>
          <w:sz w:val="21"/>
          <w:szCs w:val="21"/>
          <w:lang w:val="en-GB"/>
        </w:rPr>
        <w:t>As laid out in previous points, the difference of time between the rebellion of the Iceni under Boudicca and authorship of Dio’s work is quite significant. This lapse in time and the lack of ancient sources used that we are aware of cast a shadow of doubt over Dio’s work.</w:t>
      </w:r>
    </w:p>
    <w:p>
      <w:pPr>
        <w:rPr>
          <w:rFonts w:hint="default" w:ascii="Times New Roman" w:hAnsi="Times New Roman" w:cs="Times New Roman"/>
          <w:sz w:val="21"/>
          <w:szCs w:val="21"/>
          <w:lang w:val="en-GB"/>
        </w:rPr>
      </w:pPr>
    </w:p>
    <w:p>
      <w:pPr>
        <w:rPr>
          <w:rFonts w:hint="default" w:ascii="Times New Roman" w:hAnsi="Times New Roman" w:cs="Times New Roman"/>
          <w:sz w:val="21"/>
          <w:szCs w:val="21"/>
          <w:lang w:val="en-GB"/>
        </w:rPr>
      </w:pPr>
      <w:r>
        <w:rPr>
          <w:rFonts w:hint="default" w:ascii="Times New Roman" w:hAnsi="Times New Roman" w:cs="Times New Roman"/>
          <w:sz w:val="21"/>
          <w:szCs w:val="21"/>
          <w:lang w:val="en-GB"/>
        </w:rPr>
        <w:t xml:space="preserve">Adler, writing in the journal entry </w:t>
      </w:r>
      <w:r>
        <w:rPr>
          <w:rFonts w:hint="default" w:ascii="Times New Roman" w:hAnsi="Times New Roman" w:cs="Times New Roman"/>
          <w:i/>
          <w:iCs/>
          <w:sz w:val="21"/>
          <w:szCs w:val="21"/>
        </w:rPr>
        <w:t>Boudica's Speeches in Tacitus and Dio</w:t>
      </w:r>
      <w:r>
        <w:rPr>
          <w:rFonts w:hint="default" w:ascii="Times New Roman" w:hAnsi="Times New Roman" w:cs="Times New Roman"/>
          <w:sz w:val="21"/>
          <w:szCs w:val="21"/>
          <w:vertAlign w:val="superscript"/>
          <w:lang w:val="en-GB"/>
        </w:rPr>
        <w:footnoteReference w:id="42"/>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lang w:val="en-GB"/>
        </w:rPr>
        <w:t>comments about the discrepancies between the two sources and the effect of this.</w:t>
      </w:r>
    </w:p>
    <w:p>
      <w:pPr>
        <w:rPr>
          <w:rFonts w:hint="default" w:ascii="Times New Roman" w:hAnsi="Times New Roman" w:cs="Times New Roman"/>
          <w:sz w:val="21"/>
          <w:szCs w:val="21"/>
          <w:lang w:val="en-GB"/>
        </w:rPr>
      </w:pPr>
    </w:p>
    <w:p>
      <w:pPr>
        <w:jc w:val="center"/>
        <w:rPr>
          <w:rFonts w:hint="default" w:ascii="Times New Roman" w:hAnsi="Times New Roman" w:cs="Times New Roman"/>
          <w:sz w:val="21"/>
          <w:szCs w:val="21"/>
          <w:lang w:val="en-GB"/>
        </w:rPr>
      </w:pPr>
      <w:r>
        <w:rPr>
          <w:rFonts w:hint="default" w:ascii="Times New Roman" w:hAnsi="Times New Roman" w:cs="Times New Roman"/>
          <w:sz w:val="21"/>
          <w:szCs w:val="21"/>
          <w:lang w:val="en-GB"/>
        </w:rPr>
        <w:t>“Tacitus and Dio do not agree on details pertaining to the revolt, which renders our understanding of it shaky</w:t>
      </w:r>
      <w:r>
        <w:rPr>
          <w:rStyle w:val="8"/>
          <w:rFonts w:hint="default" w:ascii="Times New Roman" w:hAnsi="Times New Roman" w:cs="Times New Roman"/>
          <w:sz w:val="21"/>
          <w:szCs w:val="21"/>
          <w:lang w:val="en-GB"/>
        </w:rPr>
        <w:footnoteReference w:id="43"/>
      </w:r>
      <w:r>
        <w:rPr>
          <w:rFonts w:hint="default" w:ascii="Times New Roman" w:hAnsi="Times New Roman" w:cs="Times New Roman"/>
          <w:sz w:val="21"/>
          <w:szCs w:val="21"/>
          <w:lang w:val="en-GB"/>
        </w:rPr>
        <w:t>”</w:t>
      </w:r>
    </w:p>
    <w:p>
      <w:pPr>
        <w:jc w:val="center"/>
        <w:rPr>
          <w:rFonts w:hint="default" w:ascii="Times New Roman" w:hAnsi="Times New Roman" w:cs="Times New Roman"/>
          <w:sz w:val="21"/>
          <w:szCs w:val="21"/>
          <w:lang w:val="en-GB"/>
        </w:rPr>
      </w:pPr>
    </w:p>
    <w:p>
      <w:pPr>
        <w:jc w:val="left"/>
        <w:rPr>
          <w:rFonts w:hint="default" w:ascii="Times New Roman" w:hAnsi="Times New Roman" w:cs="Times New Roman"/>
          <w:sz w:val="21"/>
          <w:szCs w:val="21"/>
          <w:lang w:val="en-GB"/>
        </w:rPr>
      </w:pPr>
      <w:r>
        <w:rPr>
          <w:rFonts w:hint="default" w:ascii="Times New Roman" w:hAnsi="Times New Roman" w:cs="Times New Roman"/>
          <w:sz w:val="21"/>
          <w:szCs w:val="21"/>
          <w:lang w:val="en-GB"/>
        </w:rPr>
        <w:t>As Dio Cassius was writing a good deal of time after Tacitus, it is likely he used Tacitus as a source for his own works. The distinct deferences in their works may come down to an external source. It is possible and likely that Dio may have had other sources to write from that are now lost to us. The amount of discrepancies between the accounts of Tacitus and Dio are too many</w:t>
      </w:r>
      <w:r>
        <w:rPr>
          <w:rStyle w:val="8"/>
          <w:rFonts w:hint="default" w:ascii="Times New Roman" w:hAnsi="Times New Roman" w:cs="Times New Roman"/>
          <w:sz w:val="21"/>
          <w:szCs w:val="21"/>
          <w:lang w:val="en-GB"/>
        </w:rPr>
        <w:footnoteReference w:id="44"/>
      </w:r>
      <w:r>
        <w:rPr>
          <w:rFonts w:hint="default" w:ascii="Times New Roman" w:hAnsi="Times New Roman" w:cs="Times New Roman"/>
          <w:sz w:val="21"/>
          <w:szCs w:val="21"/>
          <w:lang w:val="en-GB"/>
        </w:rPr>
        <w:t>. This in addition to the the discrepancies in Tacitus’s work lead to the doubtful conclusion of Boudicca’s existence. Despite the literary works of these non contemporary sources, the archaeological evidence is there to support the fact there were riots and cities were sacked.</w:t>
      </w:r>
      <w:r>
        <w:rPr>
          <w:rStyle w:val="8"/>
          <w:rFonts w:hint="default" w:ascii="Times New Roman" w:hAnsi="Times New Roman" w:cs="Times New Roman"/>
          <w:sz w:val="21"/>
          <w:szCs w:val="21"/>
          <w:lang w:val="en-GB"/>
        </w:rPr>
        <w:footnoteReference w:id="45"/>
      </w:r>
      <w:r>
        <w:rPr>
          <w:rFonts w:hint="default" w:ascii="Times New Roman" w:hAnsi="Times New Roman" w:cs="Times New Roman"/>
          <w:sz w:val="21"/>
          <w:szCs w:val="21"/>
          <w:lang w:val="en-GB"/>
        </w:rPr>
        <w:t xml:space="preserve"> However the evidence of burned cities does not tell us without doubt that Boudicca was the one who had instigated or even led the assaults on the cities. Therefore, due to the lack of archaeological evidence to support her combined with the unreliable and questionable accounts, it is more than reasonable to believe she was a literary invention.</w:t>
      </w:r>
    </w:p>
    <w:p>
      <w:pPr>
        <w:jc w:val="left"/>
        <w:rPr>
          <w:rFonts w:hint="default" w:ascii="Times New Roman" w:hAnsi="Times New Roman" w:cs="Times New Roman"/>
          <w:sz w:val="21"/>
          <w:szCs w:val="21"/>
          <w:lang w:val="en-GB"/>
        </w:rPr>
      </w:pPr>
      <w:bookmarkStart w:id="0" w:name="_GoBack"/>
      <w:bookmarkEnd w:id="0"/>
    </w:p>
    <w:p>
      <w:pPr>
        <w:jc w:val="left"/>
        <w:rPr>
          <w:rFonts w:hint="default" w:ascii="Times New Roman" w:hAnsi="Times New Roman" w:cs="Times New Roman"/>
          <w:sz w:val="21"/>
          <w:szCs w:val="21"/>
          <w:lang w:val="en-GB"/>
        </w:rPr>
      </w:pPr>
    </w:p>
    <w:p>
      <w:pPr>
        <w:jc w:val="left"/>
        <w:rPr>
          <w:rFonts w:hint="default" w:ascii="Times New Roman" w:hAnsi="Times New Roman" w:cs="Times New Roman"/>
          <w:sz w:val="21"/>
          <w:szCs w:val="21"/>
          <w:u w:val="single"/>
          <w:lang w:val="en-GB"/>
        </w:rPr>
      </w:pPr>
      <w:r>
        <w:rPr>
          <w:rFonts w:hint="default" w:ascii="Times New Roman" w:hAnsi="Times New Roman" w:cs="Times New Roman"/>
          <w:sz w:val="21"/>
          <w:szCs w:val="21"/>
          <w:u w:val="single"/>
          <w:lang w:val="en-GB"/>
        </w:rPr>
        <w:t>Bibliography.</w:t>
      </w:r>
    </w:p>
    <w:p>
      <w:pPr>
        <w:jc w:val="left"/>
        <w:rPr>
          <w:rFonts w:hint="default" w:ascii="Times New Roman" w:hAnsi="Times New Roman" w:cs="Times New Roman"/>
          <w:sz w:val="21"/>
          <w:szCs w:val="21"/>
          <w:lang w:val="en-GB"/>
        </w:rPr>
      </w:pPr>
    </w:p>
    <w:p>
      <w:pPr>
        <w:pStyle w:val="3"/>
        <w:rPr>
          <w:sz w:val="16"/>
          <w:szCs w:val="16"/>
        </w:rPr>
      </w:pPr>
      <w:r>
        <w:rPr>
          <w:sz w:val="16"/>
          <w:szCs w:val="16"/>
        </w:rPr>
        <w:t xml:space="preserve">Complete Works of Tacitus. Tacitus. </w:t>
      </w:r>
      <w:r>
        <w:rPr>
          <w:rFonts w:hint="default"/>
          <w:sz w:val="16"/>
          <w:szCs w:val="16"/>
        </w:rPr>
        <w:t>Tac. Ann. 14.3</w:t>
      </w:r>
      <w:r>
        <w:rPr>
          <w:rFonts w:hint="default"/>
          <w:sz w:val="16"/>
          <w:szCs w:val="16"/>
          <w:lang w:val="en-GB"/>
        </w:rPr>
        <w:t xml:space="preserve">5 </w:t>
      </w:r>
      <w:r>
        <w:rPr>
          <w:sz w:val="16"/>
          <w:szCs w:val="16"/>
        </w:rPr>
        <w:t xml:space="preserve">Alfred John Church. William Jackson Brodribb. Sara Bryant. edited for Perseus. New York. : Random House, Inc. Random House, Inc. reprinted 1942. </w:t>
      </w:r>
    </w:p>
    <w:p>
      <w:pPr>
        <w:pStyle w:val="3"/>
        <w:rPr>
          <w:sz w:val="16"/>
          <w:szCs w:val="16"/>
        </w:rPr>
      </w:pPr>
    </w:p>
    <w:p>
      <w:pPr>
        <w:pStyle w:val="4"/>
        <w:snapToGrid w:val="0"/>
        <w:rPr>
          <w:sz w:val="16"/>
          <w:szCs w:val="16"/>
          <w:lang w:val="en-GB"/>
        </w:rPr>
      </w:pPr>
      <w:r>
        <w:rPr>
          <w:sz w:val="16"/>
          <w:szCs w:val="16"/>
        </w:rPr>
        <w:t>Complete Works of Tacitus. Tacitus. Sara Bryant. edited for Perseus. New York. : Random House, Inc. Random House, Inc. 1876. reprinted 1942.</w:t>
      </w:r>
      <w:r>
        <w:rPr>
          <w:sz w:val="16"/>
          <w:szCs w:val="16"/>
          <w:lang w:val="en-GB"/>
        </w:rPr>
        <w:t xml:space="preserve"> Agricola 15</w:t>
      </w:r>
    </w:p>
    <w:p>
      <w:pPr>
        <w:pStyle w:val="3"/>
        <w:rPr>
          <w:sz w:val="16"/>
          <w:szCs w:val="16"/>
        </w:rPr>
      </w:pPr>
    </w:p>
    <w:p>
      <w:pPr>
        <w:pStyle w:val="3"/>
        <w:rPr>
          <w:sz w:val="16"/>
          <w:szCs w:val="16"/>
        </w:rPr>
      </w:pPr>
      <w:r>
        <w:rPr>
          <w:sz w:val="16"/>
          <w:szCs w:val="16"/>
        </w:rPr>
        <w:t>Loeb Classical Library, 9 volumes, Greek texts and facing English translation: Harvard University Press, 1914 thru 1927. Translation by Earnest Cary.</w:t>
      </w:r>
    </w:p>
    <w:p>
      <w:pPr>
        <w:pStyle w:val="3"/>
        <w:rPr>
          <w:sz w:val="16"/>
          <w:szCs w:val="16"/>
        </w:rPr>
      </w:pPr>
    </w:p>
    <w:p>
      <w:pPr>
        <w:pStyle w:val="3"/>
        <w:rPr>
          <w:sz w:val="16"/>
          <w:szCs w:val="16"/>
        </w:rPr>
      </w:pPr>
    </w:p>
    <w:p>
      <w:pPr>
        <w:pStyle w:val="3"/>
        <w:rPr>
          <w:rFonts w:hint="default"/>
          <w:sz w:val="16"/>
          <w:szCs w:val="16"/>
        </w:rPr>
      </w:pPr>
      <w:r>
        <w:rPr>
          <w:sz w:val="16"/>
          <w:szCs w:val="16"/>
        </w:rPr>
        <w:t>Adler, E. “Boudica's Speeches in Tacitus and Dio.”</w:t>
      </w:r>
      <w:r>
        <w:rPr>
          <w:rFonts w:hint="default"/>
          <w:sz w:val="16"/>
          <w:szCs w:val="16"/>
        </w:rPr>
        <w:t> The Classical World, vol. 101, no. 2, 2008, pp. 173–195. JSTOR, JSTOR</w:t>
      </w:r>
    </w:p>
    <w:p>
      <w:pPr>
        <w:pStyle w:val="3"/>
        <w:rPr>
          <w:sz w:val="16"/>
          <w:szCs w:val="16"/>
        </w:rPr>
      </w:pPr>
    </w:p>
    <w:p>
      <w:pPr>
        <w:pStyle w:val="3"/>
        <w:rPr>
          <w:rFonts w:hint="default"/>
          <w:sz w:val="16"/>
          <w:szCs w:val="16"/>
          <w:lang w:val="en-US" w:eastAsia="zh-CN"/>
        </w:rPr>
      </w:pPr>
      <w:r>
        <w:rPr>
          <w:rFonts w:hint="default"/>
          <w:sz w:val="16"/>
          <w:szCs w:val="16"/>
          <w:lang w:val="en-US" w:eastAsia="zh-CN"/>
        </w:rPr>
        <w:t>Carroll, K. (1979). The Date of Boudicca's Revolt. Britannia, 10, 197-202. doi:10.2307/526056</w:t>
      </w:r>
    </w:p>
    <w:p>
      <w:pPr>
        <w:pStyle w:val="4"/>
        <w:snapToGrid w:val="0"/>
        <w:rPr>
          <w:rStyle w:val="11"/>
          <w:rFonts w:hint="default"/>
          <w:sz w:val="16"/>
          <w:szCs w:val="16"/>
        </w:rPr>
      </w:pPr>
    </w:p>
    <w:p>
      <w:pPr>
        <w:pStyle w:val="3"/>
        <w:rPr>
          <w:rFonts w:hint="default"/>
          <w:sz w:val="16"/>
          <w:szCs w:val="16"/>
        </w:rPr>
      </w:pPr>
      <w:r>
        <w:rPr>
          <w:sz w:val="16"/>
          <w:szCs w:val="16"/>
        </w:rPr>
        <w:t>Dando-Collins, S. (2010).</w:t>
      </w:r>
      <w:r>
        <w:rPr>
          <w:rFonts w:hint="default"/>
          <w:sz w:val="16"/>
          <w:szCs w:val="16"/>
        </w:rPr>
        <w:t> Legions of Rome. London: Quercus.</w:t>
      </w:r>
    </w:p>
    <w:p>
      <w:pPr>
        <w:pStyle w:val="3"/>
        <w:rPr>
          <w:rFonts w:hint="default"/>
          <w:sz w:val="16"/>
          <w:szCs w:val="16"/>
        </w:rPr>
      </w:pPr>
    </w:p>
    <w:p>
      <w:pPr>
        <w:pStyle w:val="3"/>
        <w:rPr>
          <w:rFonts w:hint="default"/>
          <w:sz w:val="16"/>
          <w:szCs w:val="16"/>
        </w:rPr>
      </w:pPr>
      <w:r>
        <w:rPr>
          <w:sz w:val="16"/>
          <w:szCs w:val="16"/>
        </w:rPr>
        <w:t>Darvill, T. (2008).</w:t>
      </w:r>
      <w:r>
        <w:rPr>
          <w:rFonts w:hint="default"/>
          <w:sz w:val="16"/>
          <w:szCs w:val="16"/>
        </w:rPr>
        <w:t> The concise Oxford dictionary of archaeology. Oxford: Oxford University Press.</w:t>
      </w:r>
    </w:p>
    <w:p>
      <w:pPr>
        <w:pStyle w:val="3"/>
        <w:rPr>
          <w:rFonts w:hint="default"/>
          <w:sz w:val="16"/>
          <w:szCs w:val="16"/>
          <w:lang w:val="en-US" w:eastAsia="zh-CN"/>
        </w:rPr>
      </w:pPr>
    </w:p>
    <w:p>
      <w:pPr>
        <w:pStyle w:val="4"/>
        <w:snapToGrid w:val="0"/>
        <w:rPr>
          <w:rStyle w:val="11"/>
          <w:rFonts w:hint="default"/>
          <w:sz w:val="16"/>
          <w:szCs w:val="16"/>
        </w:rPr>
      </w:pPr>
      <w:r>
        <w:rPr>
          <w:rStyle w:val="11"/>
          <w:sz w:val="16"/>
          <w:szCs w:val="16"/>
        </w:rPr>
        <w:t>Hornblower, S., Spawforth, A. and Eidinow, E. (2014).</w:t>
      </w:r>
      <w:r>
        <w:rPr>
          <w:rStyle w:val="11"/>
          <w:rFonts w:hint="default"/>
          <w:sz w:val="16"/>
          <w:szCs w:val="16"/>
        </w:rPr>
        <w:t> The Oxford companion to classical civilization. New York: Oxford University Press.</w:t>
      </w:r>
    </w:p>
    <w:p>
      <w:pPr>
        <w:pStyle w:val="4"/>
        <w:snapToGrid w:val="0"/>
        <w:rPr>
          <w:rStyle w:val="11"/>
          <w:rFonts w:hint="default"/>
          <w:sz w:val="16"/>
          <w:szCs w:val="16"/>
        </w:rPr>
      </w:pPr>
    </w:p>
    <w:p>
      <w:pPr>
        <w:pStyle w:val="3"/>
        <w:rPr>
          <w:rFonts w:hint="default"/>
          <w:sz w:val="16"/>
          <w:szCs w:val="16"/>
        </w:rPr>
      </w:pPr>
      <w:r>
        <w:rPr>
          <w:sz w:val="16"/>
          <w:szCs w:val="16"/>
        </w:rPr>
        <w:t>Hornblower, S. and Spawforth, A. (2003).</w:t>
      </w:r>
      <w:r>
        <w:rPr>
          <w:rFonts w:hint="default"/>
          <w:sz w:val="16"/>
          <w:szCs w:val="16"/>
        </w:rPr>
        <w:t> Who's who in the classical world. [Oxford]: Oxford University Press.</w:t>
      </w:r>
    </w:p>
    <w:p>
      <w:pPr>
        <w:pStyle w:val="4"/>
        <w:snapToGrid w:val="0"/>
        <w:rPr>
          <w:rStyle w:val="11"/>
          <w:rFonts w:hint="default"/>
          <w:sz w:val="16"/>
          <w:szCs w:val="16"/>
        </w:rPr>
      </w:pPr>
    </w:p>
    <w:p>
      <w:pPr>
        <w:pStyle w:val="3"/>
        <w:rPr>
          <w:rFonts w:hint="default"/>
          <w:sz w:val="16"/>
          <w:szCs w:val="16"/>
        </w:rPr>
      </w:pPr>
      <w:r>
        <w:rPr>
          <w:sz w:val="16"/>
          <w:szCs w:val="16"/>
        </w:rPr>
        <w:t>Howatson, M. (2011).</w:t>
      </w:r>
      <w:r>
        <w:rPr>
          <w:rFonts w:hint="default"/>
          <w:sz w:val="16"/>
          <w:szCs w:val="16"/>
        </w:rPr>
        <w:t> The Oxford companion to classical literature. Oxford: Oxford University Press.</w:t>
      </w:r>
    </w:p>
    <w:p>
      <w:pPr>
        <w:pStyle w:val="3"/>
        <w:rPr>
          <w:rFonts w:hint="default"/>
          <w:sz w:val="16"/>
          <w:szCs w:val="16"/>
          <w:lang w:val="en-US" w:eastAsia="zh-CN"/>
        </w:rPr>
      </w:pPr>
    </w:p>
    <w:p>
      <w:pPr>
        <w:pStyle w:val="3"/>
        <w:rPr>
          <w:rFonts w:hint="default"/>
          <w:sz w:val="16"/>
          <w:szCs w:val="16"/>
        </w:rPr>
      </w:pPr>
      <w:r>
        <w:rPr>
          <w:sz w:val="16"/>
          <w:szCs w:val="16"/>
        </w:rPr>
        <w:t>Niblett, R. (2006). Images of Boudicca.</w:t>
      </w:r>
      <w:r>
        <w:rPr>
          <w:rFonts w:hint="default"/>
          <w:sz w:val="16"/>
          <w:szCs w:val="16"/>
        </w:rPr>
        <w:t> Britannia, 37, 489-492. Retrieved from</w:t>
      </w:r>
      <w:r>
        <w:rPr>
          <w:rFonts w:hint="default"/>
          <w:sz w:val="16"/>
          <w:szCs w:val="16"/>
          <w:lang w:val="en-GB"/>
        </w:rPr>
        <w:t xml:space="preserve"> </w:t>
      </w:r>
      <w:r>
        <w:rPr>
          <w:rFonts w:hint="default"/>
          <w:sz w:val="16"/>
          <w:szCs w:val="16"/>
        </w:rPr>
        <w:fldChar w:fldCharType="begin"/>
      </w:r>
      <w:r>
        <w:rPr>
          <w:rFonts w:hint="default"/>
          <w:sz w:val="16"/>
          <w:szCs w:val="16"/>
        </w:rPr>
        <w:instrText xml:space="preserve"> HYPERLINK "http://www.jstor.org.ezproxy.uwtsd.ac.uk/stable/30030531" </w:instrText>
      </w:r>
      <w:r>
        <w:rPr>
          <w:rFonts w:hint="default"/>
          <w:sz w:val="16"/>
          <w:szCs w:val="16"/>
        </w:rPr>
        <w:fldChar w:fldCharType="separate"/>
      </w:r>
      <w:r>
        <w:rPr>
          <w:rStyle w:val="9"/>
          <w:rFonts w:hint="default"/>
          <w:sz w:val="16"/>
          <w:szCs w:val="16"/>
        </w:rPr>
        <w:t>http://www.jstor.org.ezproxy.uwtsd.ac.uk/stable/30030531</w:t>
      </w:r>
      <w:r>
        <w:rPr>
          <w:rFonts w:hint="default"/>
          <w:sz w:val="16"/>
          <w:szCs w:val="16"/>
        </w:rPr>
        <w:fldChar w:fldCharType="end"/>
      </w:r>
    </w:p>
    <w:p>
      <w:pPr>
        <w:pStyle w:val="3"/>
        <w:rPr>
          <w:rFonts w:hint="default"/>
          <w:sz w:val="16"/>
          <w:szCs w:val="16"/>
        </w:rPr>
      </w:pPr>
    </w:p>
    <w:p>
      <w:pPr>
        <w:rPr>
          <w:sz w:val="16"/>
          <w:szCs w:val="16"/>
        </w:rPr>
      </w:pPr>
      <w:r>
        <w:rPr>
          <w:sz w:val="16"/>
          <w:szCs w:val="16"/>
        </w:rPr>
        <w:t>O'Gorman, E. (2000).</w:t>
      </w:r>
      <w:r>
        <w:rPr>
          <w:rFonts w:hint="default"/>
          <w:sz w:val="16"/>
          <w:szCs w:val="16"/>
        </w:rPr>
        <w:t> Irony and misreading in the Annals of Tacitus. Cambridge, U.K.: Cambridge University Press.</w:t>
      </w:r>
      <w:r>
        <w:rPr>
          <w:rFonts w:hint="default"/>
          <w:sz w:val="16"/>
          <w:szCs w:val="16"/>
          <w:lang w:val="en-GB"/>
        </w:rPr>
        <w:t xml:space="preserve"> </w:t>
      </w:r>
      <w:r>
        <w:rPr>
          <w:sz w:val="16"/>
          <w:szCs w:val="16"/>
        </w:rPr>
        <w:t>Boudica Britannia. Rebel, War-leader and Queen. By M. Aldhouse-Green. Pearson Education, Harlow, 2006. Pp. 286,</w:t>
      </w:r>
    </w:p>
    <w:p>
      <w:pPr>
        <w:pStyle w:val="3"/>
        <w:rPr>
          <w:sz w:val="16"/>
          <w:szCs w:val="16"/>
        </w:rPr>
      </w:pPr>
    </w:p>
    <w:p>
      <w:pPr>
        <w:pStyle w:val="3"/>
        <w:rPr>
          <w:rFonts w:hint="default"/>
          <w:sz w:val="16"/>
          <w:szCs w:val="16"/>
        </w:rPr>
      </w:pPr>
      <w:r>
        <w:rPr>
          <w:sz w:val="16"/>
          <w:szCs w:val="16"/>
        </w:rPr>
        <w:t>Scott, L 2003, 'A brief but bloody uprising against the Roman invaders leaves London in ruins',</w:t>
      </w:r>
      <w:r>
        <w:rPr>
          <w:rFonts w:hint="default"/>
          <w:sz w:val="16"/>
          <w:szCs w:val="16"/>
        </w:rPr>
        <w:t> British Heritage, 24, 5, pp. 14-16, Academic Search Premier, EBSCOhost,</w:t>
      </w:r>
    </w:p>
    <w:p>
      <w:pPr>
        <w:jc w:val="left"/>
        <w:rPr>
          <w:rFonts w:hint="default" w:ascii="Times New Roman" w:hAnsi="Times New Roman" w:cs="Times New Roman"/>
          <w:sz w:val="21"/>
          <w:szCs w:val="21"/>
          <w:lang w:val="en-GB"/>
        </w:rPr>
      </w:pPr>
    </w:p>
    <w:sectPr>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Vijaya">
    <w:panose1 w:val="020B0604020202020204"/>
    <w:charset w:val="00"/>
    <w:family w:val="auto"/>
    <w:pitch w:val="default"/>
    <w:sig w:usb0="00100003" w:usb1="00000000" w:usb2="00000000" w:usb3="00000000" w:csb0="00000001" w:csb1="00000000"/>
  </w:font>
  <w:font w:name="Lucida Grande">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Helvetica">
    <w:altName w:val="Arial"/>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DengXian">
    <w:altName w:val="SimSun"/>
    <w:panose1 w:val="02010600030101010101"/>
    <w:charset w:val="86"/>
    <w:family w:val="auto"/>
    <w:pitch w:val="default"/>
    <w:sig w:usb0="00000000" w:usb1="00000000" w:usb2="00000016" w:usb3="00000000" w:csb0="0004000F" w:csb1="00000000"/>
  </w:font>
  <w:font w:name="Calibri Light">
    <w:panose1 w:val="020F0302020204030204"/>
    <w:charset w:val="00"/>
    <w:family w:val="swiss"/>
    <w:pitch w:val="default"/>
    <w:sig w:usb0="A00002EF" w:usb1="4000207B" w:usb2="00000000" w:usb3="00000000" w:csb0="2000019F" w:csb1="00000000"/>
  </w:font>
  <w:font w:name="DengXian Light">
    <w:altName w:val="SimSun"/>
    <w:panose1 w:val="02010600030101010101"/>
    <w:charset w:val="86"/>
    <w:family w:val="auto"/>
    <w:pitch w:val="default"/>
    <w:sig w:usb0="00000000" w:usb1="00000000" w:usb2="00000016" w:usb3="00000000" w:csb0="0004000F" w:csb1="00000000"/>
  </w:font>
  <w:font w:name="等线">
    <w:altName w:val="SimSun"/>
    <w:panose1 w:val="00000000000000000000"/>
    <w:charset w:val="86"/>
    <w:family w:val="auto"/>
    <w:pitch w:val="default"/>
    <w:sig w:usb0="00000000" w:usb1="00000000" w:usb2="00000000" w:usb3="00000000" w:csb0="00000000" w:csb1="00000000"/>
  </w:font>
  <w:font w:name="等线">
    <w:altName w:val="Segoe Print"/>
    <w:panose1 w:val="00000000000000000000"/>
    <w:charset w:val="00"/>
    <w:family w:val="auto"/>
    <w:pitch w:val="default"/>
    <w:sig w:usb0="00000000" w:usb1="00000000" w:usb2="00000000" w:usb3="00000000" w:csb0="00000000" w:csb1="00000000"/>
  </w:font>
  <w:font w:name="Palatino Linotype">
    <w:panose1 w:val="02040502050505030304"/>
    <w:charset w:val="00"/>
    <w:family w:val="auto"/>
    <w:pitch w:val="default"/>
    <w:sig w:usb0="E0000287" w:usb1="40000013"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3"/>
        <w:rPr>
          <w:sz w:val="13"/>
          <w:szCs w:val="13"/>
        </w:rPr>
      </w:pPr>
      <w:r>
        <w:rPr>
          <w:rStyle w:val="8"/>
          <w:sz w:val="13"/>
          <w:szCs w:val="13"/>
          <w:shd w:val="clear" w:color="auto" w:fill="auto"/>
        </w:rPr>
        <w:footnoteRef/>
      </w:r>
      <w:r>
        <w:rPr>
          <w:sz w:val="13"/>
          <w:szCs w:val="13"/>
        </w:rPr>
        <w:t xml:space="preserve"> </w:t>
      </w:r>
      <w:r>
        <w:rPr>
          <w:rFonts w:hint="default"/>
          <w:sz w:val="13"/>
          <w:szCs w:val="13"/>
          <w:lang w:val="en-US" w:eastAsia="zh-CN"/>
        </w:rPr>
        <w:t>Carroll</w:t>
      </w:r>
      <w:r>
        <w:rPr>
          <w:rFonts w:hint="default"/>
          <w:sz w:val="13"/>
          <w:szCs w:val="13"/>
          <w:lang w:val="en-GB" w:eastAsia="zh-CN"/>
        </w:rPr>
        <w:t xml:space="preserve">. </w:t>
      </w:r>
      <w:r>
        <w:rPr>
          <w:rFonts w:hint="default"/>
          <w:sz w:val="13"/>
          <w:szCs w:val="13"/>
          <w:lang w:val="en-US" w:eastAsia="zh-CN"/>
        </w:rPr>
        <w:t>1979</w:t>
      </w:r>
    </w:p>
  </w:footnote>
  <w:footnote w:id="1">
    <w:p>
      <w:pPr>
        <w:pStyle w:val="3"/>
        <w:rPr>
          <w:sz w:val="13"/>
          <w:szCs w:val="13"/>
        </w:rPr>
      </w:pPr>
      <w:r>
        <w:rPr>
          <w:rStyle w:val="8"/>
          <w:sz w:val="13"/>
          <w:szCs w:val="13"/>
          <w:shd w:val="clear" w:color="auto" w:fill="auto"/>
        </w:rPr>
        <w:footnoteRef/>
      </w:r>
      <w:r>
        <w:rPr>
          <w:sz w:val="13"/>
          <w:szCs w:val="13"/>
        </w:rPr>
        <w:t xml:space="preserve"> Niblett</w:t>
      </w:r>
      <w:r>
        <w:rPr>
          <w:sz w:val="13"/>
          <w:szCs w:val="13"/>
          <w:lang w:val="en-GB"/>
        </w:rPr>
        <w:t xml:space="preserve">. </w:t>
      </w:r>
      <w:r>
        <w:rPr>
          <w:sz w:val="13"/>
          <w:szCs w:val="13"/>
        </w:rPr>
        <w:t>2006</w:t>
      </w:r>
    </w:p>
  </w:footnote>
  <w:footnote w:id="2">
    <w:p>
      <w:pPr>
        <w:pStyle w:val="3"/>
        <w:rPr>
          <w:sz w:val="13"/>
          <w:szCs w:val="13"/>
        </w:rPr>
      </w:pPr>
      <w:r>
        <w:rPr>
          <w:rStyle w:val="8"/>
          <w:sz w:val="13"/>
          <w:szCs w:val="13"/>
          <w:shd w:val="clear" w:color="auto" w:fill="auto"/>
        </w:rPr>
        <w:footnoteRef/>
      </w:r>
      <w:r>
        <w:rPr>
          <w:sz w:val="13"/>
          <w:szCs w:val="13"/>
        </w:rPr>
        <w:t xml:space="preserve"> Niblett</w:t>
      </w:r>
      <w:r>
        <w:rPr>
          <w:sz w:val="13"/>
          <w:szCs w:val="13"/>
          <w:lang w:val="en-GB"/>
        </w:rPr>
        <w:t xml:space="preserve">. </w:t>
      </w:r>
      <w:r>
        <w:rPr>
          <w:sz w:val="13"/>
          <w:szCs w:val="13"/>
        </w:rPr>
        <w:t>2006</w:t>
      </w:r>
    </w:p>
  </w:footnote>
  <w:footnote w:id="3">
    <w:p>
      <w:pPr>
        <w:pStyle w:val="3"/>
        <w:rPr>
          <w:sz w:val="13"/>
          <w:szCs w:val="13"/>
        </w:rPr>
      </w:pPr>
      <w:r>
        <w:rPr>
          <w:rStyle w:val="8"/>
          <w:sz w:val="13"/>
          <w:szCs w:val="13"/>
          <w:shd w:val="clear" w:color="auto" w:fill="auto"/>
        </w:rPr>
        <w:footnoteRef/>
      </w:r>
      <w:r>
        <w:rPr>
          <w:sz w:val="13"/>
          <w:szCs w:val="13"/>
        </w:rPr>
        <w:t xml:space="preserve"> Howatson</w:t>
      </w:r>
      <w:r>
        <w:rPr>
          <w:sz w:val="13"/>
          <w:szCs w:val="13"/>
          <w:lang w:val="en-GB"/>
        </w:rPr>
        <w:t xml:space="preserve">. </w:t>
      </w:r>
      <w:r>
        <w:rPr>
          <w:sz w:val="13"/>
          <w:szCs w:val="13"/>
        </w:rPr>
        <w:t>2011</w:t>
      </w:r>
    </w:p>
  </w:footnote>
  <w:footnote w:id="4">
    <w:p>
      <w:pPr>
        <w:pStyle w:val="3"/>
        <w:rPr>
          <w:sz w:val="13"/>
          <w:szCs w:val="13"/>
        </w:rPr>
      </w:pPr>
      <w:r>
        <w:rPr>
          <w:rStyle w:val="8"/>
          <w:sz w:val="13"/>
          <w:szCs w:val="13"/>
        </w:rPr>
        <w:footnoteRef/>
      </w:r>
      <w:r>
        <w:rPr>
          <w:sz w:val="13"/>
          <w:szCs w:val="13"/>
        </w:rPr>
        <w:t xml:space="preserve"> </w:t>
      </w:r>
      <w:r>
        <w:rPr>
          <w:rFonts w:hint="default" w:ascii="Times New Roman" w:hAnsi="Times New Roman" w:cs="Times New Roman"/>
          <w:sz w:val="21"/>
          <w:szCs w:val="21"/>
          <w:lang w:val="en-GB"/>
        </w:rPr>
        <w:t>Dio 62. 1-12 (trans Cary)</w:t>
      </w:r>
    </w:p>
  </w:footnote>
  <w:footnote w:id="5">
    <w:p>
      <w:pPr>
        <w:pStyle w:val="4"/>
        <w:snapToGrid w:val="0"/>
        <w:rPr>
          <w:rStyle w:val="11"/>
          <w:sz w:val="13"/>
          <w:szCs w:val="13"/>
        </w:rPr>
      </w:pPr>
      <w:r>
        <w:rPr>
          <w:rStyle w:val="8"/>
        </w:rPr>
        <w:footnoteRef/>
      </w:r>
      <w:r>
        <w:rPr>
          <w:rStyle w:val="11"/>
          <w:sz w:val="13"/>
          <w:szCs w:val="13"/>
        </w:rPr>
        <w:t xml:space="preserve"> Hornblower, Spawfort</w:t>
      </w:r>
      <w:r>
        <w:rPr>
          <w:rStyle w:val="11"/>
          <w:sz w:val="13"/>
          <w:szCs w:val="13"/>
          <w:lang w:val="en-GB"/>
        </w:rPr>
        <w:t xml:space="preserve">h, </w:t>
      </w:r>
      <w:r>
        <w:rPr>
          <w:rStyle w:val="11"/>
          <w:sz w:val="13"/>
          <w:szCs w:val="13"/>
        </w:rPr>
        <w:t>Eidinow</w:t>
      </w:r>
      <w:r>
        <w:rPr>
          <w:rStyle w:val="11"/>
          <w:sz w:val="13"/>
          <w:szCs w:val="13"/>
          <w:lang w:val="en-GB"/>
        </w:rPr>
        <w:t xml:space="preserve">. </w:t>
      </w:r>
      <w:r>
        <w:rPr>
          <w:rStyle w:val="11"/>
          <w:sz w:val="13"/>
          <w:szCs w:val="13"/>
        </w:rPr>
        <w:t>201</w:t>
      </w:r>
      <w:r>
        <w:rPr>
          <w:rStyle w:val="11"/>
          <w:sz w:val="13"/>
          <w:szCs w:val="13"/>
          <w:lang w:val="en-GB"/>
        </w:rPr>
        <w:t>4</w:t>
      </w:r>
    </w:p>
  </w:footnote>
  <w:footnote w:id="6">
    <w:p>
      <w:pPr>
        <w:pStyle w:val="3"/>
        <w:rPr>
          <w:sz w:val="13"/>
          <w:szCs w:val="13"/>
        </w:rPr>
      </w:pPr>
      <w:r>
        <w:rPr>
          <w:rStyle w:val="8"/>
          <w:sz w:val="13"/>
          <w:szCs w:val="13"/>
        </w:rPr>
        <w:footnoteRef/>
      </w:r>
      <w:r>
        <w:rPr>
          <w:sz w:val="13"/>
          <w:szCs w:val="13"/>
        </w:rPr>
        <w:t xml:space="preserve"> </w:t>
      </w:r>
      <w:r>
        <w:rPr>
          <w:rFonts w:hint="default" w:ascii="Times New Roman" w:hAnsi="Times New Roman" w:cs="Times New Roman"/>
          <w:sz w:val="21"/>
          <w:szCs w:val="21"/>
          <w:lang w:val="en-GB"/>
        </w:rPr>
        <w:t>Dio 62. 1-12 (trans Cary)</w:t>
      </w:r>
    </w:p>
  </w:footnote>
  <w:footnote w:id="7">
    <w:p>
      <w:pPr>
        <w:pStyle w:val="3"/>
        <w:rPr>
          <w:sz w:val="13"/>
          <w:szCs w:val="13"/>
        </w:rPr>
      </w:pPr>
      <w:r>
        <w:rPr>
          <w:rStyle w:val="8"/>
          <w:sz w:val="13"/>
          <w:szCs w:val="13"/>
        </w:rPr>
        <w:footnoteRef/>
      </w:r>
      <w:r>
        <w:rPr>
          <w:sz w:val="13"/>
          <w:szCs w:val="13"/>
        </w:rPr>
        <w:t xml:space="preserve"> Dando-Collins</w:t>
      </w:r>
      <w:r>
        <w:rPr>
          <w:sz w:val="13"/>
          <w:szCs w:val="13"/>
          <w:lang w:val="en-GB"/>
        </w:rPr>
        <w:t xml:space="preserve">. </w:t>
      </w:r>
      <w:r>
        <w:rPr>
          <w:sz w:val="13"/>
          <w:szCs w:val="13"/>
        </w:rPr>
        <w:t>201</w:t>
      </w:r>
      <w:r>
        <w:rPr>
          <w:sz w:val="13"/>
          <w:szCs w:val="13"/>
          <w:lang w:val="en-GB"/>
        </w:rPr>
        <w:t>0</w:t>
      </w:r>
    </w:p>
  </w:footnote>
  <w:footnote w:id="8">
    <w:p>
      <w:pPr>
        <w:pStyle w:val="3"/>
        <w:rPr>
          <w:sz w:val="13"/>
          <w:szCs w:val="13"/>
        </w:rPr>
      </w:pPr>
      <w:r>
        <w:rPr>
          <w:rStyle w:val="8"/>
          <w:sz w:val="13"/>
          <w:szCs w:val="13"/>
        </w:rPr>
        <w:footnoteRef/>
      </w:r>
      <w:r>
        <w:rPr>
          <w:sz w:val="13"/>
          <w:szCs w:val="13"/>
        </w:rPr>
        <w:t xml:space="preserve"> </w:t>
      </w:r>
      <w:r>
        <w:rPr>
          <w:rFonts w:hint="default" w:ascii="Times New Roman" w:hAnsi="Times New Roman" w:cs="Times New Roman"/>
          <w:sz w:val="21"/>
          <w:szCs w:val="21"/>
          <w:lang w:val="en-GB"/>
        </w:rPr>
        <w:t>Dio 62. 1-12 (trans Cary)</w:t>
      </w:r>
    </w:p>
  </w:footnote>
  <w:footnote w:id="9">
    <w:p>
      <w:pPr>
        <w:jc w:val="left"/>
        <w:rPr>
          <w:sz w:val="13"/>
          <w:szCs w:val="13"/>
        </w:rPr>
      </w:pPr>
      <w:r>
        <w:rPr>
          <w:rStyle w:val="8"/>
          <w:sz w:val="13"/>
          <w:szCs w:val="13"/>
        </w:rPr>
        <w:footnoteRef/>
      </w:r>
      <w:r>
        <w:rPr>
          <w:sz w:val="13"/>
          <w:szCs w:val="13"/>
        </w:rPr>
        <w:t xml:space="preserve"> </w:t>
      </w:r>
      <w:r>
        <w:rPr>
          <w:rFonts w:hint="default" w:ascii="Times New Roman" w:hAnsi="Times New Roman" w:cs="Times New Roman"/>
          <w:sz w:val="21"/>
          <w:szCs w:val="21"/>
          <w:lang w:val="en-GB"/>
        </w:rPr>
        <w:t>Tac. 15 (Bryant)</w:t>
      </w:r>
    </w:p>
  </w:footnote>
  <w:footnote w:id="10">
    <w:p>
      <w:pPr>
        <w:jc w:val="left"/>
        <w:rPr>
          <w:rFonts w:hint="default" w:ascii="Times New Roman" w:hAnsi="Times New Roman" w:cs="Times New Roman"/>
          <w:sz w:val="21"/>
          <w:szCs w:val="21"/>
          <w:lang w:val="en-GB"/>
        </w:rPr>
      </w:pPr>
      <w:r>
        <w:rPr>
          <w:rStyle w:val="8"/>
          <w:sz w:val="13"/>
          <w:szCs w:val="13"/>
        </w:rPr>
        <w:footnoteRef/>
      </w:r>
      <w:r>
        <w:rPr>
          <w:sz w:val="13"/>
          <w:szCs w:val="13"/>
        </w:rPr>
        <w:t xml:space="preserve"> </w:t>
      </w:r>
      <w:r>
        <w:rPr>
          <w:rFonts w:hint="default" w:ascii="Times New Roman" w:hAnsi="Times New Roman" w:cs="Times New Roman"/>
          <w:sz w:val="21"/>
          <w:szCs w:val="21"/>
          <w:lang w:val="en-GB"/>
        </w:rPr>
        <w:t>Dio 62. 1-12 (trans Cary)</w:t>
      </w:r>
    </w:p>
    <w:p>
      <w:pPr>
        <w:pStyle w:val="4"/>
        <w:snapToGrid w:val="0"/>
        <w:rPr>
          <w:sz w:val="13"/>
          <w:szCs w:val="13"/>
        </w:rPr>
      </w:pPr>
    </w:p>
  </w:footnote>
  <w:footnote w:id="11">
    <w:p>
      <w:pPr>
        <w:jc w:val="left"/>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14.31-38 (Church)</w:t>
      </w:r>
    </w:p>
  </w:footnote>
  <w:footnote w:id="12">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eastAsia="SimSun" w:cs="Times New Roman"/>
          <w:b w:val="0"/>
          <w:i w:val="0"/>
          <w:caps w:val="0"/>
          <w:color w:val="333333"/>
          <w:spacing w:val="0"/>
          <w:sz w:val="21"/>
          <w:szCs w:val="21"/>
          <w:shd w:val="clear" w:fill="FFFFFF"/>
        </w:rPr>
        <w:t>Adler</w:t>
      </w:r>
      <w:r>
        <w:rPr>
          <w:rFonts w:hint="default" w:ascii="Times New Roman" w:hAnsi="Times New Roman" w:eastAsia="SimSun" w:cs="Times New Roman"/>
          <w:b w:val="0"/>
          <w:i w:val="0"/>
          <w:caps w:val="0"/>
          <w:color w:val="333333"/>
          <w:spacing w:val="0"/>
          <w:sz w:val="21"/>
          <w:szCs w:val="21"/>
          <w:shd w:val="clear" w:fill="FFFFFF"/>
          <w:lang w:val="en-GB"/>
        </w:rPr>
        <w:t>. 2008</w:t>
      </w:r>
    </w:p>
  </w:footnote>
  <w:footnote w:id="13">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Style w:val="11"/>
          <w:rFonts w:hint="default" w:ascii="Times New Roman" w:hAnsi="Times New Roman" w:cs="Times New Roman"/>
          <w:sz w:val="21"/>
          <w:szCs w:val="21"/>
        </w:rPr>
        <w:t>Hornblower, Spawfort</w:t>
      </w:r>
      <w:r>
        <w:rPr>
          <w:rStyle w:val="11"/>
          <w:rFonts w:hint="default" w:ascii="Times New Roman" w:hAnsi="Times New Roman" w:cs="Times New Roman"/>
          <w:sz w:val="21"/>
          <w:szCs w:val="21"/>
          <w:lang w:val="en-GB"/>
        </w:rPr>
        <w:t xml:space="preserve">h, </w:t>
      </w:r>
      <w:r>
        <w:rPr>
          <w:rStyle w:val="11"/>
          <w:rFonts w:hint="default" w:ascii="Times New Roman" w:hAnsi="Times New Roman" w:cs="Times New Roman"/>
          <w:sz w:val="21"/>
          <w:szCs w:val="21"/>
        </w:rPr>
        <w:t>Eidinow</w:t>
      </w:r>
      <w:r>
        <w:rPr>
          <w:rStyle w:val="11"/>
          <w:rFonts w:hint="default" w:ascii="Times New Roman" w:hAnsi="Times New Roman" w:cs="Times New Roman"/>
          <w:sz w:val="21"/>
          <w:szCs w:val="21"/>
          <w:lang w:val="en-GB"/>
        </w:rPr>
        <w:t xml:space="preserve">. </w:t>
      </w:r>
      <w:r>
        <w:rPr>
          <w:rStyle w:val="11"/>
          <w:rFonts w:hint="default" w:ascii="Times New Roman" w:hAnsi="Times New Roman" w:cs="Times New Roman"/>
          <w:sz w:val="21"/>
          <w:szCs w:val="21"/>
        </w:rPr>
        <w:t>201</w:t>
      </w:r>
      <w:r>
        <w:rPr>
          <w:rStyle w:val="11"/>
          <w:rFonts w:hint="default" w:ascii="Times New Roman" w:hAnsi="Times New Roman" w:cs="Times New Roman"/>
          <w:sz w:val="21"/>
          <w:szCs w:val="21"/>
          <w:lang w:val="en-GB"/>
        </w:rPr>
        <w:t>4</w:t>
      </w:r>
    </w:p>
  </w:footnote>
  <w:footnote w:id="14">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Style w:val="11"/>
          <w:rFonts w:hint="default" w:ascii="Times New Roman" w:hAnsi="Times New Roman" w:cs="Times New Roman"/>
          <w:sz w:val="21"/>
          <w:szCs w:val="21"/>
        </w:rPr>
        <w:t>Hornblower, Spawfort</w:t>
      </w:r>
      <w:r>
        <w:rPr>
          <w:rStyle w:val="11"/>
          <w:rFonts w:hint="default" w:ascii="Times New Roman" w:hAnsi="Times New Roman" w:cs="Times New Roman"/>
          <w:sz w:val="21"/>
          <w:szCs w:val="21"/>
          <w:lang w:val="en-GB"/>
        </w:rPr>
        <w:t xml:space="preserve">h, </w:t>
      </w:r>
      <w:r>
        <w:rPr>
          <w:rStyle w:val="11"/>
          <w:rFonts w:hint="default" w:ascii="Times New Roman" w:hAnsi="Times New Roman" w:cs="Times New Roman"/>
          <w:sz w:val="21"/>
          <w:szCs w:val="21"/>
        </w:rPr>
        <w:t>Eidinow</w:t>
      </w:r>
      <w:r>
        <w:rPr>
          <w:rStyle w:val="11"/>
          <w:rFonts w:hint="default" w:ascii="Times New Roman" w:hAnsi="Times New Roman" w:cs="Times New Roman"/>
          <w:sz w:val="21"/>
          <w:szCs w:val="21"/>
          <w:lang w:val="en-GB"/>
        </w:rPr>
        <w:t xml:space="preserve">. </w:t>
      </w:r>
      <w:r>
        <w:rPr>
          <w:rStyle w:val="11"/>
          <w:rFonts w:hint="default" w:ascii="Times New Roman" w:hAnsi="Times New Roman" w:cs="Times New Roman"/>
          <w:sz w:val="21"/>
          <w:szCs w:val="21"/>
        </w:rPr>
        <w:t>201</w:t>
      </w:r>
      <w:r>
        <w:rPr>
          <w:rStyle w:val="11"/>
          <w:rFonts w:hint="default" w:ascii="Times New Roman" w:hAnsi="Times New Roman" w:cs="Times New Roman"/>
          <w:sz w:val="21"/>
          <w:szCs w:val="21"/>
          <w:lang w:val="en-GB"/>
        </w:rPr>
        <w:t>4</w:t>
      </w:r>
    </w:p>
  </w:footnote>
  <w:footnote w:id="15">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Dio 62. 1-12 (trans Cary)</w:t>
      </w:r>
    </w:p>
  </w:footnote>
  <w:footnote w:id="16">
    <w:p>
      <w:pPr>
        <w:jc w:val="left"/>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15 (Bryant)</w:t>
      </w:r>
    </w:p>
  </w:footnote>
  <w:footnote w:id="17">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lang w:val="en-GB"/>
        </w:rPr>
        <w:t xml:space="preserve"> Dio 62. 1-12 (trans Cary)</w:t>
      </w:r>
    </w:p>
  </w:footnote>
  <w:footnote w:id="18">
    <w:p>
      <w:pPr>
        <w:jc w:val="left"/>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14.31-38 (Church)</w:t>
      </w:r>
    </w:p>
  </w:footnote>
  <w:footnote w:id="19">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Dio 62. 1-12 (trans Cary)</w:t>
      </w:r>
    </w:p>
  </w:footnote>
  <w:footnote w:id="20">
    <w:p>
      <w:pPr>
        <w:pStyle w:val="3"/>
        <w:rPr>
          <w:rFonts w:hint="default" w:ascii="Times New Roman" w:hAnsi="Times New Roman" w:cs="Times New Roman"/>
          <w:sz w:val="21"/>
          <w:szCs w:val="21"/>
        </w:rPr>
      </w:pPr>
      <w:r>
        <w:rPr>
          <w:rStyle w:val="8"/>
          <w:rFonts w:hint="default" w:ascii="Times New Roman" w:hAnsi="Times New Roman" w:cs="Times New Roman"/>
          <w:sz w:val="21"/>
          <w:szCs w:val="21"/>
          <w:shd w:val="clear" w:color="auto" w:fill="auto"/>
        </w:rPr>
        <w:footnoteRef/>
      </w:r>
      <w:r>
        <w:rPr>
          <w:rFonts w:hint="default" w:ascii="Times New Roman" w:hAnsi="Times New Roman" w:cs="Times New Roman"/>
          <w:sz w:val="21"/>
          <w:szCs w:val="21"/>
        </w:rPr>
        <w:t xml:space="preserve"> Dando-Collins</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201</w:t>
      </w:r>
      <w:r>
        <w:rPr>
          <w:rFonts w:hint="default" w:ascii="Times New Roman" w:hAnsi="Times New Roman" w:cs="Times New Roman"/>
          <w:sz w:val="21"/>
          <w:szCs w:val="21"/>
          <w:lang w:val="en-GB"/>
        </w:rPr>
        <w:t>0</w:t>
      </w:r>
    </w:p>
  </w:footnote>
  <w:footnote w:id="21">
    <w:p>
      <w:pPr>
        <w:jc w:val="left"/>
        <w:rPr>
          <w:rFonts w:hint="default" w:ascii="Times New Roman" w:hAnsi="Times New Roman" w:cs="Times New Roman"/>
          <w:sz w:val="21"/>
          <w:szCs w:val="21"/>
        </w:rPr>
      </w:pPr>
      <w:r>
        <w:rPr>
          <w:rStyle w:val="8"/>
          <w:rFonts w:hint="default" w:ascii="Times New Roman" w:hAnsi="Times New Roman" w:cs="Times New Roman"/>
          <w:sz w:val="21"/>
          <w:szCs w:val="21"/>
          <w:shd w:val="clear" w:color="auto" w:fill="auto"/>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.14.31-38 (Church)</w:t>
      </w:r>
    </w:p>
  </w:footnote>
  <w:footnote w:id="22">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Scott</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2003</w:t>
      </w:r>
    </w:p>
  </w:footnote>
  <w:footnote w:id="23">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Darvil</w:t>
      </w:r>
      <w:r>
        <w:rPr>
          <w:rFonts w:hint="default" w:ascii="Times New Roman" w:hAnsi="Times New Roman" w:cs="Times New Roman"/>
          <w:sz w:val="21"/>
          <w:szCs w:val="21"/>
          <w:lang w:val="en-GB"/>
        </w:rPr>
        <w:t xml:space="preserve">l. </w:t>
      </w:r>
      <w:r>
        <w:rPr>
          <w:rFonts w:hint="default" w:ascii="Times New Roman" w:hAnsi="Times New Roman" w:cs="Times New Roman"/>
          <w:sz w:val="21"/>
          <w:szCs w:val="21"/>
        </w:rPr>
        <w:t>2008</w:t>
      </w:r>
    </w:p>
  </w:footnote>
  <w:footnote w:id="24">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Darvil</w:t>
      </w:r>
      <w:r>
        <w:rPr>
          <w:rFonts w:hint="default" w:ascii="Times New Roman" w:hAnsi="Times New Roman" w:cs="Times New Roman"/>
          <w:sz w:val="21"/>
          <w:szCs w:val="21"/>
          <w:lang w:val="en-GB"/>
        </w:rPr>
        <w:t xml:space="preserve">l. </w:t>
      </w:r>
      <w:r>
        <w:rPr>
          <w:rFonts w:hint="default" w:ascii="Times New Roman" w:hAnsi="Times New Roman" w:cs="Times New Roman"/>
          <w:sz w:val="21"/>
          <w:szCs w:val="21"/>
        </w:rPr>
        <w:t>2008</w:t>
      </w:r>
    </w:p>
  </w:footnote>
  <w:footnote w:id="25">
    <w:p>
      <w:pPr>
        <w:jc w:val="left"/>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15 (Bryant)</w:t>
      </w:r>
    </w:p>
  </w:footnote>
  <w:footnote w:id="26">
    <w:p>
      <w:pPr>
        <w:jc w:val="left"/>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15 (Bryant)</w:t>
      </w:r>
    </w:p>
  </w:footnote>
  <w:footnote w:id="27">
    <w:p>
      <w:pPr>
        <w:jc w:val="left"/>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14.31-38 (Church)</w:t>
      </w:r>
    </w:p>
  </w:footnote>
  <w:footnote w:id="28">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Hornblower, Spawforth</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2003</w:t>
      </w:r>
    </w:p>
  </w:footnote>
  <w:footnote w:id="29">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eastAsia="SimSun" w:cs="Times New Roman"/>
          <w:b w:val="0"/>
          <w:i w:val="0"/>
          <w:caps w:val="0"/>
          <w:color w:val="333333"/>
          <w:spacing w:val="0"/>
          <w:sz w:val="21"/>
          <w:szCs w:val="21"/>
          <w:shd w:val="clear" w:fill="FFFFFF"/>
        </w:rPr>
        <w:t>Adler</w:t>
      </w:r>
      <w:r>
        <w:rPr>
          <w:rFonts w:hint="default" w:ascii="Times New Roman" w:hAnsi="Times New Roman" w:eastAsia="SimSun" w:cs="Times New Roman"/>
          <w:b w:val="0"/>
          <w:i w:val="0"/>
          <w:caps w:val="0"/>
          <w:color w:val="333333"/>
          <w:spacing w:val="0"/>
          <w:sz w:val="21"/>
          <w:szCs w:val="21"/>
          <w:shd w:val="clear" w:fill="FFFFFF"/>
          <w:lang w:val="en-GB"/>
        </w:rPr>
        <w:t>. 2008</w:t>
      </w:r>
    </w:p>
  </w:footnote>
  <w:footnote w:id="30">
    <w:p>
      <w:pPr>
        <w:pStyle w:val="3"/>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eastAsia="SimSun" w:cs="Times New Roman"/>
          <w:b w:val="0"/>
          <w:i w:val="0"/>
          <w:caps w:val="0"/>
          <w:color w:val="333333"/>
          <w:spacing w:val="0"/>
          <w:sz w:val="21"/>
          <w:szCs w:val="21"/>
          <w:shd w:val="clear" w:fill="FFFFFF"/>
        </w:rPr>
        <w:t>Adler</w:t>
      </w:r>
      <w:r>
        <w:rPr>
          <w:rFonts w:hint="default" w:ascii="Times New Roman" w:hAnsi="Times New Roman" w:eastAsia="SimSun" w:cs="Times New Roman"/>
          <w:b w:val="0"/>
          <w:i w:val="0"/>
          <w:caps w:val="0"/>
          <w:color w:val="333333"/>
          <w:spacing w:val="0"/>
          <w:sz w:val="21"/>
          <w:szCs w:val="21"/>
          <w:shd w:val="clear" w:fill="FFFFFF"/>
          <w:lang w:val="en-GB"/>
        </w:rPr>
        <w:t>. 2008</w:t>
      </w:r>
    </w:p>
  </w:footnote>
  <w:footnote w:id="31">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eastAsia="SimSun" w:cs="Times New Roman"/>
          <w:b w:val="0"/>
          <w:i w:val="0"/>
          <w:caps w:val="0"/>
          <w:color w:val="333333"/>
          <w:spacing w:val="0"/>
          <w:sz w:val="21"/>
          <w:szCs w:val="21"/>
          <w:shd w:val="clear" w:fill="FFFFFF"/>
        </w:rPr>
        <w:t>Adler</w:t>
      </w:r>
      <w:r>
        <w:rPr>
          <w:rFonts w:hint="default" w:ascii="Times New Roman" w:hAnsi="Times New Roman" w:eastAsia="SimSun" w:cs="Times New Roman"/>
          <w:b w:val="0"/>
          <w:i w:val="0"/>
          <w:caps w:val="0"/>
          <w:color w:val="333333"/>
          <w:spacing w:val="0"/>
          <w:sz w:val="21"/>
          <w:szCs w:val="21"/>
          <w:shd w:val="clear" w:fill="FFFFFF"/>
          <w:lang w:val="en-GB"/>
        </w:rPr>
        <w:t>. 2008</w:t>
      </w:r>
    </w:p>
  </w:footnote>
  <w:footnote w:id="32">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Darvil</w:t>
      </w:r>
      <w:r>
        <w:rPr>
          <w:rFonts w:hint="default" w:ascii="Times New Roman" w:hAnsi="Times New Roman" w:cs="Times New Roman"/>
          <w:sz w:val="21"/>
          <w:szCs w:val="21"/>
          <w:lang w:val="en-GB"/>
        </w:rPr>
        <w:t xml:space="preserve">l. </w:t>
      </w:r>
      <w:r>
        <w:rPr>
          <w:rFonts w:hint="default" w:ascii="Times New Roman" w:hAnsi="Times New Roman" w:cs="Times New Roman"/>
          <w:sz w:val="21"/>
          <w:szCs w:val="21"/>
        </w:rPr>
        <w:t>2008</w:t>
      </w:r>
    </w:p>
  </w:footnote>
  <w:footnote w:id="33">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Dando-Collins</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201</w:t>
      </w:r>
      <w:r>
        <w:rPr>
          <w:rFonts w:hint="default" w:ascii="Times New Roman" w:hAnsi="Times New Roman" w:cs="Times New Roman"/>
          <w:sz w:val="21"/>
          <w:szCs w:val="21"/>
          <w:lang w:val="en-GB"/>
        </w:rPr>
        <w:t>0</w:t>
      </w:r>
    </w:p>
  </w:footnote>
  <w:footnote w:id="34">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Hornblower, Spawforth</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2003</w:t>
      </w:r>
    </w:p>
  </w:footnote>
  <w:footnote w:id="35">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Hornblower, Spawforth</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2003</w:t>
      </w:r>
    </w:p>
  </w:footnote>
  <w:footnote w:id="36">
    <w:p>
      <w:pPr>
        <w:rPr>
          <w:rFonts w:hint="default" w:ascii="Times New Roman" w:hAnsi="Times New Roman" w:cs="Times New Roman"/>
          <w:sz w:val="21"/>
          <w:szCs w:val="21"/>
          <w:lang w:val="en-US"/>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O'Gorman</w:t>
      </w:r>
      <w:r>
        <w:rPr>
          <w:rFonts w:hint="default" w:ascii="Times New Roman" w:hAnsi="Times New Roman" w:cs="Times New Roman"/>
          <w:sz w:val="21"/>
          <w:szCs w:val="21"/>
          <w:lang w:val="en-GB"/>
        </w:rPr>
        <w:t>. 2000</w:t>
      </w:r>
    </w:p>
  </w:footnote>
  <w:footnote w:id="37">
    <w:p>
      <w:pPr>
        <w:jc w:val="left"/>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cs="Times New Roman"/>
          <w:sz w:val="21"/>
          <w:szCs w:val="21"/>
          <w:lang w:val="en-GB"/>
        </w:rPr>
        <w:t>Tac. 14.31-38 (Church)</w:t>
      </w:r>
    </w:p>
  </w:footnote>
  <w:footnote w:id="38">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Hornblower, Spawforth</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2003</w:t>
      </w:r>
    </w:p>
  </w:footnote>
  <w:footnote w:id="39">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Hornblower, Spawforth</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2003</w:t>
      </w:r>
    </w:p>
  </w:footnote>
  <w:footnote w:id="40">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Aldhouse-Green. 2006. </w:t>
      </w:r>
    </w:p>
  </w:footnote>
  <w:footnote w:id="41">
    <w:p>
      <w:pPr>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Aldhouse-Green. 2006. </w:t>
      </w:r>
    </w:p>
  </w:footnote>
  <w:footnote w:id="42">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eastAsia="SimSun" w:cs="Times New Roman"/>
          <w:b w:val="0"/>
          <w:i w:val="0"/>
          <w:caps w:val="0"/>
          <w:color w:val="333333"/>
          <w:spacing w:val="0"/>
          <w:sz w:val="21"/>
          <w:szCs w:val="21"/>
          <w:shd w:val="clear" w:fill="FFFFFF"/>
        </w:rPr>
        <w:t>Adler</w:t>
      </w:r>
      <w:r>
        <w:rPr>
          <w:rFonts w:hint="default" w:ascii="Times New Roman" w:hAnsi="Times New Roman" w:eastAsia="SimSun" w:cs="Times New Roman"/>
          <w:b w:val="0"/>
          <w:i w:val="0"/>
          <w:caps w:val="0"/>
          <w:color w:val="333333"/>
          <w:spacing w:val="0"/>
          <w:sz w:val="21"/>
          <w:szCs w:val="21"/>
          <w:shd w:val="clear" w:fill="FFFFFF"/>
          <w:lang w:val="en-GB"/>
        </w:rPr>
        <w:t>. 2008</w:t>
      </w:r>
    </w:p>
  </w:footnote>
  <w:footnote w:id="43">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eastAsia="SimSun" w:cs="Times New Roman"/>
          <w:b w:val="0"/>
          <w:i w:val="0"/>
          <w:caps w:val="0"/>
          <w:color w:val="333333"/>
          <w:spacing w:val="0"/>
          <w:sz w:val="21"/>
          <w:szCs w:val="21"/>
          <w:shd w:val="clear" w:fill="FFFFFF"/>
        </w:rPr>
        <w:t>Adler</w:t>
      </w:r>
      <w:r>
        <w:rPr>
          <w:rFonts w:hint="default" w:ascii="Times New Roman" w:hAnsi="Times New Roman" w:eastAsia="SimSun" w:cs="Times New Roman"/>
          <w:b w:val="0"/>
          <w:i w:val="0"/>
          <w:caps w:val="0"/>
          <w:color w:val="333333"/>
          <w:spacing w:val="0"/>
          <w:sz w:val="21"/>
          <w:szCs w:val="21"/>
          <w:shd w:val="clear" w:fill="FFFFFF"/>
          <w:lang w:val="en-GB"/>
        </w:rPr>
        <w:t>. 2008</w:t>
      </w:r>
    </w:p>
  </w:footnote>
  <w:footnote w:id="44">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rPr>
        <w:t xml:space="preserve"> </w:t>
      </w:r>
      <w:r>
        <w:rPr>
          <w:rFonts w:hint="default" w:ascii="Times New Roman" w:hAnsi="Times New Roman" w:eastAsia="SimSun" w:cs="Times New Roman"/>
          <w:b w:val="0"/>
          <w:i w:val="0"/>
          <w:caps w:val="0"/>
          <w:color w:val="333333"/>
          <w:spacing w:val="0"/>
          <w:sz w:val="21"/>
          <w:szCs w:val="21"/>
          <w:shd w:val="clear" w:fill="FFFFFF"/>
        </w:rPr>
        <w:t>Adler</w:t>
      </w:r>
      <w:r>
        <w:rPr>
          <w:rFonts w:hint="default" w:ascii="Times New Roman" w:hAnsi="Times New Roman" w:eastAsia="SimSun" w:cs="Times New Roman"/>
          <w:b w:val="0"/>
          <w:i w:val="0"/>
          <w:caps w:val="0"/>
          <w:color w:val="333333"/>
          <w:spacing w:val="0"/>
          <w:sz w:val="21"/>
          <w:szCs w:val="21"/>
          <w:shd w:val="clear" w:fill="FFFFFF"/>
          <w:lang w:val="en-GB"/>
        </w:rPr>
        <w:t>. 2008</w:t>
      </w:r>
    </w:p>
  </w:footnote>
  <w:footnote w:id="45">
    <w:p>
      <w:pPr>
        <w:pStyle w:val="4"/>
        <w:snapToGrid w:val="0"/>
        <w:rPr>
          <w:rFonts w:hint="default" w:ascii="Times New Roman" w:hAnsi="Times New Roman" w:cs="Times New Roman"/>
          <w:sz w:val="21"/>
          <w:szCs w:val="21"/>
        </w:rPr>
      </w:pPr>
      <w:r>
        <w:rPr>
          <w:rStyle w:val="8"/>
          <w:rFonts w:hint="default" w:ascii="Times New Roman" w:hAnsi="Times New Roman" w:cs="Times New Roman"/>
          <w:sz w:val="21"/>
          <w:szCs w:val="21"/>
        </w:rPr>
        <w:footnoteRef/>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Dando-Collins</w:t>
      </w:r>
      <w:r>
        <w:rPr>
          <w:rFonts w:hint="default" w:ascii="Times New Roman" w:hAnsi="Times New Roman" w:cs="Times New Roman"/>
          <w:sz w:val="21"/>
          <w:szCs w:val="21"/>
          <w:lang w:val="en-GB"/>
        </w:rPr>
        <w:t xml:space="preserve">. </w:t>
      </w:r>
      <w:r>
        <w:rPr>
          <w:rFonts w:hint="default" w:ascii="Times New Roman" w:hAnsi="Times New Roman" w:cs="Times New Roman"/>
          <w:sz w:val="21"/>
          <w:szCs w:val="21"/>
        </w:rPr>
        <w:t>201</w:t>
      </w:r>
      <w:r>
        <w:rPr>
          <w:rFonts w:hint="default" w:ascii="Times New Roman" w:hAnsi="Times New Roman" w:cs="Times New Roman"/>
          <w:sz w:val="21"/>
          <w:szCs w:val="21"/>
          <w:lang w:val="en-GB"/>
        </w:rPr>
        <w:t>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2445C23"/>
    <w:rsid w:val="0D690CA8"/>
    <w:rsid w:val="0EF0107C"/>
    <w:rsid w:val="11503535"/>
    <w:rsid w:val="12445C23"/>
    <w:rsid w:val="13384A78"/>
    <w:rsid w:val="2B502CCA"/>
    <w:rsid w:val="5F826B0C"/>
    <w:rsid w:val="5F856F35"/>
    <w:rsid w:val="61732F6C"/>
    <w:rsid w:val="6713094E"/>
    <w:rsid w:val="68706743"/>
    <w:rsid w:val="68AA4DA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12"/>
    <w:qFormat/>
    <w:uiPriority w:val="0"/>
    <w:pPr>
      <w:keepNext/>
      <w:keepLines/>
      <w:spacing w:before="340" w:after="330" w:line="578" w:lineRule="auto"/>
      <w:outlineLvl w:val="0"/>
    </w:pPr>
    <w:rPr>
      <w:b/>
      <w:bCs/>
      <w:kern w:val="44"/>
      <w:sz w:val="44"/>
      <w:szCs w:val="44"/>
    </w:rPr>
  </w:style>
  <w:style w:type="character" w:default="1" w:styleId="6">
    <w:name w:val="Default Paragraph Font"/>
    <w:semiHidden/>
    <w:qFormat/>
    <w:uiPriority w:val="0"/>
  </w:style>
  <w:style w:type="table" w:default="1" w:styleId="10">
    <w:name w:val="Normal Table"/>
    <w:semiHidden/>
    <w:qFormat/>
    <w:uiPriority w:val="0"/>
    <w:tblPr>
      <w:tblLayout w:type="fixed"/>
      <w:tblCellMar>
        <w:top w:w="0" w:type="dxa"/>
        <w:left w:w="108" w:type="dxa"/>
        <w:bottom w:w="0" w:type="dxa"/>
        <w:right w:w="108" w:type="dxa"/>
      </w:tblCellMar>
    </w:tblPr>
  </w:style>
  <w:style w:type="paragraph" w:styleId="3">
    <w:name w:val="footer"/>
    <w:basedOn w:val="1"/>
    <w:link w:val="11"/>
    <w:qFormat/>
    <w:uiPriority w:val="0"/>
    <w:pPr>
      <w:tabs>
        <w:tab w:val="center" w:pos="4153"/>
        <w:tab w:val="right" w:pos="8306"/>
      </w:tabs>
      <w:snapToGrid w:val="0"/>
      <w:jc w:val="left"/>
    </w:pPr>
    <w:rPr>
      <w:sz w:val="18"/>
      <w:szCs w:val="18"/>
    </w:rPr>
  </w:style>
  <w:style w:type="paragraph" w:styleId="4">
    <w:name w:val="footnote text"/>
    <w:basedOn w:val="1"/>
    <w:qFormat/>
    <w:uiPriority w:val="0"/>
    <w:pPr>
      <w:snapToGrid w:val="0"/>
      <w:jc w:val="left"/>
    </w:pPr>
    <w:rPr>
      <w:sz w:val="18"/>
      <w:szCs w:val="18"/>
    </w:rPr>
  </w:style>
  <w:style w:type="paragraph" w:styleId="5">
    <w:name w:val="header"/>
    <w:basedOn w:val="1"/>
    <w:qFormat/>
    <w:uiPriority w:val="0"/>
    <w:pPr>
      <w:tabs>
        <w:tab w:val="center" w:pos="4153"/>
        <w:tab w:val="right" w:pos="8306"/>
      </w:tabs>
      <w:snapToGrid w:val="0"/>
    </w:pPr>
    <w:rPr>
      <w:sz w:val="18"/>
      <w:szCs w:val="18"/>
    </w:rPr>
  </w:style>
  <w:style w:type="character" w:styleId="7">
    <w:name w:val="Emphasis"/>
    <w:basedOn w:val="6"/>
    <w:qFormat/>
    <w:uiPriority w:val="0"/>
    <w:rPr>
      <w:i/>
      <w:iCs/>
    </w:rPr>
  </w:style>
  <w:style w:type="character" w:styleId="8">
    <w:name w:val="footnote reference"/>
    <w:basedOn w:val="6"/>
    <w:qFormat/>
    <w:uiPriority w:val="0"/>
    <w:rPr>
      <w:vertAlign w:val="superscript"/>
    </w:rPr>
  </w:style>
  <w:style w:type="character" w:styleId="9">
    <w:name w:val="Hyperlink"/>
    <w:basedOn w:val="6"/>
    <w:uiPriority w:val="0"/>
    <w:rPr>
      <w:color w:val="0000FF"/>
      <w:u w:val="single"/>
    </w:rPr>
  </w:style>
  <w:style w:type="character" w:customStyle="1" w:styleId="11">
    <w:name w:val="Footer Char"/>
    <w:link w:val="3"/>
    <w:qFormat/>
    <w:uiPriority w:val="0"/>
    <w:rPr>
      <w:sz w:val="18"/>
      <w:szCs w:val="18"/>
    </w:rPr>
  </w:style>
  <w:style w:type="character" w:customStyle="1" w:styleId="12">
    <w:name w:val="Heading 1 Char"/>
    <w:link w:val="2"/>
    <w:uiPriority w:val="0"/>
    <w:rPr>
      <w:b/>
      <w:bCs/>
      <w:kern w:val="44"/>
      <w:sz w:val="44"/>
      <w:szCs w:val="4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2017-11-02T19:34:00Z</dcterms:created>
  <dc:creator>Jeff</dc:creator>
  <cp:lastModifiedBy>Jeff</cp:lastModifiedBy>
  <dcterms:modified xsi:type="dcterms:W3CDTF">2017-11-14T20:30:08Z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