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BMPS4009 &amp; BMPL4007</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Learning in the Digital Era</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Marius Rusu</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 </w:t>
      </w:r>
      <w:r>
        <w:rPr>
          <w:rFonts w:ascii="Times New Roman" w:hAnsi="Times New Roman" w:cs="Times New Roman" w:eastAsia="Times New Roman"/>
          <w:color w:val="000000"/>
          <w:spacing w:val="0"/>
          <w:position w:val="0"/>
          <w:sz w:val="24"/>
          <w:shd w:fill="auto" w:val="clear"/>
        </w:rPr>
        <w:t xml:space="preserve">2234474</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of Content</w:t>
      </w:r>
    </w:p>
    <w:p>
      <w:pPr>
        <w:tabs>
          <w:tab w:val="right" w:pos="9350" w:leader="dot"/>
        </w:tabs>
        <w:spacing w:before="120" w:after="12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aps w:val="true"/>
          <w:color w:val="0563C1"/>
          <w:spacing w:val="0"/>
          <w:position w:val="0"/>
          <w:sz w:val="24"/>
          <w:u w:val="single"/>
          <w:shd w:fill="auto" w:val="clear"/>
        </w:rPr>
        <w:t xml:space="preserve">Introduction</w:t>
      </w:r>
      <w:r>
        <w:rPr>
          <w:rFonts w:ascii="Times New Roman" w:hAnsi="Times New Roman" w:cs="Times New Roman" w:eastAsia="Times New Roman"/>
          <w:b/>
          <w:caps w:val="true"/>
          <w:color w:val="auto"/>
          <w:spacing w:val="0"/>
          <w:position w:val="0"/>
          <w:sz w:val="24"/>
          <w:shd w:fill="auto" w:val="clear"/>
        </w:rPr>
        <w:tab/>
        <w:t xml:space="preserve">3</w:t>
      </w:r>
    </w:p>
    <w:p>
      <w:pPr>
        <w:tabs>
          <w:tab w:val="right" w:pos="9350" w:leader="dot"/>
        </w:tabs>
        <w:spacing w:before="120" w:after="12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aps w:val="true"/>
          <w:color w:val="0563C1"/>
          <w:spacing w:val="0"/>
          <w:position w:val="0"/>
          <w:sz w:val="24"/>
          <w:u w:val="single"/>
          <w:shd w:fill="auto" w:val="clear"/>
        </w:rPr>
        <w:t xml:space="preserve">Summary</w:t>
      </w:r>
      <w:r>
        <w:rPr>
          <w:rFonts w:ascii="Times New Roman" w:hAnsi="Times New Roman" w:cs="Times New Roman" w:eastAsia="Times New Roman"/>
          <w:b/>
          <w:caps w:val="true"/>
          <w:color w:val="auto"/>
          <w:spacing w:val="0"/>
          <w:position w:val="0"/>
          <w:sz w:val="24"/>
          <w:shd w:fill="auto" w:val="clear"/>
        </w:rPr>
        <w:tab/>
        <w:t xml:space="preserve">3</w:t>
      </w:r>
    </w:p>
    <w:p>
      <w:pPr>
        <w:tabs>
          <w:tab w:val="right" w:pos="9350" w:leader="dot"/>
        </w:tabs>
        <w:spacing w:before="120" w:after="12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aps w:val="true"/>
          <w:color w:val="0563C1"/>
          <w:spacing w:val="0"/>
          <w:position w:val="0"/>
          <w:sz w:val="24"/>
          <w:u w:val="single"/>
          <w:shd w:fill="auto" w:val="clear"/>
        </w:rPr>
        <w:t xml:space="preserve">Mind Map</w:t>
      </w:r>
      <w:r>
        <w:rPr>
          <w:rFonts w:ascii="Times New Roman" w:hAnsi="Times New Roman" w:cs="Times New Roman" w:eastAsia="Times New Roman"/>
          <w:b/>
          <w:caps w:val="true"/>
          <w:color w:val="auto"/>
          <w:spacing w:val="0"/>
          <w:position w:val="0"/>
          <w:sz w:val="24"/>
          <w:shd w:fill="auto" w:val="clear"/>
        </w:rPr>
        <w:tab/>
        <w:t xml:space="preserve">4</w:t>
      </w:r>
    </w:p>
    <w:p>
      <w:pPr>
        <w:tabs>
          <w:tab w:val="right" w:pos="9350" w:leader="dot"/>
        </w:tabs>
        <w:spacing w:before="120" w:after="12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aps w:val="true"/>
          <w:color w:val="0563C1"/>
          <w:spacing w:val="0"/>
          <w:position w:val="0"/>
          <w:sz w:val="24"/>
          <w:u w:val="single"/>
          <w:shd w:fill="auto" w:val="clear"/>
        </w:rPr>
        <w:t xml:space="preserve">Reflection</w:t>
      </w:r>
      <w:r>
        <w:rPr>
          <w:rFonts w:ascii="Times New Roman" w:hAnsi="Times New Roman" w:cs="Times New Roman" w:eastAsia="Times New Roman"/>
          <w:b/>
          <w:caps w:val="true"/>
          <w:color w:val="auto"/>
          <w:spacing w:val="0"/>
          <w:position w:val="0"/>
          <w:sz w:val="24"/>
          <w:shd w:fill="auto" w:val="clear"/>
        </w:rPr>
        <w:tab/>
        <w:t xml:space="preserve">6</w:t>
      </w:r>
    </w:p>
    <w:p>
      <w:pPr>
        <w:tabs>
          <w:tab w:val="right" w:pos="9350" w:leader="dot"/>
        </w:tabs>
        <w:spacing w:before="0" w:after="0" w:line="360"/>
        <w:ind w:right="0" w:left="2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563C1"/>
          <w:spacing w:val="0"/>
          <w:position w:val="0"/>
          <w:sz w:val="24"/>
          <w:u w:val="single"/>
          <w:shd w:fill="auto" w:val="clear"/>
        </w:rPr>
        <w:t xml:space="preserve">Borton’s model of reflection</w:t>
      </w:r>
      <w:r>
        <w:rPr>
          <w:rFonts w:ascii="Times New Roman" w:hAnsi="Times New Roman" w:cs="Times New Roman" w:eastAsia="Times New Roman"/>
          <w:color w:val="auto"/>
          <w:spacing w:val="0"/>
          <w:position w:val="0"/>
          <w:sz w:val="24"/>
          <w:shd w:fill="auto" w:val="clear"/>
        </w:rPr>
        <w:tab/>
        <w:t xml:space="preserve">6</w:t>
      </w:r>
    </w:p>
    <w:p>
      <w:pPr>
        <w:tabs>
          <w:tab w:val="right" w:pos="9350" w:leader="dot"/>
        </w:tabs>
        <w:spacing w:before="0" w:after="0" w:line="360"/>
        <w:ind w:right="0" w:left="4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563C1"/>
          <w:spacing w:val="0"/>
          <w:position w:val="0"/>
          <w:sz w:val="24"/>
          <w:u w:val="single"/>
          <w:shd w:fill="auto" w:val="clear"/>
        </w:rPr>
        <w:t xml:space="preserve">What?</w:t>
      </w:r>
      <w:r>
        <w:rPr>
          <w:rFonts w:ascii="Times New Roman" w:hAnsi="Times New Roman" w:cs="Times New Roman" w:eastAsia="Times New Roman"/>
          <w:i/>
          <w:color w:val="auto"/>
          <w:spacing w:val="0"/>
          <w:position w:val="0"/>
          <w:sz w:val="24"/>
          <w:shd w:fill="auto" w:val="clear"/>
        </w:rPr>
        <w:tab/>
        <w:t xml:space="preserve">6</w:t>
      </w:r>
    </w:p>
    <w:p>
      <w:pPr>
        <w:tabs>
          <w:tab w:val="right" w:pos="9350" w:leader="dot"/>
        </w:tabs>
        <w:spacing w:before="0" w:after="0" w:line="360"/>
        <w:ind w:right="0" w:left="4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563C1"/>
          <w:spacing w:val="0"/>
          <w:position w:val="0"/>
          <w:sz w:val="24"/>
          <w:u w:val="single"/>
          <w:shd w:fill="auto" w:val="clear"/>
        </w:rPr>
        <w:t xml:space="preserve">So what?</w:t>
      </w:r>
      <w:r>
        <w:rPr>
          <w:rFonts w:ascii="Times New Roman" w:hAnsi="Times New Roman" w:cs="Times New Roman" w:eastAsia="Times New Roman"/>
          <w:i/>
          <w:color w:val="auto"/>
          <w:spacing w:val="0"/>
          <w:position w:val="0"/>
          <w:sz w:val="24"/>
          <w:shd w:fill="auto" w:val="clear"/>
        </w:rPr>
        <w:tab/>
        <w:t xml:space="preserve">6</w:t>
      </w:r>
    </w:p>
    <w:p>
      <w:pPr>
        <w:tabs>
          <w:tab w:val="right" w:pos="9350" w:leader="dot"/>
        </w:tabs>
        <w:spacing w:before="0" w:after="0" w:line="360"/>
        <w:ind w:right="0" w:left="4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563C1"/>
          <w:spacing w:val="0"/>
          <w:position w:val="0"/>
          <w:sz w:val="24"/>
          <w:u w:val="single"/>
          <w:shd w:fill="auto" w:val="clear"/>
        </w:rPr>
        <w:t xml:space="preserve">Now what?</w:t>
      </w:r>
      <w:r>
        <w:rPr>
          <w:rFonts w:ascii="Times New Roman" w:hAnsi="Times New Roman" w:cs="Times New Roman" w:eastAsia="Times New Roman"/>
          <w:i/>
          <w:color w:val="auto"/>
          <w:spacing w:val="0"/>
          <w:position w:val="0"/>
          <w:sz w:val="24"/>
          <w:shd w:fill="auto" w:val="clear"/>
        </w:rPr>
        <w:tab/>
        <w:t xml:space="preserve">7</w:t>
      </w:r>
    </w:p>
    <w:p>
      <w:pPr>
        <w:tabs>
          <w:tab w:val="right" w:pos="9350" w:leader="dot"/>
        </w:tabs>
        <w:spacing w:before="120" w:after="12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aps w:val="true"/>
          <w:color w:val="0563C1"/>
          <w:spacing w:val="0"/>
          <w:position w:val="0"/>
          <w:sz w:val="24"/>
          <w:u w:val="single"/>
          <w:shd w:fill="auto" w:val="clear"/>
        </w:rPr>
        <w:t xml:space="preserve">Conclusion</w:t>
      </w:r>
      <w:r>
        <w:rPr>
          <w:rFonts w:ascii="Times New Roman" w:hAnsi="Times New Roman" w:cs="Times New Roman" w:eastAsia="Times New Roman"/>
          <w:b/>
          <w:caps w:val="true"/>
          <w:color w:val="auto"/>
          <w:spacing w:val="0"/>
          <w:position w:val="0"/>
          <w:sz w:val="24"/>
          <w:shd w:fill="auto" w:val="clear"/>
        </w:rPr>
        <w:tab/>
        <w:t xml:space="preserve">7</w:t>
      </w:r>
    </w:p>
    <w:p>
      <w:pPr>
        <w:tabs>
          <w:tab w:val="right" w:pos="9350" w:leader="dot"/>
        </w:tabs>
        <w:spacing w:before="120" w:after="12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aps w:val="true"/>
          <w:color w:val="0563C1"/>
          <w:spacing w:val="0"/>
          <w:position w:val="0"/>
          <w:sz w:val="24"/>
          <w:u w:val="single"/>
          <w:shd w:fill="auto" w:val="clear"/>
        </w:rPr>
        <w:t xml:space="preserve">References</w:t>
      </w:r>
      <w:r>
        <w:rPr>
          <w:rFonts w:ascii="Times New Roman" w:hAnsi="Times New Roman" w:cs="Times New Roman" w:eastAsia="Times New Roman"/>
          <w:b/>
          <w:caps w:val="true"/>
          <w:color w:val="auto"/>
          <w:spacing w:val="0"/>
          <w:position w:val="0"/>
          <w:sz w:val="24"/>
          <w:shd w:fill="auto" w:val="clear"/>
        </w:rPr>
        <w:tab/>
        <w:t xml:space="preserve">7</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Introduction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learning practices are being implemented at most institutions while traditional learning practices are being reduced</w:t>
      </w:r>
      <w:r>
        <w:rPr>
          <w:rFonts w:ascii="Arial" w:hAnsi="Arial" w:cs="Arial" w:eastAsia="Arial"/>
          <w:color w:val="222222"/>
          <w:spacing w:val="0"/>
          <w:position w:val="0"/>
          <w:sz w:val="20"/>
          <w:shd w:fill="FFFFFF" w:val="clear"/>
        </w:rPr>
        <w:t xml:space="preserve"> (</w:t>
      </w:r>
      <w:r>
        <w:rPr>
          <w:rFonts w:ascii="Times New Roman" w:hAnsi="Times New Roman" w:cs="Times New Roman" w:eastAsia="Times New Roman"/>
          <w:color w:val="auto"/>
          <w:spacing w:val="0"/>
          <w:position w:val="0"/>
          <w:sz w:val="24"/>
          <w:shd w:fill="auto" w:val="clear"/>
        </w:rPr>
        <w:t xml:space="preserve">Morgan, 2020). In this digital era, students need to attain appropriate digital learning skills that might help them in their learning outcomes. The key rationale of this report is to demonstrate the importance of digital learning for the preparation of Higher Education. It is believed that students might experience various challenges at the very initial levels of their higher education due to the learning systems in which advanced technologies are integrated. The initial section is based on the summary i.e. presenting how enhanced digital learning skills students are appropriately prepared for higher school learning. Then the mind map is presented which is based on the key concepts of becoming digital learning, along with the reflection of the very initial days at university. In these ways, this report a brief overview of the importance of digital learning skills in the digital era. </w:t>
      </w:r>
    </w:p>
    <w:p>
      <w:pPr>
        <w:keepNext w:val="true"/>
        <w:keepLines w:val="true"/>
        <w:spacing w:before="24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Summary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‘Preparing for Higher Education’ is based on the starting preparation for moving into higher education levels. The preparation is usually focused on many activities such as academic-level preparations, adopting the right habits, potential interests required to be explored, and the appropriate institution or school being selected for Higher Education. According to Gvojich (2022), the transitions to higher education from higher schools are challenging for most students as they are most likely to experience a highly competitive environment. While the developmental tasks might enable students to prepare for such challenging environments appropriately i.e. Higher education. Martha et al. (2021) evaluated that certain skills are required by students for preparing themselves for higher education levels. The skills demonstrated in this study are effective online learning skills, as it is elaborated that enhanced levels of digital learning readiness or enhanced digital learning skills enhance students’ emotional intelligence, motivations as well as satisfaction. Enhanced online learning skills not only enhance students’ learning outcomes but prepares them for future learning such as Higher education too. Hence, the students are required to attain appropriate digital learning skills for the beneficial learning outcomes.</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Zainuddin et al. (2019) demonstrated that online learning outcomes have emerged in the present era as most institutions are utilizing or preferring digital or online learning over traditional learning practices. This study also elaborated that digital learning enhanced self-directed learning capabilities among students that are keeping them motivated. According to Turnbull et al. (2021), the world is being transformed by online learning practices due to the enhanced integration of technological innovations in educational systems. The technologies that are being integrated into the learning platforms have improved the overall students learning outcomes and these transitions i.e. e-learning outcomes provide potential benefits to the students for Higher Education Preparations. In these ways, it is demonstrated that digital learning is generating significant positive impacts on Higher Education outcomes and is facilitating students' preparation for their future learning outcomes effectively.</w:t>
      </w:r>
    </w:p>
    <w:p>
      <w:pPr>
        <w:keepNext w:val="true"/>
        <w:keepLines w:val="true"/>
        <w:spacing w:before="24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Mind Map</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learning is referred to as the learning that is being facilitated by technological innovations. While ‘becoming a digital learner’ refers to an aspect that a person is capable to utilize technologies effectively and is unable to appreciate interactive, on-demand, high-value course materials (Castro, 2019). In short, the digital learner is capable to learn from multiple devices anywhere, anytime. A mind map is elaborating the vital aspects such as how digital learning promotes future learning outcomes, hence is effectively evaluating the importance of the digital learnings in the present era.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Figure 1: Mind Map</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mind map is illustrating that enhanced digital learning capability would prepare me for my chosen discipline such as Higher education appropriately as it is based on various aspects or beneficial outcomes.</w:t>
      </w:r>
      <w:r>
        <w:rPr>
          <w:rFonts w:ascii="Arial" w:hAnsi="Arial" w:cs="Arial" w:eastAsia="Arial"/>
          <w:color w:val="222222"/>
          <w:spacing w:val="0"/>
          <w:position w:val="0"/>
          <w:sz w:val="20"/>
          <w:shd w:fill="FFFFFF" w:val="clear"/>
        </w:rPr>
        <w:t xml:space="preserve"> </w:t>
      </w:r>
      <w:r>
        <w:rPr>
          <w:rFonts w:ascii="Times New Roman" w:hAnsi="Times New Roman" w:cs="Times New Roman" w:eastAsia="Times New Roman"/>
          <w:color w:val="222222"/>
          <w:spacing w:val="0"/>
          <w:position w:val="0"/>
          <w:sz w:val="24"/>
          <w:shd w:fill="FFFFFF" w:val="clear"/>
        </w:rPr>
        <w:t xml:space="preserve">According to</w:t>
      </w:r>
      <w:r>
        <w:rPr>
          <w:rFonts w:ascii="Arial" w:hAnsi="Arial" w:cs="Arial" w:eastAsia="Arial"/>
          <w:color w:val="222222"/>
          <w:spacing w:val="0"/>
          <w:position w:val="0"/>
          <w:sz w:val="20"/>
          <w:shd w:fill="FFFFFF" w:val="clear"/>
        </w:rPr>
        <w:t xml:space="preserve"> </w:t>
      </w:r>
      <w:r>
        <w:rPr>
          <w:rFonts w:ascii="Times New Roman" w:hAnsi="Times New Roman" w:cs="Times New Roman" w:eastAsia="Times New Roman"/>
          <w:color w:val="222222"/>
          <w:spacing w:val="0"/>
          <w:position w:val="0"/>
          <w:sz w:val="24"/>
          <w:shd w:fill="FFFFFF" w:val="clear"/>
        </w:rPr>
        <w:t xml:space="preserve">Regmi, K., and Jones (2020), digital learning has various beneficial outcomes such as digital learners are highly motivated or stimulated for higher-level learning and they are capable to make effective interactions in future learning practices.</w:t>
      </w:r>
      <w:r>
        <w:rPr>
          <w:rFonts w:ascii="Arial" w:hAnsi="Arial" w:cs="Arial" w:eastAsia="Arial"/>
          <w:color w:val="222222"/>
          <w:spacing w:val="0"/>
          <w:position w:val="0"/>
          <w:sz w:val="20"/>
          <w:shd w:fill="FFFFFF" w:val="clear"/>
        </w:rPr>
        <w:t xml:space="preserve"> </w:t>
      </w:r>
      <w:r>
        <w:rPr>
          <w:rFonts w:ascii="Times New Roman" w:hAnsi="Times New Roman" w:cs="Times New Roman" w:eastAsia="Times New Roman"/>
          <w:color w:val="auto"/>
          <w:spacing w:val="0"/>
          <w:position w:val="0"/>
          <w:sz w:val="24"/>
          <w:shd w:fill="auto" w:val="clear"/>
        </w:rPr>
        <w:t xml:space="preserve">Singh et al. (2021) demonstrate various benefits of digital learning and found a close association among the key themes of efficient digital learners such as digital learning enhances effective interactions capabilities, innovative projects productivity, and capability to experience digital era challenges effectively. Hence, all the key themes, and concepts associated with digital learning have a close association.</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Sousa and Rocha, (2019) demonstrated that effective digital learning is the key driver that led to potential skills development outcomes in individuals. The findings of this study evaluate that digital learning is a complex phenomenon that results in enhanced problem-solving skills among individuals. According to Castro and Tumibay (2021), becoming a digital learner is vital in this advanced era as it promotes acting learning and teaching skills. This study elaborated that agility learning principles such as digital learning outcomes would enhance the capability of students to learn effectively in higher education courses as their digital content understanding levels are being enhanced. Hence, the mind map based on ‘Becoming a Digital Learner’ is contributing to the preparation of the chosen discipline such as ‘Higher-Education Preparation’. </w:t>
      </w:r>
    </w:p>
    <w:p>
      <w:pPr>
        <w:keepNext w:val="true"/>
        <w:keepLines w:val="true"/>
        <w:spacing w:before="24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Reflection </w:t>
      </w:r>
    </w:p>
    <w:p>
      <w:pPr>
        <w:keepNext w:val="true"/>
        <w:keepLines w:val="true"/>
        <w:spacing w:before="40" w:after="0" w:line="360"/>
        <w:ind w:right="0" w:left="0" w:firstLine="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Borton’s model of reflection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framework provides an opportunity to evaluate personal experiences in the most organized ways, based on three main questions such as what, so what, and now what</w:t>
      </w:r>
      <w:r>
        <w:rPr>
          <w:rFonts w:ascii="Arial" w:hAnsi="Arial" w:cs="Arial" w:eastAsia="Arial"/>
          <w:color w:val="222222"/>
          <w:spacing w:val="0"/>
          <w:position w:val="0"/>
          <w:sz w:val="20"/>
          <w:shd w:fill="FFFFFF" w:val="clear"/>
        </w:rPr>
        <w:t xml:space="preserve"> (</w:t>
      </w:r>
      <w:r>
        <w:rPr>
          <w:rFonts w:ascii="Times New Roman" w:hAnsi="Times New Roman" w:cs="Times New Roman" w:eastAsia="Times New Roman"/>
          <w:color w:val="auto"/>
          <w:spacing w:val="0"/>
          <w:position w:val="0"/>
          <w:sz w:val="24"/>
          <w:shd w:fill="auto" w:val="clear"/>
        </w:rPr>
        <w:t xml:space="preserve">Farrell and Macapinlac, 2021). I selected this model for reflecting on my starting university outcomes, which is focused on three main stages such as what, so what, and now what? Borton’s reflective tool enables one to encounter, analyze, demonstrate, or learn from the experiences in the most effective ways</w:t>
      </w:r>
      <w:r>
        <w:rPr>
          <w:rFonts w:ascii="Arial" w:hAnsi="Arial" w:cs="Arial" w:eastAsia="Arial"/>
          <w:color w:val="222222"/>
          <w:spacing w:val="0"/>
          <w:position w:val="0"/>
          <w:sz w:val="20"/>
          <w:shd w:fill="FFFFFF" w:val="clear"/>
        </w:rPr>
        <w:t xml:space="preserve"> (</w:t>
      </w:r>
      <w:r>
        <w:rPr>
          <w:rFonts w:ascii="Times New Roman" w:hAnsi="Times New Roman" w:cs="Times New Roman" w:eastAsia="Times New Roman"/>
          <w:color w:val="auto"/>
          <w:spacing w:val="0"/>
          <w:position w:val="0"/>
          <w:sz w:val="24"/>
          <w:shd w:fill="auto" w:val="clear"/>
        </w:rPr>
        <w:t xml:space="preserve">Kross et al., 2023). When I started university, I experienced various challenges in griping with the digital resources or learning as I was have reduced knowledge or skills regarding online learning outcomes. </w:t>
      </w:r>
    </w:p>
    <w:p>
      <w:pPr>
        <w:keepNext w:val="true"/>
        <w:keepLines w:val="true"/>
        <w:spacing w:before="40" w:after="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What?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starting university I was much motivated and confident in the very initial days but I do not know that all the learning resources would be provided online. Initially, we have an orientation session at the university in which it was told to us that most of the courses would be based on online classes. In the beginning, I did not have much knowledge regarding online learning outcomes e.g. even I do not know how the assignments would be submitted on the online platform. One of our teachers gave us an assignment on ‘digital transformation’ that we are required to submit on our portal. While I tried hard and completed my assignment at the time but due to reduced digital knowledge, I was much anxious to submit it on the portal at a given deadline. </w:t>
      </w:r>
    </w:p>
    <w:p>
      <w:pPr>
        <w:keepNext w:val="true"/>
        <w:keepLines w:val="true"/>
        <w:spacing w:before="40" w:after="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 what?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was very stressed at that time and tried to contact my subject teacher but I was unable to connect with her. It was 11:50 pm and the deadline was 12, and my anxiety levels are much enhanced. Then I memorize that one of my neighbors is highly skillful in digital platforms utilization. I called him and he came in 5 mins and helped me to submit my assignment. At that time, he asked me to attain appropriate digital skills that would help me in future learning practices. I thanked him in appropriate ways, while I started learning digital skills i.e. in my free time I watch certain videos based on facilitating online skills. I connected my teachers too and told about reduced digital skills, all of them supported me most to learn digitally in the most appropriate ways. </w:t>
      </w:r>
    </w:p>
    <w:p>
      <w:pPr>
        <w:keepNext w:val="true"/>
        <w:keepLines w:val="true"/>
        <w:spacing w:before="40" w:after="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Now what?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whole situation made me realize that in the present era, knowledge regarding digital learning is vital. So, from that day I started working on my digital learning skills. After few time, I evaluated that my digital learning skills are much enhanced as I was capable to acquire knowledge from the visual representation of any subject as well as I was capable to utilise all the electronic tools effectively. </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reflection enhanced my stress levels at the start as I feel like I am unable to submit my assignment at a given time but my neighbor helped me to upload my assignment file on the portal. In short, this assignment made me realize the importance of digital learning and facilitated my digital learning skills too which helped me a lot in my Higher Education upcoming years. </w:t>
      </w:r>
    </w:p>
    <w:p>
      <w:pPr>
        <w:keepNext w:val="true"/>
        <w:keepLines w:val="true"/>
        <w:spacing w:before="24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Conclusion</w:t>
      </w:r>
    </w:p>
    <w:p>
      <w:pPr>
        <w:spacing w:before="0" w:after="160" w:line="36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might experience numerous challenges while preparing themselves for Higher Education and the enhanced digital skills may enable them to stay motivated. Digital learning skills have various benefits such as enabling students to make effective interactions, stay motivated, stay productive, take an active part in innovative projects, etc. The sections of the report such as the summary and mind map evaluate that digital learning skills facilitate High School preparations in positive ways. While the final section of this report was based on the reflection of the starting days at university that is demonstrating that numerous challenges are experienced due to reduced digital learning skills. In these ways, this report is appropriately reflecting the foundational skills required for enhanced digital learning, along with the beneficial outcomes of the technology-integrated digital learning systems.  </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References</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Castro, M.D.B. and Tumibay, G.M., 2021. A literature review: efficacy of online learning courses for higher education institution using meta-analysis. </w:t>
      </w:r>
      <w:r>
        <w:rPr>
          <w:rFonts w:ascii="Times New Roman" w:hAnsi="Times New Roman" w:cs="Times New Roman" w:eastAsia="Times New Roman"/>
          <w:i/>
          <w:color w:val="auto"/>
          <w:spacing w:val="0"/>
          <w:position w:val="0"/>
          <w:sz w:val="24"/>
          <w:shd w:fill="auto" w:val="clear"/>
        </w:rPr>
        <w:t xml:space="preserve">Education and Information Technologies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26</w:t>
      </w:r>
      <w:r>
        <w:rPr>
          <w:rFonts w:ascii="Times New Roman" w:hAnsi="Times New Roman" w:cs="Times New Roman" w:eastAsia="Times New Roman"/>
          <w:color w:val="auto"/>
          <w:spacing w:val="0"/>
          <w:position w:val="0"/>
          <w:sz w:val="24"/>
          <w:shd w:fill="auto" w:val="clear"/>
        </w:rPr>
        <w:t xml:space="preserve">, pp.1367-1385.</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Castro, R., 2019. Blended learning in higher education: Trends and capabilities. </w:t>
      </w:r>
      <w:r>
        <w:rPr>
          <w:rFonts w:ascii="Times New Roman" w:hAnsi="Times New Roman" w:cs="Times New Roman" w:eastAsia="Times New Roman"/>
          <w:i/>
          <w:color w:val="auto"/>
          <w:spacing w:val="0"/>
          <w:position w:val="0"/>
          <w:sz w:val="24"/>
          <w:shd w:fill="auto" w:val="clear"/>
        </w:rPr>
        <w:t xml:space="preserve">Education and Information Technologies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24</w:t>
      </w:r>
      <w:r>
        <w:rPr>
          <w:rFonts w:ascii="Times New Roman" w:hAnsi="Times New Roman" w:cs="Times New Roman" w:eastAsia="Times New Roman"/>
          <w:color w:val="auto"/>
          <w:spacing w:val="0"/>
          <w:position w:val="0"/>
          <w:sz w:val="24"/>
          <w:shd w:fill="auto" w:val="clear"/>
        </w:rPr>
        <w:t xml:space="preserve">(4), pp.2523-2546.</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Farrell, T.S. and Macapinlac, M., 2021. Professional development through reflective practice: A framework for TESOL teachers. </w:t>
      </w:r>
      <w:r>
        <w:rPr>
          <w:rFonts w:ascii="Times New Roman" w:hAnsi="Times New Roman" w:cs="Times New Roman" w:eastAsia="Times New Roman"/>
          <w:i/>
          <w:color w:val="auto"/>
          <w:spacing w:val="0"/>
          <w:position w:val="0"/>
          <w:sz w:val="24"/>
          <w:shd w:fill="auto" w:val="clear"/>
        </w:rPr>
        <w:t xml:space="preserve">Canadian Journal of Applied Linguistics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24</w:t>
      </w:r>
      <w:r>
        <w:rPr>
          <w:rFonts w:ascii="Times New Roman" w:hAnsi="Times New Roman" w:cs="Times New Roman" w:eastAsia="Times New Roman"/>
          <w:color w:val="auto"/>
          <w:spacing w:val="0"/>
          <w:position w:val="0"/>
          <w:sz w:val="24"/>
          <w:shd w:fill="auto" w:val="clear"/>
        </w:rPr>
        <w:t xml:space="preserve">(1), pp.1-25.</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Gvojich, S.L., 2022. </w:t>
      </w:r>
      <w:r>
        <w:rPr>
          <w:rFonts w:ascii="Times New Roman" w:hAnsi="Times New Roman" w:cs="Times New Roman" w:eastAsia="Times New Roman"/>
          <w:i/>
          <w:color w:val="auto"/>
          <w:spacing w:val="0"/>
          <w:position w:val="0"/>
          <w:sz w:val="24"/>
          <w:shd w:fill="auto" w:val="clear"/>
        </w:rPr>
        <w:t xml:space="preserve">Exploring the Lived Experiences of Grade 12 Teachers Preparing Students for Higher Education</w:t>
      </w:r>
      <w:r>
        <w:rPr>
          <w:rFonts w:ascii="Times New Roman" w:hAnsi="Times New Roman" w:cs="Times New Roman" w:eastAsia="Times New Roman"/>
          <w:color w:val="auto"/>
          <w:spacing w:val="0"/>
          <w:position w:val="0"/>
          <w:sz w:val="24"/>
          <w:shd w:fill="auto" w:val="clear"/>
        </w:rPr>
        <w:t xml:space="preserve">. The University of Liverpool (United Kingdom).</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Kross, E., Ong, M. and Ayduk, O., 2023. Self-Reflection at Work: Why It Matters and How to Harness Its Potential and Avoid Its Pitfalls. </w:t>
      </w:r>
      <w:r>
        <w:rPr>
          <w:rFonts w:ascii="Times New Roman" w:hAnsi="Times New Roman" w:cs="Times New Roman" w:eastAsia="Times New Roman"/>
          <w:i/>
          <w:color w:val="auto"/>
          <w:spacing w:val="0"/>
          <w:position w:val="0"/>
          <w:sz w:val="24"/>
          <w:shd w:fill="auto" w:val="clear"/>
        </w:rPr>
        <w:t xml:space="preserve">Annual Review of Organizational Psychology and Organizational Behavior</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10</w:t>
      </w:r>
      <w:r>
        <w:rPr>
          <w:rFonts w:ascii="Times New Roman" w:hAnsi="Times New Roman" w:cs="Times New Roman" w:eastAsia="Times New Roman"/>
          <w:color w:val="auto"/>
          <w:spacing w:val="0"/>
          <w:position w:val="0"/>
          <w:sz w:val="24"/>
          <w:shd w:fill="auto" w:val="clear"/>
        </w:rPr>
        <w:t xml:space="preserve">, pp.441-464.</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Martha, A.S.D., Junus, K., Santoso, H.B. and Suhartanto, H., 2021. Assessing undergraduate students’e-learning competencies: A case study of higher education context in Indonesia. </w:t>
      </w:r>
      <w:r>
        <w:rPr>
          <w:rFonts w:ascii="Times New Roman" w:hAnsi="Times New Roman" w:cs="Times New Roman" w:eastAsia="Times New Roman"/>
          <w:i/>
          <w:color w:val="auto"/>
          <w:spacing w:val="0"/>
          <w:position w:val="0"/>
          <w:sz w:val="24"/>
          <w:shd w:fill="auto" w:val="clear"/>
        </w:rPr>
        <w:t xml:space="preserve">Education Sciences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11</w:t>
      </w:r>
      <w:r>
        <w:rPr>
          <w:rFonts w:ascii="Times New Roman" w:hAnsi="Times New Roman" w:cs="Times New Roman" w:eastAsia="Times New Roman"/>
          <w:color w:val="auto"/>
          <w:spacing w:val="0"/>
          <w:position w:val="0"/>
          <w:sz w:val="24"/>
          <w:shd w:fill="auto" w:val="clear"/>
        </w:rPr>
        <w:t xml:space="preserve">(4), p.189.</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Morgan, H., 2020. Best practices for implementing remote learning during a pandemic. </w:t>
      </w:r>
      <w:r>
        <w:rPr>
          <w:rFonts w:ascii="Times New Roman" w:hAnsi="Times New Roman" w:cs="Times New Roman" w:eastAsia="Times New Roman"/>
          <w:i/>
          <w:color w:val="auto"/>
          <w:spacing w:val="0"/>
          <w:position w:val="0"/>
          <w:sz w:val="24"/>
          <w:shd w:fill="auto" w:val="clear"/>
        </w:rPr>
        <w:t xml:space="preserve">The clearing house: A journal of educational strategies, issues and ideas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93</w:t>
      </w:r>
      <w:r>
        <w:rPr>
          <w:rFonts w:ascii="Times New Roman" w:hAnsi="Times New Roman" w:cs="Times New Roman" w:eastAsia="Times New Roman"/>
          <w:color w:val="auto"/>
          <w:spacing w:val="0"/>
          <w:position w:val="0"/>
          <w:sz w:val="24"/>
          <w:shd w:fill="auto" w:val="clear"/>
        </w:rPr>
        <w:t xml:space="preserve">(3), pp.135-141.</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Regmi, K. and Jones, L., 2020. A systematic review of the factors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enablers and barriers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affecting e-learning in health sciences 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BMC medical 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20</w:t>
      </w:r>
      <w:r>
        <w:rPr>
          <w:rFonts w:ascii="Times New Roman" w:hAnsi="Times New Roman" w:cs="Times New Roman" w:eastAsia="Times New Roman"/>
          <w:color w:val="auto"/>
          <w:spacing w:val="0"/>
          <w:position w:val="0"/>
          <w:sz w:val="24"/>
          <w:shd w:fill="auto" w:val="clear"/>
        </w:rPr>
        <w:t xml:space="preserve">(1), pp.1-18.</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Singh, A., Sharma, S. and Paliwal, M., 2021. Adoption intention and effectiveness of digital collaboration platforms for online learning: the Indian students’ perspective. </w:t>
      </w:r>
      <w:r>
        <w:rPr>
          <w:rFonts w:ascii="Times New Roman" w:hAnsi="Times New Roman" w:cs="Times New Roman" w:eastAsia="Times New Roman"/>
          <w:i/>
          <w:color w:val="auto"/>
          <w:spacing w:val="0"/>
          <w:position w:val="0"/>
          <w:sz w:val="24"/>
          <w:shd w:fill="auto" w:val="clear"/>
        </w:rPr>
        <w:t xml:space="preserve">Interactive Technology and Smart Education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18</w:t>
      </w:r>
      <w:r>
        <w:rPr>
          <w:rFonts w:ascii="Times New Roman" w:hAnsi="Times New Roman" w:cs="Times New Roman" w:eastAsia="Times New Roman"/>
          <w:color w:val="auto"/>
          <w:spacing w:val="0"/>
          <w:position w:val="0"/>
          <w:sz w:val="24"/>
          <w:shd w:fill="auto" w:val="clear"/>
        </w:rPr>
        <w:t xml:space="preserve">(4), pp.493-514.</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Sousa, M.J. and Rocha, Á., 2019. Digital learning: Developing skills for digital transformation of organizations. </w:t>
      </w:r>
      <w:r>
        <w:rPr>
          <w:rFonts w:ascii="Times New Roman" w:hAnsi="Times New Roman" w:cs="Times New Roman" w:eastAsia="Times New Roman"/>
          <w:i/>
          <w:color w:val="auto"/>
          <w:spacing w:val="0"/>
          <w:position w:val="0"/>
          <w:sz w:val="24"/>
          <w:shd w:fill="auto" w:val="clear"/>
        </w:rPr>
        <w:t xml:space="preserve">Future Generation Computer Systems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91</w:t>
      </w:r>
      <w:r>
        <w:rPr>
          <w:rFonts w:ascii="Times New Roman" w:hAnsi="Times New Roman" w:cs="Times New Roman" w:eastAsia="Times New Roman"/>
          <w:color w:val="auto"/>
          <w:spacing w:val="0"/>
          <w:position w:val="0"/>
          <w:sz w:val="24"/>
          <w:shd w:fill="auto" w:val="clear"/>
        </w:rPr>
        <w:t xml:space="preserve">, pp.327-334.</w:t>
      </w:r>
    </w:p>
    <w:p>
      <w:pPr>
        <w:spacing w:before="0" w:after="16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Zainuddin, Z., Habiburrahim, H., Muluk, S. and Keumala, C.M., 2019. How do students become self-directed learners in the EFL flipped-class pedagogy? A study in higher education. </w:t>
      </w:r>
      <w:r>
        <w:rPr>
          <w:rFonts w:ascii="Times New Roman" w:hAnsi="Times New Roman" w:cs="Times New Roman" w:eastAsia="Times New Roman"/>
          <w:i/>
          <w:color w:val="auto"/>
          <w:spacing w:val="0"/>
          <w:position w:val="0"/>
          <w:sz w:val="24"/>
          <w:shd w:fill="auto" w:val="clear"/>
        </w:rPr>
        <w:t xml:space="preserve">Indonesian Journal of Applied Linguistics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(3), pp.678-690.</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