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1A2076" w14:textId="77777777" w:rsidR="00BD13D0" w:rsidRDefault="00BD13D0" w:rsidP="00D1644D">
      <w:pPr>
        <w:numPr>
          <w:ilvl w:val="0"/>
          <w:numId w:val="1"/>
        </w:numPr>
        <w:spacing w:line="360" w:lineRule="auto"/>
      </w:pPr>
      <w:r w:rsidRPr="00BD13D0">
        <w:t>How can battlefield archaeology contribute positively to the process of bereavement, commemoration and reconciliation?</w:t>
      </w:r>
    </w:p>
    <w:p w14:paraId="7951D725" w14:textId="77777777" w:rsidR="00A3660C" w:rsidRDefault="00A3660C" w:rsidP="00D1644D">
      <w:pPr>
        <w:spacing w:line="360" w:lineRule="auto"/>
        <w:ind w:left="720"/>
      </w:pPr>
    </w:p>
    <w:p w14:paraId="3B246E86" w14:textId="1A505F37" w:rsidR="006E4326" w:rsidRDefault="00A3660C" w:rsidP="00D1644D">
      <w:pPr>
        <w:spacing w:line="360" w:lineRule="auto"/>
        <w:ind w:left="720"/>
      </w:pPr>
      <w:r>
        <w:t>Large scale events such as wars, mass killings, or even genocide are all events that will leave a cultural and economic scar on the areas that were involved in these events such as the Cypriot civil war of 1963 between the Turkish and Greek Cypriot.</w:t>
      </w:r>
      <w:r>
        <w:fldChar w:fldCharType="begin"/>
      </w:r>
      <w:r>
        <w:instrText xml:space="preserve"> ADDIN ZOTERO_ITEM CSL_CITATION {"citationID":"60Wnmxbd","properties":{"formattedCitation":"(Bryant, 2012)","plainCitation":"(Bryant, 2012)","noteIndex":0},"citationItems":[{"id":556,"uris":["http://zotero.org/users/local/gg1ZQu5V/items/JVJBDWVI"],"itemData":{"id":556,"type":"article-journal","abstract":"The image has become an iconic one: five young men in dirty uniforms kneel in the middle of a dusty plain with their hands behind their heads. They squint in the blinding midday sun, their faces expressing anxiety and a measure of fear. A Turkish soldier leans to talk to one of them, appearing calm, even friendly. To one side another Turkish soldier whose face we do not see stands guard. This photograph has become one of the most famous images to come out of the Cyprus conflict. The men's kneeling posture, the fright in their eyes, and the apparent calm of the soldiers all evoke a vulnerability to violence. And like the bloody photo of a woman and her children murdered in their Nicosia home that was used for decades by the Turkish Cypriot administration, or like certain photographs of distraught women crying for losses that we can only imagine, the image of these five young men has been reprinted in pamphlets and brochures, newspapers and books, in ways that take for granted its power to evoke their uncertain fate.","container-title":"Comparative Studies in Society and History","DOI":"10.1017/S0010417512000060","ISSN":"0010-4175, 1475-2999","issue":"2","journalAbbreviation":"Comp Stud Soc Hist","language":"en","license":"https://www.cambridge.org/core/terms","page":"332-360","source":"DOI.org (Crossref)","title":"Partitions of Memory: Wounds and Witnessing in Cyprus","title-short":"Partitions of Memory","volume":"54","author":[{"family":"Bryant","given":"Rebecca"}],"issued":{"date-parts":[["2012",4]]}}}],"schema":"https://github.com/citation-style-language/schema/raw/master/csl-citation.json"} </w:instrText>
      </w:r>
      <w:r>
        <w:fldChar w:fldCharType="separate"/>
      </w:r>
      <w:r w:rsidRPr="00A3660C">
        <w:rPr>
          <w:rFonts w:ascii="Aptos" w:hAnsi="Aptos"/>
        </w:rPr>
        <w:t>(Bryant, 2012)</w:t>
      </w:r>
      <w:r>
        <w:fldChar w:fldCharType="end"/>
      </w:r>
      <w:r>
        <w:t>While it is no doubt that the effects of this civil war can be felt</w:t>
      </w:r>
      <w:r w:rsidR="00E672F9">
        <w:t>.</w:t>
      </w:r>
      <w:r>
        <w:t xml:space="preserve"> </w:t>
      </w:r>
      <w:r w:rsidR="00E672F9">
        <w:t>T</w:t>
      </w:r>
      <w:r>
        <w:t>he actual open civil war is over and the</w:t>
      </w:r>
      <w:r w:rsidR="007C023F">
        <w:t>n</w:t>
      </w:r>
      <w:r>
        <w:t xml:space="preserve"> it becomes the role of the people of </w:t>
      </w:r>
      <w:r w:rsidR="007C023F">
        <w:t xml:space="preserve">Cyprus, and other areas affected by  conflict to pick up the pieces of theses events. One of these methods is through archaeology. The archaeological digging and cataloguing of battlefields </w:t>
      </w:r>
      <w:proofErr w:type="gramStart"/>
      <w:r w:rsidR="007C023F">
        <w:t>is</w:t>
      </w:r>
      <w:proofErr w:type="gramEnd"/>
      <w:r w:rsidR="007C023F">
        <w:t xml:space="preserve"> a primary way that a group of people can start to move on and grieve the lives lost in this conflict and move to reconcile the differences that made the conflict arise in the first place.</w:t>
      </w:r>
      <w:r w:rsidR="00B30BA6">
        <w:t xml:space="preserve"> These battlefields as</w:t>
      </w:r>
      <w:r w:rsidR="00504DFA">
        <w:t xml:space="preserve"> </w:t>
      </w:r>
      <w:r w:rsidR="00B30BA6">
        <w:t xml:space="preserve">well as the archaeology that arises for them is a public acknowledgment of the event being in the past and is apart of a cultural and political effort to bring about a new age free from the shackles of a war torn past although culturally there is no escaping from the affects of war it is the </w:t>
      </w:r>
      <w:r w:rsidR="00504DFA">
        <w:t>archaeologists</w:t>
      </w:r>
      <w:r w:rsidR="00B30BA6">
        <w:t xml:space="preserve"> task to document these distinct moments and create a picture of these events that is as comprehensive as possible. Regardless </w:t>
      </w:r>
      <w:r w:rsidR="00504DFA">
        <w:t>there is still issues and caveats that are put in place by governing bodies that may hinder archaeologists in ways that make them unable to rectify</w:t>
      </w:r>
      <w:r w:rsidR="00554B1B">
        <w:t>. O</w:t>
      </w:r>
      <w:r w:rsidR="00504DFA">
        <w:t xml:space="preserve">r stop </w:t>
      </w:r>
      <w:r w:rsidR="00554B1B">
        <w:t xml:space="preserve">Archaeologists </w:t>
      </w:r>
      <w:r w:rsidR="00504DFA">
        <w:t>from making a fully comprehensive analyses these reasons can be politically motivated or can be to stop the possibility of worsening relations between the two sides of the conflict.</w:t>
      </w:r>
    </w:p>
    <w:p w14:paraId="45EEBEBA" w14:textId="77777777" w:rsidR="007C023F" w:rsidRDefault="007C023F" w:rsidP="00D1644D">
      <w:pPr>
        <w:spacing w:line="360" w:lineRule="auto"/>
        <w:ind w:left="720"/>
      </w:pPr>
    </w:p>
    <w:p w14:paraId="72C33D8B" w14:textId="2EC8A717" w:rsidR="007C023F" w:rsidRDefault="007C023F" w:rsidP="00D1644D">
      <w:pPr>
        <w:spacing w:line="360" w:lineRule="auto"/>
        <w:ind w:left="720"/>
      </w:pPr>
      <w:r>
        <w:t>As mentioned before Cyprus was subjected to a civil war between the Turkish and the Greek population of the country. As a result there was a large amount of mass killings and unmarked mass graves</w:t>
      </w:r>
      <w:r>
        <w:fldChar w:fldCharType="begin"/>
      </w:r>
      <w:r>
        <w:instrText xml:space="preserve"> ADDIN ZOTERO_ITEM CSL_CITATION {"citationID":"PcGHbyZF","properties":{"formattedCitation":"(Alecou, 2014)","plainCitation":"(Alecou, 2014)","noteIndex":0},"citationItems":[{"id":559,"uris":["http://zotero.org/users/local/gg1ZQu5V/items/N8DD22T7"],"itemData":{"id":559,"type":"article-journal","abstract":", \n\tThe objective of this paper is to explore the antagonism and collisions between the two dominant political camps—namely the ‘nationalist’ Right and the ‘communist’ Left—under the influence of the Greek civil war, and the impact of this conflict on the local Greek-Cypriot community. In the late 1940s, the political climate affected local societies in such terms that specific stereotypes (nationalists VS communists) divided public life at all levels: sports clubs, grocers, cafeterias, etc. were converted into the battlefield of the two conflicting camps. As a result of this division, people had to choose between the ‘left-wing grocer’ and the ‘right-wing grocer’, support the football team of the ‘communists’ or the one of the ‘nationalists’ and so on. What is striking is that the situation described above is still being played out to this day.","container-title":"Journal of Mediterranean Studies","ISSN":"2523-9465","issue":"1","note":"publisher: Mediterranean Institute, University of Malta","page":"89-100","source":"Project MUSE","title":"The Greek Civil War in Cyprus: Ideology, Tactics and the Division of Society","title-short":"The Greek Civil War in Cyprus","volume":"23","author":[{"family":"Alecou","given":"Alexios"}],"issued":{"date-parts":[["2014"]]}}}],"schema":"https://github.com/citation-style-language/schema/raw/master/csl-citation.json"} </w:instrText>
      </w:r>
      <w:r>
        <w:fldChar w:fldCharType="separate"/>
      </w:r>
      <w:r w:rsidRPr="007C023F">
        <w:rPr>
          <w:rFonts w:ascii="Aptos" w:hAnsi="Aptos"/>
        </w:rPr>
        <w:t>(</w:t>
      </w:r>
      <w:proofErr w:type="spellStart"/>
      <w:r w:rsidRPr="007C023F">
        <w:rPr>
          <w:rFonts w:ascii="Aptos" w:hAnsi="Aptos"/>
        </w:rPr>
        <w:t>Alecou</w:t>
      </w:r>
      <w:proofErr w:type="spellEnd"/>
      <w:r w:rsidRPr="007C023F">
        <w:rPr>
          <w:rFonts w:ascii="Aptos" w:hAnsi="Aptos"/>
        </w:rPr>
        <w:t>, 2014)</w:t>
      </w:r>
      <w:r>
        <w:fldChar w:fldCharType="end"/>
      </w:r>
      <w:r>
        <w:t xml:space="preserve"> These conflicts arise through racial tensions and deep seated cultural </w:t>
      </w:r>
      <w:proofErr w:type="spellStart"/>
      <w:r w:rsidR="00554B1B">
        <w:t>driction</w:t>
      </w:r>
      <w:proofErr w:type="spellEnd"/>
      <w:r w:rsidR="00554B1B">
        <w:t xml:space="preserve"> between the two sides </w:t>
      </w:r>
      <w:r>
        <w:t xml:space="preserve">however, there is efforts being made by both sides of this </w:t>
      </w:r>
      <w:r w:rsidR="00BB7AD3">
        <w:t>conflict to resolve the issue of the unmarked dead.</w:t>
      </w:r>
      <w:r w:rsidR="00BB7AD3">
        <w:fldChar w:fldCharType="begin"/>
      </w:r>
      <w:r w:rsidR="00BB7AD3">
        <w:instrText xml:space="preserve"> ADDIN ZOTERO_ITEM CSL_CITATION {"citationID":"M0Tsju2U","properties":{"formattedCitation":"(Grichting, 2014)","plainCitation":"(Grichting, 2014)","noteIndex":0},"citationItems":[{"id":566,"uris":["http://zotero.org/users/local/gg1ZQu5V/items/DTK2RGVS"],"itemData":{"id":566,"type":"chapter","abstract":"The Green Line Buffer Zone that has divided the island of Cyprus since 1974 is often referred to as the Dead Zone. It is not a line, but a swathe of land that acts as a buffer between the Greek Cypriot and Turkish Cypriot communities. Patrolled by the United Nations, it is a ‘thick border’ according to the categories of borders described by Michel Butor, ‘a corridor of death, desolation and barbed wire’ (which) holds the possibility of softening to ‘become the very image of the crossing of frontiers’ (Butor et al. 1989). Similar to other military enclaves, the Buffer Zone is trapped in a status quo that has frozen the development and exploitation of the land, allowing unexpected natures to flourish. This has resulted in the softening of the deadly rift through a rich landscape of biodiversity that hosts a number of endangered species in Cyprus. The preservation of this precious flora and fauna, as well as associated ecological and cultural initiatives, offer a building block for collaboration between the communities on both sides of the dividing line and an opportunity for new narratives and strategies of reconciliation based on a common, sustainable future. This chapter describes a project being developed by the author to make the ‘Green Line greener’, envisioning the transformation of the military fault line into an ecological seam through the web of environmental and cultural initiatives that are taking place across the Green Line.","container-title":"Greening in the Red Zone: Disaster, Resilience and Community Greening","event-place":"Dordrecht","ISBN":"978-90-481-9947-1","language":"en","note":"DOI: 10.1007/978-90-481-9947-1_33","page":"429-443","publisher":"Springer Netherlands","publisher-place":"Dordrecht","source":"Springer Link","title":"Cyprus: Greening in the Dead Zone","title-short":"Cyprus","URL":"https://doi.org/10.1007/978-90-481-9947-1_33","author":[{"family":"Grichting","given":"Anna"}],"editor":[{"family":"Tidball","given":"Keith G."},{"family":"Krasny","given":"Marianne E"}],"accessed":{"date-parts":[["2026",3,1]]},"issued":{"date-parts":[["2014"]]}}}],"schema":"https://github.com/citation-style-language/schema/raw/master/csl-citation.json"} </w:instrText>
      </w:r>
      <w:r w:rsidR="00BB7AD3">
        <w:fldChar w:fldCharType="separate"/>
      </w:r>
      <w:r w:rsidR="00BB7AD3" w:rsidRPr="00BB7AD3">
        <w:rPr>
          <w:rFonts w:ascii="Aptos" w:hAnsi="Aptos"/>
        </w:rPr>
        <w:t>(</w:t>
      </w:r>
      <w:proofErr w:type="spellStart"/>
      <w:r w:rsidR="00BB7AD3" w:rsidRPr="00BB7AD3">
        <w:rPr>
          <w:rFonts w:ascii="Aptos" w:hAnsi="Aptos"/>
        </w:rPr>
        <w:t>Grichting</w:t>
      </w:r>
      <w:proofErr w:type="spellEnd"/>
      <w:r w:rsidR="00BB7AD3" w:rsidRPr="00BB7AD3">
        <w:rPr>
          <w:rFonts w:ascii="Aptos" w:hAnsi="Aptos"/>
        </w:rPr>
        <w:t>, 2014)</w:t>
      </w:r>
      <w:r w:rsidR="00BB7AD3">
        <w:fldChar w:fldCharType="end"/>
      </w:r>
      <w:r w:rsidR="00BB7AD3">
        <w:t xml:space="preserve"> The United nations (U.N) Green zone is a thick strip of land that borders the two sides of Cyprus and makes for both legal and symbolic boundary between the two areas. In this location there is a team of Archaeologists that have been tasked with marking and identifying the dead found in mass graves all across the Cypriot territory but there is a distinct caveat that there is no blame or cause of death listed for the </w:t>
      </w:r>
      <w:r w:rsidR="00BB7AD3">
        <w:lastRenderedPageBreak/>
        <w:t>bodies that have been found</w:t>
      </w:r>
      <w:sdt>
        <w:sdtPr>
          <w:id w:val="229504815"/>
          <w:citation/>
        </w:sdtPr>
        <w:sdtContent>
          <w:r w:rsidR="00BB7AD3">
            <w:fldChar w:fldCharType="begin"/>
          </w:r>
          <w:r w:rsidR="00BB7AD3">
            <w:instrText xml:space="preserve"> CITATION PBS17 \l 2057 </w:instrText>
          </w:r>
          <w:r w:rsidR="00BB7AD3">
            <w:fldChar w:fldCharType="separate"/>
          </w:r>
          <w:r w:rsidR="00BB7AD3">
            <w:rPr>
              <w:noProof/>
            </w:rPr>
            <w:t xml:space="preserve"> (PBS News, 2017)</w:t>
          </w:r>
          <w:r w:rsidR="00BB7AD3">
            <w:fldChar w:fldCharType="end"/>
          </w:r>
        </w:sdtContent>
      </w:sdt>
      <w:r w:rsidR="00BB7AD3">
        <w:t>. This team of archaeologists have been tasked with marking the dead and telling the population of Cyprus</w:t>
      </w:r>
      <w:r w:rsidR="008D43D1">
        <w:t xml:space="preserve"> and the rest of the world</w:t>
      </w:r>
      <w:r w:rsidR="00BB7AD3">
        <w:t xml:space="preserve"> that there has been a conscious choice to move forward</w:t>
      </w:r>
      <w:r w:rsidR="008D43D1">
        <w:t xml:space="preserve"> and onwards from the war of the past. The task of the archaeologists is to reconcile the deaths that were caused by this civil war and </w:t>
      </w:r>
      <w:r w:rsidR="00554B1B">
        <w:t xml:space="preserve">give the </w:t>
      </w:r>
      <w:r w:rsidR="008D43D1">
        <w:t>griev</w:t>
      </w:r>
      <w:r w:rsidR="00554B1B">
        <w:t>ing</w:t>
      </w:r>
      <w:r w:rsidR="008D43D1">
        <w:t xml:space="preserve"> families </w:t>
      </w:r>
      <w:r w:rsidR="00554B1B">
        <w:t>a chance to know what happened to their long dead relatives</w:t>
      </w:r>
      <w:r w:rsidR="008D43D1">
        <w:t>.</w:t>
      </w:r>
      <w:r w:rsidR="00474B55">
        <w:t xml:space="preserve"> The fact that the Cypriot bodies found in these mass graves are not noted with cause of death or what side killed these individuals (despite how obvious it may seem) is an example of cultural memory and what we choose to remember</w:t>
      </w:r>
      <w:r w:rsidR="00554B1B">
        <w:t>.</w:t>
      </w:r>
      <w:r w:rsidR="00474B55">
        <w:fldChar w:fldCharType="begin"/>
      </w:r>
      <w:r w:rsidR="00474B55">
        <w:instrText xml:space="preserve"> ADDIN ZOTERO_ITEM CSL_CITATION {"citationID":"gtupllBw","properties":{"formattedCitation":"(Papadakis, 2003)","plainCitation":"(Papadakis, 2003)","noteIndex":0},"citationItems":[{"id":602,"uris":["http://zotero.org/users/local/gg1ZQu5V/items/897RXFG9"],"itemData":{"id":602,"type":"article-journal","container-title":"History and Anthropology","DOI":"10.1080/0275720032000136642","ISSN":"0275-7206, 1477-2612","issue":"3","journalAbbreviation":"History and Anthropology","language":"en","page":"253-270","source":"DOI.org (Crossref)","title":"Nation, narrative and commemoration: political ritual in divided Cyprus","title-short":"Nation, narrative and commemoration","volume":"14","author":[{"family":"Papadakis","given":"Yiannis"}],"issued":{"date-parts":[["2003",9]]}}}],"schema":"https://github.com/citation-style-language/schema/raw/master/csl-citation.json"} </w:instrText>
      </w:r>
      <w:r w:rsidR="00474B55">
        <w:fldChar w:fldCharType="separate"/>
      </w:r>
      <w:r w:rsidR="00474B55" w:rsidRPr="00474B55">
        <w:rPr>
          <w:rFonts w:ascii="Aptos" w:hAnsi="Aptos"/>
        </w:rPr>
        <w:t>(Papadakis, 2003)</w:t>
      </w:r>
      <w:r w:rsidR="00474B55">
        <w:fldChar w:fldCharType="end"/>
      </w:r>
      <w:r w:rsidR="00474B55">
        <w:t xml:space="preserve"> </w:t>
      </w:r>
      <w:r w:rsidR="00554B1B">
        <w:t>T</w:t>
      </w:r>
      <w:r w:rsidR="00474B55">
        <w:t>he silence of who killed whom and the emphasis placed on  not placing blame at first ma</w:t>
      </w:r>
      <w:r w:rsidR="00554B1B">
        <w:t>y</w:t>
      </w:r>
      <w:r w:rsidR="00474B55">
        <w:t xml:space="preserve"> seem like a deliberate choice from those involved but instead can be identified as emboldening of what is not there similar to the moments of silence that Britain has on November 11</w:t>
      </w:r>
      <w:r w:rsidR="00474B55" w:rsidRPr="00474B55">
        <w:rPr>
          <w:vertAlign w:val="superscript"/>
        </w:rPr>
        <w:t>th</w:t>
      </w:r>
      <w:r w:rsidR="00474B55">
        <w:t xml:space="preserve"> to commemorate the lives lost in the trenches during world war one the act of leaving this key information of cause of death is a message to the cultural heart of Cyprus of being done with ascribing blame and to put the past behind themselves. There is no one in Cyprus or the rest of the world that would scoff at the horror of mass graves and the killings that went on but the emphasis on not saying the cause of death is instead a choice on how we honour the lives lost innocent or otherwise.</w:t>
      </w:r>
    </w:p>
    <w:p w14:paraId="268C77E7" w14:textId="7FE8E097" w:rsidR="008D43D1" w:rsidRDefault="008D43D1" w:rsidP="00D1644D">
      <w:pPr>
        <w:spacing w:line="360" w:lineRule="auto"/>
        <w:ind w:left="720"/>
      </w:pPr>
      <w:r>
        <w:t>In line with the words of Adel Yahya the only way to move on from the issues of the past is with a multi vocal approach and a belief that th</w:t>
      </w:r>
      <w:r w:rsidR="00554B1B">
        <w:t>e</w:t>
      </w:r>
      <w:r>
        <w:t xml:space="preserve"> other side is being genuine.</w:t>
      </w:r>
      <w:r>
        <w:fldChar w:fldCharType="begin"/>
      </w:r>
      <w:r>
        <w:instrText xml:space="preserve"> ADDIN ZOTERO_ITEM CSL_CITATION {"citationID":"qG15om3O","properties":{"formattedCitation":"(Scham and Yahya, 2003)","plainCitation":"(Scham and Yahya, 2003)","noteIndex":0},"citationItems":[{"id":552,"uris":["http://zotero.org/users/local/gg1ZQu5V/items/AIZ9VTSA"],"itemData":{"id":552,"type":"article-journal","abstract":"Applied cross-cultural archaeology must be recognized as an essential step in the development of a reflexive, multi-vocal interpretation of the past. Projects like Ian Hodder's excavations at Catalhoyuk that actually address these issues, however, are still considered highly innovative, which is a fair indication as to how common they are. Instituting a dialogue about the past between archaeologists from two nations at war with each other would appear to be the ultimate experiment in multi-vocal archaeological practice. Reconciliation of our pasts inevitably becomes a further objective, but this requires a leap of faith and imagination premised on some degree of belief in the possible good faith of the other side - a quality rarely felt in the middle of a conflict. The common wisdom on how Israelis and Palestinians can deal with their intertwined and largely violent histories suggests that only through adopting a common narrative can understanding be achieved. The project that stimulated the following article, however, is based upon a different premise - that, to move toward a reflexive reconciliation, it is necessary to acknowledge the imperfections of our own narratives without fully rejecting them.","container-title":"Journal of Social Archaeology","DOI":"10.1177/14696053030033006","ISSN":"1469-6053","issue":"3","language":"EN","note":"publisher: SAGE Publications","page":"399-416","source":"SAGE Journals","title":"Heritage and Reconciliation","volume":"3","author":[{"family":"Scham","given":"Sandra Arnold"},{"family":"Yahya","given":"Adel"}],"issued":{"date-parts":[["2003",10,1]]}}}],"schema":"https://github.com/citation-style-language/schema/raw/master/csl-citation.json"} </w:instrText>
      </w:r>
      <w:r>
        <w:fldChar w:fldCharType="separate"/>
      </w:r>
      <w:r w:rsidRPr="008D43D1">
        <w:rPr>
          <w:rFonts w:ascii="Aptos" w:hAnsi="Aptos"/>
        </w:rPr>
        <w:t>(Scham and Yahya, 2003)</w:t>
      </w:r>
      <w:r>
        <w:fldChar w:fldCharType="end"/>
      </w:r>
      <w:r>
        <w:t xml:space="preserve"> this was in reference to the </w:t>
      </w:r>
      <w:r w:rsidR="001533D5">
        <w:t>Israeli</w:t>
      </w:r>
      <w:r>
        <w:t xml:space="preserve"> and </w:t>
      </w:r>
      <w:r w:rsidR="001533D5">
        <w:t>Palestinian conflict in the early 2000. This conflict which is predicated on the  Israeli people being ousted from Europe due to the events of the holocaust during World War two and seeking refuge in the promised land of Israel. This event caused the Jewish population to settle where the Palestinian people have been living for hundreds of years causing significant friction between the two forces</w:t>
      </w:r>
      <w:r w:rsidR="00EA03F1">
        <w:t>.</w:t>
      </w:r>
      <w:r w:rsidR="00EA03F1">
        <w:fldChar w:fldCharType="begin"/>
      </w:r>
      <w:r w:rsidR="00EA03F1">
        <w:instrText xml:space="preserve"> ADDIN ZOTERO_ITEM CSL_CITATION {"citationID":"i4Jnzy9b","properties":{"formattedCitation":"(Munayer and Loden, 2011)","plainCitation":"(Munayer and Loden, 2011)","noteIndex":0},"citationItems":[{"id":569,"uris":["http://zotero.org/users/local/gg1ZQu5V/items/NKI8RKRR"],"itemData":{"id":569,"type":"book","abstract":"Our theology does not exist in a vacuum but must relate to the world we inhabit and must influence our moral and ethical actions. This is especially true when discussing theology of \"the land\" in the context of a violent territorial conflict. The Holy Land has seen so much bloodshed that the earth itself is crying out to God. The chapters presented in this book form a unique collection of voices speaking from different perspectives on the issue of the theology of the land. These voices include Messianic Jewish and Palestinian Christian theologians and scholars who live in the Holy Land, as well as others from around the world. The various chapters reflect a wide spectrum of opinion and reveal how much disagreement still exists among followers of Christ. However, the dialogue generated by having these opposing voices side by side, speaking to each other rather than past each other, is encouraging. This book is both challenging and inspirational, and contributes in an innovative way to this important discussion.","ISBN":"978-1-72524-653-9","language":"en","note":"Google-Books-ID: NlD7DwAAQBAJ","number-of-pages":"368","publisher":"Wipf and Stock Publishers","source":"Google Books","title":"The Land Cries Out: Theology of the Land in the Israeli-Palestinian Context","title-short":"The Land Cries Out","author":[{"family":"Munayer","given":"Salim J."},{"family":"Loden","given":"Lisa"}],"issued":{"date-parts":[["2011",10,21]]}}}],"schema":"https://github.com/citation-style-language/schema/raw/master/csl-citation.json"} </w:instrText>
      </w:r>
      <w:r w:rsidR="00EA03F1">
        <w:fldChar w:fldCharType="separate"/>
      </w:r>
      <w:r w:rsidR="00EA03F1" w:rsidRPr="00EA03F1">
        <w:rPr>
          <w:rFonts w:ascii="Aptos" w:hAnsi="Aptos"/>
        </w:rPr>
        <w:t>(</w:t>
      </w:r>
      <w:proofErr w:type="spellStart"/>
      <w:r w:rsidR="00EA03F1" w:rsidRPr="00EA03F1">
        <w:rPr>
          <w:rFonts w:ascii="Aptos" w:hAnsi="Aptos"/>
        </w:rPr>
        <w:t>Munayer</w:t>
      </w:r>
      <w:proofErr w:type="spellEnd"/>
      <w:r w:rsidR="00EA03F1" w:rsidRPr="00EA03F1">
        <w:rPr>
          <w:rFonts w:ascii="Aptos" w:hAnsi="Aptos"/>
        </w:rPr>
        <w:t xml:space="preserve"> and Loden, 2011)</w:t>
      </w:r>
      <w:r w:rsidR="00EA03F1">
        <w:fldChar w:fldCharType="end"/>
      </w:r>
      <w:r w:rsidR="00EA03F1">
        <w:t xml:space="preserve"> this conflict is an example of archaeology being used politically in order to justify the conflict on the side of Israel by claiming that this is the promised land that has been promised in the Torah</w:t>
      </w:r>
      <w:r w:rsidR="00EA03F1">
        <w:fldChar w:fldCharType="begin"/>
      </w:r>
      <w:r w:rsidR="00EA03F1">
        <w:instrText xml:space="preserve"> ADDIN ZOTERO_ITEM CSL_CITATION {"citationID":"aUOimyOM","properties":{"formattedCitation":"(Scham and Yahya, 2003)","plainCitation":"(Scham and Yahya, 2003)","noteIndex":0},"citationItems":[{"id":552,"uris":["http://zotero.org/users/local/gg1ZQu5V/items/AIZ9VTSA"],"itemData":{"id":552,"type":"article-journal","abstract":"Applied cross-cultural archaeology must be recognized as an essential step in the development of a reflexive, multi-vocal interpretation of the past. Projects like Ian Hodder's excavations at Catalhoyuk that actually address these issues, however, are still considered highly innovative, which is a fair indication as to how common they are. Instituting a dialogue about the past between archaeologists from two nations at war with each other would appear to be the ultimate experiment in multi-vocal archaeological practice. Reconciliation of our pasts inevitably becomes a further objective, but this requires a leap of faith and imagination premised on some degree of belief in the possible good faith of the other side - a quality rarely felt in the middle of a conflict. The common wisdom on how Israelis and Palestinians can deal with their intertwined and largely violent histories suggests that only through adopting a common narrative can understanding be achieved. The project that stimulated the following article, however, is based upon a different premise - that, to move toward a reflexive reconciliation, it is necessary to acknowledge the imperfections of our own narratives without fully rejecting them.","container-title":"Journal of Social Archaeology","DOI":"10.1177/14696053030033006","ISSN":"1469-6053","issue":"3","language":"EN","note":"publisher: SAGE Publications","page":"399-416","source":"SAGE Journals","title":"Heritage and Reconciliation","volume":"3","author":[{"family":"Scham","given":"Sandra Arnold"},{"family":"Yahya","given":"Adel"}],"issued":{"date-parts":[["2003",10,1]]}}}],"schema":"https://github.com/citation-style-language/schema/raw/master/csl-citation.json"} </w:instrText>
      </w:r>
      <w:r w:rsidR="00EA03F1">
        <w:fldChar w:fldCharType="separate"/>
      </w:r>
      <w:r w:rsidR="00EA03F1" w:rsidRPr="00EA03F1">
        <w:rPr>
          <w:rFonts w:ascii="Aptos" w:hAnsi="Aptos"/>
        </w:rPr>
        <w:t>(Scham and Yahya, 2003)</w:t>
      </w:r>
      <w:r w:rsidR="00EA03F1">
        <w:fldChar w:fldCharType="end"/>
      </w:r>
      <w:r w:rsidR="00EA03F1">
        <w:t xml:space="preserve">. Although the discussion of if this is true </w:t>
      </w:r>
      <w:r w:rsidR="00A00EB8">
        <w:t xml:space="preserve">does not matter for the purposes of this essay the point that is being made is that archaeology is being used </w:t>
      </w:r>
      <w:proofErr w:type="gramStart"/>
      <w:r w:rsidR="00A00EB8">
        <w:t>in order to</w:t>
      </w:r>
      <w:proofErr w:type="gramEnd"/>
      <w:r w:rsidR="00A00EB8">
        <w:t xml:space="preserve"> justify a political agenda. The fact that the agenda is being made with historical and archaeological claim it then would create a problem in the multi vocal approach that Adel </w:t>
      </w:r>
      <w:proofErr w:type="spellStart"/>
      <w:r w:rsidR="00A00EB8">
        <w:t>Yahay</w:t>
      </w:r>
      <w:proofErr w:type="spellEnd"/>
      <w:r w:rsidR="00A00EB8">
        <w:t xml:space="preserve"> puts forward. Due to the distrust in the archaeological practice. Despite that fact that archaeology is inherently political as most things are. Usage of archaeological </w:t>
      </w:r>
      <w:r w:rsidR="00A00EB8">
        <w:lastRenderedPageBreak/>
        <w:t>in politics in this way can hinder the possibility of reconciliation or at the very least removes the possibility of using archaeology in the process of bereavement and reconciliation.</w:t>
      </w:r>
      <w:r w:rsidR="00474B55">
        <w:t xml:space="preserve"> As mentioned previously Battlefield archaeology is meant to send a message that the conflict is long since over and we can now make organised and academic attempts at looking at this historical event</w:t>
      </w:r>
      <w:r w:rsidR="00437310">
        <w:t xml:space="preserve">. </w:t>
      </w:r>
      <w:proofErr w:type="gramStart"/>
      <w:r w:rsidR="00437310">
        <w:t>Due to the fact that</w:t>
      </w:r>
      <w:proofErr w:type="gramEnd"/>
      <w:r w:rsidR="00437310">
        <w:t xml:space="preserve"> the Israel-Palestine conflict is ongoing the battlefield archaeology plays no role in bereavement or even reconciliation. The lack of bereavement is simply because the proverbial wound of war is still festering is continuing to worsen. The </w:t>
      </w:r>
      <w:r w:rsidR="00554B1B">
        <w:t>grief that is induced upon</w:t>
      </w:r>
      <w:r w:rsidR="00437310">
        <w:t xml:space="preserve"> discovering and identifying bodies becomes another horror of war and not an attempt at peace. In comparison to locations such as Cyprus where the conflict is over and notifying how someone died or lack there of can be a method of emphasising the memory</w:t>
      </w:r>
      <w:r w:rsidR="00437310">
        <w:fldChar w:fldCharType="begin"/>
      </w:r>
      <w:r w:rsidR="00437310">
        <w:instrText xml:space="preserve"> ADDIN ZOTERO_ITEM CSL_CITATION {"citationID":"rBHZRROt","properties":{"formattedCitation":"(Papadakis, 2003)","plainCitation":"(Papadakis, 2003)","noteIndex":0},"citationItems":[{"id":602,"uris":["http://zotero.org/users/local/gg1ZQu5V/items/897RXFG9"],"itemData":{"id":602,"type":"article-journal","container-title":"History and Anthropology","DOI":"10.1080/0275720032000136642","ISSN":"0275-7206, 1477-2612","issue":"3","journalAbbreviation":"History and Anthropology","language":"en","page":"253-270","source":"DOI.org (Crossref)","title":"Nation, narrative and commemoration: political ritual in divided Cyprus","title-short":"Nation, narrative and commemoration","volume":"14","author":[{"family":"Papadakis","given":"Yiannis"}],"issued":{"date-parts":[["2003",9]]}}}],"schema":"https://github.com/citation-style-language/schema/raw/master/csl-citation.json"} </w:instrText>
      </w:r>
      <w:r w:rsidR="00437310">
        <w:fldChar w:fldCharType="separate"/>
      </w:r>
      <w:r w:rsidR="00437310" w:rsidRPr="00437310">
        <w:rPr>
          <w:rFonts w:ascii="Aptos" w:hAnsi="Aptos"/>
        </w:rPr>
        <w:t>(Papadakis, 2003)</w:t>
      </w:r>
      <w:r w:rsidR="00437310">
        <w:fldChar w:fldCharType="end"/>
      </w:r>
      <w:r w:rsidR="00437310">
        <w:t xml:space="preserve"> the lack of information can just become another propaganda tool. Bereavement, reconciliation and commemoration can not come to pass until the conflict itself has passed and both sides will cooperate and move forward in good faith.</w:t>
      </w:r>
      <w:r w:rsidR="00437310">
        <w:fldChar w:fldCharType="begin"/>
      </w:r>
      <w:r w:rsidR="00437310">
        <w:instrText xml:space="preserve"> ADDIN ZOTERO_ITEM CSL_CITATION {"citationID":"YtLNu305","properties":{"formattedCitation":"(Scham and Yahya, 2003)","plainCitation":"(Scham and Yahya, 2003)","noteIndex":0},"citationItems":[{"id":552,"uris":["http://zotero.org/users/local/gg1ZQu5V/items/AIZ9VTSA"],"itemData":{"id":552,"type":"article-journal","abstract":"Applied cross-cultural archaeology must be recognized as an essential step in the development of a reflexive, multi-vocal interpretation of the past. Projects like Ian Hodder's excavations at Catalhoyuk that actually address these issues, however, are still considered highly innovative, which is a fair indication as to how common they are. Instituting a dialogue about the past between archaeologists from two nations at war with each other would appear to be the ultimate experiment in multi-vocal archaeological practice. Reconciliation of our pasts inevitably becomes a further objective, but this requires a leap of faith and imagination premised on some degree of belief in the possible good faith of the other side - a quality rarely felt in the middle of a conflict. The common wisdom on how Israelis and Palestinians can deal with their intertwined and largely violent histories suggests that only through adopting a common narrative can understanding be achieved. The project that stimulated the following article, however, is based upon a different premise - that, to move toward a reflexive reconciliation, it is necessary to acknowledge the imperfections of our own narratives without fully rejecting them.","container-title":"Journal of Social Archaeology","DOI":"10.1177/14696053030033006","ISSN":"1469-6053","issue":"3","language":"EN","note":"publisher: SAGE Publications","page":"399-416","source":"SAGE Journals","title":"Heritage and Reconciliation","volume":"3","author":[{"family":"Scham","given":"Sandra Arnold"},{"family":"Yahya","given":"Adel"}],"issued":{"date-parts":[["2003",10,1]]}}}],"schema":"https://github.com/citation-style-language/schema/raw/master/csl-citation.json"} </w:instrText>
      </w:r>
      <w:r w:rsidR="00437310">
        <w:fldChar w:fldCharType="separate"/>
      </w:r>
      <w:r w:rsidR="00437310" w:rsidRPr="00437310">
        <w:rPr>
          <w:rFonts w:ascii="Aptos" w:hAnsi="Aptos"/>
        </w:rPr>
        <w:t>(Scham and Yahya, 2003)</w:t>
      </w:r>
      <w:r w:rsidR="00437310">
        <w:fldChar w:fldCharType="end"/>
      </w:r>
    </w:p>
    <w:p w14:paraId="0BC7A6BA" w14:textId="77777777" w:rsidR="002A73D2" w:rsidRDefault="002A73D2" w:rsidP="00D1644D">
      <w:pPr>
        <w:spacing w:line="360" w:lineRule="auto"/>
        <w:ind w:left="720"/>
      </w:pPr>
    </w:p>
    <w:p w14:paraId="3AAF6271" w14:textId="1F66666C" w:rsidR="00BC2980" w:rsidRDefault="002A73D2" w:rsidP="00D1644D">
      <w:pPr>
        <w:spacing w:line="360" w:lineRule="auto"/>
        <w:ind w:left="720"/>
      </w:pPr>
      <w:r>
        <w:t>A concept that has gained popularity in recent years is the concept of “de-colonization” which is defined by the taking back of the cultural heritage that has been taken away by colonial powers such as Britain and America and other such countries. This has significant popularity in the United States of America</w:t>
      </w:r>
      <w:r w:rsidR="00C23420">
        <w:t>. It can be done by the groups that were colonized such as the Native Americans or can be done by the groups that did the colonization through reparations and an admittance of the wrong doings</w:t>
      </w:r>
      <w:r w:rsidR="007425A5">
        <w:t>.</w:t>
      </w:r>
      <w:r w:rsidR="007425A5">
        <w:fldChar w:fldCharType="begin"/>
      </w:r>
      <w:r w:rsidR="007425A5">
        <w:instrText xml:space="preserve"> ADDIN ZOTERO_ITEM CSL_CITATION {"citationID":"XloRcN92","properties":{"formattedCitation":"(Brulon Soares and Witcomb, 2022)","plainCitation":"(Brulon Soares and Witcomb, 2022)","noteIndex":0},"citationItems":[{"id":577,"uris":["http://zotero.org/users/local/gg1ZQu5V/items/2I2VLE5F"],"itemData":{"id":577,"type":"article-journal","container-title":"Museum International","DOI":"10.1080/13500775.2022.2234187","ISSN":"1350-0775, 1468-0033","issue":"3-4","journalAbbreviation":"Museum International","language":"en","page":"1","source":"DOI.org (Crossref)","title":"Editorial: Towards Decolonisation","title-short":"Editorial","volume":"74","author":[{"family":"Brulon Soares","given":"Bruno"},{"family":"Witcomb","given":"Andrea"}],"issued":{"date-parts":[["2022",7,3]]}}}],"schema":"https://github.com/citation-style-language/schema/raw/master/csl-citation.json"} </w:instrText>
      </w:r>
      <w:r w:rsidR="007425A5">
        <w:fldChar w:fldCharType="separate"/>
      </w:r>
      <w:r w:rsidR="007425A5" w:rsidRPr="007425A5">
        <w:rPr>
          <w:rFonts w:ascii="Aptos" w:hAnsi="Aptos"/>
        </w:rPr>
        <w:t>(</w:t>
      </w:r>
      <w:proofErr w:type="spellStart"/>
      <w:r w:rsidR="007425A5" w:rsidRPr="007425A5">
        <w:rPr>
          <w:rFonts w:ascii="Aptos" w:hAnsi="Aptos"/>
        </w:rPr>
        <w:t>Brulon</w:t>
      </w:r>
      <w:proofErr w:type="spellEnd"/>
      <w:r w:rsidR="007425A5" w:rsidRPr="007425A5">
        <w:rPr>
          <w:rFonts w:ascii="Aptos" w:hAnsi="Aptos"/>
        </w:rPr>
        <w:t xml:space="preserve"> Soares and Witcomb, 2022)</w:t>
      </w:r>
      <w:r w:rsidR="007425A5">
        <w:fldChar w:fldCharType="end"/>
      </w:r>
      <w:r w:rsidR="007425A5">
        <w:t xml:space="preserve"> despite the argument that it is true that most people born in modern day America, Cananda or Britain have not committed the crimes that there forefathers and mothers did there is still the fact that these individuals profit off of the stolen land of the people that were colonised. Attempts in reparations have been made such as the giving back of the various stolen artefacts such as totem pole that was originally on display in Scotland being given back to the native American tribe it was stolen from</w:t>
      </w:r>
      <w:r w:rsidR="007425A5">
        <w:fldChar w:fldCharType="begin"/>
      </w:r>
      <w:r w:rsidR="007425A5">
        <w:instrText xml:space="preserve"> ADDIN ZOTERO_ITEM CSL_CITATION {"citationID":"vpHuwGxO","properties":{"formattedCitation":"({\\i{}From Scotland to Canada, a totem pole finally returns home - BBC News}, no date)","plainCitation":"(From Scotland to Canada, a totem pole finally returns home - BBC News, no date)","noteIndex":0},"citationItems":[{"id":582,"uris":["http://zotero.org/users/local/gg1ZQu5V/items/QP9ZL44D"],"itemData":{"id":582,"type":"webpage","title":"From Scotland to Canada, a totem pole finally returns home - BBC News","URL":"https://www.bbc.co.uk/news/world-us-canada-66932129","accessed":{"date-parts":[["2026",3,1]]}}}],"schema":"https://github.com/citation-style-language/schema/raw/master/csl-citation.json"} </w:instrText>
      </w:r>
      <w:r w:rsidR="007425A5">
        <w:fldChar w:fldCharType="separate"/>
      </w:r>
      <w:r w:rsidR="007425A5" w:rsidRPr="007425A5">
        <w:rPr>
          <w:rFonts w:ascii="Aptos" w:hAnsi="Aptos" w:cs="Times New Roman"/>
          <w:kern w:val="0"/>
        </w:rPr>
        <w:t>(</w:t>
      </w:r>
      <w:r w:rsidR="007425A5" w:rsidRPr="007425A5">
        <w:rPr>
          <w:rFonts w:ascii="Aptos" w:hAnsi="Aptos" w:cs="Times New Roman"/>
          <w:i/>
          <w:iCs/>
          <w:kern w:val="0"/>
        </w:rPr>
        <w:t>From Scotland to Canada, a totem pole finally returns home - BBC News</w:t>
      </w:r>
      <w:r w:rsidR="007425A5" w:rsidRPr="007425A5">
        <w:rPr>
          <w:rFonts w:ascii="Aptos" w:hAnsi="Aptos" w:cs="Times New Roman"/>
          <w:kern w:val="0"/>
        </w:rPr>
        <w:t xml:space="preserve">, </w:t>
      </w:r>
      <w:r w:rsidR="007425A5">
        <w:rPr>
          <w:rFonts w:ascii="Aptos" w:hAnsi="Aptos" w:cs="Times New Roman"/>
          <w:kern w:val="0"/>
        </w:rPr>
        <w:t>2023</w:t>
      </w:r>
      <w:r w:rsidR="007425A5" w:rsidRPr="007425A5">
        <w:rPr>
          <w:rFonts w:ascii="Aptos" w:hAnsi="Aptos" w:cs="Times New Roman"/>
          <w:kern w:val="0"/>
        </w:rPr>
        <w:t>)</w:t>
      </w:r>
      <w:r w:rsidR="007425A5">
        <w:fldChar w:fldCharType="end"/>
      </w:r>
      <w:r w:rsidR="007425A5">
        <w:t xml:space="preserve"> this a significant example of the reconciliation that archaeology can provide as well as marking a commemorative step forward in reconciling the wrongs of the past</w:t>
      </w:r>
      <w:r w:rsidR="00BC2980">
        <w:t xml:space="preserve">. The. Archaeology by its nature requires the examination of the dead and long buried however, who is given the right to examine and study these bodies? Of course, there is a difference in arguments when examining bodies thousands of years </w:t>
      </w:r>
      <w:r w:rsidR="00F71C5D">
        <w:t>old,</w:t>
      </w:r>
      <w:r w:rsidR="00BC2980">
        <w:t xml:space="preserve"> but the </w:t>
      </w:r>
      <w:r w:rsidR="00BC2980">
        <w:lastRenderedPageBreak/>
        <w:t>relatively recent dead has a different story. In 1993 the Northern Cheyenne people came to a museum in the Smithsonian Institution of Natural History  to collect there dead tribe members and lay them to rest in their own funeral and ritual rights.</w:t>
      </w:r>
      <w:r w:rsidR="00BC2980">
        <w:fldChar w:fldCharType="begin"/>
      </w:r>
      <w:r w:rsidR="00BC2980">
        <w:instrText xml:space="preserve"> ADDIN ZOTERO_ITEM CSL_CITATION {"citationID":"B9x4R9wQ","properties":{"formattedCitation":"(Cose, 2005)","plainCitation":"(Cose, 2005)","noteIndex":0},"citationItems":[{"id":571,"uris":["http://zotero.org/users/local/gg1ZQu5V/items/K5XHZNCA"],"itemData":{"id":571,"type":"book","abstract":"In a world riven by conflict, reconciliation is not always possible -- but it offers one of the few paths to peace for a troubled nation or a troubled soul. In Bone to Pick, bestselling author and Newsweek editor Ellis Cose offers a provocative and wide-ranging discussion of the power of reconciliation, the efficacy of revenge, and the possibility of forgiveness.  People increasingly are searching for ways to put the demons of the past to rest. That search has led parents to seek out the murderers of their children and torture victims to confront their former tormentors. In a narrative drawing on the personal and dramatic stories of people from Texas to East Timor, Cose explores the limits and the promise of those encounters.  Bone to Pick is not only the story of victims who have found peace through confronting the source of their pain; it is also a profound meditation on how the past shapes the present, and how history's wounds, left unattended, can fester for generations. Time does not heal all, Cose points out. Memories and anger can linger long beyond a human lifespan. The descendants of Holocaust survivors and African slaves alike feel the effects of their forebears' pain -- and in some cases are still demanding restitution.  What is behind the movement for reparations? Why are truth-and-reconciliation commissions sprouting all over the world? Why are old wars being refought and old wounds being reopened? In Bone to Pick, Ellis Cose provides a moving and nuanced guide to such questions as he points the way toward a more harmonious world.","ISBN":"978-0-7434-7067-4","language":"en","note":"Google-Books-ID: KeTvJo2gjEwC","number-of-pages":"228","publisher":"Simon and Schuster","source":"Google Books","title":"Bone to Pick: Of Forgiveness, Reconciliation, Reparation, and Revenge","title-short":"Bone to Pick","author":[{"family":"Cose","given":"Ellis"}],"issued":{"date-parts":[["2005",2]]}}}],"schema":"https://github.com/citation-style-language/schema/raw/master/csl-citation.json"} </w:instrText>
      </w:r>
      <w:r w:rsidR="00BC2980">
        <w:fldChar w:fldCharType="separate"/>
      </w:r>
      <w:r w:rsidR="00BC2980" w:rsidRPr="00BC2980">
        <w:rPr>
          <w:rFonts w:ascii="Aptos" w:hAnsi="Aptos"/>
        </w:rPr>
        <w:t>(Cose, 2005)</w:t>
      </w:r>
      <w:r w:rsidR="00BC2980">
        <w:fldChar w:fldCharType="end"/>
      </w:r>
      <w:r w:rsidR="00BC2980">
        <w:t xml:space="preserve"> </w:t>
      </w:r>
      <w:r w:rsidR="00BC2980">
        <w:fldChar w:fldCharType="begin"/>
      </w:r>
      <w:r w:rsidR="00BC2980">
        <w:instrText xml:space="preserve"> ADDIN ZOTERO_ITEM CSL_CITATION {"citationID":"sMZVpB4L","properties":{"formattedCitation":"(Thornton, 2002)","plainCitation":"(Thornton, 2002)","noteIndex":0},"citationItems":[{"id":584,"uris":["http://zotero.org/users/local/gg1ZQu5V/items/4AX3BTUW"],"itemData":{"id":584,"type":"chapter","abstract":"On the morning of Friday, 9 October 1993, a small group of Northern Cheyenne\narrived at the Smithsonian Institution’s National Museum of Natural History. They\nhad come for their dead. Almost 115 years earlier, on 9 January 1879, at least\n83 members of Dull Knife’s (aka Morning Star) band of 149 Northern Cheyenne had\nbeen massacred by US Government soldiers near Fort Robinson, Nebraska, after a\nfinal, desperate attempt at freedom by the Cheyenne. They had fled toward their\nhomelands in Montana, after having been moved to a reservation in Oklahoma to live\nwith the Southern Cheyenne in 1877.They were captured, however; they were then\nheld in the stockade at Fort Robinson with little food, water or even heat. They\nattempted to escape after two weeks. At least 57 Northern Cheyenne were killed\nduring the escape; 32 others escaped but were trapped on 22 January at the edge of\nAntelope Creek: 26 of them were killed during the resulting massacre. Most of those\nkilled in the escape attempt were buried near the fort; those killed at Antelope Creek\nwere buried nearby in a mass grave.The bones of 17 of the Northern Cheyenne were\ncollected after their brutal deaths for scientific study by the US Army Medical\nExaminer. Nine of these were obtained from the mass grave at Antelope Creek which\nwas exhumed in 1880.The bones – mostly crania – had been later transferred to the\nSmithsonian’s National Museum of Natural History.The bones were from Cheyenne\nranging in age from 49 years old to a three-year-old child massacred at Antelope\nCreek. All were now being returned to their people in a joint repatriation with the\nPeabody Museum of Archaeology and Ethnology at Harvard which also had some\nskeletal remains from the Antelope Creek massacre, collected by a museum curator\nabout a month before those at the Army Medical Museum.","container-title":"The Dead and their Possessions","note":"number-of-pages: 8","publisher":"Routledge","title":"Repatriation as healing the wounds of the trauma of history: cases of Native Americans in the United States of America","title-short":"Repatriation as healing the wounds of the trauma of history","author":[{"family":"Thornton","given":"Russell"}],"issued":{"date-parts":[["2002"]]}}}],"schema":"https://github.com/citation-style-language/schema/raw/master/csl-citation.json"} </w:instrText>
      </w:r>
      <w:r w:rsidR="00BC2980">
        <w:fldChar w:fldCharType="separate"/>
      </w:r>
      <w:r w:rsidR="00BC2980" w:rsidRPr="00BC2980">
        <w:rPr>
          <w:rFonts w:ascii="Aptos" w:hAnsi="Aptos"/>
        </w:rPr>
        <w:t>(Thornton, 2002)</w:t>
      </w:r>
      <w:r w:rsidR="00BC2980">
        <w:fldChar w:fldCharType="end"/>
      </w:r>
      <w:r w:rsidR="00BC2980">
        <w:t xml:space="preserve"> </w:t>
      </w:r>
      <w:r w:rsidR="00F71C5D">
        <w:t xml:space="preserve">The history of the Native Americans and the colonial British (which then named themselves Americans) these powers colliding has history of inhumane treatment on the side of colonial powers this includes the treatment of the Native Americans and the </w:t>
      </w:r>
      <w:r w:rsidR="00B30BA6">
        <w:t>Trans-Atlantic</w:t>
      </w:r>
      <w:r w:rsidR="00F71C5D">
        <w:t xml:space="preserve"> Slave trade</w:t>
      </w:r>
      <w:r w:rsidR="00F71C5D">
        <w:fldChar w:fldCharType="begin"/>
      </w:r>
      <w:r w:rsidR="00F71C5D">
        <w:instrText xml:space="preserve"> ADDIN ZOTERO_ITEM CSL_CITATION {"citationID":"rZ8h2qW3","properties":{"formattedCitation":"(Thomas, 1996)","plainCitation":"(Thomas, 1996)","noteIndex":0},"citationItems":[{"id":585,"uris":["http://zotero.org/users/local/gg1ZQu5V/items/VGKD7FKU"],"itemData":{"id":585,"type":"webpage","title":"Understanding Evil: American Slavery, the Holocaust, and the Conquest of the American Indians Vessels of Evil: American Slavery and the Holocaust. Laurence Mordekhai Thomas | Ethics: Vol 106, No 2","URL":"https://www.journals.uchicago.edu/doi/abs/10.1086/233624?journalCode=et","author":[{"family":"Thomas","given":"Mordekai"}],"accessed":{"date-parts":[["2026",3,1]]},"issued":{"date-parts":[["1996"]]}}}],"schema":"https://github.com/citation-style-language/schema/raw/master/csl-citation.json"} </w:instrText>
      </w:r>
      <w:r w:rsidR="00F71C5D">
        <w:fldChar w:fldCharType="separate"/>
      </w:r>
      <w:r w:rsidR="00F71C5D" w:rsidRPr="00F71C5D">
        <w:rPr>
          <w:rFonts w:ascii="Aptos" w:hAnsi="Aptos"/>
        </w:rPr>
        <w:t>(Thomas, 1996)</w:t>
      </w:r>
      <w:r w:rsidR="00F71C5D">
        <w:fldChar w:fldCharType="end"/>
      </w:r>
      <w:r w:rsidR="00F71C5D">
        <w:t xml:space="preserve"> due to the inherent publicity that</w:t>
      </w:r>
      <w:r w:rsidR="00B30BA6">
        <w:t xml:space="preserve"> the slave trade and the extermination of the Native tribes had it is important that these wrongs are just as publicly acknowledged and the way it is done is by these very public reclamations of the dead. This public </w:t>
      </w:r>
      <w:r w:rsidR="00504DFA">
        <w:t>commemoration</w:t>
      </w:r>
      <w:r w:rsidR="00B30BA6">
        <w:t xml:space="preserve"> is key in rectifying the past and moving forward</w:t>
      </w:r>
      <w:r w:rsidR="00504DFA">
        <w:t>. However there is more modern examples of the American government removing these attempts</w:t>
      </w:r>
      <w:r w:rsidR="00D61791">
        <w:t xml:space="preserve"> of wartime commemoration such as the removal of plaques honouring the black soldiers that fought in world war two</w:t>
      </w:r>
      <w:r w:rsidR="00D61791">
        <w:fldChar w:fldCharType="begin"/>
      </w:r>
      <w:r w:rsidR="00D61791">
        <w:instrText xml:space="preserve"> ADDIN ZOTERO_ITEM CSL_CITATION {"citationID":"uqNGoIcQ","properties":{"formattedCitation":"(NBC news, 2025)","plainCitation":"(NBC news, 2025)","noteIndex":0},"citationItems":[{"id":588,"uris":["http://zotero.org/users/local/gg1ZQu5V/items/AVEMLRE2"],"itemData":{"id":588,"type":"webpage","abstract":"The panels’ removal at the Netherlands American Cemetery comes after President Donald Trump issued a series of executive orders ending diversity, equity and inclusion programs.","container-title":"NBC News","language":"en","title":"U.S. removal of panels honoring Black soldiers at WWII cemetery in the Netherlands draws backlash","URL":"https://www.nbcnews.com/world/europe/us-removal-panels-honoring-black-soldiers-wwii-cemetery-netherlands-rcna251475","author":[{"family":"NBC news","given":""}],"accessed":{"date-parts":[["2026",3,1]]},"issued":{"date-parts":[["2025",12,30]]}}}],"schema":"https://github.com/citation-style-language/schema/raw/master/csl-citation.json"} </w:instrText>
      </w:r>
      <w:r w:rsidR="00D61791">
        <w:fldChar w:fldCharType="separate"/>
      </w:r>
      <w:r w:rsidR="00D61791" w:rsidRPr="00D61791">
        <w:rPr>
          <w:rFonts w:ascii="Aptos" w:hAnsi="Aptos"/>
        </w:rPr>
        <w:t>(NBC news, 2025)</w:t>
      </w:r>
      <w:r w:rsidR="00D61791">
        <w:fldChar w:fldCharType="end"/>
      </w:r>
      <w:r w:rsidR="00D61791">
        <w:t xml:space="preserve"> although significantly more recent the removal of this commemorative plaque shows that there is action being taken against historical and archaeological based commemorative pieces. Due to the </w:t>
      </w:r>
      <w:r w:rsidR="000B46C4">
        <w:t>second-class</w:t>
      </w:r>
      <w:r w:rsidR="00D61791">
        <w:t xml:space="preserve"> citizen status of black Americans at the time the soldiers who fought were not given the </w:t>
      </w:r>
      <w:r w:rsidR="000B46C4">
        <w:t>honours</w:t>
      </w:r>
      <w:r w:rsidR="00D61791">
        <w:t xml:space="preserve"> they deserve but in a </w:t>
      </w:r>
      <w:r w:rsidR="000B46C4">
        <w:t>post-civil</w:t>
      </w:r>
      <w:r w:rsidR="00D61791">
        <w:t xml:space="preserve"> rights movement America they were given special acknowledgment for fighting for their country even when they were being actively oppressed by the American government. Although there is almost no question that </w:t>
      </w:r>
      <w:r w:rsidR="000B46C4">
        <w:t>Black, Hispanic</w:t>
      </w:r>
      <w:r w:rsidR="00D61791">
        <w:t xml:space="preserve"> </w:t>
      </w:r>
      <w:r w:rsidR="000B46C4">
        <w:t xml:space="preserve">and Asian </w:t>
      </w:r>
      <w:r w:rsidR="00D61791">
        <w:t>individual</w:t>
      </w:r>
      <w:r w:rsidR="000B46C4">
        <w:t>s</w:t>
      </w:r>
      <w:r w:rsidR="00D61791">
        <w:t xml:space="preserve"> still face </w:t>
      </w:r>
      <w:r w:rsidR="000B46C4">
        <w:t>prejudice</w:t>
      </w:r>
      <w:r w:rsidR="00D61791">
        <w:t xml:space="preserve"> to this day</w:t>
      </w:r>
      <w:r w:rsidR="000B46C4">
        <w:t>.</w:t>
      </w:r>
      <w:r w:rsidR="00D61791">
        <w:t xml:space="preserve"> </w:t>
      </w:r>
      <w:r w:rsidR="000B46C4">
        <w:t>T</w:t>
      </w:r>
      <w:r w:rsidR="00D61791">
        <w:t xml:space="preserve">he goal of </w:t>
      </w:r>
      <w:r w:rsidR="000B46C4">
        <w:t xml:space="preserve">the </w:t>
      </w:r>
      <w:r w:rsidR="00D61791">
        <w:t>archaeology</w:t>
      </w:r>
      <w:r w:rsidR="000B46C4">
        <w:t xml:space="preserve"> of commemoration</w:t>
      </w:r>
      <w:r w:rsidR="00D61791">
        <w:t xml:space="preserve"> such as these plaques show an active effort to move forward from the conditions of Jim Crow </w:t>
      </w:r>
      <w:r w:rsidR="000B46C4">
        <w:t>America.</w:t>
      </w:r>
      <w:r w:rsidR="000B46C4">
        <w:fldChar w:fldCharType="begin"/>
      </w:r>
      <w:r w:rsidR="000B46C4">
        <w:instrText xml:space="preserve"> ADDIN ZOTERO_ITEM CSL_CITATION {"citationID":"x8pvzP5Z","properties":{"formattedCitation":"(Gregory, 2022)","plainCitation":"(Gregory, 2022)","noteIndex":0},"citationItems":[{"id":598,"uris":["http://zotero.org/users/local/gg1ZQu5V/items/J3ZI4NK5"],"itemData":{"id":598,"type":"article-journal","abstract":"This is a critical historiographical essay animated by the research question of how the decisions of police and sheriffs illuminated and drove the transformation of white supremacy through different forms from emancipation to the end of Jim Crow segregation. It situates this focus amidst current methodological trends that stress structural oppression and argues that law-enforcers’ agency could illuminate discussions among historians and other scholars about the relationship between formal and informal law alongside the rise of the modern criminological state. The historical importance of enforcers is accentuated in the story told in each section—the shifting demographics of enforcement during Reconstruction; the inequalities of policing alongside lynching in the last decades of the nineteenth century; the complex interplay between policing and segregation statutes, colorblind criminal law, and mob violence in the Jim Crow South; the concurrent modernization of racialized policing nationwide; and the displacement of informal mob law and formal racial caste by a national regime of extralegal police violence, unequal patterns of incarceration and execution, and federal protections of civil liberties and civil rights.","container-title":"Law and History Review","DOI":"10.1017/S0738248021000456","ISSN":"0738-2480, 1939-9022","issue":"1","language":"en","page":"91-122","source":"Cambridge University Press","title":"Policing Jim Crow America: Enforcers’ Agency and Structural Transformations","title-short":"Policing Jim Crow America","volume":"40","author":[{"family":"Gregory","given":"Anthony"}],"issued":{"date-parts":[["2022",2]]}}}],"schema":"https://github.com/citation-style-language/schema/raw/master/csl-citation.json"} </w:instrText>
      </w:r>
      <w:r w:rsidR="000B46C4">
        <w:fldChar w:fldCharType="separate"/>
      </w:r>
      <w:r w:rsidR="000B46C4" w:rsidRPr="000B46C4">
        <w:rPr>
          <w:rFonts w:ascii="Aptos" w:hAnsi="Aptos"/>
        </w:rPr>
        <w:t>(Gregory, 2022)</w:t>
      </w:r>
      <w:r w:rsidR="000B46C4">
        <w:fldChar w:fldCharType="end"/>
      </w:r>
      <w:r w:rsidR="000B46C4">
        <w:t xml:space="preserve"> </w:t>
      </w:r>
    </w:p>
    <w:p w14:paraId="687D0DC7" w14:textId="33BA30AB" w:rsidR="00B124DA" w:rsidRDefault="00B124DA" w:rsidP="00D1644D">
      <w:pPr>
        <w:spacing w:line="360" w:lineRule="auto"/>
        <w:ind w:left="720"/>
      </w:pPr>
      <w:r>
        <w:t>The cold war was defined by the lack of physical conflict</w:t>
      </w:r>
      <w:r w:rsidR="00DA25FD">
        <w:t xml:space="preserve"> between the USSR and the United States of America</w:t>
      </w:r>
      <w:r w:rsidR="00DA25FD">
        <w:fldChar w:fldCharType="begin"/>
      </w:r>
      <w:r w:rsidR="00DA25FD">
        <w:instrText xml:space="preserve"> ADDIN ZOTERO_ITEM CSL_CITATION {"citationID":"9BpozyMt","properties":{"formattedCitation":"(SUBRAHMANYAM, 2009)","plainCitation":"(SUBRAHMANYAM, 2009)","noteIndex":0},"citationItems":[{"id":345,"uris":["http://zotero.org/users/local/gg1ZQu5V/items/K5KN9KGE"],"itemData":{"id":345,"type":"webpage","title":"A historical overview of the Cold War | 9 | Superpower Rivalry and Con","URL":"https://www.taylorfrancis.com/chapters/edit/10.4324/9780203865330-9/historical-overview-cold-war-subrahmanyam","author":[{"family":"SUBRAHMANYAM","given":"K"}],"accessed":{"date-parts":[["2025",3,13]]},"issued":{"date-parts":[["2009"]]}}}],"schema":"https://github.com/citation-style-language/schema/raw/master/csl-citation.json"} </w:instrText>
      </w:r>
      <w:r w:rsidR="00DA25FD">
        <w:fldChar w:fldCharType="separate"/>
      </w:r>
      <w:r w:rsidR="00DA25FD" w:rsidRPr="00DA25FD">
        <w:rPr>
          <w:rFonts w:ascii="Aptos" w:hAnsi="Aptos"/>
        </w:rPr>
        <w:t>(SUBRAHMANYAM, 2009)</w:t>
      </w:r>
      <w:r w:rsidR="00DA25FD">
        <w:fldChar w:fldCharType="end"/>
      </w:r>
      <w:r w:rsidR="00DA25FD">
        <w:t xml:space="preserve">. Despite the cold nature of the war there was events that heated up in other areas such as the Vietnam conflict. This conflict </w:t>
      </w:r>
      <w:r w:rsidR="00D1644D">
        <w:t>as well</w:t>
      </w:r>
      <w:r w:rsidR="00DA25FD">
        <w:t xml:space="preserve"> as the Korean war was fought on the idea of the Domino effect, the belief that if one country “falls” to communism others near would do so which would undermine American capitalism that dominated the world in the nuclear age.</w:t>
      </w:r>
      <w:r w:rsidR="00DA25FD">
        <w:fldChar w:fldCharType="begin"/>
      </w:r>
      <w:r w:rsidR="00DA25FD">
        <w:instrText xml:space="preserve"> ADDIN ZOTERO_ITEM CSL_CITATION {"citationID":"DdaaKnAQ","properties":{"formattedCitation":"(Rashid and Su\\uc0\\u353{}i\\uc0\\u263{}, 2024)","plainCitation":"(Rashid and Sušić, 2024)","noteIndex":0},"citationItems":[{"id":613,"uris":["http://zotero.org/users/local/gg1ZQu5V/items/X3V9XB32"],"itemData":{"id":613,"type":"article-journal","abstract":"This study delves into the complexities of US post-war policies in the context of world politics. We examine the impact of two major theories, the Domino Theory and Liberal Hegemony, on US post-World War II policies. While the Domino Theory has its origins in Cold War politics, post-Cold War politics revolve around ideas of Liberal Hegemony. A critical study is conducted to determine the extent to which these theories have been successful in promoting world peace and security. This investigation is complemented by a series of case studies, each highlighting instances of US intervention and regime change conducted allegedly to limit Communism. Although the US has repeatedly justified its interventionist tactics as a deterrent to Communist expansion, many of these activities went beyond conventional containment. Indeed, they were premeditated endeavours to achieve US worldwide hegemony. Regrettably, this desire for global domination has had far-reaching ramifications for international peace and security, essentially weakening the order of stability.","container-title":"Pakistan Journal of American Studies","ISSN":"2958-6739","issue":"1","language":"en","license":"Copyright (c) 2024 Pakistan Journal of American Studies","page":"83-110","source":"pjas.qau.edu.pk","title":"From Cold War Containment to a Liberal Order: Analysing US Foreign Policy Shifts through Domino Theory and Liberal Hegemony","title-short":"From Cold War Containment to a Liberal Order","volume":"42","author":[{"family":"Rashid","given":"Asma"},{"family":"Sušić","given":"Sadija"}],"issued":{"date-parts":[["2024",9,13]]}}}],"schema":"https://github.com/citation-style-language/schema/raw/master/csl-citation.json"} </w:instrText>
      </w:r>
      <w:r w:rsidR="00DA25FD">
        <w:fldChar w:fldCharType="separate"/>
      </w:r>
      <w:r w:rsidR="00DA25FD" w:rsidRPr="00DA25FD">
        <w:rPr>
          <w:rFonts w:ascii="Aptos" w:hAnsi="Aptos" w:cs="Times New Roman"/>
          <w:kern w:val="0"/>
        </w:rPr>
        <w:t>(Rashid and Sušić, 2024)</w:t>
      </w:r>
      <w:r w:rsidR="00DA25FD">
        <w:fldChar w:fldCharType="end"/>
      </w:r>
      <w:r w:rsidR="00DA25FD">
        <w:t xml:space="preserve"> This war had a profound </w:t>
      </w:r>
      <w:r w:rsidR="00D1644D">
        <w:t>effect</w:t>
      </w:r>
      <w:r w:rsidR="00DA25FD">
        <w:t xml:space="preserve"> on the American administration and its peoples as there was major contention in the drafting of this war. The Americans</w:t>
      </w:r>
      <w:r w:rsidR="00D1644D">
        <w:t>,</w:t>
      </w:r>
      <w:r w:rsidR="00DA25FD">
        <w:t xml:space="preserve"> culturally were itching to take down the Communist Russians and this othering of the Russians communist</w:t>
      </w:r>
      <w:r w:rsidR="003454AC">
        <w:fldChar w:fldCharType="begin"/>
      </w:r>
      <w:r w:rsidR="003454AC">
        <w:instrText xml:space="preserve"> ADDIN ZOTERO_ITEM CSL_CITATION {"citationID":"rC5YxgtG","properties":{"formattedCitation":"(Renshaw, 1968)","plainCitation":"(Renshaw, 1968)","noteIndex":0},"citationItems":[{"id":625,"uris":["http://zotero.org/users/local/gg1ZQu5V/items/NL76BVM9"],"itemData":{"id":625,"type":"article-journal","container-title":"Journal of Contemporary History","DOI":"10.1177/002200946800300405","ISSN":"0022-0094","issue":"4","language":"EN","note":"publisher: SAGE Publications Ltd","page":"63-72","source":"SAGE Journals","title":"The IWW and the Red Scare 1917-24","volume":"3","author":[{"family":"Renshaw","given":"Patrick"}],"issued":{"date-parts":[["1968",10,1]]}}}],"schema":"https://github.com/citation-style-language/schema/raw/master/csl-citation.json"} </w:instrText>
      </w:r>
      <w:r w:rsidR="003454AC">
        <w:fldChar w:fldCharType="separate"/>
      </w:r>
      <w:r w:rsidR="003454AC" w:rsidRPr="003454AC">
        <w:rPr>
          <w:rFonts w:ascii="Aptos" w:hAnsi="Aptos"/>
        </w:rPr>
        <w:t>(Renshaw, 1968)</w:t>
      </w:r>
      <w:r w:rsidR="003454AC">
        <w:fldChar w:fldCharType="end"/>
      </w:r>
      <w:r w:rsidR="00DA25FD">
        <w:t xml:space="preserve"> permeated throughout culture in very extreme ways from the attitudes to Russia this even reverberated for decades in the form of </w:t>
      </w:r>
      <w:r w:rsidR="00DA25FD">
        <w:lastRenderedPageBreak/>
        <w:t>cinema such as Rocky three and its Hard Russian Giant of a villain named Ivan Drago portrayed by Dolph Lundgren</w:t>
      </w:r>
      <w:r w:rsidR="00640F3B">
        <w:t xml:space="preserve"> who the all American Italian Stallion Rocky Balboa portrayed by Sylvester Stallone. The other side of America protested against the war which kicked off the hippie movement and many anti-war movements to come which celebrated peace love and finding solution that does not include bloodshed. </w:t>
      </w:r>
      <w:r w:rsidR="00640F3B">
        <w:fldChar w:fldCharType="begin"/>
      </w:r>
      <w:r w:rsidR="00640F3B">
        <w:instrText xml:space="preserve"> ADDIN ZOTERO_ITEM CSL_CITATION {"citationID":"bxwBFAQP","properties":{"formattedCitation":"(Bourgeois, 2015)","plainCitation":"(Bourgeois, 2015)","noteIndex":0},"citationItems":[{"id":618,"uris":["http://zotero.org/users/local/gg1ZQu5V/items/SCB4VX5W"],"itemData":{"id":618,"type":"article-journal","container-title":"Journal for the Study of Radicalism","DOI":"10.14321/jstudradi.9.1.0171","ISSN":"1930-1189","issue":"1","note":"publisher: Michigan State University Press","page":"171-173","source":"JSTOR","title":"Hardhats, Hippies and Hawks: The Vietnam Antiwar Movement as Myth and Memory","title-short":"Hardhats, Hippies and Hawks","volume":"9","editor":[{"family":"Lewis","given":"Penny"}],"author":[{"family":"Bourgeois","given":"Ashley"}],"issued":{"date-parts":[["2015"]]}}}],"schema":"https://github.com/citation-style-language/schema/raw/master/csl-citation.json"} </w:instrText>
      </w:r>
      <w:r w:rsidR="00640F3B">
        <w:fldChar w:fldCharType="separate"/>
      </w:r>
      <w:r w:rsidR="00640F3B" w:rsidRPr="00640F3B">
        <w:rPr>
          <w:rFonts w:ascii="Aptos" w:hAnsi="Aptos"/>
        </w:rPr>
        <w:t>(Bourgeois, 2015)</w:t>
      </w:r>
      <w:r w:rsidR="00640F3B">
        <w:fldChar w:fldCharType="end"/>
      </w:r>
      <w:r w:rsidR="00640F3B">
        <w:t xml:space="preserve"> of course both sides had their viewpoints but the choice that America made as a government to remember the Vietnam war was with a Large Memorial plaque which stands to remember the people who fought and died on foreign land for the ideals of the United states of America and to stand against the Ussr in a time </w:t>
      </w:r>
      <w:r w:rsidR="006C5582">
        <w:t>of</w:t>
      </w:r>
      <w:r w:rsidR="00640F3B">
        <w:t xml:space="preserve"> extreme nuclear tension.</w:t>
      </w:r>
      <w:r w:rsidR="006C5582">
        <w:t xml:space="preserve"> The efforts of the artists Maya Lin existed to memorialise and reconcile the grieving families that was affected by the Vietnam war. Both sides of the conflict have actively preserved the tools and strategies that were employed in the war as a way of remembering the events of this was and the struggles both sides endured</w:t>
      </w:r>
      <w:r w:rsidR="006C5582">
        <w:fldChar w:fldCharType="begin"/>
      </w:r>
      <w:r w:rsidR="006C5582">
        <w:instrText xml:space="preserve"> ADDIN ZOTERO_ITEM CSL_CITATION {"citationID":"HB9LAF1S","properties":{"formattedCitation":"(Logan, 2015)","plainCitation":"(Logan, 2015)","noteIndex":0},"citationItems":[{"id":621,"uris":["http://zotero.org/users/local/gg1ZQu5V/items/6EG662LP"],"itemData":{"id":621,"type":"chapter","abstract":"Unlike most of the chapters in this volume that deal with the World Wars, this\nchapter is concerned with more recent conflicts, commemoration strategies and\nwar heritage management, and an Asian setting – Vietnam. ln concentrating here\non Vietnam’s major twentieth-century wars and some of the battlefields and\nmemorials related to them, the aim is to show how their study might reinforce,\nextend or raise questions about approaches taken to the World Wars and to the\nstudy of landscapes of war generally. As is well known, Vietnam has been the scene\nof constant struggle for most of its 3,000-year existence as a recognisable political\nentity. This has involved internecine conflicts between rival war lords and their\nclans, battles to subdue surrounding political entities such as Champa and to take\ntheir lands, and wars of resistance and independence against the Chinese, the\nFrench and the United States, followed most recently by the 1979 border war with\nChina that was an after-shock from the Cambodian catastrophe under Pol Pot. This\nchapter concentrates on Vietnam’s two mid-twentieth-century Indochinese Wars\nof Independence, neither of which was part of the World Wars. While the\ncomponents of French Indochina – Tonkin, Annam and Cochin-China in today’s\nVietnam, and Cambodia and Laos – contributed men to the French armies in World\nWars I and II, no World War battles were fought on Vietnamese territory. During\nWorld War II – or at least from the Fall of France in 1940 until the Japanese coup\nde force in March 1945 – the French remained in charge of the administration of\nFrench Indochina.","container-title":"Battlefield Events","note":"number-of-pages: 18","publisher":"Routledge","title":"Remembering wars in Vietnam: commemoration, memorialisation and heritage management","title-short":"Remembering wars in Vietnam","author":[{"family":"Logan","given":"William"}],"issued":{"date-parts":[["2015"]]}}}],"schema":"https://github.com/citation-style-language/schema/raw/master/csl-citation.json"} </w:instrText>
      </w:r>
      <w:r w:rsidR="006C5582">
        <w:fldChar w:fldCharType="separate"/>
      </w:r>
      <w:r w:rsidR="006C5582" w:rsidRPr="006C5582">
        <w:rPr>
          <w:rFonts w:ascii="Aptos" w:hAnsi="Aptos"/>
        </w:rPr>
        <w:t>(Logan, 2015)</w:t>
      </w:r>
      <w:r w:rsidR="006C5582">
        <w:fldChar w:fldCharType="end"/>
      </w:r>
      <w:r w:rsidR="006C5582">
        <w:t xml:space="preserve">. </w:t>
      </w:r>
      <w:proofErr w:type="gramStart"/>
      <w:r w:rsidR="006C5582">
        <w:t>Due to the fact that</w:t>
      </w:r>
      <w:proofErr w:type="gramEnd"/>
      <w:r w:rsidR="006C5582">
        <w:t xml:space="preserve"> this is a war that the United States of America lost there is a very different view on it that it has to other wars.</w:t>
      </w:r>
      <w:r w:rsidR="003454AC">
        <w:t xml:space="preserve"> T</w:t>
      </w:r>
      <w:r w:rsidR="006C5582">
        <w:t xml:space="preserve">he British view the victory of World War two as a triumphant example of British tenacity and therefore has a very patriotic and relatively positive view on the sacrifices that won this war. This distinct differences in how </w:t>
      </w:r>
      <w:r w:rsidR="00197821">
        <w:t>America</w:t>
      </w:r>
      <w:r w:rsidR="006C5582">
        <w:t xml:space="preserve"> has decided to view the Vietnamese war is by honouring the sacrifices that these people made by showing them as </w:t>
      </w:r>
      <w:r w:rsidR="00197821">
        <w:t>shining</w:t>
      </w:r>
      <w:r w:rsidR="006C5582">
        <w:t xml:space="preserve"> examples of </w:t>
      </w:r>
      <w:r w:rsidR="00197821">
        <w:t>heroes</w:t>
      </w:r>
      <w:r w:rsidR="006C5582">
        <w:t xml:space="preserve"> fighting until the last man. This is in stark contrast to the reality where the invading Americans utilised weapons such as </w:t>
      </w:r>
      <w:r w:rsidR="00197821">
        <w:t xml:space="preserve">the use of chemical weapons </w:t>
      </w:r>
      <w:r w:rsidR="006C5582">
        <w:t xml:space="preserve">in attempts to succeed in their occupation of </w:t>
      </w:r>
      <w:r w:rsidR="00197821">
        <w:t>Vietnam</w:t>
      </w:r>
      <w:r w:rsidR="006C5582">
        <w:t xml:space="preserve"> territory</w:t>
      </w:r>
      <w:r w:rsidR="00197821">
        <w:t>.</w:t>
      </w:r>
      <w:r w:rsidR="00197821">
        <w:fldChar w:fldCharType="begin"/>
      </w:r>
      <w:r w:rsidR="00197821">
        <w:instrText xml:space="preserve"> ADDIN ZOTERO_ITEM CSL_CITATION {"citationID":"2Mvbve2R","properties":{"formattedCitation":"(Wilcox, 2011)","plainCitation":"(Wilcox, 2011)","noteIndex":0},"citationItems":[{"id":623,"uris":["http://zotero.org/users/local/gg1ZQu5V/items/IGLM6EKZ"],"itemData":{"id":623,"type":"book","abstract":"Scorched Earth is the first book to chronicle the effects of chemical warfare on the Vietnamese people and their environment, where, even today, more than 3 million people—including 500,000 children—are sick and dying from birth defects, cancer, and other illnesses that can be directly traced to Agent Orange/dioxin exposure. Weaving first-person accounts with original research, Vietnam War scholar Fred A. Wilcox examines long-term consequences for future generations, laying bare the ongoing monumental tragedy in Vietnam, and calls for the United States government to finally admit its role in chemical warfare in Vietnam. Wilcox also warns readers that unless we stop poisoning our air, food, and water supplies, the cancer epidemic in the United States and other countries will only worsen, and he urgently demands the chemical manufacturers of Agent Orange to compensate the victims of their greed and to stop using the Earth’s rivers, lakes, and oceans as toxic waste dumps. Vietnam has chosen August 10—the day that the US began spraying Agent Orange on Vietnam—as Agent Orange Day, to commemorate all its citizens who were affected by the deadly chemical. Scorched Earth will be released upon the third anniversary of this day, in honor of all those whose families have suffered, and continue to suffer, from this tragedy.","ISBN":"978-1-60980-138-0","language":"en","note":"Google-Books-ID: C79vDwAAQBAJ","number-of-pages":"241","publisher":"Seven Stories Press","source":"Google Books","title":"Scorched Earth: Legacies of Chemical Warfare in Vietnam","title-short":"Scorched Earth","author":[{"family":"Wilcox","given":"Fred A."}],"issued":{"date-parts":[["2011",9,13]]}}}],"schema":"https://github.com/citation-style-language/schema/raw/master/csl-citation.json"} </w:instrText>
      </w:r>
      <w:r w:rsidR="00197821">
        <w:fldChar w:fldCharType="separate"/>
      </w:r>
      <w:r w:rsidR="00197821" w:rsidRPr="00197821">
        <w:rPr>
          <w:rFonts w:ascii="Aptos" w:hAnsi="Aptos"/>
        </w:rPr>
        <w:t>(Wilcox, 2011)</w:t>
      </w:r>
      <w:r w:rsidR="00197821">
        <w:fldChar w:fldCharType="end"/>
      </w:r>
    </w:p>
    <w:p w14:paraId="7638AEDF" w14:textId="6B2C3954" w:rsidR="008F7B4A" w:rsidRDefault="008F7B4A" w:rsidP="00D1644D">
      <w:pPr>
        <w:spacing w:line="360" w:lineRule="auto"/>
        <w:ind w:left="720"/>
      </w:pPr>
      <w:r>
        <w:t>The archaeology of commemoration within the lens of archaeology is inherently politically motivated and depending on the who is commemorating these events and tragedies</w:t>
      </w:r>
      <w:r>
        <w:fldChar w:fldCharType="begin"/>
      </w:r>
      <w:r>
        <w:instrText xml:space="preserve"> ADDIN ZOTERO_ITEM CSL_CITATION {"citationID":"xue0Z4l3","properties":{"formattedCitation":"(Papadakis, 2003)","plainCitation":"(Papadakis, 2003)","noteIndex":0},"citationItems":[{"id":602,"uris":["http://zotero.org/users/local/gg1ZQu5V/items/897RXFG9"],"itemData":{"id":602,"type":"article-journal","container-title":"History and Anthropology","DOI":"10.1080/0275720032000136642","ISSN":"0275-7206, 1477-2612","issue":"3","journalAbbreviation":"History and Anthropology","language":"en","page":"253-270","source":"DOI.org (Crossref)","title":"Nation, narrative and commemoration: political ritual in divided Cyprus","title-short":"Nation, narrative and commemoration","volume":"14","author":[{"family":"Papadakis","given":"Yiannis"}],"issued":{"date-parts":[["2003",9]]}}}],"schema":"https://github.com/citation-style-language/schema/raw/master/csl-citation.json"} </w:instrText>
      </w:r>
      <w:r>
        <w:fldChar w:fldCharType="separate"/>
      </w:r>
      <w:r w:rsidRPr="008F7B4A">
        <w:rPr>
          <w:rFonts w:ascii="Aptos" w:hAnsi="Aptos"/>
        </w:rPr>
        <w:t>(Papadakis, 2003)</w:t>
      </w:r>
      <w:r>
        <w:fldChar w:fldCharType="end"/>
      </w:r>
      <w:r>
        <w:t xml:space="preserve">. For </w:t>
      </w:r>
      <w:r w:rsidR="00F95458">
        <w:t>example,</w:t>
      </w:r>
      <w:r>
        <w:t xml:space="preserve"> the British commemorate both world wars through a triumphant patriotic lens but also the different lens of the individual villages that commemorate the brave soldiers that never made it home. These ways of viewing the events of both the great war and </w:t>
      </w:r>
      <w:r w:rsidR="00F95458">
        <w:t>World War</w:t>
      </w:r>
      <w:r>
        <w:t xml:space="preserve"> two shows their defeat of foreign forces and the British people coming together and uniting against foreign power. While yes world war two and to a lesser extent world war one does present itself as a fight for freedom there is still inherent patriotism and a politically motivated goal of the British government to view Britain in a strong light</w:t>
      </w:r>
      <w:r w:rsidR="00F95458">
        <w:fldChar w:fldCharType="begin"/>
      </w:r>
      <w:r w:rsidR="00F95458">
        <w:instrText xml:space="preserve"> ADDIN ZOTERO_ITEM CSL_CITATION {"citationID":"wM21HGgp","properties":{"formattedCitation":"(Ashplant, Dawson and Roper, no date)","plainCitation":"(Ashplant, Dawson and Roper, no date)","noteIndex":0},"citationItems":[{"id":605,"uris":["http://zotero.org/users/local/gg1ZQu5V/items/9MKJN3XU"],"itemData":{"id":605,"type":"book","abstract":"War memory and commemoration have had increasingly high profiles in public and academic debates in recent years. This volume examines some of the social changes that have led to this development, among them the passing of the two world wars from survivor into cultural memory. Focusing on the politics of war memory and commemoration, the book illuminates the struggle to install particular memories at the center of a cultural world, and offers an extensive argument about how the politics of commemoration practices should be understood.Commemorating War analyzes a range of forms of remembrance, from public commemorations orchestrated by nation-states to personal testimonies of war survivors; and from cultural memories of war represented in films, plays and novels to investigations of wartime atrocities in courts of human rights. It presents a wide range of international case studies, encompassing lesser-known national histories and wars beyond the well-trodden terrain of Vietnam and the two world wars in Europe.Emerging from this book is an important critique of both &amp;quot;state-centered&amp;quot; approaches to war memory and those that regard commemoration primarily as a human response to loss and grief. Offering a wealth of empirical research material, this book will be important for cultural and oral historians, sociologists, researchers in international relations and human rights, and anybody with an interest in the cultural construction of memory in contemporary society.Timothy G. Ashplant is a member of the Research Center for Literature and Cultural History at Liverpool John Moores University. He has published on psychoanalysis and history, and the life-writings of working-class men and women in Britain. Graham Dawson teaches cultural and historical studies at the University of Brighton. His publications include Soldier Heroes: British Adventure, Empire and the Imagining of Masculinities, and Trauma and Life Stories (with Kim Lacy Rogers and Selma Leydesdorff). Michael Roper works as a social and cultural historian in the Department of Sociology at the University of Essex. His previous publications include Manful Assertions: Masculinities in Britain since 1800 (with John Tosh) and Masculinity and the British Organization Man since 1945.","ISBN":"978-1-4128-4483-3","language":"en","note":"Google-Books-ID: GCtDGt7fedoC","number-of-pages":"298","publisher":"Transaction Publishers","source":"Google Books","title":"Commemorating War: The Politics of Memory","title-short":"Commemorating War","author":[{"family":"Ashplant","given":"Timothy G."},{"family":"Dawson","given":"Graham"},{"family":"Roper","given":"Michael"}]}}],"schema":"https://github.com/citation-style-language/schema/raw/master/csl-citation.json"} </w:instrText>
      </w:r>
      <w:r w:rsidR="00F95458">
        <w:fldChar w:fldCharType="separate"/>
      </w:r>
      <w:r w:rsidR="00F95458" w:rsidRPr="00F95458">
        <w:rPr>
          <w:rFonts w:ascii="Aptos" w:hAnsi="Aptos"/>
        </w:rPr>
        <w:t xml:space="preserve">(Ashplant, Dawson and Roper, </w:t>
      </w:r>
      <w:r w:rsidR="00F95458">
        <w:rPr>
          <w:rFonts w:ascii="Aptos" w:hAnsi="Aptos"/>
        </w:rPr>
        <w:t>2000</w:t>
      </w:r>
      <w:r w:rsidR="00F95458" w:rsidRPr="00F95458">
        <w:rPr>
          <w:rFonts w:ascii="Aptos" w:hAnsi="Aptos"/>
        </w:rPr>
        <w:t>)</w:t>
      </w:r>
      <w:r w:rsidR="00F95458">
        <w:fldChar w:fldCharType="end"/>
      </w:r>
      <w:r w:rsidR="00F95458">
        <w:t xml:space="preserve">. </w:t>
      </w:r>
      <w:r w:rsidR="00DA25FD">
        <w:t>Whereas</w:t>
      </w:r>
      <w:r w:rsidR="00F95458">
        <w:t xml:space="preserve"> Germany has a very different view on remembering the Nazi regime and its atrocities. Of course, the effects of the holocaust should be remembered but how </w:t>
      </w:r>
      <w:r w:rsidR="00F95458">
        <w:lastRenderedPageBreak/>
        <w:t>Germany remembers the events is the key as that will show what story is being told and narrative Germany wants to show its population and the rest of the world. The solution Germany came to is simple, never forget, this simple mantra permeates through how it is commemorated in its archaeology and is distinctly emphasised and never unspoken. Yes there is power in not saying who killed who like in Cyprus but when the atrocities reach a scale to the amount who were killed in these death camps one can not avoid saying it and commemorating this event.</w:t>
      </w:r>
      <w:r w:rsidR="00F95458">
        <w:fldChar w:fldCharType="begin"/>
      </w:r>
      <w:r w:rsidR="00F95458">
        <w:instrText xml:space="preserve"> ADDIN ZOTERO_ITEM CSL_CITATION {"citationID":"ixSYena6","properties":{"formattedCitation":"(Frie, 2017)","plainCitation":"(Frie, 2017)","noteIndex":0},"citationItems":[{"id":607,"uris":["http://zotero.org/users/local/gg1ZQu5V/items/XX33J3DG"],"itemData":{"id":607,"type":"book","abstract":"Winner of the 2018 Western Canada Jewish Book AwardWinner of the 2017 Canadian Jewish Literary Award Shortlisted for the 2018 Vine Book Award for Canadian Jewish LiteratureEven as the Holocaust grows more distant with the passing of time, its traumas call out to be known and understood. What is remembered, what has been imparted through German heritage, and what has been forgotten? Can familiar family stories be transformed into an understanding of the Holocaust's forbidding reality? Author Roger Frie is uniquely positioned to answer these questions. As the son of Germans who were children during World War II, and with grandparents who were participants in the War, he uses the history of his family as a guide to explore the psychological and moral implications of memory against the backdrop of one of humanity's darkest periods. From his perspective of a life lived across German and Jewish contexts, Frie explores what it means to discover the legacy of a Nazi past. Beginning with the narrative of his grandfather, he shows how the transfer of memory from one German generation to the next keeps the Holocaust at bay. Not in My Family is rich with poignant illustration: Frie beautifully combines his own story with the stories of others, perpetrators and survivors, and the generations that came after. As a practicing psychotherapist he also draws on his own experience of working with patients whose lives have been directly and indirectly shaped by the Holocaust. Throughout, Frie proceeds with a level of frankness and honesty that invites readers to reflect on their own histories and to understand the lasting effects of historical traumas into the present.","ISBN":"978-0-19-937255-3","language":"en","number-of-pages":"311","publisher":"Oxford University Press","source":"Google Books","title":"Not in My Family: German Memory and Responsibility After the Holocaust","title-short":"Not in My Family","author":[{"family":"Frie","given":"Roger"}],"issued":{"date-parts":[["2017"]]}}}],"schema":"https://github.com/citation-style-language/schema/raw/master/csl-citation.json"} </w:instrText>
      </w:r>
      <w:r w:rsidR="00F95458">
        <w:fldChar w:fldCharType="separate"/>
      </w:r>
      <w:r w:rsidR="00F95458" w:rsidRPr="00F95458">
        <w:rPr>
          <w:rFonts w:ascii="Aptos" w:hAnsi="Aptos"/>
        </w:rPr>
        <w:t>(Frie, 2017)</w:t>
      </w:r>
      <w:r w:rsidR="00F95458">
        <w:fldChar w:fldCharType="end"/>
      </w:r>
      <w:r w:rsidR="00F95458">
        <w:t xml:space="preserve"> All of these events have been in war but the previous examples have never been so final.</w:t>
      </w:r>
      <w:r w:rsidR="00754731">
        <w:t xml:space="preserve"> The events of the holocaust contrast with the Cypriot, The Israel-Palestine war and the atrocities in America due to the sheer industrialised scale of the Nazi party and its extermination of the Jewish, Romani and LGBTQ population of the countries they occupied such as Poland.</w:t>
      </w:r>
      <w:r w:rsidR="00754731">
        <w:fldChar w:fldCharType="begin"/>
      </w:r>
      <w:r w:rsidR="00754731">
        <w:instrText xml:space="preserve"> ADDIN ZOTERO_ITEM CSL_CITATION {"citationID":"zcuUfJ4i","properties":{"formattedCitation":"(Kahana, Kahana and Wolf, 2018)","plainCitation":"(Kahana, Kahana and Wolf, 2018)","noteIndex":0},"citationItems":[{"id":610,"uris":["http://zotero.org/users/local/gg1ZQu5V/items/HPYHGKPC"],"itemData":{"id":610,"type":"chapter","abstract":"Scholarly treatises on forgiveness generally advocate for unconditional forgiveness, based on moral, theological and psychological imperatives. This paper considers the often-neglected influence of environmental and social contexts and transactions between the offenders and victims, relevant to understanding the processes involved in forgiving. Specifically, we consider forgiveness in the context of an epic crime against humanity: the Nazi Holocaust. Focusing on perspectives of victims, we argue that without restitution, the appropriateness of forgiving must be questioned. In addition to Jewish victims of the Nazis we focus on the suffering of lesbian, gay, bisexual, transgender (LGBT) and Roma individuals. We note the absence of apology and compensation, and ongoing manifestations of homophobia and racism as deterrents to forgiveness. We also explore perspectives of elderly survivors of the Nazi Holocaust who live with scars of their trauma. We present data based on in depth interviews with 150 survivors who immigrated to the United States, 150 survivors living in Israel1 and 104 interviews with survivors who continued to live in Hungary after World War II. Themes were discerned based on responses to open-ended questions about coming to terms with traumatic experiences endured as survivors reach old age. Forgiveness was not found to be a frequent theme articulated by survivors. Nevertheless, survivors who had left behind the countries where their trauma occurred noted the importance of forgiving younger generations for the atrocities perpetrated by their parents’ generation. Such themes did not emerge in interviews with survivors who were still living in the same social environment where their trauma had occurred. Acknowledgment of guilt, reparations and active attempts at reconciliation by German society were noted as facilitating forgiveness. This paper points to the complexities that must inform discourse about forgiveness when experiential perspectives of victims of genocide and the enduring nature of bigotry are the focus.","container-title":"Perspectives on Forgiveness","ISBN":"978-90-04-36014-3","language":"en","note":"DOI: 10.1163/9789004360143_011","page":"181-200","publisher":"BRILL","source":"DOI.org (Crossref)","title":"Grappling with Forgiveness: Perspectives of Jewish, LGBT and Roma Holocaust Survivors","title-short":"Grappling with Forgiveness","URL":"https://brill.com/view/book/edcoll/9789004360143/B9789004360143-s011.xml","editor":[{"family":"DiVietro","given":"Susie"},{"family":"Kiper","given":"Jordan"}],"author":[{"family":"Kahana","given":"Boaz"},{"family":"Kahana","given":"Eva"},{"family":"Wolf","given":"Julia Kay"}],"accessed":{"date-parts":[["2026",3,1]]},"issued":{"date-parts":[["2018",1,1]]}}}],"schema":"https://github.com/citation-style-language/schema/raw/master/csl-citation.json"} </w:instrText>
      </w:r>
      <w:r w:rsidR="00754731">
        <w:fldChar w:fldCharType="separate"/>
      </w:r>
      <w:r w:rsidR="00754731" w:rsidRPr="00754731">
        <w:rPr>
          <w:rFonts w:ascii="Aptos" w:hAnsi="Aptos"/>
        </w:rPr>
        <w:t>(Kahana, Kahana and Wolf, 2018)</w:t>
      </w:r>
      <w:r w:rsidR="00754731">
        <w:fldChar w:fldCharType="end"/>
      </w:r>
      <w:r w:rsidR="00754731">
        <w:t>Germanies efforts in remembering these crimes come from a place of remorse and asking of forgiveness. The Archaeology of places like the holocaust museums and the demand that German children and adults alike learn about these events are commemorated is presented as a duty to those who were killed and the laborious task of remembering the crimes of the past</w:t>
      </w:r>
      <w:r w:rsidR="00985BF8">
        <w:fldChar w:fldCharType="begin"/>
      </w:r>
      <w:r w:rsidR="00985BF8">
        <w:instrText xml:space="preserve"> ADDIN ZOTERO_ITEM CSL_CITATION {"citationID":"VCGfqJ9h","properties":{"formattedCitation":"(Krondorfer, 2008)","plainCitation":"(Krondorfer, 2008)","noteIndex":0},"citationItems":[{"id":611,"uris":["http://zotero.org/users/local/gg1ZQu5V/items/LKMCTUMI"],"itemData":{"id":611,"type":"article-journal","abstract":"“Forgetting” plays an important role in the lives of individuals and communities. Although a few Holocaust scholars have begun to take forgetting more seriously in relation to the task of remembering—in popular parlance as well as in academic discourse on the Holocaust—forgetting is usually perceived as a negative force. In the decades following 1945, the terms remembering and forgetting have often been used antithetically, with the communities of victims insisting on the duty to remember and a society of perpetrators desiring to forget. Thus, the discourse on Holocaust memory has become entrenched on this issue. This essay counters the swift rejection of forgetting and its labeling as a reprehensible act. It calls attention to two issues: first, it offers a critical argument for different forms of forgetting; second, it concludes with suggestions of how deliberate performative practices of forgetting might benefit communities affected by a genocidal past. Is it possible to conceive of forgetting not as the ugly twin of remembering but as its necessary companion?","container-title":"Journal of Religious Ethics","DOI":"10.1111/j.1467-9795.2008.00345.x","ISSN":"1467-9795","issue":"2","language":"en","license":"© 2008 Journal of Religious Ethics, Inc.","note":"_eprint: https://onlinelibrary.wiley.com/doi/pdf/10.1111/j.1467-9795.2008.00345.x","page":"233-267","source":"Wiley Online Library","title":"IS FORGETTING REPREHENSIBLE? Holocaust Remembrance and the Task of Oblivion","title-short":"IS FORGETTING REPREHENSIBLE?","volume":"36","author":[{"family":"Krondorfer","given":"Björn"}],"issued":{"date-parts":[["2008"]]}}}],"schema":"https://github.com/citation-style-language/schema/raw/master/csl-citation.json"} </w:instrText>
      </w:r>
      <w:r w:rsidR="00985BF8">
        <w:fldChar w:fldCharType="separate"/>
      </w:r>
      <w:r w:rsidR="00985BF8" w:rsidRPr="00985BF8">
        <w:rPr>
          <w:rFonts w:ascii="Aptos" w:hAnsi="Aptos"/>
        </w:rPr>
        <w:t>(</w:t>
      </w:r>
      <w:proofErr w:type="spellStart"/>
      <w:r w:rsidR="00985BF8" w:rsidRPr="00985BF8">
        <w:rPr>
          <w:rFonts w:ascii="Aptos" w:hAnsi="Aptos"/>
        </w:rPr>
        <w:t>Krondorfer</w:t>
      </w:r>
      <w:proofErr w:type="spellEnd"/>
      <w:r w:rsidR="00985BF8" w:rsidRPr="00985BF8">
        <w:rPr>
          <w:rFonts w:ascii="Aptos" w:hAnsi="Aptos"/>
        </w:rPr>
        <w:t>, 2008)</w:t>
      </w:r>
      <w:r w:rsidR="00985BF8">
        <w:fldChar w:fldCharType="end"/>
      </w:r>
      <w:r w:rsidR="00985BF8">
        <w:t>. The bereavement is a statement that walks to the tune of “never again” and instead of mourning for the ones that were killed in the war, although there is obvious grief for those whom died on the front line of the war effort, there is more grief and bereavement for the victims of the death camps employed during world war 2. This falls in line with Adels view in looking for a multi vocal approach to remembering and commemorating the past but an active choice</w:t>
      </w:r>
      <w:r w:rsidR="00B124DA">
        <w:t>. The difference in this is that both sides know that there is genuine cooperation between both parties.</w:t>
      </w:r>
      <w:r w:rsidR="00B124DA">
        <w:fldChar w:fldCharType="begin"/>
      </w:r>
      <w:r w:rsidR="00B124DA">
        <w:instrText xml:space="preserve"> ADDIN ZOTERO_ITEM CSL_CITATION {"citationID":"dSmndx9Z","properties":{"formattedCitation":"(Scham and Yahya, 2003)","plainCitation":"(Scham and Yahya, 2003)","noteIndex":0},"citationItems":[{"id":552,"uris":["http://zotero.org/users/local/gg1ZQu5V/items/AIZ9VTSA"],"itemData":{"id":552,"type":"article-journal","abstract":"Applied cross-cultural archaeology must be recognized as an essential step in the development of a reflexive, multi-vocal interpretation of the past. Projects like Ian Hodder's excavations at Catalhoyuk that actually address these issues, however, are still considered highly innovative, which is a fair indication as to how common they are. Instituting a dialogue about the past between archaeologists from two nations at war with each other would appear to be the ultimate experiment in multi-vocal archaeological practice. Reconciliation of our pasts inevitably becomes a further objective, but this requires a leap of faith and imagination premised on some degree of belief in the possible good faith of the other side - a quality rarely felt in the middle of a conflict. The common wisdom on how Israelis and Palestinians can deal with their intertwined and largely violent histories suggests that only through adopting a common narrative can understanding be achieved. The project that stimulated the following article, however, is based upon a different premise - that, to move toward a reflexive reconciliation, it is necessary to acknowledge the imperfections of our own narratives without fully rejecting them.","container-title":"Journal of Social Archaeology","DOI":"10.1177/14696053030033006","ISSN":"1469-6053","issue":"3","language":"EN","note":"publisher: SAGE Publications","page":"399-416","source":"SAGE Journals","title":"Heritage and Reconciliation","volume":"3","author":[{"family":"Scham","given":"Sandra Arnold"},{"family":"Yahya","given":"Adel"}],"issued":{"date-parts":[["2003",10,1]]}}}],"schema":"https://github.com/citation-style-language/schema/raw/master/csl-citation.json"} </w:instrText>
      </w:r>
      <w:r w:rsidR="00B124DA">
        <w:fldChar w:fldCharType="separate"/>
      </w:r>
      <w:r w:rsidR="00B124DA" w:rsidRPr="00B124DA">
        <w:rPr>
          <w:rFonts w:ascii="Aptos" w:hAnsi="Aptos"/>
        </w:rPr>
        <w:t>(Scham and Yahya, 2003)</w:t>
      </w:r>
      <w:r w:rsidR="00B124DA">
        <w:fldChar w:fldCharType="end"/>
      </w:r>
    </w:p>
    <w:p w14:paraId="73A4E804" w14:textId="3F272A45" w:rsidR="00EF3DE5" w:rsidRPr="00EF3DE5" w:rsidRDefault="00197821" w:rsidP="00D1644D">
      <w:pPr>
        <w:spacing w:line="360" w:lineRule="auto"/>
        <w:ind w:left="720"/>
      </w:pPr>
      <w:r>
        <w:t xml:space="preserve">Archaeological memory is something that is pervasive in every culture. No matter who you are or what your country has done everyone has bodies that are buried and structures that have not been unearthed. But when the bodies are buried beneath the tank treads and gunfire how does that change the approach? How does a governing body show to the people that have lost parts of themselves that this time of bloodshed is over. There are many distinct approaches to take through an archaeological lens. For </w:t>
      </w:r>
      <w:r w:rsidR="00EF3DE5">
        <w:t>example,</w:t>
      </w:r>
      <w:r>
        <w:t xml:space="preserve"> since the ending of the Cypriot civil war the people of Cyprus, with help from the U.N has </w:t>
      </w:r>
      <w:r w:rsidR="00EF3DE5">
        <w:t>concluded</w:t>
      </w:r>
      <w:r>
        <w:t xml:space="preserve"> the installation of a </w:t>
      </w:r>
      <w:r w:rsidR="00EF3DE5">
        <w:t>green zone</w:t>
      </w:r>
      <w:r>
        <w:t xml:space="preserve"> and a commitment to digging up the bodies that are found in mass graves but refusing to identify cause of death and what side did the killing</w:t>
      </w:r>
      <w:sdt>
        <w:sdtPr>
          <w:id w:val="661133772"/>
          <w:citation/>
        </w:sdtPr>
        <w:sdtContent>
          <w:r w:rsidR="00EF3DE5">
            <w:fldChar w:fldCharType="begin"/>
          </w:r>
          <w:r w:rsidR="00EF3DE5">
            <w:instrText xml:space="preserve"> CITATION PBS17 \l 2057 </w:instrText>
          </w:r>
          <w:r w:rsidR="00EF3DE5">
            <w:fldChar w:fldCharType="separate"/>
          </w:r>
          <w:r w:rsidR="00EF3DE5">
            <w:rPr>
              <w:noProof/>
            </w:rPr>
            <w:t xml:space="preserve"> (PBS News, 2017)</w:t>
          </w:r>
          <w:r w:rsidR="00EF3DE5">
            <w:fldChar w:fldCharType="end"/>
          </w:r>
        </w:sdtContent>
      </w:sdt>
      <w:r>
        <w:t xml:space="preserve">. This can be seen as a rejection of </w:t>
      </w:r>
      <w:r w:rsidR="00EF3DE5">
        <w:t>history,</w:t>
      </w:r>
      <w:r>
        <w:t xml:space="preserve"> but it is</w:t>
      </w:r>
      <w:r w:rsidR="00EF3DE5">
        <w:t>,</w:t>
      </w:r>
      <w:r>
        <w:t xml:space="preserve"> in fact</w:t>
      </w:r>
      <w:r w:rsidR="00EF3DE5">
        <w:t>,</w:t>
      </w:r>
      <w:r>
        <w:t xml:space="preserve"> more of a</w:t>
      </w:r>
      <w:r w:rsidR="00EF3DE5">
        <w:t>n</w:t>
      </w:r>
      <w:r>
        <w:t xml:space="preserve"> emphasis on moving forward</w:t>
      </w:r>
      <w:r w:rsidR="00EF3DE5">
        <w:t xml:space="preserve"> and accepting the grim reality of </w:t>
      </w:r>
      <w:r w:rsidR="00EF3DE5">
        <w:lastRenderedPageBreak/>
        <w:t>the civil war in the 1960s and moving forward in cooperation. This is in stark contrast to the Isreal-Palestine war as it has used archaeology to justify the killing and bloodshed for the claim of the land Palestine sits on</w:t>
      </w:r>
      <w:r w:rsidR="00EF3DE5">
        <w:fldChar w:fldCharType="begin"/>
      </w:r>
      <w:r w:rsidR="00EF3DE5">
        <w:instrText xml:space="preserve"> ADDIN ZOTERO_ITEM CSL_CITATION {"citationID":"GYLBmtJR","properties":{"formattedCitation":"(Scham and Yahya, 2003)","plainCitation":"(Scham and Yahya, 2003)","noteIndex":0},"citationItems":[{"id":552,"uris":["http://zotero.org/users/local/gg1ZQu5V/items/AIZ9VTSA"],"itemData":{"id":552,"type":"article-journal","abstract":"Applied cross-cultural archaeology must be recognized as an essential step in the development of a reflexive, multi-vocal interpretation of the past. Projects like Ian Hodder's excavations at Catalhoyuk that actually address these issues, however, are still considered highly innovative, which is a fair indication as to how common they are. Instituting a dialogue about the past between archaeologists from two nations at war with each other would appear to be the ultimate experiment in multi-vocal archaeological practice. Reconciliation of our pasts inevitably becomes a further objective, but this requires a leap of faith and imagination premised on some degree of belief in the possible good faith of the other side - a quality rarely felt in the middle of a conflict. The common wisdom on how Israelis and Palestinians can deal with their intertwined and largely violent histories suggests that only through adopting a common narrative can understanding be achieved. The project that stimulated the following article, however, is based upon a different premise - that, to move toward a reflexive reconciliation, it is necessary to acknowledge the imperfections of our own narratives without fully rejecting them.","container-title":"Journal of Social Archaeology","DOI":"10.1177/14696053030033006","ISSN":"1469-6053","issue":"3","language":"EN","note":"publisher: SAGE Publications","page":"399-416","source":"SAGE Journals","title":"Heritage and Reconciliation","volume":"3","author":[{"family":"Scham","given":"Sandra Arnold"},{"family":"Yahya","given":"Adel"}],"issued":{"date-parts":[["2003",10,1]]}}}],"schema":"https://github.com/citation-style-language/schema/raw/master/csl-citation.json"} </w:instrText>
      </w:r>
      <w:r w:rsidR="00EF3DE5">
        <w:fldChar w:fldCharType="separate"/>
      </w:r>
      <w:r w:rsidR="00EF3DE5" w:rsidRPr="00EF3DE5">
        <w:rPr>
          <w:rFonts w:ascii="Aptos" w:hAnsi="Aptos"/>
        </w:rPr>
        <w:t>(Scham and Yahya, 2003)</w:t>
      </w:r>
      <w:r w:rsidR="00EF3DE5">
        <w:fldChar w:fldCharType="end"/>
      </w:r>
      <w:r w:rsidR="00EF3DE5">
        <w:t>. This war will have issues in using archaeology to reconcile and grieve as there is a history of using Archaeology as a political motivator in its past. America has a long list of things that need to be reconciled such as the colonisation of the Native American land and population</w:t>
      </w:r>
      <w:r w:rsidR="00EF3DE5">
        <w:fldChar w:fldCharType="begin"/>
      </w:r>
      <w:r w:rsidR="00EF3DE5">
        <w:instrText xml:space="preserve"> ADDIN ZOTERO_ITEM CSL_CITATION {"citationID":"E5nIzN2S","properties":{"formattedCitation":"(Thornton, 2002)","plainCitation":"(Thornton, 2002)","noteIndex":0},"citationItems":[{"id":584,"uris":["http://zotero.org/users/local/gg1ZQu5V/items/4AX3BTUW"],"itemData":{"id":584,"type":"chapter","abstract":"On the morning of Friday, 9 October 1993, a small group of Northern Cheyenne\narrived at the Smithsonian Institution’s National Museum of Natural History. They\nhad come for their dead. Almost 115 years earlier, on 9 January 1879, at least\n83 members of Dull Knife’s (aka Morning Star) band of 149 Northern Cheyenne had\nbeen massacred by US Government soldiers near Fort Robinson, Nebraska, after a\nfinal, desperate attempt at freedom by the Cheyenne. They had fled toward their\nhomelands in Montana, after having been moved to a reservation in Oklahoma to live\nwith the Southern Cheyenne in 1877.They were captured, however; they were then\nheld in the stockade at Fort Robinson with little food, water or even heat. They\nattempted to escape after two weeks. At least 57 Northern Cheyenne were killed\nduring the escape; 32 others escaped but were trapped on 22 January at the edge of\nAntelope Creek: 26 of them were killed during the resulting massacre. Most of those\nkilled in the escape attempt were buried near the fort; those killed at Antelope Creek\nwere buried nearby in a mass grave.The bones of 17 of the Northern Cheyenne were\ncollected after their brutal deaths for scientific study by the US Army Medical\nExaminer. Nine of these were obtained from the mass grave at Antelope Creek which\nwas exhumed in 1880.The bones – mostly crania – had been later transferred to the\nSmithsonian’s National Museum of Natural History.The bones were from Cheyenne\nranging in age from 49 years old to a three-year-old child massacred at Antelope\nCreek. All were now being returned to their people in a joint repatriation with the\nPeabody Museum of Archaeology and Ethnology at Harvard which also had some\nskeletal remains from the Antelope Creek massacre, collected by a museum curator\nabout a month before those at the Army Medical Museum.","container-title":"The Dead and their Possessions","note":"number-of-pages: 8","publisher":"Routledge","title":"Repatriation as healing the wounds of the trauma of history: cases of Native Americans in the United States of America","title-short":"Repatriation as healing the wounds of the trauma of history","author":[{"family":"Thornton","given":"Russell"}],"issued":{"date-parts":[["2002"]]}}}],"schema":"https://github.com/citation-style-language/schema/raw/master/csl-citation.json"} </w:instrText>
      </w:r>
      <w:r w:rsidR="00EF3DE5">
        <w:fldChar w:fldCharType="separate"/>
      </w:r>
      <w:r w:rsidR="00EF3DE5" w:rsidRPr="00EF3DE5">
        <w:rPr>
          <w:rFonts w:ascii="Aptos" w:hAnsi="Aptos"/>
        </w:rPr>
        <w:t>(Thornton, 2002)</w:t>
      </w:r>
      <w:r w:rsidR="00EF3DE5">
        <w:fldChar w:fldCharType="end"/>
      </w:r>
      <w:r w:rsidR="00EF3DE5">
        <w:t xml:space="preserve">. The disregard for their practices and funeral rights is making efforts to </w:t>
      </w:r>
      <w:r w:rsidR="003454AC">
        <w:t xml:space="preserve">rectify this issue is being done </w:t>
      </w:r>
      <w:r w:rsidR="00EF3DE5">
        <w:t>this day to rectif</w:t>
      </w:r>
      <w:r w:rsidR="003454AC">
        <w:t>y. B</w:t>
      </w:r>
      <w:r w:rsidR="00EF3DE5">
        <w:t>ut there is push back from current policies. Examples of this push back show in how they are treating the commemoration of the black soldiers who fought in World War two</w:t>
      </w:r>
      <w:r w:rsidR="00EF3DE5">
        <w:fldChar w:fldCharType="begin"/>
      </w:r>
      <w:r w:rsidR="00EF3DE5">
        <w:instrText xml:space="preserve"> ADDIN ZOTERO_ITEM CSL_CITATION {"citationID":"92CH7D8i","properties":{"formattedCitation":"(NBC news, 2025)","plainCitation":"(NBC news, 2025)","noteIndex":0},"citationItems":[{"id":588,"uris":["http://zotero.org/users/local/gg1ZQu5V/items/AVEMLRE2"],"itemData":{"id":588,"type":"webpage","abstract":"The panels’ removal at the Netherlands American Cemetery comes after President Donald Trump issued a series of executive orders ending diversity, equity and inclusion programs.","container-title":"NBC News","language":"en","title":"U.S. removal of panels honoring Black soldiers at WWII cemetery in the Netherlands draws backlash","URL":"https://www.nbcnews.com/world/europe/us-removal-panels-honoring-black-soldiers-wwii-cemetery-netherlands-rcna251475","author":[{"family":"NBC news","given":""}],"accessed":{"date-parts":[["2026",3,1]]},"issued":{"date-parts":[["2025",12,30]]}}}],"schema":"https://github.com/citation-style-language/schema/raw/master/csl-citation.json"} </w:instrText>
      </w:r>
      <w:r w:rsidR="00EF3DE5">
        <w:fldChar w:fldCharType="separate"/>
      </w:r>
      <w:r w:rsidR="00EF3DE5" w:rsidRPr="00EF3DE5">
        <w:rPr>
          <w:rFonts w:ascii="Aptos" w:hAnsi="Aptos"/>
        </w:rPr>
        <w:t>(NBC news, 2025)</w:t>
      </w:r>
      <w:r w:rsidR="00EF3DE5">
        <w:fldChar w:fldCharType="end"/>
      </w:r>
      <w:r w:rsidR="00EF3DE5">
        <w:t xml:space="preserve">. But to say America does not honour their fallen would be wrong as they make significant attempts to </w:t>
      </w:r>
      <w:r w:rsidR="00E672F9">
        <w:t>honour</w:t>
      </w:r>
      <w:r w:rsidR="00EF3DE5">
        <w:t xml:space="preserve"> those who fell in Vietnam during the cold war</w:t>
      </w:r>
      <w:r w:rsidR="00EF3DE5">
        <w:fldChar w:fldCharType="begin"/>
      </w:r>
      <w:r w:rsidR="00E672F9">
        <w:instrText xml:space="preserve"> ADDIN ZOTERO_ITEM CSL_CITATION {"citationID":"rRx2mIZf","properties":{"formattedCitation":"(Logan, 2015)","plainCitation":"(Logan, 2015)","noteIndex":0},"citationItems":[{"id":621,"uris":["http://zotero.org/users/local/gg1ZQu5V/items/6EG662LP"],"itemData":{"id":621,"type":"chapter","abstract":"Unlike most of the chapters in this volume that deal with the World Wars, this\nchapter is concerned with more recent conflicts, commemoration strategies and\nwar heritage management, and an Asian setting – Vietnam. ln concentrating here\non Vietnam’s major twentieth-century wars and some of the battlefields and\nmemorials related to them, the aim is to show how their study might reinforce,\nextend or raise questions about approaches taken to the World Wars and to the\nstudy of landscapes of war generally. As is well known, Vietnam has been the scene\nof constant struggle for most of its 3,000-year existence as a recognisable political\nentity. This has involved internecine conflicts between rival war lords and their\nclans, battles to subdue surrounding political entities such as Champa and to take\ntheir lands, and wars of resistance and independence against the Chinese, the\nFrench and the United States, followed most recently by the 1979 border war with\nChina that was an after-shock from the Cambodian catastrophe under Pol Pot. This\nchapter concentrates on Vietnam’s two mid-twentieth-century Indochinese Wars\nof Independence, neither of which was part of the World Wars. While the\ncomponents of French Indochina – Tonkin, Annam and Cochin-China in today’s\nVietnam, and Cambodia and Laos – contributed men to the French armies in World\nWars I and II, no World War battles were fought on Vietnamese territory. During\nWorld War II – or at least from the Fall of France in 1940 until the Japanese coup\nde force in March 1945 – the French remained in charge of the administration of\nFrench Indochina.","container-title":"Battlefield Events","note":"number-of-pages: 18","publisher":"Routledge","title":"Remembering wars in Vietnam: commemoration, memorialisation and heritage management","title-short":"Remembering wars in Vietnam","author":[{"family":"Logan","given":"William"}],"issued":{"date-parts":[["2015"]]}}}],"schema":"https://github.com/citation-style-language/schema/raw/master/csl-citation.json"} </w:instrText>
      </w:r>
      <w:r w:rsidR="00EF3DE5">
        <w:fldChar w:fldCharType="separate"/>
      </w:r>
      <w:r w:rsidR="00E672F9" w:rsidRPr="00E672F9">
        <w:rPr>
          <w:rFonts w:ascii="Aptos" w:hAnsi="Aptos"/>
        </w:rPr>
        <w:t>(Logan, 2015)</w:t>
      </w:r>
      <w:r w:rsidR="00EF3DE5">
        <w:fldChar w:fldCharType="end"/>
      </w:r>
      <w:r w:rsidR="00E672F9">
        <w:t xml:space="preserve">.these pale in comparison to Germanies legacy of the Genocide perpetrated by the Nazi party the aftermath of the fascist </w:t>
      </w:r>
      <w:r w:rsidR="003454AC">
        <w:t>regime</w:t>
      </w:r>
      <w:r w:rsidR="00E672F9">
        <w:t xml:space="preserve"> at the Hands of Adolf Hitler and his party</w:t>
      </w:r>
      <w:r w:rsidR="003454AC">
        <w:t>. This then</w:t>
      </w:r>
      <w:r w:rsidR="00E672F9">
        <w:t xml:space="preserve"> has shown Germany taking the grim task of never forgetting the weight of this Genocide and moving forward with it in mind for these events to hopefully never happen again</w:t>
      </w:r>
      <w:r w:rsidR="00E672F9">
        <w:fldChar w:fldCharType="begin"/>
      </w:r>
      <w:r w:rsidR="00E672F9">
        <w:instrText xml:space="preserve"> ADDIN ZOTERO_ITEM CSL_CITATION {"citationID":"Fndg9Ppw","properties":{"formattedCitation":"(Kahana, Kahana and Wolf, 2018)","plainCitation":"(Kahana, Kahana and Wolf, 2018)","noteIndex":0},"citationItems":[{"id":610,"uris":["http://zotero.org/users/local/gg1ZQu5V/items/HPYHGKPC"],"itemData":{"id":610,"type":"chapter","abstract":"Scholarly treatises on forgiveness generally advocate for unconditional forgiveness, based on moral, theological and psychological imperatives. This paper considers the often-neglected influence of environmental and social contexts and transactions between the offenders and victims, relevant to understanding the processes involved in forgiving. Specifically, we consider forgiveness in the context of an epic crime against humanity: the Nazi Holocaust. Focusing on perspectives of victims, we argue that without restitution, the appropriateness of forgiving must be questioned. In addition to Jewish victims of the Nazis we focus on the suffering of lesbian, gay, bisexual, transgender (LGBT) and Roma individuals. We note the absence of apology and compensation, and ongoing manifestations of homophobia and racism as deterrents to forgiveness. We also explore perspectives of elderly survivors of the Nazi Holocaust who live with scars of their trauma. We present data based on in depth interviews with 150 survivors who immigrated to the United States, 150 survivors living in Israel1 and 104 interviews with survivors who continued to live in Hungary after World War II. Themes were discerned based on responses to open-ended questions about coming to terms with traumatic experiences endured as survivors reach old age. Forgiveness was not found to be a frequent theme articulated by survivors. Nevertheless, survivors who had left behind the countries where their trauma occurred noted the importance of forgiving younger generations for the atrocities perpetrated by their parents’ generation. Such themes did not emerge in interviews with survivors who were still living in the same social environment where their trauma had occurred. Acknowledgment of guilt, reparations and active attempts at reconciliation by German society were noted as facilitating forgiveness. This paper points to the complexities that must inform discourse about forgiveness when experiential perspectives of victims of genocide and the enduring nature of bigotry are the focus.","container-title":"Perspectives on Forgiveness","ISBN":"978-90-04-36014-3","language":"en","note":"DOI: 10.1163/9789004360143_011","page":"181-200","publisher":"BRILL","source":"DOI.org (Crossref)","title":"Grappling with Forgiveness: Perspectives of Jewish, LGBT and Roma Holocaust Survivors","title-short":"Grappling with Forgiveness","URL":"https://brill.com/view/book/edcoll/9789004360143/B9789004360143-s011.xml","editor":[{"family":"DiVietro","given":"Susie"},{"family":"Kiper","given":"Jordan"}],"author":[{"family":"Kahana","given":"Boaz"},{"family":"Kahana","given":"Eva"},{"family":"Wolf","given":"Julia Kay"}],"accessed":{"date-parts":[["2026",3,1]]},"issued":{"date-parts":[["2018",1,1]]}}}],"schema":"https://github.com/citation-style-language/schema/raw/master/csl-citation.json"} </w:instrText>
      </w:r>
      <w:r w:rsidR="00E672F9">
        <w:fldChar w:fldCharType="separate"/>
      </w:r>
      <w:r w:rsidR="00E672F9" w:rsidRPr="00E672F9">
        <w:rPr>
          <w:rFonts w:ascii="Aptos" w:hAnsi="Aptos"/>
        </w:rPr>
        <w:t>(Kahana, Kahana and Wolf, 2018)</w:t>
      </w:r>
      <w:r w:rsidR="00E672F9">
        <w:fldChar w:fldCharType="end"/>
      </w:r>
      <w:r w:rsidR="00E672F9">
        <w:t xml:space="preserve"> all these are examples of memorialisation through archaeology and other means shows that although archaeology has a significant role in remembering the past there is still issues and bereavement and reconciliation must come from a view of multiple angles and cannot just be through an archaeological lends despite the key role that is played in this grim task.</w:t>
      </w:r>
    </w:p>
    <w:sdt>
      <w:sdtPr>
        <w:id w:val="-1164315442"/>
        <w:docPartObj>
          <w:docPartGallery w:val="Bibliographies"/>
          <w:docPartUnique/>
        </w:docPartObj>
      </w:sdtPr>
      <w:sdtEndPr>
        <w:rPr>
          <w:rFonts w:asciiTheme="minorHAnsi" w:eastAsiaTheme="minorHAnsi" w:hAnsiTheme="minorHAnsi" w:cstheme="minorBidi"/>
          <w:color w:val="auto"/>
          <w:sz w:val="22"/>
          <w:szCs w:val="22"/>
        </w:rPr>
      </w:sdtEndPr>
      <w:sdtContent>
        <w:p w14:paraId="4988ED49" w14:textId="5541EDD1" w:rsidR="00437310" w:rsidRDefault="00437310">
          <w:pPr>
            <w:pStyle w:val="Heading1"/>
          </w:pPr>
          <w:r>
            <w:t>Bibliography</w:t>
          </w:r>
        </w:p>
        <w:sdt>
          <w:sdtPr>
            <w:id w:val="111145805"/>
            <w:bibliography/>
          </w:sdtPr>
          <w:sdtContent>
            <w:p w14:paraId="1DE9586B" w14:textId="77777777" w:rsidR="00437310" w:rsidRDefault="00437310" w:rsidP="00437310">
              <w:pPr>
                <w:pStyle w:val="Bibliography"/>
                <w:ind w:left="720" w:hanging="720"/>
                <w:rPr>
                  <w:noProof/>
                  <w:kern w:val="0"/>
                  <w:sz w:val="24"/>
                  <w:szCs w:val="24"/>
                  <w14:ligatures w14:val="none"/>
                </w:rPr>
              </w:pPr>
              <w:r>
                <w:fldChar w:fldCharType="begin"/>
              </w:r>
              <w:r>
                <w:instrText>BIBLIOGRAPHY</w:instrText>
              </w:r>
              <w:r>
                <w:fldChar w:fldCharType="separate"/>
              </w:r>
              <w:r>
                <w:rPr>
                  <w:noProof/>
                </w:rPr>
                <w:t xml:space="preserve">PBS News. (2017). Cyprus Is Looking For Closure In Archaeology. </w:t>
              </w:r>
              <w:r>
                <w:rPr>
                  <w:i/>
                  <w:iCs/>
                  <w:noProof/>
                </w:rPr>
                <w:t>Cyprus Is Looking For Closure In Archaeology</w:t>
              </w:r>
              <w:r>
                <w:rPr>
                  <w:noProof/>
                </w:rPr>
                <w:t>. j.</w:t>
              </w:r>
            </w:p>
            <w:p w14:paraId="062D9CAF" w14:textId="7662C489" w:rsidR="00437310" w:rsidRPr="00437310" w:rsidRDefault="00437310" w:rsidP="00437310">
              <w:r>
                <w:rPr>
                  <w:b/>
                  <w:bCs/>
                </w:rPr>
                <w:fldChar w:fldCharType="end"/>
              </w:r>
            </w:p>
          </w:sdtContent>
        </w:sdt>
      </w:sdtContent>
    </w:sdt>
    <w:p w14:paraId="3353C49C" w14:textId="77777777" w:rsidR="003454AC" w:rsidRPr="003454AC" w:rsidRDefault="00437310" w:rsidP="003454AC">
      <w:pPr>
        <w:pStyle w:val="Bibliography"/>
        <w:rPr>
          <w:rFonts w:ascii="Aptos" w:hAnsi="Aptos"/>
        </w:rPr>
      </w:pPr>
      <w:r>
        <w:rPr>
          <w:rFonts w:ascii="Aptos" w:hAnsi="Aptos"/>
        </w:rPr>
        <w:fldChar w:fldCharType="begin"/>
      </w:r>
      <w:r>
        <w:rPr>
          <w:rFonts w:ascii="Aptos" w:hAnsi="Aptos"/>
        </w:rPr>
        <w:instrText xml:space="preserve"> ADDIN ZOTERO_BIBL {"uncited":[],"omitted":[],"custom":[]} CSL_BIBLIOGRAPHY </w:instrText>
      </w:r>
      <w:r>
        <w:rPr>
          <w:rFonts w:ascii="Aptos" w:hAnsi="Aptos"/>
        </w:rPr>
        <w:fldChar w:fldCharType="separate"/>
      </w:r>
      <w:proofErr w:type="spellStart"/>
      <w:r w:rsidR="003454AC" w:rsidRPr="003454AC">
        <w:rPr>
          <w:rFonts w:ascii="Aptos" w:hAnsi="Aptos"/>
        </w:rPr>
        <w:t>Alecou</w:t>
      </w:r>
      <w:proofErr w:type="spellEnd"/>
      <w:r w:rsidR="003454AC" w:rsidRPr="003454AC">
        <w:rPr>
          <w:rFonts w:ascii="Aptos" w:hAnsi="Aptos"/>
        </w:rPr>
        <w:t xml:space="preserve">, A. (2014) ‘The Greek Civil War in Cyprus: Ideology, Tactics and the Division of Society’, </w:t>
      </w:r>
      <w:r w:rsidR="003454AC" w:rsidRPr="003454AC">
        <w:rPr>
          <w:rFonts w:ascii="Aptos" w:hAnsi="Aptos"/>
          <w:i/>
          <w:iCs/>
        </w:rPr>
        <w:t>Journal of Mediterranean Studies</w:t>
      </w:r>
      <w:r w:rsidR="003454AC" w:rsidRPr="003454AC">
        <w:rPr>
          <w:rFonts w:ascii="Aptos" w:hAnsi="Aptos"/>
        </w:rPr>
        <w:t>, 23(1), pp. 89–100.</w:t>
      </w:r>
    </w:p>
    <w:p w14:paraId="2FAA5962" w14:textId="77777777" w:rsidR="003454AC" w:rsidRPr="003454AC" w:rsidRDefault="003454AC" w:rsidP="003454AC">
      <w:pPr>
        <w:pStyle w:val="Bibliography"/>
        <w:rPr>
          <w:rFonts w:ascii="Aptos" w:hAnsi="Aptos"/>
        </w:rPr>
      </w:pPr>
      <w:r w:rsidRPr="003454AC">
        <w:rPr>
          <w:rFonts w:ascii="Aptos" w:hAnsi="Aptos"/>
        </w:rPr>
        <w:t xml:space="preserve">Ashplant, T.G., Dawson, G. and Roper, M. (no date) </w:t>
      </w:r>
      <w:r w:rsidRPr="003454AC">
        <w:rPr>
          <w:rFonts w:ascii="Aptos" w:hAnsi="Aptos"/>
          <w:i/>
          <w:iCs/>
        </w:rPr>
        <w:t>Commemorating War: The Politics of Memory</w:t>
      </w:r>
      <w:r w:rsidRPr="003454AC">
        <w:rPr>
          <w:rFonts w:ascii="Aptos" w:hAnsi="Aptos"/>
        </w:rPr>
        <w:t>. Transaction Publishers.</w:t>
      </w:r>
    </w:p>
    <w:p w14:paraId="3533CDBC" w14:textId="77777777" w:rsidR="003454AC" w:rsidRPr="003454AC" w:rsidRDefault="003454AC" w:rsidP="003454AC">
      <w:pPr>
        <w:pStyle w:val="Bibliography"/>
        <w:rPr>
          <w:rFonts w:ascii="Aptos" w:hAnsi="Aptos"/>
        </w:rPr>
      </w:pPr>
      <w:r w:rsidRPr="003454AC">
        <w:rPr>
          <w:rFonts w:ascii="Aptos" w:hAnsi="Aptos"/>
        </w:rPr>
        <w:t xml:space="preserve">Bourgeois, A. (2015) ‘Hardhats, Hippies and Hawks: The Vietnam Antiwar Movement as Myth and Memory’, </w:t>
      </w:r>
      <w:r w:rsidRPr="003454AC">
        <w:rPr>
          <w:rFonts w:ascii="Aptos" w:hAnsi="Aptos"/>
          <w:i/>
          <w:iCs/>
        </w:rPr>
        <w:t>Journal for the Study of Radicalism</w:t>
      </w:r>
      <w:r w:rsidRPr="003454AC">
        <w:rPr>
          <w:rFonts w:ascii="Aptos" w:hAnsi="Aptos"/>
        </w:rPr>
        <w:t>. Edited by P. Lewis, 9(1), pp. 171–173. Available at: https://doi.org/10.14321/jstudradi.9.1.0171.</w:t>
      </w:r>
    </w:p>
    <w:p w14:paraId="1F686391" w14:textId="77777777" w:rsidR="003454AC" w:rsidRPr="003454AC" w:rsidRDefault="003454AC" w:rsidP="003454AC">
      <w:pPr>
        <w:pStyle w:val="Bibliography"/>
        <w:rPr>
          <w:rFonts w:ascii="Aptos" w:hAnsi="Aptos"/>
        </w:rPr>
      </w:pPr>
      <w:proofErr w:type="spellStart"/>
      <w:r w:rsidRPr="003454AC">
        <w:rPr>
          <w:rFonts w:ascii="Aptos" w:hAnsi="Aptos"/>
        </w:rPr>
        <w:t>Brulon</w:t>
      </w:r>
      <w:proofErr w:type="spellEnd"/>
      <w:r w:rsidRPr="003454AC">
        <w:rPr>
          <w:rFonts w:ascii="Aptos" w:hAnsi="Aptos"/>
        </w:rPr>
        <w:t xml:space="preserve"> Soares, B. and Witcomb, A. (2022) ‘Editorial: Towards Decolonisation’, </w:t>
      </w:r>
      <w:r w:rsidRPr="003454AC">
        <w:rPr>
          <w:rFonts w:ascii="Aptos" w:hAnsi="Aptos"/>
          <w:i/>
          <w:iCs/>
        </w:rPr>
        <w:t>Museum International</w:t>
      </w:r>
      <w:r w:rsidRPr="003454AC">
        <w:rPr>
          <w:rFonts w:ascii="Aptos" w:hAnsi="Aptos"/>
        </w:rPr>
        <w:t>, 74(3–4), p. 1. Available at: https://doi.org/10.1080/13500775.2022.2234187.</w:t>
      </w:r>
    </w:p>
    <w:p w14:paraId="02C062FC" w14:textId="77777777" w:rsidR="003454AC" w:rsidRPr="003454AC" w:rsidRDefault="003454AC" w:rsidP="003454AC">
      <w:pPr>
        <w:pStyle w:val="Bibliography"/>
        <w:rPr>
          <w:rFonts w:ascii="Aptos" w:hAnsi="Aptos"/>
        </w:rPr>
      </w:pPr>
      <w:r w:rsidRPr="003454AC">
        <w:rPr>
          <w:rFonts w:ascii="Aptos" w:hAnsi="Aptos"/>
        </w:rPr>
        <w:lastRenderedPageBreak/>
        <w:t xml:space="preserve">Bryant, R. (2012) ‘Partitions of Memory: Wounds and Witnessing in Cyprus’, </w:t>
      </w:r>
      <w:r w:rsidRPr="003454AC">
        <w:rPr>
          <w:rFonts w:ascii="Aptos" w:hAnsi="Aptos"/>
          <w:i/>
          <w:iCs/>
        </w:rPr>
        <w:t>Comparative Studies in Society and History</w:t>
      </w:r>
      <w:r w:rsidRPr="003454AC">
        <w:rPr>
          <w:rFonts w:ascii="Aptos" w:hAnsi="Aptos"/>
        </w:rPr>
        <w:t>, 54(2), pp. 332–360. Available at: https://doi.org/10.1017/S0010417512000060.</w:t>
      </w:r>
    </w:p>
    <w:p w14:paraId="29A1FE98" w14:textId="77777777" w:rsidR="003454AC" w:rsidRPr="003454AC" w:rsidRDefault="003454AC" w:rsidP="003454AC">
      <w:pPr>
        <w:pStyle w:val="Bibliography"/>
        <w:rPr>
          <w:rFonts w:ascii="Aptos" w:hAnsi="Aptos"/>
        </w:rPr>
      </w:pPr>
      <w:r w:rsidRPr="003454AC">
        <w:rPr>
          <w:rFonts w:ascii="Aptos" w:hAnsi="Aptos"/>
        </w:rPr>
        <w:t xml:space="preserve">Cose, E. (2005) </w:t>
      </w:r>
      <w:r w:rsidRPr="003454AC">
        <w:rPr>
          <w:rFonts w:ascii="Aptos" w:hAnsi="Aptos"/>
          <w:i/>
          <w:iCs/>
        </w:rPr>
        <w:t>Bone to Pick: Of Forgiveness, Reconciliation, Reparation, and Revenge</w:t>
      </w:r>
      <w:r w:rsidRPr="003454AC">
        <w:rPr>
          <w:rFonts w:ascii="Aptos" w:hAnsi="Aptos"/>
        </w:rPr>
        <w:t>. Simon and Schuster.</w:t>
      </w:r>
    </w:p>
    <w:p w14:paraId="46B0C4AB" w14:textId="77777777" w:rsidR="003454AC" w:rsidRPr="003454AC" w:rsidRDefault="003454AC" w:rsidP="003454AC">
      <w:pPr>
        <w:pStyle w:val="Bibliography"/>
        <w:rPr>
          <w:rFonts w:ascii="Aptos" w:hAnsi="Aptos"/>
        </w:rPr>
      </w:pPr>
      <w:r w:rsidRPr="003454AC">
        <w:rPr>
          <w:rFonts w:ascii="Aptos" w:hAnsi="Aptos"/>
        </w:rPr>
        <w:t xml:space="preserve">Frie, R. (2017) </w:t>
      </w:r>
      <w:r w:rsidRPr="003454AC">
        <w:rPr>
          <w:rFonts w:ascii="Aptos" w:hAnsi="Aptos"/>
          <w:i/>
          <w:iCs/>
        </w:rPr>
        <w:t>Not in My Family: German Memory and Responsibility After the Holocaust</w:t>
      </w:r>
      <w:r w:rsidRPr="003454AC">
        <w:rPr>
          <w:rFonts w:ascii="Aptos" w:hAnsi="Aptos"/>
        </w:rPr>
        <w:t>. Oxford University Press.</w:t>
      </w:r>
    </w:p>
    <w:p w14:paraId="0675AE7D" w14:textId="77777777" w:rsidR="003454AC" w:rsidRPr="003454AC" w:rsidRDefault="003454AC" w:rsidP="003454AC">
      <w:pPr>
        <w:pStyle w:val="Bibliography"/>
        <w:rPr>
          <w:rFonts w:ascii="Aptos" w:hAnsi="Aptos"/>
        </w:rPr>
      </w:pPr>
      <w:r w:rsidRPr="003454AC">
        <w:rPr>
          <w:rFonts w:ascii="Aptos" w:hAnsi="Aptos"/>
          <w:i/>
          <w:iCs/>
        </w:rPr>
        <w:t>From Scotland to Canada, a totem pole finally returns home - BBC News</w:t>
      </w:r>
      <w:r w:rsidRPr="003454AC">
        <w:rPr>
          <w:rFonts w:ascii="Aptos" w:hAnsi="Aptos"/>
        </w:rPr>
        <w:t xml:space="preserve"> (no date). Available at: https://www.bbc.co.uk/news/world-us-canada-66932129 (Accessed: 1 March 2026).</w:t>
      </w:r>
    </w:p>
    <w:p w14:paraId="6BB3A722" w14:textId="77777777" w:rsidR="003454AC" w:rsidRPr="003454AC" w:rsidRDefault="003454AC" w:rsidP="003454AC">
      <w:pPr>
        <w:pStyle w:val="Bibliography"/>
        <w:rPr>
          <w:rFonts w:ascii="Aptos" w:hAnsi="Aptos"/>
        </w:rPr>
      </w:pPr>
      <w:r w:rsidRPr="003454AC">
        <w:rPr>
          <w:rFonts w:ascii="Aptos" w:hAnsi="Aptos"/>
        </w:rPr>
        <w:t xml:space="preserve">Gregory, A. (2022) ‘Policing Jim Crow America: Enforcers’ Agency and Structural Transformations’, </w:t>
      </w:r>
      <w:r w:rsidRPr="003454AC">
        <w:rPr>
          <w:rFonts w:ascii="Aptos" w:hAnsi="Aptos"/>
          <w:i/>
          <w:iCs/>
        </w:rPr>
        <w:t>Law and History Review</w:t>
      </w:r>
      <w:r w:rsidRPr="003454AC">
        <w:rPr>
          <w:rFonts w:ascii="Aptos" w:hAnsi="Aptos"/>
        </w:rPr>
        <w:t>, 40(1), pp. 91–122. Available at: https://doi.org/10.1017/S0738248021000456.</w:t>
      </w:r>
    </w:p>
    <w:p w14:paraId="661FA641" w14:textId="77777777" w:rsidR="003454AC" w:rsidRPr="003454AC" w:rsidRDefault="003454AC" w:rsidP="003454AC">
      <w:pPr>
        <w:pStyle w:val="Bibliography"/>
        <w:rPr>
          <w:rFonts w:ascii="Aptos" w:hAnsi="Aptos"/>
        </w:rPr>
      </w:pPr>
      <w:proofErr w:type="spellStart"/>
      <w:r w:rsidRPr="003454AC">
        <w:rPr>
          <w:rFonts w:ascii="Aptos" w:hAnsi="Aptos"/>
        </w:rPr>
        <w:t>Grichting</w:t>
      </w:r>
      <w:proofErr w:type="spellEnd"/>
      <w:r w:rsidRPr="003454AC">
        <w:rPr>
          <w:rFonts w:ascii="Aptos" w:hAnsi="Aptos"/>
        </w:rPr>
        <w:t xml:space="preserve">, A. (2014) ‘Cyprus: Greening in the Dead Zone’, in K.G. Tidball and M.E. Krasny (eds) </w:t>
      </w:r>
      <w:r w:rsidRPr="003454AC">
        <w:rPr>
          <w:rFonts w:ascii="Aptos" w:hAnsi="Aptos"/>
          <w:i/>
          <w:iCs/>
        </w:rPr>
        <w:t>Greening in the Red Zone: Disaster, Resilience and Community Greening</w:t>
      </w:r>
      <w:r w:rsidRPr="003454AC">
        <w:rPr>
          <w:rFonts w:ascii="Aptos" w:hAnsi="Aptos"/>
        </w:rPr>
        <w:t>. Dordrecht: Springer Netherlands, pp. 429–443. Available at: https://doi.org/10.1007/978-90-481-9947-1_33.</w:t>
      </w:r>
    </w:p>
    <w:p w14:paraId="673A02D2" w14:textId="77777777" w:rsidR="003454AC" w:rsidRPr="003454AC" w:rsidRDefault="003454AC" w:rsidP="003454AC">
      <w:pPr>
        <w:pStyle w:val="Bibliography"/>
        <w:rPr>
          <w:rFonts w:ascii="Aptos" w:hAnsi="Aptos"/>
        </w:rPr>
      </w:pPr>
      <w:r w:rsidRPr="003454AC">
        <w:rPr>
          <w:rFonts w:ascii="Aptos" w:hAnsi="Aptos"/>
        </w:rPr>
        <w:t xml:space="preserve">Kahana, B., Kahana, E. and Wolf, J.K. (2018) ‘Grappling with Forgiveness: Perspectives of Jewish, LGBT and Roma Holocaust Survivors’, in S. DiVietro and J. Kiper (eds) </w:t>
      </w:r>
      <w:r w:rsidRPr="003454AC">
        <w:rPr>
          <w:rFonts w:ascii="Aptos" w:hAnsi="Aptos"/>
          <w:i/>
          <w:iCs/>
        </w:rPr>
        <w:t>Perspectives on Forgiveness</w:t>
      </w:r>
      <w:r w:rsidRPr="003454AC">
        <w:rPr>
          <w:rFonts w:ascii="Aptos" w:hAnsi="Aptos"/>
        </w:rPr>
        <w:t>. BRILL, pp. 181–200. Available at: https://doi.org/10.1163/9789004360143_011.</w:t>
      </w:r>
    </w:p>
    <w:p w14:paraId="378B321E" w14:textId="77777777" w:rsidR="003454AC" w:rsidRPr="003454AC" w:rsidRDefault="003454AC" w:rsidP="003454AC">
      <w:pPr>
        <w:pStyle w:val="Bibliography"/>
        <w:rPr>
          <w:rFonts w:ascii="Aptos" w:hAnsi="Aptos"/>
        </w:rPr>
      </w:pPr>
      <w:r w:rsidRPr="003454AC">
        <w:rPr>
          <w:rFonts w:ascii="Aptos" w:hAnsi="Aptos"/>
        </w:rPr>
        <w:t xml:space="preserve">Krondorfer, B. (2008) ‘IS FORGETTING REPREHENSIBLE? Holocaust Remembrance and the Task of Oblivion’, </w:t>
      </w:r>
      <w:r w:rsidRPr="003454AC">
        <w:rPr>
          <w:rFonts w:ascii="Aptos" w:hAnsi="Aptos"/>
          <w:i/>
          <w:iCs/>
        </w:rPr>
        <w:t>Journal of Religious Ethics</w:t>
      </w:r>
      <w:r w:rsidRPr="003454AC">
        <w:rPr>
          <w:rFonts w:ascii="Aptos" w:hAnsi="Aptos"/>
        </w:rPr>
        <w:t>, 36(2), pp. 233–267. Available at: https://doi.org/10.1111/j.1467-9795.2008.00345.x.</w:t>
      </w:r>
    </w:p>
    <w:p w14:paraId="720E7E17" w14:textId="77777777" w:rsidR="003454AC" w:rsidRPr="003454AC" w:rsidRDefault="003454AC" w:rsidP="003454AC">
      <w:pPr>
        <w:pStyle w:val="Bibliography"/>
        <w:rPr>
          <w:rFonts w:ascii="Aptos" w:hAnsi="Aptos"/>
        </w:rPr>
      </w:pPr>
      <w:r w:rsidRPr="003454AC">
        <w:rPr>
          <w:rFonts w:ascii="Aptos" w:hAnsi="Aptos"/>
        </w:rPr>
        <w:t xml:space="preserve">Logan, W. (2015) ‘Remembering wars in Vietnam: commemoration, memorialisation and heritage management’, </w:t>
      </w:r>
      <w:r w:rsidRPr="003454AC">
        <w:rPr>
          <w:rFonts w:ascii="Aptos" w:hAnsi="Aptos"/>
          <w:i/>
          <w:iCs/>
        </w:rPr>
        <w:t>Battlefield Events</w:t>
      </w:r>
      <w:r w:rsidRPr="003454AC">
        <w:rPr>
          <w:rFonts w:ascii="Aptos" w:hAnsi="Aptos"/>
        </w:rPr>
        <w:t>. Routledge.</w:t>
      </w:r>
    </w:p>
    <w:p w14:paraId="3108265A" w14:textId="77777777" w:rsidR="003454AC" w:rsidRPr="003454AC" w:rsidRDefault="003454AC" w:rsidP="003454AC">
      <w:pPr>
        <w:pStyle w:val="Bibliography"/>
        <w:rPr>
          <w:rFonts w:ascii="Aptos" w:hAnsi="Aptos"/>
        </w:rPr>
      </w:pPr>
      <w:proofErr w:type="spellStart"/>
      <w:r w:rsidRPr="003454AC">
        <w:rPr>
          <w:rFonts w:ascii="Aptos" w:hAnsi="Aptos"/>
        </w:rPr>
        <w:t>Munayer</w:t>
      </w:r>
      <w:proofErr w:type="spellEnd"/>
      <w:r w:rsidRPr="003454AC">
        <w:rPr>
          <w:rFonts w:ascii="Aptos" w:hAnsi="Aptos"/>
        </w:rPr>
        <w:t xml:space="preserve">, S.J. and Loden, L. (2011) </w:t>
      </w:r>
      <w:r w:rsidRPr="003454AC">
        <w:rPr>
          <w:rFonts w:ascii="Aptos" w:hAnsi="Aptos"/>
          <w:i/>
          <w:iCs/>
        </w:rPr>
        <w:t xml:space="preserve">The Land Cries Out: Theology of the Land in the </w:t>
      </w:r>
      <w:proofErr w:type="gramStart"/>
      <w:r w:rsidRPr="003454AC">
        <w:rPr>
          <w:rFonts w:ascii="Aptos" w:hAnsi="Aptos"/>
          <w:i/>
          <w:iCs/>
        </w:rPr>
        <w:t>Israeli-Palestinian</w:t>
      </w:r>
      <w:proofErr w:type="gramEnd"/>
      <w:r w:rsidRPr="003454AC">
        <w:rPr>
          <w:rFonts w:ascii="Aptos" w:hAnsi="Aptos"/>
          <w:i/>
          <w:iCs/>
        </w:rPr>
        <w:t xml:space="preserve"> Context</w:t>
      </w:r>
      <w:r w:rsidRPr="003454AC">
        <w:rPr>
          <w:rFonts w:ascii="Aptos" w:hAnsi="Aptos"/>
        </w:rPr>
        <w:t>. Wipf and Stock Publishers.</w:t>
      </w:r>
    </w:p>
    <w:p w14:paraId="20B4170D" w14:textId="77777777" w:rsidR="003454AC" w:rsidRPr="003454AC" w:rsidRDefault="003454AC" w:rsidP="003454AC">
      <w:pPr>
        <w:pStyle w:val="Bibliography"/>
        <w:rPr>
          <w:rFonts w:ascii="Aptos" w:hAnsi="Aptos"/>
        </w:rPr>
      </w:pPr>
      <w:r w:rsidRPr="003454AC">
        <w:rPr>
          <w:rFonts w:ascii="Aptos" w:hAnsi="Aptos"/>
        </w:rPr>
        <w:t xml:space="preserve">NBC news (2025) </w:t>
      </w:r>
      <w:r w:rsidRPr="003454AC">
        <w:rPr>
          <w:rFonts w:ascii="Aptos" w:hAnsi="Aptos"/>
          <w:i/>
          <w:iCs/>
        </w:rPr>
        <w:t xml:space="preserve">U.S. removal of panels </w:t>
      </w:r>
      <w:proofErr w:type="spellStart"/>
      <w:r w:rsidRPr="003454AC">
        <w:rPr>
          <w:rFonts w:ascii="Aptos" w:hAnsi="Aptos"/>
          <w:i/>
          <w:iCs/>
        </w:rPr>
        <w:t>honoring</w:t>
      </w:r>
      <w:proofErr w:type="spellEnd"/>
      <w:r w:rsidRPr="003454AC">
        <w:rPr>
          <w:rFonts w:ascii="Aptos" w:hAnsi="Aptos"/>
          <w:i/>
          <w:iCs/>
        </w:rPr>
        <w:t xml:space="preserve"> Black soldiers at WWII cemetery in the Netherlands draws backlash</w:t>
      </w:r>
      <w:r w:rsidRPr="003454AC">
        <w:rPr>
          <w:rFonts w:ascii="Aptos" w:hAnsi="Aptos"/>
        </w:rPr>
        <w:t xml:space="preserve">, </w:t>
      </w:r>
      <w:r w:rsidRPr="003454AC">
        <w:rPr>
          <w:rFonts w:ascii="Aptos" w:hAnsi="Aptos"/>
          <w:i/>
          <w:iCs/>
        </w:rPr>
        <w:t>NBC News</w:t>
      </w:r>
      <w:r w:rsidRPr="003454AC">
        <w:rPr>
          <w:rFonts w:ascii="Aptos" w:hAnsi="Aptos"/>
        </w:rPr>
        <w:t>. Available at: https://www.nbcnews.com/world/europe/us-removal-panels-honoring-black-soldiers-wwii-cemetery-netherlands-rcna251475 (Accessed: 1 March 2026).</w:t>
      </w:r>
    </w:p>
    <w:p w14:paraId="37E504B9" w14:textId="77777777" w:rsidR="003454AC" w:rsidRPr="003454AC" w:rsidRDefault="003454AC" w:rsidP="003454AC">
      <w:pPr>
        <w:pStyle w:val="Bibliography"/>
        <w:rPr>
          <w:rFonts w:ascii="Aptos" w:hAnsi="Aptos"/>
        </w:rPr>
      </w:pPr>
      <w:r w:rsidRPr="003454AC">
        <w:rPr>
          <w:rFonts w:ascii="Aptos" w:hAnsi="Aptos"/>
        </w:rPr>
        <w:t xml:space="preserve">Papadakis, Y. (2003) ‘Nation, narrative and commemoration: political ritual in divided Cyprus’, </w:t>
      </w:r>
      <w:r w:rsidRPr="003454AC">
        <w:rPr>
          <w:rFonts w:ascii="Aptos" w:hAnsi="Aptos"/>
          <w:i/>
          <w:iCs/>
        </w:rPr>
        <w:t>History and Anthropology</w:t>
      </w:r>
      <w:r w:rsidRPr="003454AC">
        <w:rPr>
          <w:rFonts w:ascii="Aptos" w:hAnsi="Aptos"/>
        </w:rPr>
        <w:t>, 14(3), pp. 253–270. Available at: https://doi.org/10.1080/0275720032000136642.</w:t>
      </w:r>
    </w:p>
    <w:p w14:paraId="67F2ED1E" w14:textId="77777777" w:rsidR="003454AC" w:rsidRPr="003454AC" w:rsidRDefault="003454AC" w:rsidP="003454AC">
      <w:pPr>
        <w:pStyle w:val="Bibliography"/>
        <w:rPr>
          <w:rFonts w:ascii="Aptos" w:hAnsi="Aptos"/>
        </w:rPr>
      </w:pPr>
      <w:r w:rsidRPr="003454AC">
        <w:rPr>
          <w:rFonts w:ascii="Aptos" w:hAnsi="Aptos"/>
        </w:rPr>
        <w:t xml:space="preserve">Rashid, A. and Sušić, S. (2024) ‘From Cold War Containment to a Liberal Order: Analysing US Foreign Policy Shifts through Domino Theory and Liberal Hegemony’, </w:t>
      </w:r>
      <w:r w:rsidRPr="003454AC">
        <w:rPr>
          <w:rFonts w:ascii="Aptos" w:hAnsi="Aptos"/>
          <w:i/>
          <w:iCs/>
        </w:rPr>
        <w:t>Pakistan Journal of American Studies</w:t>
      </w:r>
      <w:r w:rsidRPr="003454AC">
        <w:rPr>
          <w:rFonts w:ascii="Aptos" w:hAnsi="Aptos"/>
        </w:rPr>
        <w:t>, 42(1), pp. 83–110.</w:t>
      </w:r>
    </w:p>
    <w:p w14:paraId="6D7F95C7" w14:textId="77777777" w:rsidR="003454AC" w:rsidRPr="003454AC" w:rsidRDefault="003454AC" w:rsidP="003454AC">
      <w:pPr>
        <w:pStyle w:val="Bibliography"/>
        <w:rPr>
          <w:rFonts w:ascii="Aptos" w:hAnsi="Aptos"/>
        </w:rPr>
      </w:pPr>
      <w:r w:rsidRPr="003454AC">
        <w:rPr>
          <w:rFonts w:ascii="Aptos" w:hAnsi="Aptos"/>
        </w:rPr>
        <w:t xml:space="preserve">Renshaw, P. (1968) ‘The IWW and the Red Scare 1917-24’, </w:t>
      </w:r>
      <w:r w:rsidRPr="003454AC">
        <w:rPr>
          <w:rFonts w:ascii="Aptos" w:hAnsi="Aptos"/>
          <w:i/>
          <w:iCs/>
        </w:rPr>
        <w:t>Journal of Contemporary History</w:t>
      </w:r>
      <w:r w:rsidRPr="003454AC">
        <w:rPr>
          <w:rFonts w:ascii="Aptos" w:hAnsi="Aptos"/>
        </w:rPr>
        <w:t>, 3(4), pp. 63–72. Available at: https://doi.org/10.1177/002200946800300405.</w:t>
      </w:r>
    </w:p>
    <w:p w14:paraId="52A1D320" w14:textId="77777777" w:rsidR="003454AC" w:rsidRPr="003454AC" w:rsidRDefault="003454AC" w:rsidP="003454AC">
      <w:pPr>
        <w:pStyle w:val="Bibliography"/>
        <w:rPr>
          <w:rFonts w:ascii="Aptos" w:hAnsi="Aptos"/>
        </w:rPr>
      </w:pPr>
      <w:r w:rsidRPr="003454AC">
        <w:rPr>
          <w:rFonts w:ascii="Aptos" w:hAnsi="Aptos"/>
        </w:rPr>
        <w:t xml:space="preserve">Scham, S.A. and Yahya, A. (2003) ‘Heritage and Reconciliation’, </w:t>
      </w:r>
      <w:r w:rsidRPr="003454AC">
        <w:rPr>
          <w:rFonts w:ascii="Aptos" w:hAnsi="Aptos"/>
          <w:i/>
          <w:iCs/>
        </w:rPr>
        <w:t>Journal of Social Archaeology</w:t>
      </w:r>
      <w:r w:rsidRPr="003454AC">
        <w:rPr>
          <w:rFonts w:ascii="Aptos" w:hAnsi="Aptos"/>
        </w:rPr>
        <w:t>, 3(3), pp. 399–416. Available at: https://doi.org/10.1177/14696053030033006.</w:t>
      </w:r>
    </w:p>
    <w:p w14:paraId="252D58C1" w14:textId="77777777" w:rsidR="003454AC" w:rsidRPr="003454AC" w:rsidRDefault="003454AC" w:rsidP="003454AC">
      <w:pPr>
        <w:pStyle w:val="Bibliography"/>
        <w:rPr>
          <w:rFonts w:ascii="Aptos" w:hAnsi="Aptos"/>
        </w:rPr>
      </w:pPr>
      <w:r w:rsidRPr="003454AC">
        <w:rPr>
          <w:rFonts w:ascii="Aptos" w:hAnsi="Aptos"/>
        </w:rPr>
        <w:lastRenderedPageBreak/>
        <w:t xml:space="preserve">SUBRAHMANYAM, K. (2009) </w:t>
      </w:r>
      <w:r w:rsidRPr="003454AC">
        <w:rPr>
          <w:rFonts w:ascii="Aptos" w:hAnsi="Aptos"/>
          <w:i/>
          <w:iCs/>
        </w:rPr>
        <w:t>A historical overview of the Cold War | 9 | Superpower Rivalry and Con</w:t>
      </w:r>
      <w:r w:rsidRPr="003454AC">
        <w:rPr>
          <w:rFonts w:ascii="Aptos" w:hAnsi="Aptos"/>
        </w:rPr>
        <w:t>. Available at: https://www.taylorfrancis.com/chapters/edit/10.4324/9780203865330-9/historical-overview-cold-war-subrahmanyam (Accessed: 13 March 2025).</w:t>
      </w:r>
    </w:p>
    <w:p w14:paraId="57B2ADB1" w14:textId="77777777" w:rsidR="003454AC" w:rsidRPr="003454AC" w:rsidRDefault="003454AC" w:rsidP="003454AC">
      <w:pPr>
        <w:pStyle w:val="Bibliography"/>
        <w:rPr>
          <w:rFonts w:ascii="Aptos" w:hAnsi="Aptos"/>
        </w:rPr>
      </w:pPr>
      <w:r w:rsidRPr="003454AC">
        <w:rPr>
          <w:rFonts w:ascii="Aptos" w:hAnsi="Aptos"/>
        </w:rPr>
        <w:t xml:space="preserve">Thomas, M. (1996) </w:t>
      </w:r>
      <w:r w:rsidRPr="003454AC">
        <w:rPr>
          <w:rFonts w:ascii="Aptos" w:hAnsi="Aptos"/>
          <w:i/>
          <w:iCs/>
        </w:rPr>
        <w:t xml:space="preserve">Understanding Evil: American Slavery, the Holocaust, and the Conquest of the American Indians Vessels of Evil: American Slavery and the Holocaust. Laurence </w:t>
      </w:r>
      <w:proofErr w:type="spellStart"/>
      <w:r w:rsidRPr="003454AC">
        <w:rPr>
          <w:rFonts w:ascii="Aptos" w:hAnsi="Aptos"/>
          <w:i/>
          <w:iCs/>
        </w:rPr>
        <w:t>Mordekhai</w:t>
      </w:r>
      <w:proofErr w:type="spellEnd"/>
      <w:r w:rsidRPr="003454AC">
        <w:rPr>
          <w:rFonts w:ascii="Aptos" w:hAnsi="Aptos"/>
          <w:i/>
          <w:iCs/>
        </w:rPr>
        <w:t xml:space="preserve"> Thomas | Ethics: Vol 106, No 2</w:t>
      </w:r>
      <w:r w:rsidRPr="003454AC">
        <w:rPr>
          <w:rFonts w:ascii="Aptos" w:hAnsi="Aptos"/>
        </w:rPr>
        <w:t>. Available at: https://www.journals.uchicago.edu/doi/abs/10.1086/233624?journalCode=et (Accessed: 1 March 2026).</w:t>
      </w:r>
    </w:p>
    <w:p w14:paraId="7CBE475F" w14:textId="77777777" w:rsidR="003454AC" w:rsidRPr="003454AC" w:rsidRDefault="003454AC" w:rsidP="003454AC">
      <w:pPr>
        <w:pStyle w:val="Bibliography"/>
        <w:rPr>
          <w:rFonts w:ascii="Aptos" w:hAnsi="Aptos"/>
        </w:rPr>
      </w:pPr>
      <w:r w:rsidRPr="003454AC">
        <w:rPr>
          <w:rFonts w:ascii="Aptos" w:hAnsi="Aptos"/>
        </w:rPr>
        <w:t xml:space="preserve">Thornton, R. (2002) ‘Repatriation as healing the wounds of the trauma of history: cases of Native Americans in the United States of America’, </w:t>
      </w:r>
      <w:r w:rsidRPr="003454AC">
        <w:rPr>
          <w:rFonts w:ascii="Aptos" w:hAnsi="Aptos"/>
          <w:i/>
          <w:iCs/>
        </w:rPr>
        <w:t>The Dead and their Possessions</w:t>
      </w:r>
      <w:r w:rsidRPr="003454AC">
        <w:rPr>
          <w:rFonts w:ascii="Aptos" w:hAnsi="Aptos"/>
        </w:rPr>
        <w:t>. Routledge.</w:t>
      </w:r>
    </w:p>
    <w:p w14:paraId="2AC5132E" w14:textId="77777777" w:rsidR="003454AC" w:rsidRPr="003454AC" w:rsidRDefault="003454AC" w:rsidP="003454AC">
      <w:pPr>
        <w:pStyle w:val="Bibliography"/>
        <w:rPr>
          <w:rFonts w:ascii="Aptos" w:hAnsi="Aptos"/>
        </w:rPr>
      </w:pPr>
      <w:r w:rsidRPr="003454AC">
        <w:rPr>
          <w:rFonts w:ascii="Aptos" w:hAnsi="Aptos"/>
        </w:rPr>
        <w:t xml:space="preserve">Wilcox, F.A. (2011) </w:t>
      </w:r>
      <w:r w:rsidRPr="003454AC">
        <w:rPr>
          <w:rFonts w:ascii="Aptos" w:hAnsi="Aptos"/>
          <w:i/>
          <w:iCs/>
        </w:rPr>
        <w:t>Scorched Earth: Legacies of Chemical Warfare in Vietnam</w:t>
      </w:r>
      <w:r w:rsidRPr="003454AC">
        <w:rPr>
          <w:rFonts w:ascii="Aptos" w:hAnsi="Aptos"/>
        </w:rPr>
        <w:t>. Seven Stories Press.</w:t>
      </w:r>
    </w:p>
    <w:p w14:paraId="1EF003B9" w14:textId="027E4934" w:rsidR="00437310" w:rsidRPr="007425A5" w:rsidRDefault="00437310" w:rsidP="007425A5">
      <w:pPr>
        <w:ind w:left="720"/>
        <w:rPr>
          <w:rFonts w:ascii="Aptos" w:hAnsi="Aptos" w:cs="Times New Roman"/>
          <w:kern w:val="0"/>
        </w:rPr>
      </w:pPr>
      <w:r>
        <w:rPr>
          <w:rFonts w:ascii="Aptos" w:hAnsi="Aptos" w:cs="Times New Roman"/>
          <w:kern w:val="0"/>
        </w:rPr>
        <w:fldChar w:fldCharType="end"/>
      </w:r>
    </w:p>
    <w:sectPr w:rsidR="00437310" w:rsidRPr="007425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F90615"/>
    <w:multiLevelType w:val="hybridMultilevel"/>
    <w:tmpl w:val="1AF8FB32"/>
    <w:lvl w:ilvl="0" w:tplc="0409000F">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num w:numId="1" w16cid:durableId="65792594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3D0"/>
    <w:rsid w:val="000B46C4"/>
    <w:rsid w:val="001533D5"/>
    <w:rsid w:val="00197821"/>
    <w:rsid w:val="002A73D2"/>
    <w:rsid w:val="003454AC"/>
    <w:rsid w:val="00437310"/>
    <w:rsid w:val="00474B55"/>
    <w:rsid w:val="00504DFA"/>
    <w:rsid w:val="00554B1B"/>
    <w:rsid w:val="00574A13"/>
    <w:rsid w:val="00640F3B"/>
    <w:rsid w:val="006860B0"/>
    <w:rsid w:val="006C5582"/>
    <w:rsid w:val="006E4326"/>
    <w:rsid w:val="007425A5"/>
    <w:rsid w:val="00754731"/>
    <w:rsid w:val="007C023F"/>
    <w:rsid w:val="008D43D1"/>
    <w:rsid w:val="008F7B4A"/>
    <w:rsid w:val="00985BF8"/>
    <w:rsid w:val="00A00EB8"/>
    <w:rsid w:val="00A3660C"/>
    <w:rsid w:val="00AA419D"/>
    <w:rsid w:val="00B124DA"/>
    <w:rsid w:val="00B30BA6"/>
    <w:rsid w:val="00BB7AD3"/>
    <w:rsid w:val="00BC2980"/>
    <w:rsid w:val="00BD13D0"/>
    <w:rsid w:val="00C23420"/>
    <w:rsid w:val="00D1644D"/>
    <w:rsid w:val="00D61791"/>
    <w:rsid w:val="00DA25FD"/>
    <w:rsid w:val="00E672F9"/>
    <w:rsid w:val="00E96B2F"/>
    <w:rsid w:val="00E97A84"/>
    <w:rsid w:val="00EA03F1"/>
    <w:rsid w:val="00EE7333"/>
    <w:rsid w:val="00EF3DE5"/>
    <w:rsid w:val="00F71C5D"/>
    <w:rsid w:val="00F954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BF99AF"/>
  <w15:chartTrackingRefBased/>
  <w15:docId w15:val="{85AD20C9-4B18-4C46-B23B-85559CA974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13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D13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D13D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D13D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D13D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D13D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13D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13D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13D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13D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D13D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D13D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D13D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D13D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D13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13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13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13D0"/>
    <w:rPr>
      <w:rFonts w:eastAsiaTheme="majorEastAsia" w:cstheme="majorBidi"/>
      <w:color w:val="272727" w:themeColor="text1" w:themeTint="D8"/>
    </w:rPr>
  </w:style>
  <w:style w:type="paragraph" w:styleId="Title">
    <w:name w:val="Title"/>
    <w:basedOn w:val="Normal"/>
    <w:next w:val="Normal"/>
    <w:link w:val="TitleChar"/>
    <w:uiPriority w:val="10"/>
    <w:qFormat/>
    <w:rsid w:val="00BD13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13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13D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13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13D0"/>
    <w:pPr>
      <w:spacing w:before="160"/>
      <w:jc w:val="center"/>
    </w:pPr>
    <w:rPr>
      <w:i/>
      <w:iCs/>
      <w:color w:val="404040" w:themeColor="text1" w:themeTint="BF"/>
    </w:rPr>
  </w:style>
  <w:style w:type="character" w:customStyle="1" w:styleId="QuoteChar">
    <w:name w:val="Quote Char"/>
    <w:basedOn w:val="DefaultParagraphFont"/>
    <w:link w:val="Quote"/>
    <w:uiPriority w:val="29"/>
    <w:rsid w:val="00BD13D0"/>
    <w:rPr>
      <w:i/>
      <w:iCs/>
      <w:color w:val="404040" w:themeColor="text1" w:themeTint="BF"/>
    </w:rPr>
  </w:style>
  <w:style w:type="paragraph" w:styleId="ListParagraph">
    <w:name w:val="List Paragraph"/>
    <w:basedOn w:val="Normal"/>
    <w:uiPriority w:val="34"/>
    <w:qFormat/>
    <w:rsid w:val="00BD13D0"/>
    <w:pPr>
      <w:ind w:left="720"/>
      <w:contextualSpacing/>
    </w:pPr>
  </w:style>
  <w:style w:type="character" w:styleId="IntenseEmphasis">
    <w:name w:val="Intense Emphasis"/>
    <w:basedOn w:val="DefaultParagraphFont"/>
    <w:uiPriority w:val="21"/>
    <w:qFormat/>
    <w:rsid w:val="00BD13D0"/>
    <w:rPr>
      <w:i/>
      <w:iCs/>
      <w:color w:val="0F4761" w:themeColor="accent1" w:themeShade="BF"/>
    </w:rPr>
  </w:style>
  <w:style w:type="paragraph" w:styleId="IntenseQuote">
    <w:name w:val="Intense Quote"/>
    <w:basedOn w:val="Normal"/>
    <w:next w:val="Normal"/>
    <w:link w:val="IntenseQuoteChar"/>
    <w:uiPriority w:val="30"/>
    <w:qFormat/>
    <w:rsid w:val="00BD13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D13D0"/>
    <w:rPr>
      <w:i/>
      <w:iCs/>
      <w:color w:val="0F4761" w:themeColor="accent1" w:themeShade="BF"/>
    </w:rPr>
  </w:style>
  <w:style w:type="character" w:styleId="IntenseReference">
    <w:name w:val="Intense Reference"/>
    <w:basedOn w:val="DefaultParagraphFont"/>
    <w:uiPriority w:val="32"/>
    <w:qFormat/>
    <w:rsid w:val="00BD13D0"/>
    <w:rPr>
      <w:b/>
      <w:bCs/>
      <w:smallCaps/>
      <w:color w:val="0F4761" w:themeColor="accent1" w:themeShade="BF"/>
      <w:spacing w:val="5"/>
    </w:rPr>
  </w:style>
  <w:style w:type="paragraph" w:styleId="Bibliography">
    <w:name w:val="Bibliography"/>
    <w:basedOn w:val="Normal"/>
    <w:next w:val="Normal"/>
    <w:uiPriority w:val="37"/>
    <w:unhideWhenUsed/>
    <w:rsid w:val="00437310"/>
    <w:pPr>
      <w:spacing w:after="24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9313636">
      <w:bodyDiv w:val="1"/>
      <w:marLeft w:val="0"/>
      <w:marRight w:val="0"/>
      <w:marTop w:val="0"/>
      <w:marBottom w:val="0"/>
      <w:divBdr>
        <w:top w:val="none" w:sz="0" w:space="0" w:color="auto"/>
        <w:left w:val="none" w:sz="0" w:space="0" w:color="auto"/>
        <w:bottom w:val="none" w:sz="0" w:space="0" w:color="auto"/>
        <w:right w:val="none" w:sz="0" w:space="0" w:color="auto"/>
      </w:divBdr>
    </w:div>
    <w:div w:id="887841305">
      <w:bodyDiv w:val="1"/>
      <w:marLeft w:val="0"/>
      <w:marRight w:val="0"/>
      <w:marTop w:val="0"/>
      <w:marBottom w:val="0"/>
      <w:divBdr>
        <w:top w:val="none" w:sz="0" w:space="0" w:color="auto"/>
        <w:left w:val="none" w:sz="0" w:space="0" w:color="auto"/>
        <w:bottom w:val="none" w:sz="0" w:space="0" w:color="auto"/>
        <w:right w:val="none" w:sz="0" w:space="0" w:color="auto"/>
      </w:divBdr>
    </w:div>
    <w:div w:id="1523937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PBS17</b:Tag>
    <b:SourceType>Misc</b:SourceType>
    <b:Guid>{74C011A2-273E-4854-B3BD-DBD4E35A7BB7}</b:Guid>
    <b:Title>Cyprus Is Looking For Closure In Archaeology</b:Title>
    <b:Year>2017</b:Year>
    <b:PublicationTitle>Cyprus Is Looking For Closure In Archaeology</b:PublicationTitle>
    <b:Publisher>j</b:Publisher>
    <b:Author>
      <b:Author>
        <b:Corporate>PBS News</b:Corporate>
      </b:Author>
    </b:Author>
    <b:RefOrder>1</b:RefOrder>
  </b:Source>
</b:Sources>
</file>

<file path=customXml/itemProps1.xml><?xml version="1.0" encoding="utf-8"?>
<ds:datastoreItem xmlns:ds="http://schemas.openxmlformats.org/officeDocument/2006/customXml" ds:itemID="{AC58ACA0-4311-4C3E-9D89-329E3E35CD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13449</Words>
  <Characters>69534</Characters>
  <Application>Microsoft Office Word</Application>
  <DocSecurity>0</DocSecurity>
  <Lines>1053</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Caleb Rees (2305437)</dc:creator>
  <cp:keywords/>
  <dc:description/>
  <cp:lastModifiedBy>Caleb Rees (2305437)</cp:lastModifiedBy>
  <cp:revision>2</cp:revision>
  <dcterms:created xsi:type="dcterms:W3CDTF">2026-03-01T22:17:00Z</dcterms:created>
  <dcterms:modified xsi:type="dcterms:W3CDTF">2026-03-01T22:17:00Z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zotero-version="6.0.36"&gt;&lt;session id="2H3fiHXc"/&gt;&lt;style id="http://www.zotero.org/styles/harvard-cite-them-right" locale="en-GB" hasBibliography="1" bibliographyStyleHasBeenSet="1"/&gt;&lt;prefs&gt;&lt;pref name="fieldType" value="Field"/&gt;&lt;/pref</vt:lpwstr>
  </property>
  <property fmtid="{D5CDD505-2E9C-101B-9397-08002B2CF9AE}" pid="3" name="ZOTERO_PREF_2">
    <vt:lpwstr>s&gt;&lt;/data&gt;</vt:lpwstr>
  </property>
</Properties>
</file>