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02296228"/>
        <w:docPartObj>
          <w:docPartGallery w:val="Cover Pages"/>
          <w:docPartUnique/>
        </w:docPartObj>
      </w:sdtPr>
      <w:sdtEndPr>
        <w:rPr>
          <w:rFonts w:ascii="Arial" w:hAnsi="Arial" w:cs="Arial"/>
          <w:b/>
          <w:bCs/>
          <w:sz w:val="32"/>
          <w:szCs w:val="32"/>
        </w:rPr>
      </w:sdtEndPr>
      <w:sdtContent>
        <w:p w14:paraId="39206C15" w14:textId="5906CDC5" w:rsidR="001B0B75" w:rsidRDefault="001B0B75">
          <w:r>
            <w:rPr>
              <w:noProof/>
            </w:rPr>
            <mc:AlternateContent>
              <mc:Choice Requires="wpg">
                <w:drawing>
                  <wp:anchor distT="0" distB="0" distL="114300" distR="114300" simplePos="0" relativeHeight="251662336" behindDoc="0" locked="0" layoutInCell="1" allowOverlap="1" wp14:anchorId="2BDF2584" wp14:editId="2AAF02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4CF04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F2A422" wp14:editId="758F598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EE97D7" w14:textId="4AE9371A" w:rsidR="001B0B75" w:rsidRDefault="00AF519B">
                                    <w:pPr>
                                      <w:pStyle w:val="NoSpacing"/>
                                      <w:jc w:val="right"/>
                                      <w:rPr>
                                        <w:color w:val="595959" w:themeColor="text1" w:themeTint="A6"/>
                                        <w:sz w:val="28"/>
                                        <w:szCs w:val="28"/>
                                      </w:rPr>
                                    </w:pPr>
                                    <w:r>
                                      <w:rPr>
                                        <w:color w:val="595959" w:themeColor="text1" w:themeTint="A6"/>
                                        <w:sz w:val="28"/>
                                        <w:szCs w:val="28"/>
                                      </w:rPr>
                                      <w:t>Word count: 504</w:t>
                                    </w:r>
                                  </w:p>
                                </w:sdtContent>
                              </w:sdt>
                              <w:p w14:paraId="5543FB41" w14:textId="723EAB35" w:rsidR="001B0B75" w:rsidRDefault="00000000" w:rsidP="00AF519B">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F519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F2A422"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EE97D7" w14:textId="4AE9371A" w:rsidR="001B0B75" w:rsidRDefault="00AF519B">
                              <w:pPr>
                                <w:pStyle w:val="NoSpacing"/>
                                <w:jc w:val="right"/>
                                <w:rPr>
                                  <w:color w:val="595959" w:themeColor="text1" w:themeTint="A6"/>
                                  <w:sz w:val="28"/>
                                  <w:szCs w:val="28"/>
                                </w:rPr>
                              </w:pPr>
                              <w:r>
                                <w:rPr>
                                  <w:color w:val="595959" w:themeColor="text1" w:themeTint="A6"/>
                                  <w:sz w:val="28"/>
                                  <w:szCs w:val="28"/>
                                </w:rPr>
                                <w:t>Word count: 504</w:t>
                              </w:r>
                            </w:p>
                          </w:sdtContent>
                        </w:sdt>
                        <w:p w14:paraId="5543FB41" w14:textId="723EAB35" w:rsidR="001B0B75" w:rsidRDefault="00000000" w:rsidP="00AF519B">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F519B">
                                <w:rPr>
                                  <w:color w:val="595959" w:themeColor="text1" w:themeTint="A6"/>
                                  <w:sz w:val="18"/>
                                  <w:szCs w:val="18"/>
                                </w:rPr>
                                <w:t xml:space="preserve">     </w:t>
                              </w:r>
                            </w:sdtContent>
                          </w:sdt>
                        </w:p>
                      </w:txbxContent>
                    </v:textbox>
                    <w10:wrap type="square" anchorx="page" anchory="page"/>
                  </v:shape>
                </w:pict>
              </mc:Fallback>
            </mc:AlternateConten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BD1A9D6" w14:textId="77777777" w:rsidR="00AF519B" w:rsidRDefault="00AF519B" w:rsidP="00AF519B">
              <w:pPr>
                <w:pStyle w:val="NoSpacing"/>
                <w:jc w:val="center"/>
                <w:rPr>
                  <w:rFonts w:eastAsiaTheme="minorHAnsi"/>
                  <w:color w:val="595959" w:themeColor="text1" w:themeTint="A6"/>
                  <w:kern w:val="2"/>
                  <w:sz w:val="20"/>
                  <w:szCs w:val="20"/>
                  <w:lang w:val="en-GB"/>
                  <w14:ligatures w14:val="standardContextual"/>
                </w:rPr>
              </w:pPr>
              <w:r>
                <w:rPr>
                  <w:color w:val="595959" w:themeColor="text1" w:themeTint="A6"/>
                  <w:sz w:val="20"/>
                  <w:szCs w:val="20"/>
                </w:rPr>
                <w:t xml:space="preserve">     </w:t>
              </w:r>
            </w:p>
          </w:sdtContent>
        </w:sdt>
        <w:p w14:paraId="5B0E148C" w14:textId="36B6D1B1" w:rsidR="001B0B75" w:rsidRDefault="00452939">
          <w:pPr>
            <w:rPr>
              <w:rFonts w:ascii="Arial" w:hAnsi="Arial" w:cs="Arial"/>
              <w:b/>
              <w:bCs/>
              <w:sz w:val="32"/>
              <w:szCs w:val="32"/>
            </w:rPr>
          </w:pPr>
          <w:r>
            <w:rPr>
              <w:noProof/>
            </w:rPr>
            <mc:AlternateContent>
              <mc:Choice Requires="wps">
                <w:drawing>
                  <wp:anchor distT="0" distB="0" distL="114300" distR="114300" simplePos="0" relativeHeight="251659264" behindDoc="0" locked="0" layoutInCell="1" allowOverlap="1" wp14:anchorId="7B8F2972" wp14:editId="17E0B229">
                    <wp:simplePos x="0" y="0"/>
                    <wp:positionH relativeFrom="page">
                      <wp:posOffset>220980</wp:posOffset>
                    </wp:positionH>
                    <wp:positionV relativeFrom="page">
                      <wp:posOffset>2179320</wp:posOffset>
                    </wp:positionV>
                    <wp:extent cx="7086600" cy="5173980"/>
                    <wp:effectExtent l="0" t="0" r="0" b="7620"/>
                    <wp:wrapSquare wrapText="bothSides"/>
                    <wp:docPr id="154" name="Text Box 163"/>
                    <wp:cNvGraphicFramePr/>
                    <a:graphic xmlns:a="http://schemas.openxmlformats.org/drawingml/2006/main">
                      <a:graphicData uri="http://schemas.microsoft.com/office/word/2010/wordprocessingShape">
                        <wps:wsp>
                          <wps:cNvSpPr txBox="1"/>
                          <wps:spPr>
                            <a:xfrm>
                              <a:off x="0" y="0"/>
                              <a:ext cx="7086600" cy="5173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07F42D" w14:textId="15F37C67" w:rsidR="001B0B75" w:rsidRDefault="00000000" w:rsidP="00452939">
                                <w:pPr>
                                  <w:pStyle w:val="Title"/>
                                  <w:rPr>
                                    <w:sz w:val="64"/>
                                    <w:szCs w:val="64"/>
                                  </w:rPr>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9102E" w:rsidRPr="00452939">
                                      <w:t>Problem solving and innovation</w:t>
                                    </w:r>
                                    <w:r w:rsidR="00452939" w:rsidRPr="00452939">
                                      <w:t xml:space="preserve"> (BMSW4014)</w:t>
                                    </w:r>
                                  </w:sdtContent>
                                </w:sdt>
                              </w:p>
                              <w:p w14:paraId="1389FAC9" w14:textId="77777777" w:rsidR="00854BF7" w:rsidRDefault="00000000" w:rsidP="00452939">
                                <w:pPr>
                                  <w:pStyle w:val="Heading1"/>
                                </w:pPr>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452939">
                                      <w:t>Assignment</w:t>
                                    </w:r>
                                    <w:r w:rsidR="0049102E">
                                      <w:t xml:space="preserve"> 1: SWOT Analysis </w:t>
                                    </w:r>
                                    <w:proofErr w:type="gramStart"/>
                                    <w:r w:rsidR="0049102E">
                                      <w:t>Of</w:t>
                                    </w:r>
                                    <w:proofErr w:type="gramEnd"/>
                                    <w:r w:rsidR="0049102E">
                                      <w:t xml:space="preserve"> Starbuck’s</w:t>
                                    </w:r>
                                  </w:sdtContent>
                                </w:sdt>
                                <w:r w:rsidR="004B2588">
                                  <w:t xml:space="preserve"> </w:t>
                                </w:r>
                                <w:r w:rsidR="009C3CD6">
                                  <w:t>in the UK</w:t>
                                </w:r>
                                <w:r w:rsidR="00854BF7">
                                  <w:t xml:space="preserve"> – Opportunities and Threats</w:t>
                                </w:r>
                              </w:p>
                              <w:p w14:paraId="762F2960" w14:textId="03C76568" w:rsidR="001B0B75" w:rsidRDefault="004B2588" w:rsidP="00452939">
                                <w:pPr>
                                  <w:pStyle w:val="Heading1"/>
                                </w:pPr>
                                <w:r>
                                  <w:t>Lecturer: Rhiannon Akers</w:t>
                                </w:r>
                              </w:p>
                              <w:p w14:paraId="678C23F9" w14:textId="4312DD95" w:rsidR="00094444" w:rsidRDefault="00094444" w:rsidP="00094444">
                                <w:pPr>
                                  <w:pStyle w:val="Heading2"/>
                                </w:pPr>
                                <w:r>
                                  <w:t>Name: Iustina Mirela Rusei</w:t>
                                </w:r>
                              </w:p>
                              <w:p w14:paraId="27BCEF7F" w14:textId="4E563496" w:rsidR="00094444" w:rsidRDefault="00094444" w:rsidP="00094444">
                                <w:pPr>
                                  <w:pStyle w:val="Heading2"/>
                                </w:pPr>
                                <w:r>
                                  <w:t>Student ID: 1905309</w:t>
                                </w:r>
                              </w:p>
                              <w:p w14:paraId="4B182AA7" w14:textId="479EF5F1" w:rsidR="0054252C" w:rsidRPr="0054252C" w:rsidRDefault="0054252C" w:rsidP="0054252C">
                                <w:pPr>
                                  <w:pStyle w:val="Heading2"/>
                                </w:pPr>
                                <w:r>
                                  <w:t>Submission</w:t>
                                </w:r>
                                <w:r w:rsidR="009C3CD6">
                                  <w:t xml:space="preserve"> Deadline: 8</w:t>
                                </w:r>
                                <w:r w:rsidR="00FE7389">
                                  <w:t>th</w:t>
                                </w:r>
                                <w:r w:rsidR="009C3CD6">
                                  <w:t xml:space="preserve"> of November 2024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8F2972" id="Text Box 163" o:spid="_x0000_s1027" type="#_x0000_t202" style="position:absolute;margin-left:17.4pt;margin-top:171.6pt;width:558pt;height:407.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" filled="f" stroked="f" strokeweight=".5pt">
                    <v:textbox inset="126pt,0,54pt,0">
                      <w:txbxContent>
                        <w:p w14:paraId="3207F42D" w14:textId="15F37C67" w:rsidR="001B0B75" w:rsidRDefault="00000000" w:rsidP="00452939">
                          <w:pPr>
                            <w:pStyle w:val="Title"/>
                            <w:rPr>
                              <w:sz w:val="64"/>
                              <w:szCs w:val="64"/>
                            </w:rPr>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9102E" w:rsidRPr="00452939">
                                <w:t>Problem solving and innovation</w:t>
                              </w:r>
                              <w:r w:rsidR="00452939" w:rsidRPr="00452939">
                                <w:t xml:space="preserve"> (BMSW4014)</w:t>
                              </w:r>
                            </w:sdtContent>
                          </w:sdt>
                        </w:p>
                        <w:p w14:paraId="1389FAC9" w14:textId="77777777" w:rsidR="00854BF7" w:rsidRDefault="00000000" w:rsidP="00452939">
                          <w:pPr>
                            <w:pStyle w:val="Heading1"/>
                          </w:pPr>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452939">
                                <w:t>Assignment</w:t>
                              </w:r>
                              <w:r w:rsidR="0049102E">
                                <w:t xml:space="preserve"> 1: SWOT Analysis </w:t>
                              </w:r>
                              <w:proofErr w:type="gramStart"/>
                              <w:r w:rsidR="0049102E">
                                <w:t>Of</w:t>
                              </w:r>
                              <w:proofErr w:type="gramEnd"/>
                              <w:r w:rsidR="0049102E">
                                <w:t xml:space="preserve"> Starbuck’s</w:t>
                              </w:r>
                            </w:sdtContent>
                          </w:sdt>
                          <w:r w:rsidR="004B2588">
                            <w:t xml:space="preserve"> </w:t>
                          </w:r>
                          <w:r w:rsidR="009C3CD6">
                            <w:t>in the UK</w:t>
                          </w:r>
                          <w:r w:rsidR="00854BF7">
                            <w:t xml:space="preserve"> – Opportunities and Threats</w:t>
                          </w:r>
                        </w:p>
                        <w:p w14:paraId="762F2960" w14:textId="03C76568" w:rsidR="001B0B75" w:rsidRDefault="004B2588" w:rsidP="00452939">
                          <w:pPr>
                            <w:pStyle w:val="Heading1"/>
                          </w:pPr>
                          <w:r>
                            <w:t>Lecturer: Rhiannon Akers</w:t>
                          </w:r>
                        </w:p>
                        <w:p w14:paraId="678C23F9" w14:textId="4312DD95" w:rsidR="00094444" w:rsidRDefault="00094444" w:rsidP="00094444">
                          <w:pPr>
                            <w:pStyle w:val="Heading2"/>
                          </w:pPr>
                          <w:r>
                            <w:t>Name: Iustina Mirela Rusei</w:t>
                          </w:r>
                        </w:p>
                        <w:p w14:paraId="27BCEF7F" w14:textId="4E563496" w:rsidR="00094444" w:rsidRDefault="00094444" w:rsidP="00094444">
                          <w:pPr>
                            <w:pStyle w:val="Heading2"/>
                          </w:pPr>
                          <w:r>
                            <w:t>Student ID: 1905309</w:t>
                          </w:r>
                        </w:p>
                        <w:p w14:paraId="4B182AA7" w14:textId="479EF5F1" w:rsidR="0054252C" w:rsidRPr="0054252C" w:rsidRDefault="0054252C" w:rsidP="0054252C">
                          <w:pPr>
                            <w:pStyle w:val="Heading2"/>
                          </w:pPr>
                          <w:r>
                            <w:t>Submission</w:t>
                          </w:r>
                          <w:r w:rsidR="009C3CD6">
                            <w:t xml:space="preserve"> Deadline: 8</w:t>
                          </w:r>
                          <w:r w:rsidR="00FE7389">
                            <w:t>th</w:t>
                          </w:r>
                          <w:r w:rsidR="009C3CD6">
                            <w:t xml:space="preserve"> of November 2024</w:t>
                          </w:r>
                        </w:p>
                      </w:txbxContent>
                    </v:textbox>
                    <w10:wrap type="square" anchorx="page" anchory="page"/>
                  </v:shape>
                </w:pict>
              </mc:Fallback>
            </mc:AlternateContent>
          </w:r>
          <w:r w:rsidR="001B0B75">
            <w:rPr>
              <w:rFonts w:ascii="Arial" w:hAnsi="Arial" w:cs="Arial"/>
              <w:b/>
              <w:bCs/>
              <w:sz w:val="32"/>
              <w:szCs w:val="32"/>
            </w:rPr>
            <w:br w:type="page"/>
          </w:r>
        </w:p>
      </w:sdtContent>
    </w:sdt>
    <w:p w14:paraId="32004685" w14:textId="377D4007" w:rsidR="00BB3546" w:rsidRPr="00FB4AD3" w:rsidRDefault="00BB3546" w:rsidP="00FB4AD3">
      <w:pPr>
        <w:pStyle w:val="Heading1"/>
        <w:rPr>
          <w:rFonts w:ascii="Arial" w:hAnsi="Arial" w:cs="Arial"/>
        </w:rPr>
      </w:pPr>
      <w:r w:rsidRPr="00FB4AD3">
        <w:rPr>
          <w:rFonts w:ascii="Arial" w:hAnsi="Arial" w:cs="Arial"/>
        </w:rPr>
        <w:lastRenderedPageBreak/>
        <w:t>SWOT Analysis</w:t>
      </w:r>
      <w:r w:rsidR="00FB4AD3" w:rsidRPr="00FB4AD3">
        <w:rPr>
          <w:rFonts w:ascii="Arial" w:hAnsi="Arial" w:cs="Arial"/>
        </w:rPr>
        <w:t xml:space="preserve"> </w:t>
      </w:r>
      <w:proofErr w:type="gramStart"/>
      <w:r w:rsidR="00FB4AD3" w:rsidRPr="00FB4AD3">
        <w:rPr>
          <w:rFonts w:ascii="Arial" w:hAnsi="Arial" w:cs="Arial"/>
        </w:rPr>
        <w:t>Of</w:t>
      </w:r>
      <w:proofErr w:type="gramEnd"/>
      <w:r w:rsidR="00FB4AD3" w:rsidRPr="00FB4AD3">
        <w:rPr>
          <w:rFonts w:ascii="Arial" w:hAnsi="Arial" w:cs="Arial"/>
        </w:rPr>
        <w:t xml:space="preserve"> Starbuck’s</w:t>
      </w:r>
    </w:p>
    <w:p w14:paraId="037F2EFC" w14:textId="77777777" w:rsidR="00BB3546" w:rsidRDefault="00BB3546" w:rsidP="000F43F1">
      <w:pPr>
        <w:spacing w:line="360" w:lineRule="auto"/>
        <w:jc w:val="both"/>
        <w:rPr>
          <w:rFonts w:ascii="Arial" w:hAnsi="Arial" w:cs="Arial"/>
          <w:sz w:val="24"/>
          <w:szCs w:val="24"/>
        </w:rPr>
      </w:pPr>
    </w:p>
    <w:p w14:paraId="26823723" w14:textId="6D81065D" w:rsidR="00E20074" w:rsidRPr="00E20074" w:rsidRDefault="00E20074" w:rsidP="000F43F1">
      <w:pPr>
        <w:spacing w:line="360" w:lineRule="auto"/>
        <w:jc w:val="both"/>
        <w:rPr>
          <w:rFonts w:ascii="Arial" w:hAnsi="Arial" w:cs="Arial"/>
          <w:b/>
          <w:bCs/>
          <w:sz w:val="32"/>
          <w:szCs w:val="32"/>
        </w:rPr>
      </w:pPr>
      <w:r w:rsidRPr="00E20074">
        <w:rPr>
          <w:rFonts w:ascii="Arial" w:hAnsi="Arial" w:cs="Arial"/>
          <w:b/>
          <w:bCs/>
          <w:sz w:val="32"/>
          <w:szCs w:val="32"/>
        </w:rPr>
        <w:t>Opportunities</w:t>
      </w:r>
      <w:r w:rsidR="001964AC">
        <w:rPr>
          <w:rFonts w:ascii="Arial" w:hAnsi="Arial" w:cs="Arial"/>
          <w:b/>
          <w:bCs/>
          <w:sz w:val="32"/>
          <w:szCs w:val="32"/>
        </w:rPr>
        <w:t>:</w:t>
      </w:r>
    </w:p>
    <w:p w14:paraId="6C8A12A7" w14:textId="77777777" w:rsidR="00E20074" w:rsidRPr="00E20074" w:rsidRDefault="00E20074" w:rsidP="000F43F1">
      <w:pPr>
        <w:spacing w:line="360" w:lineRule="auto"/>
        <w:jc w:val="both"/>
        <w:rPr>
          <w:rFonts w:ascii="Arial" w:hAnsi="Arial" w:cs="Arial"/>
          <w:sz w:val="24"/>
          <w:szCs w:val="24"/>
        </w:rPr>
      </w:pPr>
      <w:r w:rsidRPr="00E20074">
        <w:rPr>
          <w:rFonts w:ascii="Arial" w:hAnsi="Arial" w:cs="Arial"/>
          <w:sz w:val="24"/>
          <w:szCs w:val="24"/>
        </w:rPr>
        <w:t>Starbucks has significant growth potential in emerging markets where coffee consumption is increasing, especially in regions like India and Southeast Asia. With rising disposable incomes in these areas, Starbucks can expand its presence and attract a growing base of coffee enthusiasts. Additionally, Starbucks can address the increasing demand for sustainable and plant-based products by offering plant-based milks and eco-friendly packaging. Introducing vegan options and compostable materials will appeal to socially conscious consumers, reinforcing Starbucks’ commitment to sustainability (</w:t>
      </w:r>
      <w:proofErr w:type="spellStart"/>
      <w:r w:rsidRPr="00E20074">
        <w:rPr>
          <w:rFonts w:ascii="Arial" w:hAnsi="Arial" w:cs="Arial"/>
          <w:sz w:val="24"/>
          <w:szCs w:val="24"/>
        </w:rPr>
        <w:t>Benato</w:t>
      </w:r>
      <w:proofErr w:type="spellEnd"/>
      <w:r w:rsidRPr="00E20074">
        <w:rPr>
          <w:rFonts w:ascii="Arial" w:hAnsi="Arial" w:cs="Arial"/>
          <w:sz w:val="24"/>
          <w:szCs w:val="24"/>
        </w:rPr>
        <w:t xml:space="preserve">, 2023; Bulah, </w:t>
      </w:r>
      <w:proofErr w:type="spellStart"/>
      <w:r w:rsidRPr="00E20074">
        <w:rPr>
          <w:rFonts w:ascii="Arial" w:hAnsi="Arial" w:cs="Arial"/>
          <w:sz w:val="24"/>
          <w:szCs w:val="24"/>
        </w:rPr>
        <w:t>Tziva</w:t>
      </w:r>
      <w:proofErr w:type="spellEnd"/>
      <w:r w:rsidRPr="00E20074">
        <w:rPr>
          <w:rFonts w:ascii="Arial" w:hAnsi="Arial" w:cs="Arial"/>
          <w:sz w:val="24"/>
          <w:szCs w:val="24"/>
        </w:rPr>
        <w:t xml:space="preserve">, </w:t>
      </w:r>
      <w:proofErr w:type="spellStart"/>
      <w:r w:rsidRPr="00E20074">
        <w:rPr>
          <w:rFonts w:ascii="Arial" w:hAnsi="Arial" w:cs="Arial"/>
          <w:sz w:val="24"/>
          <w:szCs w:val="24"/>
        </w:rPr>
        <w:t>Bidmon</w:t>
      </w:r>
      <w:proofErr w:type="spellEnd"/>
      <w:r w:rsidRPr="00E20074">
        <w:rPr>
          <w:rFonts w:ascii="Arial" w:hAnsi="Arial" w:cs="Arial"/>
          <w:sz w:val="24"/>
          <w:szCs w:val="24"/>
        </w:rPr>
        <w:t xml:space="preserve"> &amp; Hekkert, 2023).</w:t>
      </w:r>
    </w:p>
    <w:p w14:paraId="07FA81D0" w14:textId="77777777" w:rsidR="00E20074" w:rsidRPr="00E20074" w:rsidRDefault="00E20074" w:rsidP="000F43F1">
      <w:pPr>
        <w:spacing w:line="360" w:lineRule="auto"/>
        <w:jc w:val="both"/>
        <w:rPr>
          <w:rFonts w:ascii="Arial" w:hAnsi="Arial" w:cs="Arial"/>
          <w:sz w:val="24"/>
          <w:szCs w:val="24"/>
        </w:rPr>
      </w:pPr>
      <w:r w:rsidRPr="00E20074">
        <w:rPr>
          <w:rFonts w:ascii="Arial" w:hAnsi="Arial" w:cs="Arial"/>
          <w:sz w:val="24"/>
          <w:szCs w:val="24"/>
        </w:rPr>
        <w:t>To meet the urban demand for convenience, Starbucks can further develop its digital ordering capabilities, expand drive-thru locations, and partner with delivery services (De Oliveira, 2020). With health and wellness trends on the rise, Starbucks has an opportunity to attract health-conscious customers by offering low-calorie, sugar-free, and functional beverages, including options with added nutrients and adaptogens for enhanced health benefits. Additionally, partnerships with health-focused brands could further strengthen Starbucks’ positioning in the wellness market.</w:t>
      </w:r>
    </w:p>
    <w:p w14:paraId="3052C6D4" w14:textId="77777777" w:rsidR="00E20074" w:rsidRPr="00E20074" w:rsidRDefault="00E20074" w:rsidP="000F43F1">
      <w:pPr>
        <w:spacing w:line="360" w:lineRule="auto"/>
        <w:jc w:val="both"/>
        <w:rPr>
          <w:rFonts w:ascii="Arial" w:hAnsi="Arial" w:cs="Arial"/>
          <w:sz w:val="24"/>
          <w:szCs w:val="24"/>
        </w:rPr>
      </w:pPr>
      <w:r w:rsidRPr="00E20074">
        <w:rPr>
          <w:rFonts w:ascii="Arial" w:hAnsi="Arial" w:cs="Arial"/>
          <w:sz w:val="24"/>
          <w:szCs w:val="24"/>
        </w:rPr>
        <w:t>Another growth avenue lies in partnerships and licensing, which provide revenue without extensive physical expansion. Licensing agreements, such as the partnership with Nestlé for packaged coffee products, enable Starbucks to reach new customers globally through retail outlets, driving revenue growth while reinforcing its brand presence and accessibility without the costs of new locations.</w:t>
      </w:r>
    </w:p>
    <w:p w14:paraId="72A28AAE" w14:textId="24462FDB" w:rsidR="00E20074" w:rsidRPr="00E20074" w:rsidRDefault="00E20074" w:rsidP="000F43F1">
      <w:pPr>
        <w:spacing w:line="360" w:lineRule="auto"/>
        <w:jc w:val="both"/>
        <w:rPr>
          <w:rFonts w:ascii="Arial" w:hAnsi="Arial" w:cs="Arial"/>
          <w:sz w:val="24"/>
          <w:szCs w:val="24"/>
        </w:rPr>
      </w:pPr>
    </w:p>
    <w:p w14:paraId="60AF22FB" w14:textId="1AD9EE3A" w:rsidR="00E20074" w:rsidRPr="00E20074" w:rsidRDefault="00E20074" w:rsidP="000F43F1">
      <w:pPr>
        <w:spacing w:line="360" w:lineRule="auto"/>
        <w:jc w:val="both"/>
        <w:rPr>
          <w:rFonts w:ascii="Arial" w:hAnsi="Arial" w:cs="Arial"/>
          <w:b/>
          <w:bCs/>
          <w:sz w:val="32"/>
          <w:szCs w:val="32"/>
        </w:rPr>
      </w:pPr>
      <w:r w:rsidRPr="00E20074">
        <w:rPr>
          <w:rFonts w:ascii="Arial" w:hAnsi="Arial" w:cs="Arial"/>
          <w:b/>
          <w:bCs/>
          <w:sz w:val="32"/>
          <w:szCs w:val="32"/>
        </w:rPr>
        <w:t>Threats</w:t>
      </w:r>
      <w:r w:rsidR="001964AC">
        <w:rPr>
          <w:rFonts w:ascii="Arial" w:hAnsi="Arial" w:cs="Arial"/>
          <w:b/>
          <w:bCs/>
          <w:sz w:val="32"/>
          <w:szCs w:val="32"/>
        </w:rPr>
        <w:t>:</w:t>
      </w:r>
    </w:p>
    <w:p w14:paraId="39DDD512" w14:textId="77777777" w:rsidR="00E20074" w:rsidRPr="00E20074" w:rsidRDefault="00E20074" w:rsidP="000F43F1">
      <w:pPr>
        <w:spacing w:line="360" w:lineRule="auto"/>
        <w:jc w:val="both"/>
        <w:rPr>
          <w:rFonts w:ascii="Arial" w:hAnsi="Arial" w:cs="Arial"/>
          <w:sz w:val="24"/>
          <w:szCs w:val="24"/>
        </w:rPr>
      </w:pPr>
      <w:r w:rsidRPr="00E20074">
        <w:rPr>
          <w:rFonts w:ascii="Arial" w:hAnsi="Arial" w:cs="Arial"/>
          <w:sz w:val="24"/>
          <w:szCs w:val="24"/>
        </w:rPr>
        <w:t xml:space="preserve">Despite these promising opportunities, Starbucks faces numerous threats in the UK and beyond. Intense competition from local coffee chains, such as Costa Coffee and Pret a Manger, remains a significant challenge. These competitors offer localized products, competitive pricing, and adaptable formats, which appeal to local consumers. Starbucks' premium pricing could be a disadvantage in a price-sensitive </w:t>
      </w:r>
      <w:r w:rsidRPr="00E20074">
        <w:rPr>
          <w:rFonts w:ascii="Arial" w:hAnsi="Arial" w:cs="Arial"/>
          <w:sz w:val="24"/>
          <w:szCs w:val="24"/>
        </w:rPr>
        <w:lastRenderedPageBreak/>
        <w:t>market, especially against brands that are more affordable (Garza, Herman &amp; Huron, 2020).</w:t>
      </w:r>
    </w:p>
    <w:p w14:paraId="0E43DDDF" w14:textId="77777777" w:rsidR="00E20074" w:rsidRPr="00E20074" w:rsidRDefault="00E20074" w:rsidP="000F43F1">
      <w:pPr>
        <w:spacing w:line="360" w:lineRule="auto"/>
        <w:jc w:val="both"/>
        <w:rPr>
          <w:rFonts w:ascii="Arial" w:hAnsi="Arial" w:cs="Arial"/>
          <w:sz w:val="24"/>
          <w:szCs w:val="24"/>
        </w:rPr>
      </w:pPr>
      <w:r w:rsidRPr="00E20074">
        <w:rPr>
          <w:rFonts w:ascii="Arial" w:hAnsi="Arial" w:cs="Arial"/>
          <w:sz w:val="24"/>
          <w:szCs w:val="24"/>
        </w:rPr>
        <w:t>Labour challenges also pose a risk to Starbucks’ UK operations, as rising operational costs stem from industry-wide labour shortages and increased wages. These pressures include rising minimum wages, understaffing, and a competitive job market, all of which could impact the service quality central to Starbucks' brand identity (Pilkington, 2021). Additionally, Starbucks is exposed to global trade disruptions, climate change, currency fluctuations, and trade regulations that threaten supply stability and escalate operational costs, complicating its efforts to maintain consistency (Ćosić &amp; Hibler, 2023).</w:t>
      </w:r>
    </w:p>
    <w:p w14:paraId="5CA36EAE" w14:textId="77777777" w:rsidR="00E20074" w:rsidRPr="00E20074" w:rsidRDefault="00E20074" w:rsidP="000F43F1">
      <w:pPr>
        <w:spacing w:line="360" w:lineRule="auto"/>
        <w:jc w:val="both"/>
        <w:rPr>
          <w:rFonts w:ascii="Arial" w:hAnsi="Arial" w:cs="Arial"/>
          <w:sz w:val="24"/>
          <w:szCs w:val="24"/>
        </w:rPr>
      </w:pPr>
      <w:r w:rsidRPr="00E20074">
        <w:rPr>
          <w:rFonts w:ascii="Arial" w:hAnsi="Arial" w:cs="Arial"/>
          <w:sz w:val="24"/>
          <w:szCs w:val="24"/>
        </w:rPr>
        <w:t>Economic conditions in the UK present another set of threats. Rising prices may lead consumers to reduce discretionary spending on premium coffee, as many tighten their household budgets. Consequently, Starbucks could experience declining revenues as customers turn to more affordable alternatives. Furthermore, UK consumers increasingly favour small businesses and independent coffee shops, which provide unique, localized experiences. This trend towards supporting local economies and personalized service, could result in a loss of market share for Starbucks.</w:t>
      </w:r>
    </w:p>
    <w:p w14:paraId="04D9EBAC" w14:textId="33A6B2B6" w:rsidR="00E20074" w:rsidRPr="00E20074" w:rsidRDefault="00E20074" w:rsidP="000F43F1">
      <w:pPr>
        <w:spacing w:line="360" w:lineRule="auto"/>
        <w:jc w:val="both"/>
        <w:rPr>
          <w:rFonts w:ascii="Arial" w:hAnsi="Arial" w:cs="Arial"/>
          <w:sz w:val="24"/>
          <w:szCs w:val="24"/>
        </w:rPr>
      </w:pPr>
    </w:p>
    <w:p w14:paraId="3732CC86" w14:textId="47875119" w:rsidR="00E20074" w:rsidRPr="00E20074" w:rsidRDefault="00E20074" w:rsidP="000F43F1">
      <w:pPr>
        <w:spacing w:line="360" w:lineRule="auto"/>
        <w:jc w:val="both"/>
        <w:rPr>
          <w:rFonts w:ascii="Arial" w:hAnsi="Arial" w:cs="Arial"/>
          <w:b/>
          <w:bCs/>
          <w:sz w:val="32"/>
          <w:szCs w:val="32"/>
        </w:rPr>
      </w:pPr>
      <w:r w:rsidRPr="00E20074">
        <w:rPr>
          <w:rFonts w:ascii="Arial" w:hAnsi="Arial" w:cs="Arial"/>
          <w:b/>
          <w:bCs/>
          <w:sz w:val="32"/>
          <w:szCs w:val="32"/>
        </w:rPr>
        <w:t>Conclusion</w:t>
      </w:r>
      <w:r w:rsidR="001964AC">
        <w:rPr>
          <w:rFonts w:ascii="Arial" w:hAnsi="Arial" w:cs="Arial"/>
          <w:b/>
          <w:bCs/>
          <w:sz w:val="32"/>
          <w:szCs w:val="32"/>
        </w:rPr>
        <w:t>:</w:t>
      </w:r>
    </w:p>
    <w:p w14:paraId="32DCFC82" w14:textId="77777777" w:rsidR="00E20074" w:rsidRPr="00E20074" w:rsidRDefault="00E20074" w:rsidP="000F43F1">
      <w:pPr>
        <w:spacing w:line="360" w:lineRule="auto"/>
        <w:jc w:val="both"/>
        <w:rPr>
          <w:rFonts w:ascii="Arial" w:hAnsi="Arial" w:cs="Arial"/>
          <w:sz w:val="24"/>
          <w:szCs w:val="24"/>
        </w:rPr>
      </w:pPr>
      <w:r w:rsidRPr="00E20074">
        <w:rPr>
          <w:rFonts w:ascii="Arial" w:hAnsi="Arial" w:cs="Arial"/>
          <w:sz w:val="24"/>
          <w:szCs w:val="24"/>
        </w:rPr>
        <w:t>In summary, Starbucks has numerous opportunities to expand into emerging markets, enhance its sustainable offerings, and capitalize on health trends. However, it must also address significant threats from competitors, rising labour costs, supply chain challenges, and shifting consumer preferences. Balancing these threats while maximizing growth opportunities will be essential for Starbucks’ continued success in the UK and globally.</w:t>
      </w:r>
    </w:p>
    <w:p w14:paraId="62CFDA2C" w14:textId="77777777" w:rsidR="00E20074" w:rsidRPr="00E20074" w:rsidRDefault="00E20074" w:rsidP="00E20074">
      <w:pPr>
        <w:spacing w:line="360" w:lineRule="auto"/>
        <w:rPr>
          <w:rFonts w:ascii="Arial" w:hAnsi="Arial" w:cs="Arial"/>
          <w:b/>
          <w:bCs/>
          <w:sz w:val="24"/>
          <w:szCs w:val="24"/>
        </w:rPr>
      </w:pPr>
    </w:p>
    <w:p w14:paraId="7A49BC09" w14:textId="77777777" w:rsidR="00D5247A" w:rsidRPr="00316C02" w:rsidRDefault="00D5247A" w:rsidP="008F4AC8">
      <w:pPr>
        <w:spacing w:line="360" w:lineRule="auto"/>
        <w:rPr>
          <w:rFonts w:ascii="Arial" w:hAnsi="Arial" w:cs="Arial"/>
          <w:sz w:val="24"/>
          <w:szCs w:val="24"/>
        </w:rPr>
      </w:pPr>
    </w:p>
    <w:p w14:paraId="64D39F35" w14:textId="77777777" w:rsidR="00F8451B" w:rsidRPr="00316C02" w:rsidRDefault="00F8451B" w:rsidP="008F4AC8">
      <w:pPr>
        <w:spacing w:line="360" w:lineRule="auto"/>
        <w:rPr>
          <w:rFonts w:ascii="Arial" w:hAnsi="Arial" w:cs="Arial"/>
          <w:sz w:val="24"/>
          <w:szCs w:val="24"/>
        </w:rPr>
      </w:pPr>
    </w:p>
    <w:p w14:paraId="1327D3E8" w14:textId="77777777" w:rsidR="00F8451B" w:rsidRPr="00316C02" w:rsidRDefault="00F8451B" w:rsidP="008F4AC8">
      <w:pPr>
        <w:spacing w:line="360" w:lineRule="auto"/>
        <w:rPr>
          <w:rFonts w:ascii="Arial" w:hAnsi="Arial" w:cs="Arial"/>
          <w:sz w:val="24"/>
          <w:szCs w:val="24"/>
        </w:rPr>
      </w:pPr>
    </w:p>
    <w:p w14:paraId="0BF86460" w14:textId="77777777" w:rsidR="00D5247A" w:rsidRPr="001964AC" w:rsidRDefault="00D5247A" w:rsidP="008F4AC8">
      <w:pPr>
        <w:spacing w:line="360" w:lineRule="auto"/>
        <w:rPr>
          <w:rFonts w:ascii="Arial" w:hAnsi="Arial" w:cs="Arial"/>
          <w:b/>
          <w:bCs/>
          <w:sz w:val="32"/>
          <w:szCs w:val="32"/>
        </w:rPr>
      </w:pPr>
    </w:p>
    <w:p w14:paraId="5B7A829A" w14:textId="555DBF20" w:rsidR="00D5247A" w:rsidRPr="001964AC" w:rsidRDefault="00D5247A" w:rsidP="00B93E81">
      <w:pPr>
        <w:spacing w:line="360" w:lineRule="auto"/>
        <w:jc w:val="both"/>
        <w:rPr>
          <w:rFonts w:ascii="Arial" w:hAnsi="Arial" w:cs="Arial"/>
          <w:b/>
          <w:bCs/>
          <w:sz w:val="32"/>
          <w:szCs w:val="32"/>
        </w:rPr>
      </w:pPr>
      <w:r w:rsidRPr="001964AC">
        <w:rPr>
          <w:rFonts w:ascii="Arial" w:hAnsi="Arial" w:cs="Arial"/>
          <w:b/>
          <w:bCs/>
          <w:sz w:val="32"/>
          <w:szCs w:val="32"/>
        </w:rPr>
        <w:t>REFERENCE LIST:</w:t>
      </w:r>
    </w:p>
    <w:p w14:paraId="4D82DD11" w14:textId="4817393B" w:rsidR="00D5247A" w:rsidRPr="00316C02" w:rsidRDefault="00D5247A" w:rsidP="00B93E81">
      <w:pPr>
        <w:spacing w:line="360" w:lineRule="auto"/>
        <w:jc w:val="both"/>
        <w:rPr>
          <w:rFonts w:ascii="Arial" w:hAnsi="Arial" w:cs="Arial"/>
          <w:sz w:val="24"/>
          <w:szCs w:val="24"/>
        </w:rPr>
      </w:pPr>
      <w:proofErr w:type="spellStart"/>
      <w:r w:rsidRPr="00316C02">
        <w:rPr>
          <w:rFonts w:ascii="Arial" w:hAnsi="Arial" w:cs="Arial"/>
          <w:sz w:val="24"/>
          <w:szCs w:val="24"/>
        </w:rPr>
        <w:t>Benato</w:t>
      </w:r>
      <w:proofErr w:type="spellEnd"/>
      <w:r w:rsidRPr="00316C02">
        <w:rPr>
          <w:rFonts w:ascii="Arial" w:hAnsi="Arial" w:cs="Arial"/>
          <w:sz w:val="24"/>
          <w:szCs w:val="24"/>
        </w:rPr>
        <w:t xml:space="preserve">, R., </w:t>
      </w:r>
      <w:r w:rsidR="007C0E8F" w:rsidRPr="00316C02">
        <w:rPr>
          <w:rFonts w:ascii="Arial" w:hAnsi="Arial" w:cs="Arial"/>
          <w:sz w:val="24"/>
          <w:szCs w:val="24"/>
        </w:rPr>
        <w:t>(</w:t>
      </w:r>
      <w:r w:rsidRPr="00316C02">
        <w:rPr>
          <w:rFonts w:ascii="Arial" w:hAnsi="Arial" w:cs="Arial"/>
          <w:sz w:val="24"/>
          <w:szCs w:val="24"/>
        </w:rPr>
        <w:t>2023</w:t>
      </w:r>
      <w:r w:rsidR="007C0E8F" w:rsidRPr="00316C02">
        <w:rPr>
          <w:rFonts w:ascii="Arial" w:hAnsi="Arial" w:cs="Arial"/>
          <w:sz w:val="24"/>
          <w:szCs w:val="24"/>
        </w:rPr>
        <w:t>)</w:t>
      </w:r>
      <w:r w:rsidRPr="00316C02">
        <w:rPr>
          <w:rFonts w:ascii="Arial" w:hAnsi="Arial" w:cs="Arial"/>
          <w:sz w:val="24"/>
          <w:szCs w:val="24"/>
        </w:rPr>
        <w:t xml:space="preserve">. </w:t>
      </w:r>
      <w:r w:rsidRPr="00316C02">
        <w:rPr>
          <w:rFonts w:ascii="Arial" w:hAnsi="Arial" w:cs="Arial"/>
          <w:i/>
          <w:iCs/>
          <w:sz w:val="24"/>
          <w:szCs w:val="24"/>
        </w:rPr>
        <w:t>Market dynamics and M&amp;A trends in the alternative meat industry: An empirical analysis on financial investors' perspective</w:t>
      </w:r>
      <w:r w:rsidRPr="00316C02">
        <w:rPr>
          <w:rFonts w:ascii="Arial" w:hAnsi="Arial" w:cs="Arial"/>
          <w:sz w:val="24"/>
          <w:szCs w:val="24"/>
        </w:rPr>
        <w:t xml:space="preserve">. thesis.unipd.it. Available at: </w:t>
      </w:r>
      <w:hyperlink r:id="rId7">
        <w:r w:rsidRPr="00316C02">
          <w:rPr>
            <w:rStyle w:val="Hyperlink"/>
            <w:rFonts w:ascii="Arial" w:hAnsi="Arial" w:cs="Arial"/>
            <w:sz w:val="24"/>
            <w:szCs w:val="24"/>
          </w:rPr>
          <w:t>https://thesis.unipd.it/bitstream/20.500.12608/23276/1/Benato_Riccardo.pdf</w:t>
        </w:r>
      </w:hyperlink>
      <w:r w:rsidRPr="00316C02">
        <w:rPr>
          <w:rFonts w:ascii="Arial" w:hAnsi="Arial" w:cs="Arial"/>
          <w:sz w:val="24"/>
          <w:szCs w:val="24"/>
        </w:rPr>
        <w:t xml:space="preserve"> [Accessed 28 Oct. 2024].</w:t>
      </w:r>
    </w:p>
    <w:p w14:paraId="137E6676" w14:textId="6C35AC05" w:rsidR="00D5247A" w:rsidRPr="00316C02" w:rsidRDefault="00D5247A" w:rsidP="00B93E81">
      <w:pPr>
        <w:spacing w:line="360" w:lineRule="auto"/>
        <w:jc w:val="both"/>
        <w:rPr>
          <w:rFonts w:ascii="Arial" w:hAnsi="Arial" w:cs="Arial"/>
          <w:sz w:val="24"/>
          <w:szCs w:val="24"/>
        </w:rPr>
      </w:pPr>
      <w:r w:rsidRPr="00316C02">
        <w:rPr>
          <w:rFonts w:ascii="Arial" w:hAnsi="Arial" w:cs="Arial"/>
          <w:sz w:val="24"/>
          <w:szCs w:val="24"/>
        </w:rPr>
        <w:t xml:space="preserve">Bulah, B.M., </w:t>
      </w:r>
      <w:proofErr w:type="spellStart"/>
      <w:r w:rsidRPr="00316C02">
        <w:rPr>
          <w:rFonts w:ascii="Arial" w:hAnsi="Arial" w:cs="Arial"/>
          <w:sz w:val="24"/>
          <w:szCs w:val="24"/>
        </w:rPr>
        <w:t>Tziva</w:t>
      </w:r>
      <w:proofErr w:type="spellEnd"/>
      <w:r w:rsidRPr="00316C02">
        <w:rPr>
          <w:rFonts w:ascii="Arial" w:hAnsi="Arial" w:cs="Arial"/>
          <w:sz w:val="24"/>
          <w:szCs w:val="24"/>
        </w:rPr>
        <w:t xml:space="preserve">, M., </w:t>
      </w:r>
      <w:proofErr w:type="spellStart"/>
      <w:r w:rsidRPr="00316C02">
        <w:rPr>
          <w:rFonts w:ascii="Arial" w:hAnsi="Arial" w:cs="Arial"/>
          <w:sz w:val="24"/>
          <w:szCs w:val="24"/>
        </w:rPr>
        <w:t>Bidmon</w:t>
      </w:r>
      <w:proofErr w:type="spellEnd"/>
      <w:r w:rsidRPr="00316C02">
        <w:rPr>
          <w:rFonts w:ascii="Arial" w:hAnsi="Arial" w:cs="Arial"/>
          <w:sz w:val="24"/>
          <w:szCs w:val="24"/>
        </w:rPr>
        <w:t xml:space="preserve">, C. &amp; Hekkert, M.P., </w:t>
      </w:r>
      <w:r w:rsidR="007C0E8F" w:rsidRPr="00316C02">
        <w:rPr>
          <w:rFonts w:ascii="Arial" w:hAnsi="Arial" w:cs="Arial"/>
          <w:sz w:val="24"/>
          <w:szCs w:val="24"/>
        </w:rPr>
        <w:t>(</w:t>
      </w:r>
      <w:r w:rsidRPr="00316C02">
        <w:rPr>
          <w:rFonts w:ascii="Arial" w:hAnsi="Arial" w:cs="Arial"/>
          <w:sz w:val="24"/>
          <w:szCs w:val="24"/>
        </w:rPr>
        <w:t>2023</w:t>
      </w:r>
      <w:r w:rsidR="007C0E8F" w:rsidRPr="00316C02">
        <w:rPr>
          <w:rFonts w:ascii="Arial" w:hAnsi="Arial" w:cs="Arial"/>
          <w:sz w:val="24"/>
          <w:szCs w:val="24"/>
        </w:rPr>
        <w:t>)</w:t>
      </w:r>
      <w:r w:rsidRPr="00316C02">
        <w:rPr>
          <w:rFonts w:ascii="Arial" w:hAnsi="Arial" w:cs="Arial"/>
          <w:sz w:val="24"/>
          <w:szCs w:val="24"/>
        </w:rPr>
        <w:t xml:space="preserve">. </w:t>
      </w:r>
      <w:r w:rsidRPr="00316C02">
        <w:rPr>
          <w:rFonts w:ascii="Arial" w:hAnsi="Arial" w:cs="Arial"/>
          <w:i/>
          <w:iCs/>
          <w:sz w:val="24"/>
          <w:szCs w:val="24"/>
        </w:rPr>
        <w:t>Incumbent entry modes and entry timing in sustainable niches: The plant-based protein transition in the United States, Netherlands, and United Kingdom</w:t>
      </w:r>
      <w:r w:rsidRPr="00316C02">
        <w:rPr>
          <w:rFonts w:ascii="Arial" w:hAnsi="Arial" w:cs="Arial"/>
          <w:sz w:val="24"/>
          <w:szCs w:val="24"/>
        </w:rPr>
        <w:t>. Environmental Innovation and Societal Transitions,[online]</w:t>
      </w:r>
      <w:r w:rsidR="00951221" w:rsidRPr="00316C02">
        <w:rPr>
          <w:rFonts w:ascii="Arial" w:hAnsi="Arial" w:cs="Arial"/>
          <w:sz w:val="24"/>
          <w:szCs w:val="24"/>
        </w:rPr>
        <w:t>.Available</w:t>
      </w:r>
      <w:r w:rsidR="00B93E81" w:rsidRPr="00316C02">
        <w:rPr>
          <w:rFonts w:ascii="Arial" w:hAnsi="Arial" w:cs="Arial"/>
          <w:sz w:val="24"/>
          <w:szCs w:val="24"/>
        </w:rPr>
        <w:t xml:space="preserve"> </w:t>
      </w:r>
      <w:r w:rsidR="00646224" w:rsidRPr="00316C02">
        <w:rPr>
          <w:rFonts w:ascii="Arial" w:hAnsi="Arial" w:cs="Arial"/>
          <w:sz w:val="24"/>
          <w:szCs w:val="24"/>
        </w:rPr>
        <w:t>at</w:t>
      </w:r>
      <w:r w:rsidR="00951221" w:rsidRPr="00316C02">
        <w:rPr>
          <w:rFonts w:ascii="Arial" w:hAnsi="Arial" w:cs="Arial"/>
          <w:sz w:val="24"/>
          <w:szCs w:val="24"/>
        </w:rPr>
        <w:t>:</w:t>
      </w:r>
      <w:hyperlink r:id="rId8" w:history="1">
        <w:r w:rsidR="00E5672F" w:rsidRPr="00316C02">
          <w:rPr>
            <w:rStyle w:val="Hyperlink"/>
            <w:rFonts w:ascii="Arial" w:hAnsi="Arial" w:cs="Arial"/>
            <w:sz w:val="24"/>
            <w:szCs w:val="24"/>
          </w:rPr>
          <w:t>https://www.sciencedirect.com/science/article/pii/S221042242300045X</w:t>
        </w:r>
      </w:hyperlink>
      <w:r w:rsidRPr="00316C02">
        <w:rPr>
          <w:rFonts w:ascii="Arial" w:hAnsi="Arial" w:cs="Arial"/>
          <w:sz w:val="24"/>
          <w:szCs w:val="24"/>
        </w:rPr>
        <w:t xml:space="preserve"> [Accessed 28 Oct. 2024].</w:t>
      </w:r>
    </w:p>
    <w:p w14:paraId="06BFFB32" w14:textId="460EC84F" w:rsidR="00D5247A" w:rsidRPr="00316C02" w:rsidRDefault="00D5247A" w:rsidP="00646224">
      <w:pPr>
        <w:spacing w:line="360" w:lineRule="auto"/>
        <w:rPr>
          <w:rFonts w:ascii="Arial" w:hAnsi="Arial" w:cs="Arial"/>
          <w:sz w:val="24"/>
          <w:szCs w:val="24"/>
        </w:rPr>
      </w:pPr>
      <w:r w:rsidRPr="00316C02">
        <w:rPr>
          <w:rFonts w:ascii="Arial" w:hAnsi="Arial" w:cs="Arial"/>
          <w:sz w:val="24"/>
          <w:szCs w:val="24"/>
        </w:rPr>
        <w:t xml:space="preserve">Ćosić, E. &amp; Hibler, M., </w:t>
      </w:r>
      <w:r w:rsidR="000B512B" w:rsidRPr="00316C02">
        <w:rPr>
          <w:rFonts w:ascii="Arial" w:hAnsi="Arial" w:cs="Arial"/>
          <w:sz w:val="24"/>
          <w:szCs w:val="24"/>
        </w:rPr>
        <w:t>(</w:t>
      </w:r>
      <w:r w:rsidRPr="00316C02">
        <w:rPr>
          <w:rFonts w:ascii="Arial" w:hAnsi="Arial" w:cs="Arial"/>
          <w:sz w:val="24"/>
          <w:szCs w:val="24"/>
        </w:rPr>
        <w:t>2023</w:t>
      </w:r>
      <w:r w:rsidR="000B512B" w:rsidRPr="00316C02">
        <w:rPr>
          <w:rFonts w:ascii="Arial" w:hAnsi="Arial" w:cs="Arial"/>
          <w:sz w:val="24"/>
          <w:szCs w:val="24"/>
        </w:rPr>
        <w:t>)</w:t>
      </w:r>
      <w:r w:rsidRPr="00316C02">
        <w:rPr>
          <w:rFonts w:ascii="Arial" w:hAnsi="Arial" w:cs="Arial"/>
          <w:sz w:val="24"/>
          <w:szCs w:val="24"/>
        </w:rPr>
        <w:t xml:space="preserve">. </w:t>
      </w:r>
      <w:r w:rsidRPr="00316C02">
        <w:rPr>
          <w:rFonts w:ascii="Arial" w:hAnsi="Arial" w:cs="Arial"/>
          <w:i/>
          <w:iCs/>
          <w:sz w:val="24"/>
          <w:szCs w:val="24"/>
        </w:rPr>
        <w:t xml:space="preserve">Company Analysis and Risk Management Strategies </w:t>
      </w:r>
      <w:r w:rsidR="00E5672F" w:rsidRPr="00316C02">
        <w:rPr>
          <w:rFonts w:ascii="Arial" w:hAnsi="Arial" w:cs="Arial"/>
          <w:i/>
          <w:iCs/>
          <w:sz w:val="24"/>
          <w:szCs w:val="24"/>
        </w:rPr>
        <w:t>–</w:t>
      </w:r>
      <w:r w:rsidRPr="00316C02">
        <w:rPr>
          <w:rFonts w:ascii="Arial" w:hAnsi="Arial" w:cs="Arial"/>
          <w:i/>
          <w:iCs/>
          <w:sz w:val="24"/>
          <w:szCs w:val="24"/>
        </w:rPr>
        <w:t xml:space="preserve"> A</w:t>
      </w:r>
      <w:r w:rsidR="00316C02">
        <w:rPr>
          <w:rFonts w:ascii="Arial" w:hAnsi="Arial" w:cs="Arial"/>
          <w:i/>
          <w:iCs/>
          <w:sz w:val="24"/>
          <w:szCs w:val="24"/>
        </w:rPr>
        <w:t xml:space="preserve"> </w:t>
      </w:r>
      <w:r w:rsidRPr="00316C02">
        <w:rPr>
          <w:rFonts w:ascii="Arial" w:hAnsi="Arial" w:cs="Arial"/>
          <w:i/>
          <w:iCs/>
          <w:sz w:val="24"/>
          <w:szCs w:val="24"/>
        </w:rPr>
        <w:t>Case</w:t>
      </w:r>
      <w:r w:rsidR="00316C02">
        <w:rPr>
          <w:rFonts w:ascii="Arial" w:hAnsi="Arial" w:cs="Arial"/>
          <w:i/>
          <w:iCs/>
          <w:sz w:val="24"/>
          <w:szCs w:val="24"/>
        </w:rPr>
        <w:t xml:space="preserve"> </w:t>
      </w:r>
      <w:r w:rsidRPr="00316C02">
        <w:rPr>
          <w:rFonts w:ascii="Arial" w:hAnsi="Arial" w:cs="Arial"/>
          <w:i/>
          <w:iCs/>
          <w:sz w:val="24"/>
          <w:szCs w:val="24"/>
        </w:rPr>
        <w:t>Study</w:t>
      </w:r>
      <w:r w:rsidR="00316C02">
        <w:rPr>
          <w:rFonts w:ascii="Arial" w:hAnsi="Arial" w:cs="Arial"/>
          <w:i/>
          <w:iCs/>
          <w:sz w:val="24"/>
          <w:szCs w:val="24"/>
        </w:rPr>
        <w:t xml:space="preserve"> </w:t>
      </w:r>
      <w:proofErr w:type="gramStart"/>
      <w:r w:rsidRPr="00316C02">
        <w:rPr>
          <w:rFonts w:ascii="Arial" w:hAnsi="Arial" w:cs="Arial"/>
          <w:i/>
          <w:iCs/>
          <w:sz w:val="24"/>
          <w:szCs w:val="24"/>
        </w:rPr>
        <w:t>Collection</w:t>
      </w:r>
      <w:r w:rsidR="00316C02">
        <w:rPr>
          <w:rFonts w:ascii="Arial" w:hAnsi="Arial" w:cs="Arial"/>
          <w:i/>
          <w:iCs/>
          <w:sz w:val="24"/>
          <w:szCs w:val="24"/>
        </w:rPr>
        <w:t xml:space="preserve"> </w:t>
      </w:r>
      <w:r w:rsidRPr="00316C02">
        <w:rPr>
          <w:rFonts w:ascii="Arial" w:hAnsi="Arial" w:cs="Arial"/>
          <w:sz w:val="24"/>
          <w:szCs w:val="24"/>
        </w:rPr>
        <w:t>.</w:t>
      </w:r>
      <w:proofErr w:type="gramEnd"/>
      <w:r w:rsidRPr="00316C02">
        <w:rPr>
          <w:rFonts w:ascii="Arial" w:hAnsi="Arial" w:cs="Arial"/>
          <w:sz w:val="24"/>
          <w:szCs w:val="24"/>
        </w:rPr>
        <w:t>bib.irb.hr.</w:t>
      </w:r>
      <w:r w:rsidR="00316C02">
        <w:rPr>
          <w:rFonts w:ascii="Arial" w:hAnsi="Arial" w:cs="Arial"/>
          <w:sz w:val="24"/>
          <w:szCs w:val="24"/>
        </w:rPr>
        <w:t xml:space="preserve"> </w:t>
      </w:r>
      <w:r w:rsidRPr="00316C02">
        <w:rPr>
          <w:rFonts w:ascii="Arial" w:hAnsi="Arial" w:cs="Arial"/>
          <w:sz w:val="24"/>
          <w:szCs w:val="24"/>
        </w:rPr>
        <w:t>Available</w:t>
      </w:r>
      <w:r w:rsidR="00316C02">
        <w:rPr>
          <w:rFonts w:ascii="Arial" w:hAnsi="Arial" w:cs="Arial"/>
          <w:sz w:val="24"/>
          <w:szCs w:val="24"/>
        </w:rPr>
        <w:t xml:space="preserve"> </w:t>
      </w:r>
      <w:r w:rsidRPr="00316C02">
        <w:rPr>
          <w:rFonts w:ascii="Arial" w:hAnsi="Arial" w:cs="Arial"/>
          <w:sz w:val="24"/>
          <w:szCs w:val="24"/>
        </w:rPr>
        <w:t xml:space="preserve">at: </w:t>
      </w:r>
      <w:hyperlink r:id="rId9" w:anchor="page=334">
        <w:r w:rsidRPr="00316C02">
          <w:rPr>
            <w:rStyle w:val="Hyperlink"/>
            <w:rFonts w:ascii="Arial" w:hAnsi="Arial" w:cs="Arial"/>
            <w:sz w:val="24"/>
            <w:szCs w:val="24"/>
          </w:rPr>
          <w:t>https://www.bib.irb.hr:8443/1258564/download/1258564.Company_Analysis_and_Risk_Management_Strategies_-_A_Case_Study_Collection_eBook.pdf#page=334</w:t>
        </w:r>
      </w:hyperlink>
      <w:r w:rsidRPr="00316C02">
        <w:rPr>
          <w:rFonts w:ascii="Arial" w:hAnsi="Arial" w:cs="Arial"/>
          <w:sz w:val="24"/>
          <w:szCs w:val="24"/>
        </w:rPr>
        <w:t xml:space="preserve"> [Accessed 28 Oct. 2024].</w:t>
      </w:r>
    </w:p>
    <w:p w14:paraId="50C0AE39" w14:textId="59D6A6AD" w:rsidR="00D5247A" w:rsidRPr="00316C02" w:rsidRDefault="00D5247A" w:rsidP="00B93E81">
      <w:pPr>
        <w:spacing w:line="360" w:lineRule="auto"/>
        <w:jc w:val="both"/>
        <w:rPr>
          <w:rFonts w:ascii="Arial" w:hAnsi="Arial" w:cs="Arial"/>
          <w:sz w:val="24"/>
          <w:szCs w:val="24"/>
        </w:rPr>
      </w:pPr>
      <w:r w:rsidRPr="00316C02">
        <w:rPr>
          <w:rFonts w:ascii="Arial" w:hAnsi="Arial" w:cs="Arial"/>
          <w:sz w:val="24"/>
          <w:szCs w:val="24"/>
        </w:rPr>
        <w:t xml:space="preserve">De Oliveira, S.I.S., </w:t>
      </w:r>
      <w:r w:rsidR="000B512B" w:rsidRPr="00316C02">
        <w:rPr>
          <w:rFonts w:ascii="Arial" w:hAnsi="Arial" w:cs="Arial"/>
          <w:sz w:val="24"/>
          <w:szCs w:val="24"/>
        </w:rPr>
        <w:t>(</w:t>
      </w:r>
      <w:r w:rsidRPr="00316C02">
        <w:rPr>
          <w:rFonts w:ascii="Arial" w:hAnsi="Arial" w:cs="Arial"/>
          <w:sz w:val="24"/>
          <w:szCs w:val="24"/>
        </w:rPr>
        <w:t>2020</w:t>
      </w:r>
      <w:r w:rsidR="000B512B" w:rsidRPr="00316C02">
        <w:rPr>
          <w:rFonts w:ascii="Arial" w:hAnsi="Arial" w:cs="Arial"/>
          <w:sz w:val="24"/>
          <w:szCs w:val="24"/>
        </w:rPr>
        <w:t>)</w:t>
      </w:r>
      <w:r w:rsidRPr="00316C02">
        <w:rPr>
          <w:rFonts w:ascii="Arial" w:hAnsi="Arial" w:cs="Arial"/>
          <w:sz w:val="24"/>
          <w:szCs w:val="24"/>
        </w:rPr>
        <w:t xml:space="preserve">. </w:t>
      </w:r>
      <w:r w:rsidRPr="00316C02">
        <w:rPr>
          <w:rFonts w:ascii="Arial" w:hAnsi="Arial" w:cs="Arial"/>
          <w:i/>
          <w:iCs/>
          <w:sz w:val="24"/>
          <w:szCs w:val="24"/>
        </w:rPr>
        <w:t xml:space="preserve">Growth Is Not over for </w:t>
      </w:r>
      <w:proofErr w:type="gramStart"/>
      <w:r w:rsidRPr="00316C02">
        <w:rPr>
          <w:rFonts w:ascii="Arial" w:hAnsi="Arial" w:cs="Arial"/>
          <w:i/>
          <w:iCs/>
          <w:sz w:val="24"/>
          <w:szCs w:val="24"/>
        </w:rPr>
        <w:t>Starbucks,</w:t>
      </w:r>
      <w:proofErr w:type="gramEnd"/>
      <w:r w:rsidRPr="00316C02">
        <w:rPr>
          <w:rFonts w:ascii="Arial" w:hAnsi="Arial" w:cs="Arial"/>
          <w:i/>
          <w:iCs/>
          <w:sz w:val="24"/>
          <w:szCs w:val="24"/>
        </w:rPr>
        <w:t xml:space="preserve"> It Is Empowered by Digital and Geographic Expansion</w:t>
      </w:r>
      <w:r w:rsidRPr="00316C02">
        <w:rPr>
          <w:rFonts w:ascii="Arial" w:hAnsi="Arial" w:cs="Arial"/>
          <w:sz w:val="24"/>
          <w:szCs w:val="24"/>
        </w:rPr>
        <w:t xml:space="preserve">. ProQuest Dissertations Publishing. Available at: </w:t>
      </w:r>
      <w:hyperlink r:id="rId10">
        <w:r w:rsidRPr="00316C02">
          <w:rPr>
            <w:rStyle w:val="Hyperlink"/>
            <w:rFonts w:ascii="Arial" w:hAnsi="Arial" w:cs="Arial"/>
            <w:sz w:val="24"/>
            <w:szCs w:val="24"/>
          </w:rPr>
          <w:t>https://search.proquest.com/openview/cea4b060b0aba5ed157be90e41c37091/1?pq-origsite=gscholar&amp;cbl=2026366&amp;diss=y</w:t>
        </w:r>
      </w:hyperlink>
      <w:r w:rsidRPr="00316C02">
        <w:rPr>
          <w:rFonts w:ascii="Arial" w:hAnsi="Arial" w:cs="Arial"/>
          <w:sz w:val="24"/>
          <w:szCs w:val="24"/>
        </w:rPr>
        <w:t xml:space="preserve"> [Accessed 28 Oct. 2024].</w:t>
      </w:r>
    </w:p>
    <w:p w14:paraId="597BF399" w14:textId="7B24D692" w:rsidR="00D5247A" w:rsidRPr="00316C02" w:rsidRDefault="00D5247A" w:rsidP="00B93E81">
      <w:pPr>
        <w:spacing w:line="360" w:lineRule="auto"/>
        <w:jc w:val="both"/>
        <w:rPr>
          <w:rFonts w:ascii="Arial" w:hAnsi="Arial" w:cs="Arial"/>
          <w:sz w:val="24"/>
          <w:szCs w:val="24"/>
        </w:rPr>
      </w:pPr>
      <w:r w:rsidRPr="00316C02">
        <w:rPr>
          <w:rFonts w:ascii="Arial" w:hAnsi="Arial" w:cs="Arial"/>
          <w:sz w:val="24"/>
          <w:szCs w:val="24"/>
        </w:rPr>
        <w:t xml:space="preserve">Garza, I., Herman, C. &amp; Huron, P., </w:t>
      </w:r>
      <w:r w:rsidR="000B512B" w:rsidRPr="00316C02">
        <w:rPr>
          <w:rFonts w:ascii="Arial" w:hAnsi="Arial" w:cs="Arial"/>
          <w:sz w:val="24"/>
          <w:szCs w:val="24"/>
        </w:rPr>
        <w:t>(</w:t>
      </w:r>
      <w:r w:rsidRPr="00316C02">
        <w:rPr>
          <w:rFonts w:ascii="Arial" w:hAnsi="Arial" w:cs="Arial"/>
          <w:sz w:val="24"/>
          <w:szCs w:val="24"/>
        </w:rPr>
        <w:t>2020</w:t>
      </w:r>
      <w:r w:rsidR="000B512B" w:rsidRPr="00316C02">
        <w:rPr>
          <w:rFonts w:ascii="Arial" w:hAnsi="Arial" w:cs="Arial"/>
          <w:sz w:val="24"/>
          <w:szCs w:val="24"/>
        </w:rPr>
        <w:t>)</w:t>
      </w:r>
      <w:r w:rsidRPr="00316C02">
        <w:rPr>
          <w:rFonts w:ascii="Arial" w:hAnsi="Arial" w:cs="Arial"/>
          <w:sz w:val="24"/>
          <w:szCs w:val="24"/>
        </w:rPr>
        <w:t xml:space="preserve">. </w:t>
      </w:r>
      <w:r w:rsidRPr="00316C02">
        <w:rPr>
          <w:rFonts w:ascii="Arial" w:hAnsi="Arial" w:cs="Arial"/>
          <w:i/>
          <w:iCs/>
          <w:sz w:val="24"/>
          <w:szCs w:val="24"/>
        </w:rPr>
        <w:t>Global Environment of Business</w:t>
      </w:r>
      <w:r w:rsidRPr="00316C02">
        <w:rPr>
          <w:rFonts w:ascii="Arial" w:hAnsi="Arial" w:cs="Arial"/>
          <w:sz w:val="24"/>
          <w:szCs w:val="24"/>
        </w:rPr>
        <w:t>. cbherman.com.</w:t>
      </w:r>
      <w:r w:rsidR="007D19AE">
        <w:rPr>
          <w:rFonts w:ascii="Arial" w:hAnsi="Arial" w:cs="Arial"/>
          <w:sz w:val="24"/>
          <w:szCs w:val="24"/>
        </w:rPr>
        <w:t xml:space="preserve"> </w:t>
      </w:r>
      <w:r w:rsidR="00D34DD8">
        <w:rPr>
          <w:rFonts w:ascii="Arial" w:hAnsi="Arial" w:cs="Arial"/>
          <w:sz w:val="24"/>
          <w:szCs w:val="24"/>
        </w:rPr>
        <w:t xml:space="preserve">Available at: </w:t>
      </w:r>
      <w:hyperlink r:id="rId11" w:history="1">
        <w:r w:rsidR="00DD2B1F" w:rsidRPr="00A421EB">
          <w:rPr>
            <w:rStyle w:val="Hyperlink"/>
            <w:rFonts w:ascii="Arial" w:hAnsi="Arial" w:cs="Arial"/>
            <w:sz w:val="24"/>
            <w:szCs w:val="24"/>
          </w:rPr>
          <w:t>https://www.cbherman.com/uploads/1/3/2/1/132140162/garza_iris_herman_clinton_huron_paul-ba5320_team_3_final_project.pdf</w:t>
        </w:r>
      </w:hyperlink>
      <w:r w:rsidRPr="00316C02">
        <w:rPr>
          <w:rFonts w:ascii="Arial" w:hAnsi="Arial" w:cs="Arial"/>
          <w:sz w:val="24"/>
          <w:szCs w:val="24"/>
        </w:rPr>
        <w:t xml:space="preserve"> [Accessed 28 Oct. 2024].</w:t>
      </w:r>
    </w:p>
    <w:p w14:paraId="44A47767" w14:textId="7EAE1FDD" w:rsidR="00D5247A" w:rsidRPr="00316C02" w:rsidRDefault="00D5247A" w:rsidP="00B93E81">
      <w:pPr>
        <w:spacing w:line="360" w:lineRule="auto"/>
        <w:jc w:val="both"/>
        <w:rPr>
          <w:rFonts w:ascii="Arial" w:hAnsi="Arial" w:cs="Arial"/>
          <w:sz w:val="24"/>
          <w:szCs w:val="24"/>
        </w:rPr>
      </w:pPr>
      <w:r w:rsidRPr="00316C02">
        <w:rPr>
          <w:rFonts w:ascii="Arial" w:hAnsi="Arial" w:cs="Arial"/>
          <w:sz w:val="24"/>
          <w:szCs w:val="24"/>
        </w:rPr>
        <w:t xml:space="preserve">Pilkington, M., </w:t>
      </w:r>
      <w:r w:rsidR="000B512B" w:rsidRPr="00316C02">
        <w:rPr>
          <w:rFonts w:ascii="Arial" w:hAnsi="Arial" w:cs="Arial"/>
          <w:sz w:val="24"/>
          <w:szCs w:val="24"/>
        </w:rPr>
        <w:t>(</w:t>
      </w:r>
      <w:r w:rsidRPr="00316C02">
        <w:rPr>
          <w:rFonts w:ascii="Arial" w:hAnsi="Arial" w:cs="Arial"/>
          <w:sz w:val="24"/>
          <w:szCs w:val="24"/>
        </w:rPr>
        <w:t>2021</w:t>
      </w:r>
      <w:r w:rsidR="000B512B" w:rsidRPr="00316C02">
        <w:rPr>
          <w:rFonts w:ascii="Arial" w:hAnsi="Arial" w:cs="Arial"/>
          <w:sz w:val="24"/>
          <w:szCs w:val="24"/>
        </w:rPr>
        <w:t>)</w:t>
      </w:r>
      <w:r w:rsidRPr="00316C02">
        <w:rPr>
          <w:rFonts w:ascii="Arial" w:hAnsi="Arial" w:cs="Arial"/>
          <w:sz w:val="24"/>
          <w:szCs w:val="24"/>
        </w:rPr>
        <w:t xml:space="preserve">. </w:t>
      </w:r>
      <w:r w:rsidRPr="00316C02">
        <w:rPr>
          <w:rFonts w:ascii="Arial" w:hAnsi="Arial" w:cs="Arial"/>
          <w:i/>
          <w:iCs/>
          <w:sz w:val="24"/>
          <w:szCs w:val="24"/>
        </w:rPr>
        <w:t>Retail recovery: How Creative Retailers are Winning in their Post-Apocalyptic World</w:t>
      </w:r>
      <w:r w:rsidRPr="00316C02">
        <w:rPr>
          <w:rFonts w:ascii="Arial" w:hAnsi="Arial" w:cs="Arial"/>
          <w:sz w:val="24"/>
          <w:szCs w:val="24"/>
        </w:rPr>
        <w:t xml:space="preserve">. Google Books. Available at: </w:t>
      </w:r>
      <w:hyperlink r:id="rId12">
        <w:r w:rsidRPr="00316C02">
          <w:rPr>
            <w:rStyle w:val="Hyperlink"/>
            <w:rFonts w:ascii="Arial" w:hAnsi="Arial" w:cs="Arial"/>
            <w:sz w:val="24"/>
            <w:szCs w:val="24"/>
          </w:rPr>
          <w:t>https://books.google.com</w:t>
        </w:r>
      </w:hyperlink>
      <w:r w:rsidRPr="00316C02">
        <w:rPr>
          <w:rFonts w:ascii="Arial" w:hAnsi="Arial" w:cs="Arial"/>
          <w:sz w:val="24"/>
          <w:szCs w:val="24"/>
        </w:rPr>
        <w:t xml:space="preserve"> [Accessed 28 Oct. 2024].</w:t>
      </w:r>
    </w:p>
    <w:p w14:paraId="354A08F6" w14:textId="77777777" w:rsidR="00D5247A" w:rsidRPr="00316C02" w:rsidRDefault="00D5247A" w:rsidP="00B93E81">
      <w:pPr>
        <w:spacing w:line="360" w:lineRule="auto"/>
        <w:jc w:val="both"/>
        <w:rPr>
          <w:rFonts w:ascii="Arial" w:hAnsi="Arial" w:cs="Arial"/>
          <w:sz w:val="24"/>
          <w:szCs w:val="24"/>
        </w:rPr>
      </w:pPr>
    </w:p>
    <w:p w14:paraId="5CA00D94" w14:textId="77777777" w:rsidR="00D5247A" w:rsidRPr="00316C02" w:rsidRDefault="00D5247A" w:rsidP="00B93E81">
      <w:pPr>
        <w:spacing w:line="360" w:lineRule="auto"/>
        <w:jc w:val="both"/>
        <w:rPr>
          <w:rFonts w:ascii="Arial" w:hAnsi="Arial" w:cs="Arial"/>
          <w:sz w:val="24"/>
          <w:szCs w:val="24"/>
        </w:rPr>
      </w:pPr>
    </w:p>
    <w:p w14:paraId="5311FBD8" w14:textId="77777777" w:rsidR="00D5247A" w:rsidRPr="00316C02" w:rsidRDefault="00D5247A" w:rsidP="00D5247A">
      <w:pPr>
        <w:spacing w:line="360" w:lineRule="auto"/>
        <w:rPr>
          <w:rFonts w:ascii="Arial" w:hAnsi="Arial" w:cs="Arial"/>
          <w:sz w:val="24"/>
          <w:szCs w:val="24"/>
        </w:rPr>
      </w:pPr>
    </w:p>
    <w:p w14:paraId="201B9170" w14:textId="77777777" w:rsidR="00D5247A" w:rsidRPr="00316C02" w:rsidRDefault="00D5247A" w:rsidP="00D5247A">
      <w:pPr>
        <w:spacing w:line="360" w:lineRule="auto"/>
        <w:rPr>
          <w:rFonts w:ascii="Arial" w:hAnsi="Arial" w:cs="Arial"/>
          <w:sz w:val="24"/>
          <w:szCs w:val="24"/>
        </w:rPr>
      </w:pPr>
    </w:p>
    <w:p w14:paraId="4E137E59" w14:textId="77777777" w:rsidR="00D5247A" w:rsidRPr="008F4AC8" w:rsidRDefault="00D5247A" w:rsidP="008F4AC8">
      <w:pPr>
        <w:spacing w:line="360" w:lineRule="auto"/>
        <w:rPr>
          <w:rFonts w:ascii="Arial" w:hAnsi="Arial" w:cs="Arial"/>
          <w:sz w:val="24"/>
          <w:szCs w:val="24"/>
        </w:rPr>
      </w:pPr>
    </w:p>
    <w:sectPr w:rsidR="00D5247A" w:rsidRPr="008F4AC8" w:rsidSect="001B0B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3D54AF"/>
    <w:multiLevelType w:val="hybridMultilevel"/>
    <w:tmpl w:val="40E4FCD8"/>
    <w:lvl w:ilvl="0" w:tplc="B4689F4A">
      <w:start w:val="1"/>
      <w:numFmt w:val="bullet"/>
      <w:lvlText w:val=""/>
      <w:lvlJc w:val="left"/>
      <w:pPr>
        <w:ind w:left="720" w:hanging="360"/>
      </w:pPr>
      <w:rPr>
        <w:rFonts w:ascii="Symbol" w:hAnsi="Symbol" w:hint="default"/>
      </w:rPr>
    </w:lvl>
    <w:lvl w:ilvl="1" w:tplc="6DCC9F4A">
      <w:start w:val="1"/>
      <w:numFmt w:val="bullet"/>
      <w:lvlText w:val="o"/>
      <w:lvlJc w:val="left"/>
      <w:pPr>
        <w:ind w:left="1440" w:hanging="360"/>
      </w:pPr>
      <w:rPr>
        <w:rFonts w:ascii="Courier New" w:hAnsi="Courier New" w:hint="default"/>
      </w:rPr>
    </w:lvl>
    <w:lvl w:ilvl="2" w:tplc="639245AA">
      <w:start w:val="1"/>
      <w:numFmt w:val="bullet"/>
      <w:lvlText w:val=""/>
      <w:lvlJc w:val="left"/>
      <w:pPr>
        <w:ind w:left="2160" w:hanging="360"/>
      </w:pPr>
      <w:rPr>
        <w:rFonts w:ascii="Wingdings" w:hAnsi="Wingdings" w:hint="default"/>
      </w:rPr>
    </w:lvl>
    <w:lvl w:ilvl="3" w:tplc="D904EB2E">
      <w:start w:val="1"/>
      <w:numFmt w:val="bullet"/>
      <w:lvlText w:val=""/>
      <w:lvlJc w:val="left"/>
      <w:pPr>
        <w:ind w:left="2880" w:hanging="360"/>
      </w:pPr>
      <w:rPr>
        <w:rFonts w:ascii="Symbol" w:hAnsi="Symbol" w:hint="default"/>
      </w:rPr>
    </w:lvl>
    <w:lvl w:ilvl="4" w:tplc="E3060640">
      <w:start w:val="1"/>
      <w:numFmt w:val="bullet"/>
      <w:lvlText w:val="o"/>
      <w:lvlJc w:val="left"/>
      <w:pPr>
        <w:ind w:left="3600" w:hanging="360"/>
      </w:pPr>
      <w:rPr>
        <w:rFonts w:ascii="Courier New" w:hAnsi="Courier New" w:hint="default"/>
      </w:rPr>
    </w:lvl>
    <w:lvl w:ilvl="5" w:tplc="38905B1C">
      <w:start w:val="1"/>
      <w:numFmt w:val="bullet"/>
      <w:lvlText w:val=""/>
      <w:lvlJc w:val="left"/>
      <w:pPr>
        <w:ind w:left="4320" w:hanging="360"/>
      </w:pPr>
      <w:rPr>
        <w:rFonts w:ascii="Wingdings" w:hAnsi="Wingdings" w:hint="default"/>
      </w:rPr>
    </w:lvl>
    <w:lvl w:ilvl="6" w:tplc="BD667134">
      <w:start w:val="1"/>
      <w:numFmt w:val="bullet"/>
      <w:lvlText w:val=""/>
      <w:lvlJc w:val="left"/>
      <w:pPr>
        <w:ind w:left="5040" w:hanging="360"/>
      </w:pPr>
      <w:rPr>
        <w:rFonts w:ascii="Symbol" w:hAnsi="Symbol" w:hint="default"/>
      </w:rPr>
    </w:lvl>
    <w:lvl w:ilvl="7" w:tplc="39002B7A">
      <w:start w:val="1"/>
      <w:numFmt w:val="bullet"/>
      <w:lvlText w:val="o"/>
      <w:lvlJc w:val="left"/>
      <w:pPr>
        <w:ind w:left="5760" w:hanging="360"/>
      </w:pPr>
      <w:rPr>
        <w:rFonts w:ascii="Courier New" w:hAnsi="Courier New" w:hint="default"/>
      </w:rPr>
    </w:lvl>
    <w:lvl w:ilvl="8" w:tplc="3ED4B3BE">
      <w:start w:val="1"/>
      <w:numFmt w:val="bullet"/>
      <w:lvlText w:val=""/>
      <w:lvlJc w:val="left"/>
      <w:pPr>
        <w:ind w:left="6480" w:hanging="360"/>
      </w:pPr>
      <w:rPr>
        <w:rFonts w:ascii="Wingdings" w:hAnsi="Wingdings" w:hint="default"/>
      </w:rPr>
    </w:lvl>
  </w:abstractNum>
  <w:num w:numId="1" w16cid:durableId="1597009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AC8"/>
    <w:rsid w:val="00094444"/>
    <w:rsid w:val="000B512B"/>
    <w:rsid w:val="000F43F1"/>
    <w:rsid w:val="00111E4C"/>
    <w:rsid w:val="001964AC"/>
    <w:rsid w:val="001A2933"/>
    <w:rsid w:val="001B0B75"/>
    <w:rsid w:val="001F6863"/>
    <w:rsid w:val="00316C02"/>
    <w:rsid w:val="00370FE5"/>
    <w:rsid w:val="00416853"/>
    <w:rsid w:val="00452939"/>
    <w:rsid w:val="0049102E"/>
    <w:rsid w:val="004B2588"/>
    <w:rsid w:val="0054252C"/>
    <w:rsid w:val="00560DD2"/>
    <w:rsid w:val="0061326D"/>
    <w:rsid w:val="00646224"/>
    <w:rsid w:val="007B36C2"/>
    <w:rsid w:val="007C0E8F"/>
    <w:rsid w:val="007D19AE"/>
    <w:rsid w:val="00854BF7"/>
    <w:rsid w:val="008F4AC8"/>
    <w:rsid w:val="00951221"/>
    <w:rsid w:val="009A34F2"/>
    <w:rsid w:val="009C3CD6"/>
    <w:rsid w:val="00AF519B"/>
    <w:rsid w:val="00B93E81"/>
    <w:rsid w:val="00BB3546"/>
    <w:rsid w:val="00C15131"/>
    <w:rsid w:val="00D34DD8"/>
    <w:rsid w:val="00D5247A"/>
    <w:rsid w:val="00DD2B1F"/>
    <w:rsid w:val="00E06003"/>
    <w:rsid w:val="00E20074"/>
    <w:rsid w:val="00E5672F"/>
    <w:rsid w:val="00EF7477"/>
    <w:rsid w:val="00F76E7D"/>
    <w:rsid w:val="00F8451B"/>
    <w:rsid w:val="00FB4AD3"/>
    <w:rsid w:val="00FE7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81733"/>
  <w15:chartTrackingRefBased/>
  <w15:docId w15:val="{52D69CC6-23DD-4247-B751-05A55E161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A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F4A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F4A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F4A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F4A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F4A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A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A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A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A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F4A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F4A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F4A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F4A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F4A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4A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4A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4AC8"/>
    <w:rPr>
      <w:rFonts w:eastAsiaTheme="majorEastAsia" w:cstheme="majorBidi"/>
      <w:color w:val="272727" w:themeColor="text1" w:themeTint="D8"/>
    </w:rPr>
  </w:style>
  <w:style w:type="paragraph" w:styleId="Title">
    <w:name w:val="Title"/>
    <w:basedOn w:val="Normal"/>
    <w:next w:val="Normal"/>
    <w:link w:val="TitleChar"/>
    <w:uiPriority w:val="10"/>
    <w:qFormat/>
    <w:rsid w:val="008F4A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A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4A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4A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AC8"/>
    <w:pPr>
      <w:spacing w:before="160"/>
      <w:jc w:val="center"/>
    </w:pPr>
    <w:rPr>
      <w:i/>
      <w:iCs/>
      <w:color w:val="404040" w:themeColor="text1" w:themeTint="BF"/>
    </w:rPr>
  </w:style>
  <w:style w:type="character" w:customStyle="1" w:styleId="QuoteChar">
    <w:name w:val="Quote Char"/>
    <w:basedOn w:val="DefaultParagraphFont"/>
    <w:link w:val="Quote"/>
    <w:uiPriority w:val="29"/>
    <w:rsid w:val="008F4AC8"/>
    <w:rPr>
      <w:i/>
      <w:iCs/>
      <w:color w:val="404040" w:themeColor="text1" w:themeTint="BF"/>
    </w:rPr>
  </w:style>
  <w:style w:type="paragraph" w:styleId="ListParagraph">
    <w:name w:val="List Paragraph"/>
    <w:basedOn w:val="Normal"/>
    <w:uiPriority w:val="34"/>
    <w:qFormat/>
    <w:rsid w:val="008F4AC8"/>
    <w:pPr>
      <w:ind w:left="720"/>
      <w:contextualSpacing/>
    </w:pPr>
  </w:style>
  <w:style w:type="character" w:styleId="IntenseEmphasis">
    <w:name w:val="Intense Emphasis"/>
    <w:basedOn w:val="DefaultParagraphFont"/>
    <w:uiPriority w:val="21"/>
    <w:qFormat/>
    <w:rsid w:val="008F4AC8"/>
    <w:rPr>
      <w:i/>
      <w:iCs/>
      <w:color w:val="2F5496" w:themeColor="accent1" w:themeShade="BF"/>
    </w:rPr>
  </w:style>
  <w:style w:type="paragraph" w:styleId="IntenseQuote">
    <w:name w:val="Intense Quote"/>
    <w:basedOn w:val="Normal"/>
    <w:next w:val="Normal"/>
    <w:link w:val="IntenseQuoteChar"/>
    <w:uiPriority w:val="30"/>
    <w:qFormat/>
    <w:rsid w:val="008F4A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F4AC8"/>
    <w:rPr>
      <w:i/>
      <w:iCs/>
      <w:color w:val="2F5496" w:themeColor="accent1" w:themeShade="BF"/>
    </w:rPr>
  </w:style>
  <w:style w:type="character" w:styleId="IntenseReference">
    <w:name w:val="Intense Reference"/>
    <w:basedOn w:val="DefaultParagraphFont"/>
    <w:uiPriority w:val="32"/>
    <w:qFormat/>
    <w:rsid w:val="008F4AC8"/>
    <w:rPr>
      <w:b/>
      <w:bCs/>
      <w:smallCaps/>
      <w:color w:val="2F5496" w:themeColor="accent1" w:themeShade="BF"/>
      <w:spacing w:val="5"/>
    </w:rPr>
  </w:style>
  <w:style w:type="character" w:styleId="Hyperlink">
    <w:name w:val="Hyperlink"/>
    <w:basedOn w:val="DefaultParagraphFont"/>
    <w:uiPriority w:val="99"/>
    <w:unhideWhenUsed/>
    <w:rsid w:val="00D5247A"/>
    <w:rPr>
      <w:color w:val="0563C1" w:themeColor="hyperlink"/>
      <w:u w:val="single"/>
    </w:rPr>
  </w:style>
  <w:style w:type="character" w:styleId="UnresolvedMention">
    <w:name w:val="Unresolved Mention"/>
    <w:basedOn w:val="DefaultParagraphFont"/>
    <w:uiPriority w:val="99"/>
    <w:semiHidden/>
    <w:unhideWhenUsed/>
    <w:rsid w:val="00D5247A"/>
    <w:rPr>
      <w:color w:val="605E5C"/>
      <w:shd w:val="clear" w:color="auto" w:fill="E1DFDD"/>
    </w:rPr>
  </w:style>
  <w:style w:type="paragraph" w:styleId="NoSpacing">
    <w:name w:val="No Spacing"/>
    <w:link w:val="NoSpacingChar"/>
    <w:uiPriority w:val="1"/>
    <w:qFormat/>
    <w:rsid w:val="001B0B7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B0B7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6519366">
      <w:bodyDiv w:val="1"/>
      <w:marLeft w:val="0"/>
      <w:marRight w:val="0"/>
      <w:marTop w:val="0"/>
      <w:marBottom w:val="0"/>
      <w:divBdr>
        <w:top w:val="none" w:sz="0" w:space="0" w:color="auto"/>
        <w:left w:val="none" w:sz="0" w:space="0" w:color="auto"/>
        <w:bottom w:val="none" w:sz="0" w:space="0" w:color="auto"/>
        <w:right w:val="none" w:sz="0" w:space="0" w:color="auto"/>
      </w:divBdr>
    </w:div>
    <w:div w:id="1426995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21042242300045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sis.unipd.it/bitstream/20.500.12608/23276/1/Benato_Riccardo.pdf" TargetMode="External"/><Relationship Id="rId12" Type="http://schemas.openxmlformats.org/officeDocument/2006/relationships/hyperlink" Target="https://books.googl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bherman.com/uploads/1/3/2/1/132140162/garza_iris_herman_clinton_huron_paul-ba5320_team_3_final_project.pdf" TargetMode="External"/><Relationship Id="rId5" Type="http://schemas.openxmlformats.org/officeDocument/2006/relationships/image" Target="media/image1.png"/><Relationship Id="rId10" Type="http://schemas.openxmlformats.org/officeDocument/2006/relationships/hyperlink" Target="https://search.proquest.com/openview/cea4b060b0aba5ed157be90e41c37091/1?pq-origsite=gscholar&amp;cbl=2026366&amp;diss=y" TargetMode="External"/><Relationship Id="rId4" Type="http://schemas.openxmlformats.org/officeDocument/2006/relationships/webSettings" Target="webSettings.xml"/><Relationship Id="rId9" Type="http://schemas.openxmlformats.org/officeDocument/2006/relationships/hyperlink" Target="https://www.bib.irb.hr:8443/1258564/download/1258564.Company_Analysis_and_Risk_Management_Strategies_-_A_Case_Study_Collection_eBook.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5</Pages>
  <Words>921</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innovation (BMSW4014)</dc:title>
  <dc:subject>Assignment 1: SWOT Analysis Of Starbuck’s</dc:subject>
  <dc:creator>Word count: 504</dc:creator>
  <cp:keywords/>
  <dc:description/>
  <cp:lastModifiedBy>Iustina Mirela Rusei</cp:lastModifiedBy>
  <cp:revision>32</cp:revision>
  <dcterms:created xsi:type="dcterms:W3CDTF">2024-11-04T23:33:00Z</dcterms:created>
  <dcterms:modified xsi:type="dcterms:W3CDTF">2024-11-08T13:19:00Z</dcterms:modified>
</cp:coreProperties>
</file>