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2CA93F58"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1E33C3">
              <w:rPr>
                <w:rFonts w:asciiTheme="minorHAnsi" w:hAnsiTheme="minorHAnsi" w:cs="Calibri"/>
                <w:lang w:val="de-DE"/>
              </w:rPr>
              <w:t xml:space="preserve"> Haoran Liu</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7C4B651F"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1E33C3">
              <w:rPr>
                <w:rFonts w:asciiTheme="minorHAnsi" w:hAnsiTheme="minorHAnsi" w:cs="Calibri"/>
              </w:rPr>
              <w:t xml:space="preserve"> </w:t>
            </w:r>
            <w:r w:rsidR="00144555" w:rsidRPr="00144555">
              <w:rPr>
                <w:rFonts w:asciiTheme="minorHAnsi" w:hAnsiTheme="minorHAnsi" w:cs="Calibri"/>
                <w:b/>
                <w:bCs/>
              </w:rPr>
              <w:t>2425483</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3B26CD5E" w:rsidR="00160509" w:rsidRPr="00844DE4" w:rsidRDefault="00160509" w:rsidP="001E33C3">
            <w:pPr>
              <w:spacing w:before="60" w:after="60"/>
              <w:rPr>
                <w:rFonts w:asciiTheme="minorHAnsi" w:hAnsiTheme="minorHAnsi" w:cs="Calibri"/>
                <w:b/>
                <w:bCs/>
              </w:rPr>
            </w:pPr>
            <w:r w:rsidRPr="00844DE4">
              <w:rPr>
                <w:rFonts w:asciiTheme="minorHAnsi" w:hAnsiTheme="minorHAnsi" w:cs="Calibri"/>
                <w:b/>
                <w:bCs/>
              </w:rPr>
              <w:t>Student(s) TSD Name(s):</w:t>
            </w:r>
            <w:r w:rsidR="001E33C3">
              <w:rPr>
                <w:rFonts w:asciiTheme="minorHAnsi" w:hAnsiTheme="minorHAnsi" w:cs="Calibri"/>
                <w:b/>
                <w:bCs/>
              </w:rPr>
              <w:t xml:space="preserve"> </w:t>
            </w:r>
            <w:r w:rsidR="00144555" w:rsidRPr="00144555">
              <w:rPr>
                <w:rFonts w:asciiTheme="minorHAnsi" w:hAnsiTheme="minorHAnsi" w:cs="Calibri"/>
                <w:b/>
                <w:bCs/>
              </w:rPr>
              <w:t>AKTER, JUMA</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1E33C3"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5751A5E4" w:rsidR="00160509" w:rsidRPr="00844DE4" w:rsidRDefault="00CA67E9" w:rsidP="00A30926">
            <w:pPr>
              <w:pStyle w:val="Header"/>
              <w:jc w:val="center"/>
              <w:rPr>
                <w:rFonts w:cs="Calibri"/>
              </w:rPr>
            </w:pPr>
            <w:r>
              <w:rPr>
                <w:rFonts w:cs="Calibri"/>
              </w:rPr>
              <w:t>1</w:t>
            </w:r>
            <w:r w:rsidR="0054065B">
              <w:rPr>
                <w:rFonts w:cs="Calibri"/>
              </w:rPr>
              <w:t>0</w:t>
            </w:r>
          </w:p>
        </w:tc>
        <w:tc>
          <w:tcPr>
            <w:tcW w:w="6521" w:type="dxa"/>
            <w:vAlign w:val="bottom"/>
          </w:tcPr>
          <w:p w14:paraId="2AB8EBAE" w14:textId="0EF9C0FF" w:rsidR="00844DE4" w:rsidRPr="001E33C3" w:rsidRDefault="0054065B" w:rsidP="001E33C3">
            <w:pPr>
              <w:pStyle w:val="NormalWeb"/>
              <w:rPr>
                <w:rFonts w:asciiTheme="minorHAnsi" w:hAnsiTheme="minorHAnsi"/>
                <w:bCs/>
                <w:lang w:val="en-US" w:eastAsia="en-US"/>
              </w:rPr>
            </w:pPr>
            <w:r w:rsidRPr="0054065B">
              <w:rPr>
                <w:rFonts w:asciiTheme="minorHAnsi" w:hAnsiTheme="minorHAnsi"/>
                <w:bCs/>
                <w:lang w:val="en-US" w:eastAsia="en-US"/>
              </w:rPr>
              <w:t>The literature review is broad and demonstrates good awareness of contemporary debates around digital transformation, customer engagement, and retail competition. There is limited interrogation of contradictory findings, methodological weaknesses in prior studies, or theoretical tensions between emotional vs transactional engagement models. The review would benefit from deeper synthesis and more explicit critique of how legacy brands differ from high</w:t>
            </w:r>
            <w:r w:rsidRPr="0054065B">
              <w:rPr>
                <w:rFonts w:ascii="Cambria Math" w:hAnsi="Cambria Math" w:cs="Cambria Math"/>
                <w:bCs/>
                <w:lang w:val="en-US" w:eastAsia="en-US"/>
              </w:rPr>
              <w:t>‑</w:t>
            </w:r>
            <w:r w:rsidRPr="0054065B">
              <w:rPr>
                <w:rFonts w:asciiTheme="minorHAnsi" w:hAnsiTheme="minorHAnsi"/>
                <w:bCs/>
                <w:lang w:val="en-US" w:eastAsia="en-US"/>
              </w:rPr>
              <w:t>volume retailers.</w:t>
            </w:r>
          </w:p>
        </w:tc>
      </w:tr>
      <w:tr w:rsidR="00160509" w:rsidRPr="001E33C3"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52B638D3" w:rsidR="00160509" w:rsidRPr="00844DE4" w:rsidRDefault="00CA67E9" w:rsidP="00A30926">
            <w:pPr>
              <w:pStyle w:val="Header"/>
              <w:jc w:val="center"/>
              <w:rPr>
                <w:rFonts w:cs="Calibri"/>
              </w:rPr>
            </w:pPr>
            <w:r>
              <w:rPr>
                <w:rFonts w:cs="Calibri"/>
              </w:rPr>
              <w:t>1</w:t>
            </w:r>
            <w:r w:rsidR="0054065B">
              <w:rPr>
                <w:rFonts w:cs="Calibri"/>
              </w:rPr>
              <w:t>4</w:t>
            </w:r>
          </w:p>
        </w:tc>
        <w:tc>
          <w:tcPr>
            <w:tcW w:w="6521" w:type="dxa"/>
            <w:vAlign w:val="bottom"/>
          </w:tcPr>
          <w:p w14:paraId="33999233" w14:textId="5E0E56EC" w:rsidR="00FC18FC" w:rsidRPr="001E33C3" w:rsidRDefault="0054065B" w:rsidP="001E33C3">
            <w:pPr>
              <w:pStyle w:val="NormalWeb"/>
              <w:rPr>
                <w:rFonts w:asciiTheme="minorHAnsi" w:hAnsiTheme="minorHAnsi"/>
                <w:bCs/>
                <w:lang w:val="en-US" w:eastAsia="en-US"/>
              </w:rPr>
            </w:pPr>
            <w:r w:rsidRPr="0054065B">
              <w:rPr>
                <w:rFonts w:asciiTheme="minorHAnsi" w:hAnsiTheme="minorHAnsi"/>
                <w:bCs/>
                <w:lang w:val="en-US" w:eastAsia="en-US"/>
              </w:rPr>
              <w:t>This submission demonstrates solid understanding of digital marketing strategies and their relevance to customer engagement in the UK retail sector. The student clearly explains constructs such as engagement cycles, omni</w:t>
            </w:r>
            <w:r w:rsidRPr="0054065B">
              <w:rPr>
                <w:rFonts w:ascii="Cambria Math" w:hAnsi="Cambria Math" w:cs="Cambria Math"/>
                <w:bCs/>
                <w:lang w:val="en-US" w:eastAsia="en-US"/>
              </w:rPr>
              <w:t>‑</w:t>
            </w:r>
            <w:r w:rsidRPr="0054065B">
              <w:rPr>
                <w:rFonts w:asciiTheme="minorHAnsi" w:hAnsiTheme="minorHAnsi"/>
                <w:bCs/>
                <w:lang w:val="en-US" w:eastAsia="en-US"/>
              </w:rPr>
              <w:t>channel usability, and emotional storytelling. The conceptual framework is coherent, but the distinction between transactional and emotional pathways could be articulated more rigorously. A deeper theoretical insight into how digital complexity interacts with customer experience would strengthen this section.</w:t>
            </w:r>
          </w:p>
        </w:tc>
      </w:tr>
      <w:tr w:rsidR="00160509" w:rsidRPr="001E33C3"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6822E2C1" w:rsidR="00160509" w:rsidRPr="00844DE4" w:rsidRDefault="00CA67E9" w:rsidP="00A30926">
            <w:pPr>
              <w:pStyle w:val="Header"/>
              <w:jc w:val="center"/>
              <w:rPr>
                <w:rFonts w:cs="Calibri"/>
              </w:rPr>
            </w:pPr>
            <w:r>
              <w:rPr>
                <w:rFonts w:cs="Calibri"/>
              </w:rPr>
              <w:t>1</w:t>
            </w:r>
            <w:r w:rsidR="0054065B">
              <w:rPr>
                <w:rFonts w:cs="Calibri"/>
              </w:rPr>
              <w:t>5</w:t>
            </w:r>
          </w:p>
        </w:tc>
        <w:tc>
          <w:tcPr>
            <w:tcW w:w="6521" w:type="dxa"/>
            <w:vAlign w:val="bottom"/>
          </w:tcPr>
          <w:p w14:paraId="4BD5801E" w14:textId="0BA3CBEA" w:rsidR="00CA5C14" w:rsidRPr="001E33C3" w:rsidRDefault="0054065B" w:rsidP="00540492">
            <w:pPr>
              <w:pStyle w:val="NormalWeb"/>
              <w:rPr>
                <w:rFonts w:asciiTheme="minorHAnsi" w:hAnsiTheme="minorHAnsi"/>
                <w:bCs/>
                <w:lang w:val="en-US" w:eastAsia="en-US"/>
              </w:rPr>
            </w:pPr>
            <w:r w:rsidRPr="0054065B">
              <w:rPr>
                <w:rFonts w:asciiTheme="minorHAnsi" w:hAnsiTheme="minorHAnsi"/>
                <w:bCs/>
                <w:lang w:val="en-US" w:eastAsia="en-US"/>
              </w:rPr>
              <w:t>The cross</w:t>
            </w:r>
            <w:r w:rsidRPr="0054065B">
              <w:rPr>
                <w:rFonts w:ascii="Cambria Math" w:hAnsi="Cambria Math" w:cs="Cambria Math"/>
                <w:bCs/>
                <w:lang w:val="en-US" w:eastAsia="en-US"/>
              </w:rPr>
              <w:t>‑</w:t>
            </w:r>
            <w:r w:rsidRPr="0054065B">
              <w:rPr>
                <w:rFonts w:asciiTheme="minorHAnsi" w:hAnsiTheme="minorHAnsi"/>
                <w:bCs/>
                <w:lang w:val="en-US" w:eastAsia="en-US"/>
              </w:rPr>
              <w:t>case analysis identifies meaningful patterns, such as the divide between emotional heritage branding and transactional digital systems. The student demonstrates competent abductive reasoning, moving between theory and evidence to develop context</w:t>
            </w:r>
            <w:r w:rsidRPr="0054065B">
              <w:rPr>
                <w:rFonts w:ascii="Cambria Math" w:hAnsi="Cambria Math" w:cs="Cambria Math"/>
                <w:bCs/>
                <w:lang w:val="en-US" w:eastAsia="en-US"/>
              </w:rPr>
              <w:t>‑</w:t>
            </w:r>
            <w:r w:rsidRPr="0054065B">
              <w:rPr>
                <w:rFonts w:asciiTheme="minorHAnsi" w:hAnsiTheme="minorHAnsi"/>
                <w:bCs/>
                <w:lang w:val="en-US" w:eastAsia="en-US"/>
              </w:rPr>
              <w:t xml:space="preserve">dependent insights. However, the analysis remains largely descriptive, with limited interrogation of alternative </w:t>
            </w:r>
            <w:proofErr w:type="spellStart"/>
            <w:r w:rsidRPr="0054065B">
              <w:rPr>
                <w:rFonts w:asciiTheme="minorHAnsi" w:hAnsiTheme="minorHAnsi"/>
                <w:bCs/>
                <w:lang w:val="en-US" w:eastAsia="en-US"/>
              </w:rPr>
              <w:t>explanationsThe</w:t>
            </w:r>
            <w:proofErr w:type="spellEnd"/>
            <w:r w:rsidRPr="0054065B">
              <w:rPr>
                <w:rFonts w:asciiTheme="minorHAnsi" w:hAnsiTheme="minorHAnsi"/>
                <w:bCs/>
                <w:lang w:val="en-US" w:eastAsia="en-US"/>
              </w:rPr>
              <w:t xml:space="preserve"> conceptual model refinement is thoughtful but lacks deeper critical engagement with boundary conditions. </w:t>
            </w:r>
          </w:p>
        </w:tc>
      </w:tr>
      <w:tr w:rsidR="00160509" w:rsidRPr="001E33C3"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10B24537" w:rsidR="00160509" w:rsidRPr="00844DE4" w:rsidRDefault="00CA67E9" w:rsidP="00A30926">
            <w:pPr>
              <w:pStyle w:val="Header"/>
              <w:jc w:val="center"/>
              <w:rPr>
                <w:rFonts w:cs="Calibri"/>
              </w:rPr>
            </w:pPr>
            <w:r>
              <w:rPr>
                <w:rFonts w:cs="Calibri"/>
              </w:rPr>
              <w:t>1</w:t>
            </w:r>
            <w:r w:rsidR="000B148E">
              <w:rPr>
                <w:rFonts w:cs="Calibri"/>
              </w:rPr>
              <w:t>2</w:t>
            </w:r>
          </w:p>
        </w:tc>
        <w:tc>
          <w:tcPr>
            <w:tcW w:w="6521" w:type="dxa"/>
            <w:vAlign w:val="bottom"/>
          </w:tcPr>
          <w:p w14:paraId="0D721715" w14:textId="62427517" w:rsidR="00160509" w:rsidRPr="001E33C3" w:rsidRDefault="0054065B" w:rsidP="001E33C3">
            <w:pPr>
              <w:pStyle w:val="NormalWeb"/>
              <w:rPr>
                <w:rFonts w:asciiTheme="minorHAnsi" w:hAnsiTheme="minorHAnsi"/>
                <w:bCs/>
                <w:lang w:val="en-US" w:eastAsia="en-US"/>
              </w:rPr>
            </w:pPr>
            <w:r w:rsidRPr="0054065B">
              <w:rPr>
                <w:rFonts w:asciiTheme="minorHAnsi" w:hAnsiTheme="minorHAnsi"/>
                <w:bCs/>
                <w:lang w:val="en-US" w:eastAsia="en-US"/>
              </w:rPr>
              <w:t xml:space="preserve">The practical implications are relevant and appropriately linked to the findings, demonstrating the student’s ability to translate academic insights into actionable guidance. Recommendations such as </w:t>
            </w:r>
            <w:proofErr w:type="spellStart"/>
            <w:r w:rsidRPr="0054065B">
              <w:rPr>
                <w:rFonts w:asciiTheme="minorHAnsi" w:hAnsiTheme="minorHAnsi"/>
                <w:bCs/>
                <w:lang w:val="en-US" w:eastAsia="en-US"/>
              </w:rPr>
              <w:t>prioritising</w:t>
            </w:r>
            <w:proofErr w:type="spellEnd"/>
            <w:r w:rsidRPr="0054065B">
              <w:rPr>
                <w:rFonts w:asciiTheme="minorHAnsi" w:hAnsiTheme="minorHAnsi"/>
                <w:bCs/>
                <w:lang w:val="en-US" w:eastAsia="en-US"/>
              </w:rPr>
              <w:t xml:space="preserve"> platform simplicity and aligning digital marketing with supply chain capabilities are sensible. However, the section lacks operational detail: there is no guidance on how managers should assess usability, how to evaluate emotional storytelling effectiveness, or how to mitigate risks associated with digital complexity. </w:t>
            </w:r>
          </w:p>
        </w:tc>
      </w:tr>
      <w:tr w:rsidR="00160509" w:rsidRPr="001E33C3"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lastRenderedPageBreak/>
              <w:t>5.</w:t>
            </w:r>
            <w:r w:rsidRPr="00844DE4">
              <w:rPr>
                <w:bCs/>
              </w:rPr>
              <w:t xml:space="preserve"> </w:t>
            </w:r>
            <w:r w:rsidR="00627077" w:rsidRPr="00627077">
              <w:rPr>
                <w:bCs/>
              </w:rPr>
              <w:t>Transferable Skills for Life and 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4CBB3785" w:rsidR="00160509" w:rsidRPr="00844DE4" w:rsidRDefault="00CA67E9" w:rsidP="00A30926">
            <w:pPr>
              <w:pStyle w:val="Header"/>
              <w:jc w:val="center"/>
              <w:rPr>
                <w:rFonts w:cs="Calibri"/>
              </w:rPr>
            </w:pPr>
            <w:r>
              <w:rPr>
                <w:rFonts w:cs="Calibri"/>
              </w:rPr>
              <w:t>1</w:t>
            </w:r>
            <w:r w:rsidR="005D39F6">
              <w:rPr>
                <w:rFonts w:cs="Calibri"/>
              </w:rPr>
              <w:t>2</w:t>
            </w:r>
          </w:p>
        </w:tc>
        <w:tc>
          <w:tcPr>
            <w:tcW w:w="6521" w:type="dxa"/>
            <w:vAlign w:val="bottom"/>
          </w:tcPr>
          <w:p w14:paraId="0CB3F9B1" w14:textId="02B509F6" w:rsidR="00160509" w:rsidRPr="001E33C3" w:rsidRDefault="002B12BE" w:rsidP="001E33C3">
            <w:pPr>
              <w:pStyle w:val="NormalWeb"/>
              <w:rPr>
                <w:rFonts w:asciiTheme="minorHAnsi" w:hAnsiTheme="minorHAnsi"/>
                <w:bCs/>
                <w:lang w:val="en-US" w:eastAsia="en-US"/>
              </w:rPr>
            </w:pPr>
            <w:r w:rsidRPr="002B12BE">
              <w:rPr>
                <w:rFonts w:asciiTheme="minorHAnsi" w:hAnsiTheme="minorHAnsi"/>
                <w:bCs/>
                <w:lang w:val="en-US" w:eastAsia="en-US"/>
              </w:rPr>
              <w:t>The dissertation demonstrates strong academic writing skills, professional presentation, and clear communication of complex branding concepts. The structure is logical and well</w:t>
            </w:r>
            <w:r w:rsidRPr="002B12BE">
              <w:rPr>
                <w:rFonts w:ascii="Cambria Math" w:hAnsi="Cambria Math" w:cs="Cambria Math"/>
                <w:bCs/>
                <w:lang w:val="en-US" w:eastAsia="en-US"/>
              </w:rPr>
              <w:t>‑</w:t>
            </w:r>
            <w:proofErr w:type="spellStart"/>
            <w:r w:rsidRPr="002B12BE">
              <w:rPr>
                <w:rFonts w:asciiTheme="minorHAnsi" w:hAnsiTheme="minorHAnsi"/>
                <w:bCs/>
                <w:lang w:val="en-US" w:eastAsia="en-US"/>
              </w:rPr>
              <w:t>organised</w:t>
            </w:r>
            <w:proofErr w:type="spellEnd"/>
            <w:r w:rsidRPr="002B12BE">
              <w:rPr>
                <w:rFonts w:asciiTheme="minorHAnsi" w:hAnsiTheme="minorHAnsi"/>
                <w:bCs/>
                <w:lang w:val="en-US" w:eastAsia="en-US"/>
              </w:rPr>
              <w:t>, with clear progression through chapters. However, several issues reduce academic professionalism</w:t>
            </w:r>
            <w:r>
              <w:rPr>
                <w:rFonts w:asciiTheme="minorHAnsi" w:hAnsiTheme="minorHAnsi"/>
                <w:bCs/>
                <w:lang w:val="en-US" w:eastAsia="en-US"/>
              </w:rPr>
              <w:t xml:space="preserve">. </w:t>
            </w:r>
            <w:r w:rsidR="0054065B" w:rsidRPr="0054065B">
              <w:rPr>
                <w:rFonts w:asciiTheme="minorHAnsi" w:hAnsiTheme="minorHAnsi"/>
                <w:bCs/>
                <w:lang w:val="en-US" w:eastAsia="en-US"/>
              </w:rPr>
              <w:t>Several references are incomplete or missing publication details.</w:t>
            </w:r>
            <w:r w:rsidR="0054065B">
              <w:rPr>
                <w:rFonts w:asciiTheme="minorHAnsi" w:hAnsiTheme="minorHAnsi"/>
                <w:bCs/>
                <w:lang w:val="en-US" w:eastAsia="en-US"/>
              </w:rPr>
              <w:t xml:space="preserve"> </w:t>
            </w:r>
            <w:r w:rsidR="0054065B" w:rsidRPr="0054065B">
              <w:rPr>
                <w:rFonts w:asciiTheme="minorHAnsi" w:hAnsiTheme="minorHAnsi"/>
                <w:bCs/>
                <w:lang w:val="en-US" w:eastAsia="en-US"/>
              </w:rPr>
              <w:t>Reference list contains formatting inconsistencies and missing DOIs/URLs.</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54B5011E" w:rsidR="00160509" w:rsidRPr="00844DE4" w:rsidRDefault="00CA67E9" w:rsidP="00A30926">
            <w:pPr>
              <w:pStyle w:val="Header"/>
              <w:jc w:val="center"/>
              <w:rPr>
                <w:rFonts w:cs="Calibri"/>
              </w:rPr>
            </w:pPr>
            <w:r>
              <w:rPr>
                <w:rFonts w:cs="Calibri"/>
              </w:rPr>
              <w:t>6</w:t>
            </w:r>
            <w:r w:rsidR="0054065B">
              <w:rPr>
                <w:rFonts w:cs="Calibri"/>
              </w:rPr>
              <w:t>3</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10D26918" w14:textId="7C598430" w:rsidR="00160509" w:rsidRPr="00DB4263" w:rsidRDefault="0054065B" w:rsidP="00DB4263">
            <w:pPr>
              <w:pStyle w:val="Header"/>
              <w:ind w:right="480"/>
            </w:pPr>
            <w:r w:rsidRPr="0054065B">
              <w:t xml:space="preserve">This submission is clearly structured and demonstrates strong engagement with digital marketing, customer engagement theory, and the UK retail context. The comparative case study approach is </w:t>
            </w:r>
            <w:proofErr w:type="gramStart"/>
            <w:r w:rsidRPr="0054065B">
              <w:t>appropriate</w:t>
            </w:r>
            <w:proofErr w:type="gramEnd"/>
            <w:r w:rsidRPr="0054065B">
              <w:t xml:space="preserve"> and the student shows good interpretive ability. However, the analysis remains largely descriptive, theoretical integration is uneven, and several figures/tables lack academic quality. Referencing and formatting inconsistencies also reduce the professionalism of the dissertation.</w:t>
            </w:r>
            <w:r>
              <w:t xml:space="preserve"> </w:t>
            </w:r>
            <w:r w:rsidR="00160509"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8BCE7" w14:textId="77777777" w:rsidR="00AA3760" w:rsidRDefault="00AA3760" w:rsidP="003E76A2">
      <w:r>
        <w:separator/>
      </w:r>
    </w:p>
  </w:endnote>
  <w:endnote w:type="continuationSeparator" w:id="0">
    <w:p w14:paraId="5684B840" w14:textId="77777777" w:rsidR="00AA3760" w:rsidRDefault="00AA3760" w:rsidP="003E76A2">
      <w:r>
        <w:continuationSeparator/>
      </w:r>
    </w:p>
  </w:endnote>
  <w:endnote w:type="continuationNotice" w:id="1">
    <w:p w14:paraId="7A6B591E" w14:textId="77777777" w:rsidR="00AA3760" w:rsidRDefault="00AA37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DF888" w14:textId="77777777" w:rsidR="00AA3760" w:rsidRDefault="00AA3760" w:rsidP="003E76A2">
      <w:r>
        <w:separator/>
      </w:r>
    </w:p>
  </w:footnote>
  <w:footnote w:type="continuationSeparator" w:id="0">
    <w:p w14:paraId="08AA8044" w14:textId="77777777" w:rsidR="00AA3760" w:rsidRDefault="00AA3760" w:rsidP="003E76A2">
      <w:r>
        <w:continuationSeparator/>
      </w:r>
    </w:p>
  </w:footnote>
  <w:footnote w:type="continuationNotice" w:id="1">
    <w:p w14:paraId="09108E10" w14:textId="77777777" w:rsidR="00AA3760" w:rsidRDefault="00AA3760"/>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cysLQ0MTUzsLA0sDRR0lEKTi0uzszPAykwrgUAqNjzaCwAAAA="/>
  </w:docVars>
  <w:rsids>
    <w:rsidRoot w:val="00127072"/>
    <w:rsid w:val="000178C4"/>
    <w:rsid w:val="00071F61"/>
    <w:rsid w:val="00072533"/>
    <w:rsid w:val="000B148E"/>
    <w:rsid w:val="000B4B03"/>
    <w:rsid w:val="00106937"/>
    <w:rsid w:val="00127072"/>
    <w:rsid w:val="00132C8B"/>
    <w:rsid w:val="00144555"/>
    <w:rsid w:val="00144E7C"/>
    <w:rsid w:val="00160509"/>
    <w:rsid w:val="00167936"/>
    <w:rsid w:val="00197DE6"/>
    <w:rsid w:val="001B0DAA"/>
    <w:rsid w:val="001C20BE"/>
    <w:rsid w:val="001E33C3"/>
    <w:rsid w:val="001F12B4"/>
    <w:rsid w:val="00232DEB"/>
    <w:rsid w:val="00244F79"/>
    <w:rsid w:val="00245033"/>
    <w:rsid w:val="002644D2"/>
    <w:rsid w:val="002677E0"/>
    <w:rsid w:val="002737A3"/>
    <w:rsid w:val="002833BF"/>
    <w:rsid w:val="002B12BE"/>
    <w:rsid w:val="002C5106"/>
    <w:rsid w:val="003134CC"/>
    <w:rsid w:val="0035292C"/>
    <w:rsid w:val="00366927"/>
    <w:rsid w:val="00387F4E"/>
    <w:rsid w:val="003956F5"/>
    <w:rsid w:val="003A44D5"/>
    <w:rsid w:val="003E76A2"/>
    <w:rsid w:val="004221C5"/>
    <w:rsid w:val="004326F5"/>
    <w:rsid w:val="0044103B"/>
    <w:rsid w:val="004B3503"/>
    <w:rsid w:val="004B56B6"/>
    <w:rsid w:val="004C415A"/>
    <w:rsid w:val="004C7623"/>
    <w:rsid w:val="004D4062"/>
    <w:rsid w:val="00514597"/>
    <w:rsid w:val="00540492"/>
    <w:rsid w:val="0054065B"/>
    <w:rsid w:val="00596DE8"/>
    <w:rsid w:val="005B06E9"/>
    <w:rsid w:val="005D39F6"/>
    <w:rsid w:val="005D5EDB"/>
    <w:rsid w:val="00603D8C"/>
    <w:rsid w:val="00604D26"/>
    <w:rsid w:val="00627077"/>
    <w:rsid w:val="007015EE"/>
    <w:rsid w:val="00705C9C"/>
    <w:rsid w:val="00761BE5"/>
    <w:rsid w:val="00767085"/>
    <w:rsid w:val="00791A7E"/>
    <w:rsid w:val="00792C89"/>
    <w:rsid w:val="0081474E"/>
    <w:rsid w:val="00834569"/>
    <w:rsid w:val="00844DE4"/>
    <w:rsid w:val="00875CDF"/>
    <w:rsid w:val="00887819"/>
    <w:rsid w:val="009166FC"/>
    <w:rsid w:val="00961D9C"/>
    <w:rsid w:val="009C6514"/>
    <w:rsid w:val="009F030F"/>
    <w:rsid w:val="00A013CB"/>
    <w:rsid w:val="00A30926"/>
    <w:rsid w:val="00A5072F"/>
    <w:rsid w:val="00AA3760"/>
    <w:rsid w:val="00AA37A0"/>
    <w:rsid w:val="00B466BE"/>
    <w:rsid w:val="00B46F51"/>
    <w:rsid w:val="00BA61B2"/>
    <w:rsid w:val="00BB715C"/>
    <w:rsid w:val="00C4635D"/>
    <w:rsid w:val="00CA5C14"/>
    <w:rsid w:val="00CA67E9"/>
    <w:rsid w:val="00CF17CB"/>
    <w:rsid w:val="00D12369"/>
    <w:rsid w:val="00D51F84"/>
    <w:rsid w:val="00D818BF"/>
    <w:rsid w:val="00DA6320"/>
    <w:rsid w:val="00DB4263"/>
    <w:rsid w:val="00DE5AFC"/>
    <w:rsid w:val="00DF64EA"/>
    <w:rsid w:val="00E14B1E"/>
    <w:rsid w:val="00E155B9"/>
    <w:rsid w:val="00E6104A"/>
    <w:rsid w:val="00E84456"/>
    <w:rsid w:val="00F020A3"/>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 w:type="paragraph" w:styleId="NormalWeb">
    <w:name w:val="Normal (Web)"/>
    <w:basedOn w:val="Normal"/>
    <w:uiPriority w:val="99"/>
    <w:unhideWhenUsed/>
    <w:rsid w:val="001E33C3"/>
    <w:pPr>
      <w:spacing w:before="100" w:beforeAutospacing="1" w:after="100" w:afterAutospacing="1"/>
    </w:pPr>
    <w:rPr>
      <w:lang w:eastAsia="zh-CN"/>
    </w:rPr>
  </w:style>
  <w:style w:type="character" w:styleId="Strong">
    <w:name w:val="Strong"/>
    <w:basedOn w:val="DefaultParagraphFont"/>
    <w:uiPriority w:val="22"/>
    <w:qFormat/>
    <w:rsid w:val="001E33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578</Words>
  <Characters>3301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Dr. Haoran Liu</cp:lastModifiedBy>
  <cp:revision>4</cp:revision>
  <dcterms:created xsi:type="dcterms:W3CDTF">2026-06-30T14:40:00Z</dcterms:created>
  <dcterms:modified xsi:type="dcterms:W3CDTF">2026-06-30T14:54:00Z</dcterms:modified>
</cp:coreProperties>
</file>