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CEB3E2" w14:textId="77777777" w:rsidR="00FA703E" w:rsidRDefault="00FA703E">
      <w:pPr>
        <w:rPr>
          <w:b/>
          <w:bCs/>
          <w:sz w:val="32"/>
          <w:szCs w:val="32"/>
          <w:lang w:val="en-US"/>
        </w:rPr>
      </w:pPr>
    </w:p>
    <w:p w14:paraId="2715719A" w14:textId="77777777" w:rsidR="00FA703E" w:rsidRDefault="00FA703E">
      <w:pPr>
        <w:rPr>
          <w:b/>
          <w:bCs/>
          <w:sz w:val="32"/>
          <w:szCs w:val="32"/>
          <w:lang w:val="en-US"/>
        </w:rPr>
      </w:pPr>
    </w:p>
    <w:p w14:paraId="7B594F64" w14:textId="77777777" w:rsidR="00FA703E" w:rsidRPr="00FA703E" w:rsidRDefault="00FA703E" w:rsidP="00FA703E">
      <w:pPr>
        <w:jc w:val="center"/>
        <w:rPr>
          <w:rFonts w:ascii="Calibri" w:eastAsia="Calibri" w:hAnsi="Calibri" w:cs="Times New Roman"/>
          <w:b/>
          <w:bCs/>
          <w:noProof w:val="0"/>
          <w:sz w:val="72"/>
          <w:szCs w:val="72"/>
          <w:lang w:val="en-GB"/>
        </w:rPr>
      </w:pPr>
      <w:r w:rsidRPr="00FA703E">
        <w:rPr>
          <w:rFonts w:ascii="Calibri" w:eastAsia="Calibri" w:hAnsi="Calibri" w:cs="Times New Roman"/>
          <w:b/>
          <w:bCs/>
          <w:noProof w:val="0"/>
          <w:sz w:val="72"/>
          <w:szCs w:val="72"/>
          <w:lang w:val="en-GB"/>
        </w:rPr>
        <w:t>LEARNING LOG</w:t>
      </w:r>
    </w:p>
    <w:p w14:paraId="2C47AE1C" w14:textId="77777777" w:rsidR="00FA703E" w:rsidRPr="00FA703E" w:rsidRDefault="00FA703E" w:rsidP="00FA703E">
      <w:pPr>
        <w:jc w:val="center"/>
        <w:rPr>
          <w:rFonts w:ascii="Calibri" w:eastAsia="Calibri" w:hAnsi="Calibri" w:cs="Times New Roman"/>
          <w:noProof w:val="0"/>
          <w:lang w:val="en-GB"/>
        </w:rPr>
      </w:pPr>
    </w:p>
    <w:p w14:paraId="54EF2889" w14:textId="210F26E1" w:rsidR="00FA703E" w:rsidRPr="00FA703E" w:rsidRDefault="00FA703E" w:rsidP="00FA703E">
      <w:pPr>
        <w:jc w:val="center"/>
        <w:rPr>
          <w:rFonts w:ascii="Calibri" w:eastAsia="Calibri" w:hAnsi="Calibri" w:cs="Times New Roman"/>
          <w:b/>
          <w:bCs/>
          <w:noProof w:val="0"/>
          <w:sz w:val="40"/>
          <w:szCs w:val="40"/>
          <w:lang w:val="en-GB"/>
        </w:rPr>
      </w:pPr>
      <w:r w:rsidRPr="00FA703E">
        <w:rPr>
          <w:rFonts w:ascii="Calibri" w:eastAsia="Calibri" w:hAnsi="Calibri" w:cs="Times New Roman"/>
          <w:b/>
          <w:bCs/>
          <w:noProof w:val="0"/>
          <w:sz w:val="40"/>
          <w:szCs w:val="40"/>
          <w:lang w:val="en-GB"/>
        </w:rPr>
        <w:t xml:space="preserve">Managing </w:t>
      </w:r>
      <w:r>
        <w:rPr>
          <w:rFonts w:ascii="Calibri" w:eastAsia="Calibri" w:hAnsi="Calibri" w:cs="Times New Roman"/>
          <w:b/>
          <w:bCs/>
          <w:noProof w:val="0"/>
          <w:sz w:val="40"/>
          <w:szCs w:val="40"/>
          <w:lang w:val="en-GB"/>
        </w:rPr>
        <w:t>Food &amp; Beverage Operation</w:t>
      </w:r>
    </w:p>
    <w:p w14:paraId="75F2EABB" w14:textId="77777777" w:rsidR="00FA703E" w:rsidRPr="00FA703E" w:rsidRDefault="00FA703E" w:rsidP="00FA703E">
      <w:pPr>
        <w:jc w:val="center"/>
        <w:rPr>
          <w:rFonts w:ascii="Calibri" w:eastAsia="Calibri" w:hAnsi="Calibri" w:cs="Times New Roman"/>
          <w:noProof w:val="0"/>
          <w:lang w:val="en-GB"/>
        </w:rPr>
      </w:pPr>
    </w:p>
    <w:p w14:paraId="0323F568" w14:textId="77777777" w:rsidR="00FA703E" w:rsidRPr="00FA703E" w:rsidRDefault="00FA703E" w:rsidP="00FA703E">
      <w:pPr>
        <w:rPr>
          <w:rFonts w:ascii="Calibri" w:eastAsia="Calibri" w:hAnsi="Calibri" w:cs="Times New Roman"/>
          <w:noProof w:val="0"/>
          <w:lang w:val="en-GB"/>
        </w:rPr>
      </w:pPr>
    </w:p>
    <w:p w14:paraId="158A58CC" w14:textId="77777777" w:rsidR="00FA703E" w:rsidRPr="00FA703E" w:rsidRDefault="00FA703E" w:rsidP="00FA703E">
      <w:pPr>
        <w:jc w:val="center"/>
        <w:rPr>
          <w:rFonts w:ascii="Calibri" w:eastAsia="Calibri" w:hAnsi="Calibri" w:cs="Times New Roman"/>
          <w:noProof w:val="0"/>
          <w:lang w:val="en-GB"/>
        </w:rPr>
      </w:pPr>
    </w:p>
    <w:p w14:paraId="777D3E8F" w14:textId="77777777" w:rsidR="00FA703E" w:rsidRPr="00FA703E" w:rsidRDefault="00FA703E" w:rsidP="00FA703E">
      <w:pPr>
        <w:jc w:val="center"/>
        <w:rPr>
          <w:rFonts w:ascii="Calibri" w:eastAsia="Calibri" w:hAnsi="Calibri" w:cs="Times New Roman"/>
          <w:b/>
          <w:bCs/>
          <w:noProof w:val="0"/>
          <w:sz w:val="36"/>
          <w:szCs w:val="36"/>
          <w:lang w:val="en-GB"/>
        </w:rPr>
      </w:pPr>
      <w:r w:rsidRPr="00FA703E">
        <w:rPr>
          <w:rFonts w:ascii="Calibri" w:eastAsia="Calibri" w:hAnsi="Calibri" w:cs="Times New Roman"/>
          <w:b/>
          <w:bCs/>
          <w:noProof w:val="0"/>
          <w:sz w:val="36"/>
          <w:szCs w:val="36"/>
          <w:lang w:val="en-GB"/>
        </w:rPr>
        <w:t>Student Name: Alexandru-Gabriel Ispas</w:t>
      </w:r>
    </w:p>
    <w:p w14:paraId="1AD5EA7D" w14:textId="77777777" w:rsidR="00FA703E" w:rsidRPr="00FA703E" w:rsidRDefault="00FA703E" w:rsidP="00FA703E">
      <w:pPr>
        <w:jc w:val="center"/>
        <w:rPr>
          <w:rFonts w:ascii="Calibri" w:eastAsia="Calibri" w:hAnsi="Calibri" w:cs="Times New Roman"/>
          <w:b/>
          <w:bCs/>
          <w:noProof w:val="0"/>
          <w:sz w:val="36"/>
          <w:szCs w:val="36"/>
          <w:lang w:val="en-GB"/>
        </w:rPr>
      </w:pPr>
      <w:r w:rsidRPr="00FA703E">
        <w:rPr>
          <w:rFonts w:ascii="Calibri" w:eastAsia="Calibri" w:hAnsi="Calibri" w:cs="Times New Roman"/>
          <w:b/>
          <w:bCs/>
          <w:noProof w:val="0"/>
          <w:sz w:val="36"/>
          <w:szCs w:val="36"/>
          <w:lang w:val="en-GB"/>
        </w:rPr>
        <w:t>Student ID: 2025167</w:t>
      </w:r>
    </w:p>
    <w:p w14:paraId="1B917EAD" w14:textId="26D8E52B" w:rsidR="00FA703E" w:rsidRPr="00FA703E" w:rsidRDefault="00FA703E" w:rsidP="00FA703E">
      <w:pPr>
        <w:jc w:val="center"/>
        <w:rPr>
          <w:rFonts w:ascii="Calibri" w:eastAsia="Calibri" w:hAnsi="Calibri" w:cs="Times New Roman"/>
          <w:b/>
          <w:bCs/>
          <w:noProof w:val="0"/>
          <w:sz w:val="36"/>
          <w:szCs w:val="36"/>
          <w:lang w:val="en-GB"/>
        </w:rPr>
      </w:pPr>
      <w:r w:rsidRPr="00FA703E">
        <w:rPr>
          <w:rFonts w:ascii="Calibri" w:eastAsia="Calibri" w:hAnsi="Calibri" w:cs="Times New Roman"/>
          <w:b/>
          <w:bCs/>
          <w:noProof w:val="0"/>
          <w:sz w:val="36"/>
          <w:szCs w:val="36"/>
          <w:lang w:val="en-GB"/>
        </w:rPr>
        <w:t>MODULE: BMIH600</w:t>
      </w:r>
      <w:r w:rsidR="005A7F64">
        <w:rPr>
          <w:rFonts w:ascii="Calibri" w:eastAsia="Calibri" w:hAnsi="Calibri" w:cs="Times New Roman"/>
          <w:b/>
          <w:bCs/>
          <w:noProof w:val="0"/>
          <w:sz w:val="36"/>
          <w:szCs w:val="36"/>
          <w:lang w:val="en-GB"/>
        </w:rPr>
        <w:t>2</w:t>
      </w:r>
    </w:p>
    <w:p w14:paraId="7DF0F7A5" w14:textId="3FF798EB" w:rsidR="00FA703E" w:rsidRPr="00FA703E" w:rsidRDefault="00FA703E" w:rsidP="00FA703E">
      <w:pPr>
        <w:jc w:val="center"/>
        <w:rPr>
          <w:rFonts w:ascii="Calibri" w:eastAsia="Calibri" w:hAnsi="Calibri" w:cs="Times New Roman"/>
          <w:b/>
          <w:bCs/>
          <w:noProof w:val="0"/>
          <w:sz w:val="36"/>
          <w:szCs w:val="36"/>
          <w:lang w:val="en-GB"/>
        </w:rPr>
      </w:pPr>
      <w:r w:rsidRPr="00FA703E">
        <w:rPr>
          <w:rFonts w:ascii="Calibri" w:eastAsia="Calibri" w:hAnsi="Calibri" w:cs="Times New Roman"/>
          <w:b/>
          <w:bCs/>
          <w:noProof w:val="0"/>
          <w:sz w:val="36"/>
          <w:szCs w:val="36"/>
          <w:lang w:val="en-GB"/>
        </w:rPr>
        <w:t>Lecturer’s name: Natalie Brailsfor</w:t>
      </w:r>
      <w:r>
        <w:rPr>
          <w:rFonts w:ascii="Calibri" w:eastAsia="Calibri" w:hAnsi="Calibri" w:cs="Times New Roman"/>
          <w:b/>
          <w:bCs/>
          <w:noProof w:val="0"/>
          <w:sz w:val="36"/>
          <w:szCs w:val="36"/>
          <w:lang w:val="en-GB"/>
        </w:rPr>
        <w:t>d</w:t>
      </w:r>
    </w:p>
    <w:p w14:paraId="23B63531" w14:textId="77777777" w:rsidR="00FA703E" w:rsidRDefault="00FA703E">
      <w:pPr>
        <w:rPr>
          <w:b/>
          <w:bCs/>
          <w:sz w:val="32"/>
          <w:szCs w:val="32"/>
          <w:lang w:val="en-US"/>
        </w:rPr>
      </w:pPr>
    </w:p>
    <w:p w14:paraId="08820B51" w14:textId="77777777" w:rsidR="00FA703E" w:rsidRDefault="00FA703E">
      <w:pPr>
        <w:rPr>
          <w:b/>
          <w:bCs/>
          <w:sz w:val="32"/>
          <w:szCs w:val="32"/>
          <w:lang w:val="en-US"/>
        </w:rPr>
      </w:pPr>
    </w:p>
    <w:p w14:paraId="09EA9CCE" w14:textId="77777777" w:rsidR="00FA703E" w:rsidRDefault="00FA703E">
      <w:pPr>
        <w:rPr>
          <w:b/>
          <w:bCs/>
          <w:sz w:val="32"/>
          <w:szCs w:val="32"/>
          <w:lang w:val="en-US"/>
        </w:rPr>
      </w:pPr>
    </w:p>
    <w:p w14:paraId="5729B001" w14:textId="77777777" w:rsidR="00FA703E" w:rsidRDefault="00FA703E">
      <w:pPr>
        <w:rPr>
          <w:b/>
          <w:bCs/>
          <w:sz w:val="32"/>
          <w:szCs w:val="32"/>
          <w:lang w:val="en-US"/>
        </w:rPr>
      </w:pPr>
    </w:p>
    <w:p w14:paraId="663BECBF" w14:textId="77777777" w:rsidR="00FA703E" w:rsidRDefault="00FA703E">
      <w:pPr>
        <w:rPr>
          <w:b/>
          <w:bCs/>
          <w:sz w:val="32"/>
          <w:szCs w:val="32"/>
          <w:lang w:val="en-US"/>
        </w:rPr>
      </w:pPr>
    </w:p>
    <w:p w14:paraId="3AA09E7F" w14:textId="77777777" w:rsidR="00FA703E" w:rsidRDefault="00FA703E">
      <w:pPr>
        <w:rPr>
          <w:b/>
          <w:bCs/>
          <w:sz w:val="32"/>
          <w:szCs w:val="32"/>
          <w:lang w:val="en-US"/>
        </w:rPr>
      </w:pPr>
    </w:p>
    <w:p w14:paraId="3039D022" w14:textId="77777777" w:rsidR="00FA703E" w:rsidRDefault="00FA703E">
      <w:pPr>
        <w:rPr>
          <w:b/>
          <w:bCs/>
          <w:sz w:val="32"/>
          <w:szCs w:val="32"/>
          <w:lang w:val="en-US"/>
        </w:rPr>
      </w:pPr>
    </w:p>
    <w:p w14:paraId="2031FB05" w14:textId="77777777" w:rsidR="00FA703E" w:rsidRDefault="00FA703E">
      <w:pPr>
        <w:rPr>
          <w:b/>
          <w:bCs/>
          <w:sz w:val="32"/>
          <w:szCs w:val="32"/>
          <w:lang w:val="en-US"/>
        </w:rPr>
      </w:pPr>
    </w:p>
    <w:p w14:paraId="09989AD6" w14:textId="77777777" w:rsidR="00FA703E" w:rsidRDefault="00FA703E">
      <w:pPr>
        <w:rPr>
          <w:b/>
          <w:bCs/>
          <w:sz w:val="32"/>
          <w:szCs w:val="32"/>
          <w:lang w:val="en-US"/>
        </w:rPr>
      </w:pPr>
    </w:p>
    <w:p w14:paraId="6334CAEA" w14:textId="77777777" w:rsidR="00FA703E" w:rsidRDefault="00FA703E">
      <w:pPr>
        <w:rPr>
          <w:b/>
          <w:bCs/>
          <w:sz w:val="32"/>
          <w:szCs w:val="32"/>
          <w:lang w:val="en-US"/>
        </w:rPr>
      </w:pPr>
    </w:p>
    <w:p w14:paraId="4C1BFA02" w14:textId="0BB23CD0" w:rsidR="003414F2" w:rsidRPr="003414F2" w:rsidRDefault="00C32682">
      <w:pPr>
        <w:rPr>
          <w:lang w:val="en-US"/>
        </w:rPr>
      </w:pPr>
      <w:r>
        <w:rPr>
          <w:lang w:val="en-US"/>
        </w:rPr>
        <w:lastRenderedPageBreak/>
        <w:t>Model of reflection: Gibbs Model</w:t>
      </w:r>
    </w:p>
    <w:p w14:paraId="7DD17FD5" w14:textId="2D7712E1" w:rsidR="00CE2F90" w:rsidRPr="00FA703E" w:rsidRDefault="00BF44B9">
      <w:pPr>
        <w:rPr>
          <w:b/>
          <w:bCs/>
          <w:sz w:val="32"/>
          <w:szCs w:val="32"/>
          <w:lang w:val="en-US"/>
        </w:rPr>
      </w:pPr>
      <w:r w:rsidRPr="00FA703E">
        <w:rPr>
          <w:b/>
          <w:bCs/>
          <w:sz w:val="32"/>
          <w:szCs w:val="32"/>
          <w:lang w:val="en-US"/>
        </w:rPr>
        <w:t xml:space="preserve">Week 1 </w:t>
      </w:r>
    </w:p>
    <w:p w14:paraId="2CCB7A80" w14:textId="24E39C69" w:rsidR="00846D2C" w:rsidRDefault="00BF44B9" w:rsidP="00846D2C">
      <w:pPr>
        <w:rPr>
          <w:lang w:val="en-US"/>
        </w:rPr>
      </w:pPr>
      <w:r>
        <w:rPr>
          <w:lang w:val="en-US"/>
        </w:rPr>
        <w:t>As my first week in Food &amp; Beverage Operations section unfolded with excitement and new knowledge I managed to get a infant’s perspective about the Restaurant</w:t>
      </w:r>
      <w:r w:rsidR="00051EC8">
        <w:rPr>
          <w:lang w:val="en-US"/>
        </w:rPr>
        <w:t>, k</w:t>
      </w:r>
      <w:r>
        <w:rPr>
          <w:lang w:val="en-US"/>
        </w:rPr>
        <w:t xml:space="preserve">itchen and deposit.  I was able to </w:t>
      </w:r>
      <w:r w:rsidR="00846D2C">
        <w:rPr>
          <w:lang w:val="en-US"/>
        </w:rPr>
        <w:t xml:space="preserve">keep </w:t>
      </w:r>
      <w:r w:rsidR="00846D2C" w:rsidRPr="00846D2C">
        <w:rPr>
          <w:lang w:val="en-US"/>
        </w:rPr>
        <w:t xml:space="preserve">focusing on the critical nature of effective communication within the team and with management. Additionally, I engaged in learning about essential work-based skills, including problem-solving, decision-making, and communication.Throughout this week, I felt a mix of excitement and anticipation. The opportunity to learn about a supervisory position, with its complexities and challenges, was both inspiring and slightly daunting. </w:t>
      </w:r>
      <w:r w:rsidR="00503849" w:rsidRPr="00503849">
        <w:rPr>
          <w:lang w:val="en-US"/>
        </w:rPr>
        <w:t>(Tas, 1988)</w:t>
      </w:r>
      <w:r w:rsidR="00503849">
        <w:rPr>
          <w:lang w:val="en-US"/>
        </w:rPr>
        <w:t xml:space="preserve"> </w:t>
      </w:r>
      <w:r w:rsidR="00846D2C" w:rsidRPr="00846D2C">
        <w:rPr>
          <w:lang w:val="en-US"/>
        </w:rPr>
        <w:t>Engaging with new concepts and preparing for a mock job interview brought about a sense of nervous excitement, motivating me to delve deeper into the subject matter.</w:t>
      </w:r>
    </w:p>
    <w:p w14:paraId="175C67FD" w14:textId="69AA9BA1" w:rsidR="00846D2C" w:rsidRPr="00846D2C" w:rsidRDefault="00846D2C" w:rsidP="00846D2C">
      <w:pPr>
        <w:rPr>
          <w:lang w:val="en-US"/>
        </w:rPr>
      </w:pPr>
      <w:r w:rsidRPr="00846D2C">
        <w:rPr>
          <w:lang w:val="en-US"/>
        </w:rPr>
        <w:t>The week was highly positive, marked by several educational experiences that enriched my understanding of the supervisory role. The training session offered a comprehensive overview of the position's duties, emphasizing the importance of clear communication. The seminar on key skills not only highlighted the significance of problem-solving, decision-making, and communication but also provided practical insights into applying these skills effectively in the workplace. The mock job interview was particularly beneficial, offering a hands-on experience that enhanced my confidence and understanding of what is expected in such a role.</w:t>
      </w:r>
      <w:r w:rsidR="00D013F2" w:rsidRPr="00D013F2">
        <w:t xml:space="preserve"> </w:t>
      </w:r>
    </w:p>
    <w:p w14:paraId="6975A359" w14:textId="5489CD2A" w:rsidR="00846D2C" w:rsidRPr="00846D2C" w:rsidRDefault="00846D2C" w:rsidP="00846D2C">
      <w:pPr>
        <w:rPr>
          <w:lang w:val="en-US"/>
        </w:rPr>
      </w:pPr>
      <w:r w:rsidRPr="00846D2C">
        <w:rPr>
          <w:lang w:val="en-US"/>
        </w:rPr>
        <w:t>This reflection process allows me to appreciate the interconnectedness of the supervisory role's various aspects. Effective communication serves as the backbone of successful leadership, facilitating problem-solving and decision-making processes. Participating in both structured learning and practical exercises enabled me to see the theoretical knowledge applied in a simulated real-world context, highlighting the importance of adaptability and continuous learning.</w:t>
      </w:r>
    </w:p>
    <w:p w14:paraId="1EEB80CD" w14:textId="45909495" w:rsidR="00846D2C" w:rsidRPr="00846D2C" w:rsidRDefault="00846D2C" w:rsidP="00846D2C">
      <w:pPr>
        <w:rPr>
          <w:lang w:val="en-US"/>
        </w:rPr>
      </w:pPr>
      <w:r w:rsidRPr="00846D2C">
        <w:rPr>
          <w:lang w:val="en-US"/>
        </w:rPr>
        <w:t xml:space="preserve"> If I were to navigate this learning experience again, I would place even greater emphasis on the practical application of communication skills in various scenarios, as this is pivotal in the role of a supervisor. Engaging more in role-play scenarios or seeking feedback on my communication style during the mock interview could provide deeper insights and foster further improvement.</w:t>
      </w:r>
    </w:p>
    <w:p w14:paraId="23F25C39" w14:textId="77777777" w:rsidR="00846D2C" w:rsidRDefault="00846D2C" w:rsidP="00846D2C">
      <w:pPr>
        <w:rPr>
          <w:lang w:val="en-US"/>
        </w:rPr>
      </w:pPr>
      <w:r w:rsidRPr="00846D2C">
        <w:rPr>
          <w:lang w:val="en-US"/>
        </w:rPr>
        <w:t>Moving forward, I plan to seek more opportunities to practice and refine my communication, problem-solving, and decision-making skills within a team setting. Participating in additional mock interviews and seeking constructive feedback will also be crucial in preparing for a supervisory role in the future. This reflective practice, guided by the Gibbs Reflective Model, will continue to be a valuable tool in my ongoing professional development journey.</w:t>
      </w:r>
    </w:p>
    <w:p w14:paraId="04EDF582" w14:textId="6B5A47B9" w:rsidR="00846D2C" w:rsidRDefault="00846D2C" w:rsidP="00846D2C">
      <w:pPr>
        <w:rPr>
          <w:lang w:val="en-US"/>
        </w:rPr>
      </w:pPr>
      <w:r w:rsidRPr="00846D2C">
        <w:rPr>
          <w:lang w:val="en-US"/>
        </w:rPr>
        <w:t>This week has been a cornerstone in my understanding of the supervisory position in Food and Beverage Operations, revealing the nature of the role and the pivotal importance of key skills such as problem-solving, decision-making, and communication.</w:t>
      </w:r>
      <w:r w:rsidR="00503849" w:rsidRPr="00503849">
        <w:t xml:space="preserve"> </w:t>
      </w:r>
      <w:r w:rsidR="00503849" w:rsidRPr="00503849">
        <w:rPr>
          <w:lang w:val="en-US"/>
        </w:rPr>
        <w:t>(Chron, 2019)</w:t>
      </w:r>
    </w:p>
    <w:p w14:paraId="75D19B63" w14:textId="77777777" w:rsidR="00846D2C" w:rsidRDefault="00846D2C" w:rsidP="00846D2C">
      <w:pPr>
        <w:rPr>
          <w:lang w:val="en-US"/>
        </w:rPr>
      </w:pPr>
    </w:p>
    <w:p w14:paraId="78D69851" w14:textId="29007593" w:rsidR="00846D2C" w:rsidRPr="00FA703E" w:rsidRDefault="00846D2C" w:rsidP="00846D2C">
      <w:pPr>
        <w:rPr>
          <w:b/>
          <w:bCs/>
          <w:sz w:val="32"/>
          <w:szCs w:val="32"/>
          <w:lang w:val="en-US"/>
        </w:rPr>
      </w:pPr>
      <w:r w:rsidRPr="00FA703E">
        <w:rPr>
          <w:b/>
          <w:bCs/>
          <w:sz w:val="32"/>
          <w:szCs w:val="32"/>
          <w:lang w:val="en-US"/>
        </w:rPr>
        <w:t>Week 2</w:t>
      </w:r>
    </w:p>
    <w:p w14:paraId="447F54B3" w14:textId="7A857DEC" w:rsidR="00846D2C" w:rsidRPr="00846D2C" w:rsidRDefault="00846D2C" w:rsidP="00846D2C">
      <w:pPr>
        <w:rPr>
          <w:lang w:val="en-US"/>
        </w:rPr>
      </w:pPr>
      <w:r w:rsidRPr="00846D2C">
        <w:rPr>
          <w:lang w:val="en-US"/>
        </w:rPr>
        <w:lastRenderedPageBreak/>
        <w:t>My week was dedicated to a thorough review and dialogue on enhancing management performance in our work setting. This entailed a deep dive into our existing management practices, identifying areas ripe for enhancement, and engaging in meaningful discussions with team members for their perspectives on elevating management efficacy. Our conversations spanned the spectrum of challenges and prospects within food and beverage operations, touching on innovation needs, the essence of efficient planning, and the imperative of bolstering communication. Additionally, we delved into various strategies to uplift management performance, including the art of delegation, the importance of setting clear goals, and leveraging data to inform decisions.</w:t>
      </w:r>
    </w:p>
    <w:p w14:paraId="63E12686" w14:textId="77777777" w:rsidR="00846D2C" w:rsidRPr="00846D2C" w:rsidRDefault="00846D2C" w:rsidP="00846D2C">
      <w:pPr>
        <w:rPr>
          <w:lang w:val="en-US"/>
        </w:rPr>
      </w:pPr>
    </w:p>
    <w:p w14:paraId="4F8FD82B" w14:textId="137A9D43" w:rsidR="00846D2C" w:rsidRPr="00846D2C" w:rsidRDefault="00846D2C" w:rsidP="00846D2C">
      <w:pPr>
        <w:rPr>
          <w:lang w:val="en-US"/>
        </w:rPr>
      </w:pPr>
      <w:r w:rsidRPr="00846D2C">
        <w:rPr>
          <w:lang w:val="en-US"/>
        </w:rPr>
        <w:t>Throughout the week, I was engulfed in a mix of anticipation and optimism. The process of dissecting our current management methodologies and brainstorming with colleagues on possible improvements was incredibly stimulating. It was enlightening to hear diverse perspectives on how we could tackle existing challenges and capitalize on opportunities, fostering a sense of collective purpose and shared vision for what we could achieve together.</w:t>
      </w:r>
    </w:p>
    <w:p w14:paraId="1F9763F5" w14:textId="1840B475" w:rsidR="00846D2C" w:rsidRPr="00846D2C" w:rsidRDefault="00846D2C" w:rsidP="00846D2C">
      <w:pPr>
        <w:rPr>
          <w:lang w:val="en-US"/>
        </w:rPr>
      </w:pPr>
      <w:r w:rsidRPr="00846D2C">
        <w:rPr>
          <w:lang w:val="en-US"/>
        </w:rPr>
        <w:t>The week proved to be exceptionally fruitful. Not only did it allow for a comprehensive assessment of our management practices, but it also facilitated a platform for open dialogue among team members. Identifying gaps in our workflow, staffing, and customer service, and then collectively brainstorming solutions, underscored the power of collaborative problem-solving. Furthermore, our discussions on fostering a more engaging and motivational work environment for our staff highlighted the critical link between employee satisfaction and customer service excellence.</w:t>
      </w:r>
    </w:p>
    <w:p w14:paraId="427D2970" w14:textId="0BC7367D" w:rsidR="00846D2C" w:rsidRPr="00846D2C" w:rsidRDefault="00846D2C" w:rsidP="00846D2C">
      <w:pPr>
        <w:rPr>
          <w:lang w:val="en-US"/>
        </w:rPr>
      </w:pPr>
      <w:r w:rsidRPr="00846D2C">
        <w:rPr>
          <w:lang w:val="en-US"/>
        </w:rPr>
        <w:t>This reflective exercise illuminates the intricate interplay between various facets of management within the food and beverage sector. It’s clear that effective management transcends mere operational oversight; it involves strategic foresight, empathetic leadership, and a commitment to continuous improvement. The insights gathered from both observation and discussion have been instrumental in painting a holistic picture of where we stand and where we need to go.</w:t>
      </w:r>
    </w:p>
    <w:p w14:paraId="100A7A3B" w14:textId="7CA8F19D" w:rsidR="00846D2C" w:rsidRPr="00846D2C" w:rsidRDefault="00846D2C" w:rsidP="00846D2C">
      <w:pPr>
        <w:rPr>
          <w:lang w:val="en-US"/>
        </w:rPr>
      </w:pPr>
      <w:r w:rsidRPr="00846D2C">
        <w:rPr>
          <w:lang w:val="en-US"/>
        </w:rPr>
        <w:t>In hindsight, an area for further exploration could have been a more detailed analysis of how specific management changes could directly impact customer satisfaction and operational efficiency. Engaging more directly with customers to gauge their feedback on potential improvements could enrich our strategy moving forward.</w:t>
      </w:r>
    </w:p>
    <w:p w14:paraId="718527A7" w14:textId="15D91155" w:rsidR="00846D2C" w:rsidRDefault="00846D2C" w:rsidP="00846D2C">
      <w:pPr>
        <w:rPr>
          <w:lang w:val="en-US"/>
        </w:rPr>
      </w:pPr>
      <w:r w:rsidRPr="00846D2C">
        <w:rPr>
          <w:lang w:val="en-US"/>
        </w:rPr>
        <w:t>Moving ahead, I aim to implement the strategies and techniques discussed, with a keen eye on measuring their impact on both team performance and customer satisfaction. This includes setting up a feedback loop with both employees and customers to continuously refine our approaches based on real-world feedback. Additionally, fostering an environment of ongoing dialogue and open communication within the team will be pivotal in maintaining momentum towards our shared goals.This week has been a cornerstone in my journey towards understanding and improving management performance in our setting. The insights gained and the collaborative spirit fostered promise a path towards enhanced management effectiveness and heightened customer satisfaction.</w:t>
      </w:r>
    </w:p>
    <w:p w14:paraId="5337CC32" w14:textId="77777777" w:rsidR="007509D4" w:rsidRDefault="007509D4" w:rsidP="00846D2C">
      <w:pPr>
        <w:rPr>
          <w:b/>
          <w:bCs/>
          <w:sz w:val="32"/>
          <w:szCs w:val="32"/>
          <w:lang w:val="en-US"/>
        </w:rPr>
      </w:pPr>
    </w:p>
    <w:p w14:paraId="5A6B9671" w14:textId="326B2359" w:rsidR="005F23C4" w:rsidRPr="00FA703E" w:rsidRDefault="005F23C4" w:rsidP="00846D2C">
      <w:pPr>
        <w:rPr>
          <w:b/>
          <w:bCs/>
          <w:sz w:val="32"/>
          <w:szCs w:val="32"/>
          <w:lang w:val="en-US"/>
        </w:rPr>
      </w:pPr>
      <w:r w:rsidRPr="00FA703E">
        <w:rPr>
          <w:b/>
          <w:bCs/>
          <w:sz w:val="32"/>
          <w:szCs w:val="32"/>
          <w:lang w:val="en-US"/>
        </w:rPr>
        <w:lastRenderedPageBreak/>
        <w:t>Week 3</w:t>
      </w:r>
    </w:p>
    <w:p w14:paraId="338F59D8" w14:textId="5B1538F3" w:rsidR="005F23C4" w:rsidRPr="005F23C4" w:rsidRDefault="005F23C4" w:rsidP="005F23C4">
      <w:pPr>
        <w:rPr>
          <w:lang w:val="en-US"/>
        </w:rPr>
      </w:pPr>
      <w:r w:rsidRPr="005F23C4">
        <w:rPr>
          <w:lang w:val="en-US"/>
        </w:rPr>
        <w:t>Reflecting on my recent deep dive into Food and Beverage (F&amp;B) operational policies and procedures using the Gibbs Reflective Model, I encapsulate a week of learning, discussions, and insights.</w:t>
      </w:r>
    </w:p>
    <w:p w14:paraId="1D76836B" w14:textId="2DFC9964" w:rsidR="005F23C4" w:rsidRPr="005F23C4" w:rsidRDefault="005F23C4" w:rsidP="005F23C4">
      <w:pPr>
        <w:rPr>
          <w:lang w:val="en-US"/>
        </w:rPr>
      </w:pPr>
      <w:r w:rsidRPr="005F23C4">
        <w:rPr>
          <w:lang w:val="en-US"/>
        </w:rPr>
        <w:t xml:space="preserve"> The week was intensively dedicated to examining and conversing about the myriad aspects of F&amp;B operations. Our focus was broad, spanning the assurance of top-tier service standards and customer satisfaction, maintaining a safe and secure work environment, and the pivotal role human resources play in these dynamics. We dissected topics such as recruitment, selection, and the critical ongoing development and training of staff. Furthermore, the conversation extended to leveraging technology for process optimization and enhancing customer experiences, managing inventory effectively, and ensuring the excellence of our food and beverage offerings. </w:t>
      </w:r>
      <w:r w:rsidR="00503849" w:rsidRPr="00503849">
        <w:rPr>
          <w:lang w:val="en-US"/>
        </w:rPr>
        <w:t>(Chen, Shen, &amp; Gosling, 2018)</w:t>
      </w:r>
      <w:r w:rsidR="00503849">
        <w:rPr>
          <w:lang w:val="en-US"/>
        </w:rPr>
        <w:t xml:space="preserve"> </w:t>
      </w:r>
      <w:r w:rsidRPr="005F23C4">
        <w:rPr>
          <w:lang w:val="en-US"/>
        </w:rPr>
        <w:t>Utilizing customer feedback and reviews as a metric for operational success and addressing complaints swiftly and aptly were also key discussion points. The importance of identifying training needs and delivering cost-effective, efficient training solutions was another significant focus, alongside the value of fostering employee growth and providing constructive feedback.</w:t>
      </w:r>
    </w:p>
    <w:p w14:paraId="1ADF3956" w14:textId="51ACFCA6" w:rsidR="005F23C4" w:rsidRPr="005F23C4" w:rsidRDefault="005F23C4" w:rsidP="005F23C4">
      <w:pPr>
        <w:rPr>
          <w:lang w:val="en-US"/>
        </w:rPr>
      </w:pPr>
      <w:r w:rsidRPr="005F23C4">
        <w:rPr>
          <w:lang w:val="en-US"/>
        </w:rPr>
        <w:t>Throughout this exploration, I was imbued with a sense of purpose and engagement. Delving into the operational intricacies of F&amp;B and the human resources facets was both challenging and rewarding. The prospect of implementing improvements based on these discussions filled me with optimism for the potential to elevate our service quality and operational efficiency.</w:t>
      </w:r>
      <w:r w:rsidR="00503849" w:rsidRPr="00503849">
        <w:t xml:space="preserve"> </w:t>
      </w:r>
      <w:r w:rsidR="00503849" w:rsidRPr="00503849">
        <w:rPr>
          <w:lang w:val="en-US"/>
        </w:rPr>
        <w:t>(Busby &amp; Gibson, 2010).</w:t>
      </w:r>
    </w:p>
    <w:p w14:paraId="79DA4B7D" w14:textId="71D7568F" w:rsidR="005F23C4" w:rsidRPr="005F23C4" w:rsidRDefault="005F23C4" w:rsidP="005F23C4">
      <w:pPr>
        <w:rPr>
          <w:lang w:val="en-US"/>
        </w:rPr>
      </w:pPr>
      <w:r w:rsidRPr="005F23C4">
        <w:rPr>
          <w:lang w:val="en-US"/>
        </w:rPr>
        <w:t xml:space="preserve"> This week was remarkably productive, offering a comprehensive overview of F&amp;B operations and the integral role of effective human resources management. The discussions were eye-opening, revealing areas for enhancement and the potential for technology to streamline operations. The emphasis on training and development as a cornerstone for operational success stood out as particularly enlightening.</w:t>
      </w:r>
    </w:p>
    <w:p w14:paraId="468EFC13" w14:textId="76C7D56D" w:rsidR="005F23C4" w:rsidRPr="005F23C4" w:rsidRDefault="005F23C4" w:rsidP="005F23C4">
      <w:pPr>
        <w:rPr>
          <w:lang w:val="en-US"/>
        </w:rPr>
      </w:pPr>
      <w:r w:rsidRPr="005F23C4">
        <w:rPr>
          <w:lang w:val="en-US"/>
        </w:rPr>
        <w:t xml:space="preserve">The week's reflections highlight the interconnectedness of operational policies, customer satisfaction, employee training, and technology in F&amp;B operations. It's clear that a holistic approach, which balances operational efficiency with employee development and customer experience, is crucial for sustained success. </w:t>
      </w:r>
      <w:r w:rsidR="00503849" w:rsidRPr="00503849">
        <w:rPr>
          <w:lang w:val="en-US"/>
        </w:rPr>
        <w:t>( Davis &amp;</w:t>
      </w:r>
      <w:r w:rsidR="00503849">
        <w:rPr>
          <w:lang w:val="en-US"/>
        </w:rPr>
        <w:t xml:space="preserve"> </w:t>
      </w:r>
      <w:r w:rsidR="00503849" w:rsidRPr="00503849">
        <w:rPr>
          <w:lang w:val="en-US"/>
        </w:rPr>
        <w:t>Lockwood, 2013)</w:t>
      </w:r>
    </w:p>
    <w:p w14:paraId="7BE38374" w14:textId="53CCC611" w:rsidR="005F23C4" w:rsidRPr="005F23C4" w:rsidRDefault="005F23C4" w:rsidP="005F23C4">
      <w:pPr>
        <w:rPr>
          <w:lang w:val="en-US"/>
        </w:rPr>
      </w:pPr>
      <w:r w:rsidRPr="005F23C4">
        <w:rPr>
          <w:lang w:val="en-US"/>
        </w:rPr>
        <w:t xml:space="preserve"> Reflecting on the discussions, a more focused exploration into how technology can specifically address our unique operational challenges might have enriched our strategy further. Similarly, direct feedback from staff on proposed training and development initiatives could provide valuable insights for more tailored and effective programs.</w:t>
      </w:r>
    </w:p>
    <w:p w14:paraId="6236F3DF" w14:textId="64952D62" w:rsidR="005F23C4" w:rsidRPr="005F23C4" w:rsidRDefault="005F23C4" w:rsidP="005F23C4">
      <w:pPr>
        <w:rPr>
          <w:lang w:val="en-US"/>
        </w:rPr>
      </w:pPr>
      <w:r w:rsidRPr="005F23C4">
        <w:rPr>
          <w:lang w:val="en-US"/>
        </w:rPr>
        <w:t>Moving forward, I aim to spearhead initiatives that integrate technology more seamlessly into our operations to enhance efficiency and customer satisfaction. Developing a structured feedback mechanism for employees to contribute their insights on training needs and operational improvements will also be a priority. This will ensure that our strategies are grounded in real-world applicability and are responsive to both staff and customer feedback.</w:t>
      </w:r>
    </w:p>
    <w:p w14:paraId="06AC0B2C" w14:textId="57ADD8B0" w:rsidR="005F23C4" w:rsidRDefault="005F23C4" w:rsidP="005F23C4">
      <w:pPr>
        <w:rPr>
          <w:lang w:val="en-US"/>
        </w:rPr>
      </w:pPr>
      <w:r w:rsidRPr="005F23C4">
        <w:rPr>
          <w:lang w:val="en-US"/>
        </w:rPr>
        <w:lastRenderedPageBreak/>
        <w:t>This week has significantly broadened my understanding of F&amp;B operational policies and the critical role of human resources. The insights gained lay a solid foundation for driving improvements in service quality, employee satisfaction, and operational excellence.</w:t>
      </w:r>
    </w:p>
    <w:p w14:paraId="46C0DF26" w14:textId="77777777" w:rsidR="005F23C4" w:rsidRPr="00846D2C" w:rsidRDefault="005F23C4" w:rsidP="00846D2C">
      <w:pPr>
        <w:rPr>
          <w:lang w:val="en-US"/>
        </w:rPr>
      </w:pPr>
    </w:p>
    <w:p w14:paraId="1C4F2326" w14:textId="42398F0F" w:rsidR="00846D2C" w:rsidRDefault="00FE6BE4" w:rsidP="00FE6BE4">
      <w:pPr>
        <w:jc w:val="center"/>
        <w:rPr>
          <w:b/>
          <w:bCs/>
          <w:sz w:val="32"/>
          <w:szCs w:val="32"/>
          <w:lang w:val="en-US"/>
        </w:rPr>
      </w:pPr>
      <w:r w:rsidRPr="00544572">
        <w:rPr>
          <w:b/>
          <w:bCs/>
          <w:sz w:val="32"/>
          <w:szCs w:val="32"/>
          <w:lang w:val="en-US"/>
        </w:rPr>
        <w:t>References List</w:t>
      </w:r>
    </w:p>
    <w:p w14:paraId="6169BC92" w14:textId="77777777" w:rsidR="00544572" w:rsidRDefault="00544572" w:rsidP="00FE6BE4">
      <w:pPr>
        <w:jc w:val="center"/>
        <w:rPr>
          <w:b/>
          <w:bCs/>
          <w:sz w:val="32"/>
          <w:szCs w:val="32"/>
          <w:lang w:val="en-US"/>
        </w:rPr>
      </w:pPr>
    </w:p>
    <w:p w14:paraId="78EB2D92" w14:textId="143A56B8" w:rsidR="00F070BD" w:rsidRPr="00544572" w:rsidRDefault="00F070BD" w:rsidP="00FE6BE4">
      <w:pPr>
        <w:jc w:val="center"/>
        <w:rPr>
          <w:b/>
          <w:bCs/>
          <w:sz w:val="32"/>
          <w:szCs w:val="32"/>
          <w:lang w:val="en-US"/>
        </w:rPr>
      </w:pPr>
    </w:p>
    <w:p w14:paraId="32D3A637" w14:textId="635AF08D" w:rsidR="00405543" w:rsidRDefault="00405543" w:rsidP="00F070BD">
      <w:pPr>
        <w:rPr>
          <w:lang w:val="en-US"/>
        </w:rPr>
      </w:pPr>
      <w:r w:rsidRPr="00405543">
        <w:rPr>
          <w:lang w:val="en-US"/>
        </w:rPr>
        <w:t>Bernard Davis</w:t>
      </w:r>
      <w:r>
        <w:rPr>
          <w:lang w:val="en-US"/>
        </w:rPr>
        <w:t xml:space="preserve"> &amp;</w:t>
      </w:r>
      <w:r w:rsidRPr="00405543">
        <w:rPr>
          <w:lang w:val="en-US"/>
        </w:rPr>
        <w:t xml:space="preserve"> Andrew Lockwood</w:t>
      </w:r>
      <w:r>
        <w:rPr>
          <w:lang w:val="en-US"/>
        </w:rPr>
        <w:t xml:space="preserve"> (2013). </w:t>
      </w:r>
      <w:r w:rsidRPr="00405543">
        <w:rPr>
          <w:lang w:val="en-US"/>
        </w:rPr>
        <w:t>Food and Beverage Management</w:t>
      </w:r>
      <w:r>
        <w:rPr>
          <w:lang w:val="en-US"/>
        </w:rPr>
        <w:t xml:space="preserve">, pp 2-35 Available online at: </w:t>
      </w:r>
      <w:hyperlink r:id="rId4" w:history="1">
        <w:r w:rsidRPr="00790EC6">
          <w:rPr>
            <w:rStyle w:val="Hyperlink"/>
            <w:lang w:val="en-US"/>
          </w:rPr>
          <w:t>https://books.google.ro/books/about/Food_and_Beverage_Management.html?id=AAraeqRYz2UC&amp;redir_esc=y</w:t>
        </w:r>
      </w:hyperlink>
      <w:r>
        <w:rPr>
          <w:lang w:val="en-US"/>
        </w:rPr>
        <w:t xml:space="preserve"> [Accessed 26</w:t>
      </w:r>
      <w:r w:rsidRPr="00405543">
        <w:rPr>
          <w:vertAlign w:val="superscript"/>
          <w:lang w:val="en-US"/>
        </w:rPr>
        <w:t>th</w:t>
      </w:r>
      <w:r>
        <w:rPr>
          <w:lang w:val="en-US"/>
        </w:rPr>
        <w:t xml:space="preserve"> of February 2024]</w:t>
      </w:r>
    </w:p>
    <w:p w14:paraId="50674965" w14:textId="447E0D5E" w:rsidR="00F070BD" w:rsidRDefault="00F070BD" w:rsidP="00F070BD">
      <w:pPr>
        <w:rPr>
          <w:lang w:val="en-US"/>
        </w:rPr>
      </w:pPr>
      <w:r w:rsidRPr="00F070BD">
        <w:rPr>
          <w:lang w:val="en-US"/>
        </w:rPr>
        <w:t>Busby, G., &amp; Gibson, P. (2010). Tourism and hospitality internship</w:t>
      </w:r>
      <w:r>
        <w:rPr>
          <w:lang w:val="en-US"/>
        </w:rPr>
        <w:t xml:space="preserve"> </w:t>
      </w:r>
      <w:r w:rsidRPr="00F070BD">
        <w:rPr>
          <w:lang w:val="en-US"/>
        </w:rPr>
        <w:t>experiences overseas: A British perspective. Journal of</w:t>
      </w:r>
      <w:r>
        <w:rPr>
          <w:lang w:val="en-US"/>
        </w:rPr>
        <w:t xml:space="preserve"> </w:t>
      </w:r>
      <w:r w:rsidRPr="00F070BD">
        <w:rPr>
          <w:lang w:val="en-US"/>
        </w:rPr>
        <w:t>Hospitality, Leisure, Sport and Tourism Education, 9(1), 4–12.</w:t>
      </w:r>
      <w:r>
        <w:rPr>
          <w:lang w:val="en-US"/>
        </w:rPr>
        <w:t xml:space="preserve"> Available online at: </w:t>
      </w:r>
      <w:hyperlink r:id="rId5" w:history="1">
        <w:r w:rsidRPr="00790EC6">
          <w:rPr>
            <w:rStyle w:val="Hyperlink"/>
            <w:lang w:val="en-US"/>
          </w:rPr>
          <w:t>http://</w:t>
        </w:r>
        <w:r w:rsidRPr="00790EC6">
          <w:rPr>
            <w:rStyle w:val="Hyperlink"/>
            <w:lang w:val="en-US"/>
          </w:rPr>
          <w:t>doi:10.3</w:t>
        </w:r>
        <w:r w:rsidRPr="00790EC6">
          <w:rPr>
            <w:rStyle w:val="Hyperlink"/>
            <w:lang w:val="en-US"/>
          </w:rPr>
          <w:t>7</w:t>
        </w:r>
        <w:r w:rsidRPr="00790EC6">
          <w:rPr>
            <w:rStyle w:val="Hyperlink"/>
            <w:lang w:val="en-US"/>
          </w:rPr>
          <w:t>9</w:t>
        </w:r>
        <w:r w:rsidRPr="00790EC6">
          <w:rPr>
            <w:rStyle w:val="Hyperlink"/>
            <w:lang w:val="en-US"/>
          </w:rPr>
          <w:t>4</w:t>
        </w:r>
        <w:r w:rsidRPr="00790EC6">
          <w:rPr>
            <w:rStyle w:val="Hyperlink"/>
            <w:lang w:val="en-US"/>
          </w:rPr>
          <w:t>/johlste.91.244</w:t>
        </w:r>
      </w:hyperlink>
      <w:r>
        <w:rPr>
          <w:lang w:val="en-US"/>
        </w:rPr>
        <w:t xml:space="preserve"> [Accessed 26th of Februrary 2024]</w:t>
      </w:r>
    </w:p>
    <w:p w14:paraId="59F60F5E" w14:textId="7C72850D" w:rsidR="00FE6BE4" w:rsidRDefault="00FE6BE4" w:rsidP="00FE6BE4">
      <w:pPr>
        <w:rPr>
          <w:lang w:val="en-US"/>
        </w:rPr>
      </w:pPr>
      <w:r w:rsidRPr="00FE6BE4">
        <w:rPr>
          <w:lang w:val="en-US"/>
        </w:rPr>
        <w:t xml:space="preserve">Chen, T.L., Shen, C.C., &amp; Gosling, M. (2018). Does employability increase with internship satisfaction? Enhanced employability and internship satisfaction in a hospitality program. Journal of Hospitality, Leisure, Sport &amp; Tourism Education, 22, </w:t>
      </w:r>
      <w:r>
        <w:rPr>
          <w:lang w:val="en-US"/>
        </w:rPr>
        <w:t>92</w:t>
      </w:r>
      <w:r w:rsidRPr="00FE6BE4">
        <w:rPr>
          <w:lang w:val="en-US"/>
        </w:rPr>
        <w:t>–9</w:t>
      </w:r>
      <w:r>
        <w:rPr>
          <w:lang w:val="en-US"/>
        </w:rPr>
        <w:t>8</w:t>
      </w:r>
      <w:r w:rsidRPr="00FE6BE4">
        <w:rPr>
          <w:lang w:val="en-US"/>
        </w:rPr>
        <w:t>.</w:t>
      </w:r>
    </w:p>
    <w:p w14:paraId="70DE551F" w14:textId="6EBA33E0" w:rsidR="00544572" w:rsidRDefault="00544572" w:rsidP="00FE6BE4">
      <w:pPr>
        <w:rPr>
          <w:lang w:val="en-US"/>
        </w:rPr>
      </w:pPr>
      <w:r w:rsidRPr="00544572">
        <w:rPr>
          <w:lang w:val="en-US"/>
        </w:rPr>
        <w:t>Chron, 2019, “What Do Clear Vision &amp; Mission Statements Contribute to the Strategic Management Process?”, Available</w:t>
      </w:r>
      <w:r>
        <w:rPr>
          <w:lang w:val="en-US"/>
        </w:rPr>
        <w:t xml:space="preserve"> online</w:t>
      </w:r>
      <w:r w:rsidRPr="00544572">
        <w:rPr>
          <w:lang w:val="en-US"/>
        </w:rPr>
        <w:t xml:space="preserve"> at</w:t>
      </w:r>
      <w:r>
        <w:rPr>
          <w:lang w:val="en-US"/>
        </w:rPr>
        <w:t>:</w:t>
      </w:r>
      <w:r w:rsidRPr="00544572">
        <w:rPr>
          <w:lang w:val="en-US"/>
        </w:rPr>
        <w:t xml:space="preserve"> </w:t>
      </w:r>
      <w:hyperlink r:id="rId6" w:history="1">
        <w:r w:rsidRPr="00790EC6">
          <w:rPr>
            <w:rStyle w:val="Hyperlink"/>
            <w:lang w:val="en-US"/>
          </w:rPr>
          <w:t>https://smallbusiness.chron.com/clear-vision-mission-statements-contribute-strategic-management-process-24100.html</w:t>
        </w:r>
      </w:hyperlink>
      <w:r>
        <w:rPr>
          <w:lang w:val="en-US"/>
        </w:rPr>
        <w:t xml:space="preserve"> </w:t>
      </w:r>
      <w:r w:rsidRPr="00544572">
        <w:rPr>
          <w:lang w:val="en-US"/>
        </w:rPr>
        <w:t xml:space="preserve"> [Accessed on </w:t>
      </w:r>
      <w:r>
        <w:rPr>
          <w:lang w:val="en-US"/>
        </w:rPr>
        <w:t xml:space="preserve">27th </w:t>
      </w:r>
      <w:r w:rsidRPr="00544572">
        <w:rPr>
          <w:lang w:val="en-US"/>
        </w:rPr>
        <w:t xml:space="preserve"> </w:t>
      </w:r>
      <w:r>
        <w:rPr>
          <w:lang w:val="en-US"/>
        </w:rPr>
        <w:t>of February</w:t>
      </w:r>
      <w:r w:rsidRPr="00544572">
        <w:rPr>
          <w:lang w:val="en-US"/>
        </w:rPr>
        <w:t xml:space="preserve"> 202</w:t>
      </w:r>
      <w:r>
        <w:rPr>
          <w:lang w:val="en-US"/>
        </w:rPr>
        <w:t>4</w:t>
      </w:r>
      <w:r w:rsidRPr="00544572">
        <w:rPr>
          <w:lang w:val="en-US"/>
        </w:rPr>
        <w:t>]</w:t>
      </w:r>
    </w:p>
    <w:p w14:paraId="76F25EB0" w14:textId="3D20D10F" w:rsidR="00C12A0C" w:rsidRDefault="00C12A0C" w:rsidP="00FE6BE4">
      <w:pPr>
        <w:rPr>
          <w:lang w:val="en-US"/>
        </w:rPr>
      </w:pPr>
      <w:r w:rsidRPr="00C12A0C">
        <w:rPr>
          <w:lang w:val="en-US"/>
        </w:rPr>
        <w:t>Coldra Court Hotel. The Rib Smokehouse &amp; Grill. Available online at: https://www.coldra-court.com/home/dining/ [Accessed 25th of February 2024]</w:t>
      </w:r>
    </w:p>
    <w:p w14:paraId="3406DB68" w14:textId="73F9F02A" w:rsidR="00FE6BE4" w:rsidRDefault="00FE6BE4" w:rsidP="00FE6BE4">
      <w:pPr>
        <w:rPr>
          <w:lang w:val="en-US"/>
        </w:rPr>
      </w:pPr>
      <w:r w:rsidRPr="00FE6BE4">
        <w:rPr>
          <w:lang w:val="en-US"/>
        </w:rPr>
        <w:t>Downey, J. F. &amp; DeVeau, L. (1988) Hospitality internships: an</w:t>
      </w:r>
      <w:r>
        <w:rPr>
          <w:lang w:val="en-US"/>
        </w:rPr>
        <w:t xml:space="preserve"> </w:t>
      </w:r>
      <w:r w:rsidRPr="00FE6BE4">
        <w:rPr>
          <w:lang w:val="en-US"/>
        </w:rPr>
        <w:t>industry view. The Cornell Hotel and Restaurant</w:t>
      </w:r>
      <w:r>
        <w:rPr>
          <w:lang w:val="en-US"/>
        </w:rPr>
        <w:t xml:space="preserve"> </w:t>
      </w:r>
      <w:r w:rsidRPr="00FE6BE4">
        <w:rPr>
          <w:lang w:val="en-US"/>
        </w:rPr>
        <w:t xml:space="preserve">Administration Quarterly, </w:t>
      </w:r>
      <w:r>
        <w:rPr>
          <w:lang w:val="en-US"/>
        </w:rPr>
        <w:t>pp.</w:t>
      </w:r>
      <w:r w:rsidRPr="00FE6BE4">
        <w:rPr>
          <w:lang w:val="en-US"/>
        </w:rPr>
        <w:t xml:space="preserve"> 1</w:t>
      </w:r>
      <w:r>
        <w:rPr>
          <w:lang w:val="en-US"/>
        </w:rPr>
        <w:t>7</w:t>
      </w:r>
      <w:r w:rsidRPr="00FE6BE4">
        <w:rPr>
          <w:lang w:val="en-US"/>
        </w:rPr>
        <w:t>-2</w:t>
      </w:r>
      <w:r>
        <w:rPr>
          <w:lang w:val="en-US"/>
        </w:rPr>
        <w:t>5</w:t>
      </w:r>
      <w:r w:rsidRPr="00FE6BE4">
        <w:rPr>
          <w:lang w:val="en-US"/>
        </w:rPr>
        <w:t>.</w:t>
      </w:r>
    </w:p>
    <w:p w14:paraId="7BD8A1DC" w14:textId="2CA907B3" w:rsidR="00FE6BE4" w:rsidRDefault="00FE6BE4" w:rsidP="00FE6BE4">
      <w:pPr>
        <w:rPr>
          <w:lang w:val="en-US"/>
        </w:rPr>
      </w:pPr>
      <w:r w:rsidRPr="00FE6BE4">
        <w:rPr>
          <w:lang w:val="en-US"/>
        </w:rPr>
        <w:t>Goodman, J. R. and Sprague, L. G. (1991) The future of hospitality</w:t>
      </w:r>
      <w:r>
        <w:rPr>
          <w:lang w:val="en-US"/>
        </w:rPr>
        <w:t xml:space="preserve"> </w:t>
      </w:r>
      <w:r w:rsidRPr="00FE6BE4">
        <w:rPr>
          <w:lang w:val="en-US"/>
        </w:rPr>
        <w:t>education: meeting industry’s needs. Cornell Hotel and</w:t>
      </w:r>
      <w:r>
        <w:rPr>
          <w:lang w:val="en-US"/>
        </w:rPr>
        <w:t xml:space="preserve"> </w:t>
      </w:r>
      <w:r w:rsidRPr="00FE6BE4">
        <w:rPr>
          <w:lang w:val="en-US"/>
        </w:rPr>
        <w:t xml:space="preserve">Restaurant Administration Quarterly, </w:t>
      </w:r>
      <w:r>
        <w:rPr>
          <w:lang w:val="en-US"/>
        </w:rPr>
        <w:t>pp.</w:t>
      </w:r>
      <w:r w:rsidRPr="00FE6BE4">
        <w:rPr>
          <w:lang w:val="en-US"/>
        </w:rPr>
        <w:t xml:space="preserve"> 6</w:t>
      </w:r>
      <w:r>
        <w:rPr>
          <w:lang w:val="en-US"/>
        </w:rPr>
        <w:t>3</w:t>
      </w:r>
      <w:r w:rsidRPr="00FE6BE4">
        <w:rPr>
          <w:lang w:val="en-US"/>
        </w:rPr>
        <w:t>-6</w:t>
      </w:r>
      <w:r>
        <w:rPr>
          <w:lang w:val="en-US"/>
        </w:rPr>
        <w:t>8</w:t>
      </w:r>
    </w:p>
    <w:p w14:paraId="74B5C3EB" w14:textId="537266CB" w:rsidR="00FE6BE4" w:rsidRDefault="00FE6BE4" w:rsidP="00FE6BE4">
      <w:pPr>
        <w:rPr>
          <w:lang w:val="en-US"/>
        </w:rPr>
      </w:pPr>
      <w:r w:rsidRPr="00FE6BE4">
        <w:rPr>
          <w:lang w:val="en-US"/>
        </w:rPr>
        <w:t>Tas, R. (1988) Teaching future managers. The Cornell Hotel and</w:t>
      </w:r>
      <w:r>
        <w:rPr>
          <w:lang w:val="en-US"/>
        </w:rPr>
        <w:t xml:space="preserve"> </w:t>
      </w:r>
      <w:r w:rsidRPr="00FE6BE4">
        <w:rPr>
          <w:lang w:val="en-US"/>
        </w:rPr>
        <w:t xml:space="preserve">Restaurant Administration Quarterly, </w:t>
      </w:r>
      <w:r>
        <w:rPr>
          <w:lang w:val="en-US"/>
        </w:rPr>
        <w:t>pp. 25-38</w:t>
      </w:r>
      <w:r w:rsidRPr="00FE6BE4">
        <w:rPr>
          <w:lang w:val="en-US"/>
        </w:rPr>
        <w:t>.</w:t>
      </w:r>
    </w:p>
    <w:p w14:paraId="6441EC6E" w14:textId="028D3D9C" w:rsidR="00C12A0C" w:rsidRDefault="00C12A0C" w:rsidP="00FE6BE4">
      <w:pPr>
        <w:rPr>
          <w:lang w:val="en-US"/>
        </w:rPr>
      </w:pPr>
      <w:r w:rsidRPr="00C12A0C">
        <w:rPr>
          <w:lang w:val="en-US"/>
        </w:rPr>
        <w:t>The Celtic Collection. Our Story. Available online at: https://www.celtic-collection.com/home/our-story/ [Accessed 25th of February 2024]</w:t>
      </w:r>
    </w:p>
    <w:p w14:paraId="779F0174" w14:textId="25938877" w:rsidR="00544572" w:rsidRDefault="00FE6BE4" w:rsidP="00FE6BE4">
      <w:pPr>
        <w:rPr>
          <w:lang w:val="en-US"/>
        </w:rPr>
      </w:pPr>
      <w:r w:rsidRPr="00FE6BE4">
        <w:rPr>
          <w:lang w:val="en-US"/>
        </w:rPr>
        <w:t>Valachis, I., Christou, E., Sigala, M. and Maroudas, L. (2009).</w:t>
      </w:r>
      <w:r>
        <w:rPr>
          <w:lang w:val="en-US"/>
        </w:rPr>
        <w:t xml:space="preserve"> </w:t>
      </w:r>
      <w:r w:rsidRPr="00FE6BE4">
        <w:rPr>
          <w:lang w:val="en-US"/>
        </w:rPr>
        <w:t>Developing human resources’ skills and knowledge in tourism</w:t>
      </w:r>
      <w:r>
        <w:rPr>
          <w:lang w:val="en-US"/>
        </w:rPr>
        <w:t xml:space="preserve"> </w:t>
      </w:r>
      <w:r w:rsidRPr="00FE6BE4">
        <w:rPr>
          <w:lang w:val="en-US"/>
        </w:rPr>
        <w:t>and hospitality industry through the determination of quality of</w:t>
      </w:r>
      <w:r>
        <w:rPr>
          <w:lang w:val="en-US"/>
        </w:rPr>
        <w:t xml:space="preserve"> </w:t>
      </w:r>
      <w:r w:rsidRPr="00FE6BE4">
        <w:rPr>
          <w:lang w:val="en-US"/>
        </w:rPr>
        <w:t>training program. Tourism and Hospitality Management,</w:t>
      </w:r>
      <w:r>
        <w:rPr>
          <w:lang w:val="en-US"/>
        </w:rPr>
        <w:t xml:space="preserve"> </w:t>
      </w:r>
      <w:r w:rsidRPr="00FE6BE4">
        <w:rPr>
          <w:lang w:val="en-US"/>
        </w:rPr>
        <w:t>pp.6</w:t>
      </w:r>
      <w:r>
        <w:rPr>
          <w:lang w:val="en-US"/>
        </w:rPr>
        <w:t>2</w:t>
      </w:r>
      <w:r w:rsidRPr="00FE6BE4">
        <w:rPr>
          <w:lang w:val="en-US"/>
        </w:rPr>
        <w:t>-72.</w:t>
      </w:r>
    </w:p>
    <w:p w14:paraId="639CD548" w14:textId="6D7B12F7" w:rsidR="00544572" w:rsidRDefault="00544572" w:rsidP="00FE6BE4">
      <w:pPr>
        <w:rPr>
          <w:lang w:val="en-US"/>
        </w:rPr>
      </w:pPr>
      <w:r w:rsidRPr="00544572">
        <w:rPr>
          <w:lang w:val="en-US"/>
        </w:rPr>
        <w:t>World Health Organization, 2021. Action framework for developing and implementing public food procurement and service policies for a healthy diet.</w:t>
      </w:r>
    </w:p>
    <w:p w14:paraId="1B06E2F7" w14:textId="6B509FBF" w:rsidR="00544572" w:rsidRDefault="00544572" w:rsidP="00544572">
      <w:pPr>
        <w:rPr>
          <w:lang w:val="en-US"/>
        </w:rPr>
      </w:pPr>
      <w:r w:rsidRPr="00544572">
        <w:rPr>
          <w:lang w:val="en-US"/>
        </w:rPr>
        <w:lastRenderedPageBreak/>
        <w:t>Yilmaz, O.Z. (2018). Revisiting Employee - Guest Interactions in</w:t>
      </w:r>
      <w:r>
        <w:rPr>
          <w:lang w:val="en-US"/>
        </w:rPr>
        <w:t xml:space="preserve"> </w:t>
      </w:r>
      <w:r w:rsidRPr="00544572">
        <w:rPr>
          <w:lang w:val="en-US"/>
        </w:rPr>
        <w:t>Hotels: An Analysis of Critical Incidents. Journal of Tourism,</w:t>
      </w:r>
      <w:r>
        <w:rPr>
          <w:lang w:val="en-US"/>
        </w:rPr>
        <w:t xml:space="preserve"> </w:t>
      </w:r>
      <w:r w:rsidRPr="00544572">
        <w:rPr>
          <w:lang w:val="en-US"/>
        </w:rPr>
        <w:t>Heritage &amp; Services Marketing, 4(2), 17–23.</w:t>
      </w:r>
      <w:r>
        <w:rPr>
          <w:lang w:val="en-US"/>
        </w:rPr>
        <w:t xml:space="preserve">  Available online at: </w:t>
      </w:r>
      <w:hyperlink r:id="rId7" w:history="1">
        <w:r w:rsidRPr="00790EC6">
          <w:rPr>
            <w:rStyle w:val="Hyperlink"/>
            <w:lang w:val="en-US"/>
          </w:rPr>
          <w:t>http://doi.org/10.5281/zenodo.1490</w:t>
        </w:r>
        <w:r w:rsidRPr="00790EC6">
          <w:rPr>
            <w:rStyle w:val="Hyperlink"/>
            <w:lang w:val="en-US"/>
          </w:rPr>
          <w:t>4</w:t>
        </w:r>
        <w:r w:rsidRPr="00790EC6">
          <w:rPr>
            <w:rStyle w:val="Hyperlink"/>
            <w:lang w:val="en-US"/>
          </w:rPr>
          <w:t>00</w:t>
        </w:r>
      </w:hyperlink>
      <w:r>
        <w:rPr>
          <w:lang w:val="en-US"/>
        </w:rPr>
        <w:t xml:space="preserve">  [Accessed on 28</w:t>
      </w:r>
      <w:r w:rsidRPr="00544572">
        <w:rPr>
          <w:vertAlign w:val="superscript"/>
          <w:lang w:val="en-US"/>
        </w:rPr>
        <w:t>th</w:t>
      </w:r>
      <w:r>
        <w:rPr>
          <w:lang w:val="en-US"/>
        </w:rPr>
        <w:t xml:space="preserve"> of Februrary 2024]</w:t>
      </w:r>
    </w:p>
    <w:p w14:paraId="64BAFE3F" w14:textId="77777777" w:rsidR="00544572" w:rsidRDefault="00544572" w:rsidP="00FE6BE4">
      <w:pPr>
        <w:rPr>
          <w:lang w:val="en-US"/>
        </w:rPr>
      </w:pPr>
    </w:p>
    <w:p w14:paraId="23043336" w14:textId="77777777" w:rsidR="00846D2C" w:rsidRPr="00846D2C" w:rsidRDefault="00846D2C" w:rsidP="00846D2C">
      <w:pPr>
        <w:rPr>
          <w:lang w:val="en-US"/>
        </w:rPr>
      </w:pPr>
    </w:p>
    <w:p w14:paraId="732D6040" w14:textId="77777777" w:rsidR="00846D2C" w:rsidRPr="00846D2C" w:rsidRDefault="00846D2C" w:rsidP="00846D2C">
      <w:pPr>
        <w:rPr>
          <w:lang w:val="en-US"/>
        </w:rPr>
      </w:pPr>
    </w:p>
    <w:p w14:paraId="72F0E3B7" w14:textId="77777777" w:rsidR="00846D2C" w:rsidRPr="00BF44B9" w:rsidRDefault="00846D2C" w:rsidP="00846D2C">
      <w:pPr>
        <w:rPr>
          <w:lang w:val="en-US"/>
        </w:rPr>
      </w:pPr>
    </w:p>
    <w:sectPr w:rsidR="00846D2C" w:rsidRPr="00BF44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A00"/>
    <w:rsid w:val="00051EC8"/>
    <w:rsid w:val="000D3858"/>
    <w:rsid w:val="00215A00"/>
    <w:rsid w:val="00247D0D"/>
    <w:rsid w:val="002A0748"/>
    <w:rsid w:val="003414F2"/>
    <w:rsid w:val="00405543"/>
    <w:rsid w:val="00443278"/>
    <w:rsid w:val="00452A32"/>
    <w:rsid w:val="004B71FA"/>
    <w:rsid w:val="00503849"/>
    <w:rsid w:val="00544572"/>
    <w:rsid w:val="005A7F64"/>
    <w:rsid w:val="005D5F1D"/>
    <w:rsid w:val="005F23C4"/>
    <w:rsid w:val="007509D4"/>
    <w:rsid w:val="00812EB1"/>
    <w:rsid w:val="00846D2C"/>
    <w:rsid w:val="00B67CCC"/>
    <w:rsid w:val="00BF44B9"/>
    <w:rsid w:val="00C12A0C"/>
    <w:rsid w:val="00C32682"/>
    <w:rsid w:val="00CA2293"/>
    <w:rsid w:val="00CE2F90"/>
    <w:rsid w:val="00D013F2"/>
    <w:rsid w:val="00F070BD"/>
    <w:rsid w:val="00F27BB6"/>
    <w:rsid w:val="00FA703E"/>
    <w:rsid w:val="00FE6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A952F"/>
  <w15:chartTrackingRefBased/>
  <w15:docId w15:val="{61971381-0C66-4DC9-BCB2-3FEAA5E46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ro-RO"/>
    </w:rPr>
  </w:style>
  <w:style w:type="paragraph" w:styleId="Heading1">
    <w:name w:val="heading 1"/>
    <w:basedOn w:val="Normal"/>
    <w:next w:val="Normal"/>
    <w:link w:val="Heading1Char"/>
    <w:uiPriority w:val="9"/>
    <w:qFormat/>
    <w:rsid w:val="00215A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5A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5A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5A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5A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5A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5A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5A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5A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A00"/>
    <w:rPr>
      <w:rFonts w:asciiTheme="majorHAnsi" w:eastAsiaTheme="majorEastAsia" w:hAnsiTheme="majorHAnsi" w:cstheme="majorBidi"/>
      <w:noProof/>
      <w:color w:val="0F4761" w:themeColor="accent1" w:themeShade="BF"/>
      <w:sz w:val="40"/>
      <w:szCs w:val="40"/>
      <w:lang w:val="ro-RO"/>
    </w:rPr>
  </w:style>
  <w:style w:type="character" w:customStyle="1" w:styleId="Heading2Char">
    <w:name w:val="Heading 2 Char"/>
    <w:basedOn w:val="DefaultParagraphFont"/>
    <w:link w:val="Heading2"/>
    <w:uiPriority w:val="9"/>
    <w:semiHidden/>
    <w:rsid w:val="00215A00"/>
    <w:rPr>
      <w:rFonts w:asciiTheme="majorHAnsi" w:eastAsiaTheme="majorEastAsia" w:hAnsiTheme="majorHAnsi" w:cstheme="majorBidi"/>
      <w:noProof/>
      <w:color w:val="0F4761" w:themeColor="accent1" w:themeShade="BF"/>
      <w:sz w:val="32"/>
      <w:szCs w:val="32"/>
      <w:lang w:val="ro-RO"/>
    </w:rPr>
  </w:style>
  <w:style w:type="character" w:customStyle="1" w:styleId="Heading3Char">
    <w:name w:val="Heading 3 Char"/>
    <w:basedOn w:val="DefaultParagraphFont"/>
    <w:link w:val="Heading3"/>
    <w:uiPriority w:val="9"/>
    <w:semiHidden/>
    <w:rsid w:val="00215A00"/>
    <w:rPr>
      <w:rFonts w:eastAsiaTheme="majorEastAsia" w:cstheme="majorBidi"/>
      <w:noProof/>
      <w:color w:val="0F4761" w:themeColor="accent1" w:themeShade="BF"/>
      <w:sz w:val="28"/>
      <w:szCs w:val="28"/>
      <w:lang w:val="ro-RO"/>
    </w:rPr>
  </w:style>
  <w:style w:type="character" w:customStyle="1" w:styleId="Heading4Char">
    <w:name w:val="Heading 4 Char"/>
    <w:basedOn w:val="DefaultParagraphFont"/>
    <w:link w:val="Heading4"/>
    <w:uiPriority w:val="9"/>
    <w:semiHidden/>
    <w:rsid w:val="00215A00"/>
    <w:rPr>
      <w:rFonts w:eastAsiaTheme="majorEastAsia" w:cstheme="majorBidi"/>
      <w:i/>
      <w:iCs/>
      <w:noProof/>
      <w:color w:val="0F4761" w:themeColor="accent1" w:themeShade="BF"/>
      <w:lang w:val="ro-RO"/>
    </w:rPr>
  </w:style>
  <w:style w:type="character" w:customStyle="1" w:styleId="Heading5Char">
    <w:name w:val="Heading 5 Char"/>
    <w:basedOn w:val="DefaultParagraphFont"/>
    <w:link w:val="Heading5"/>
    <w:uiPriority w:val="9"/>
    <w:semiHidden/>
    <w:rsid w:val="00215A00"/>
    <w:rPr>
      <w:rFonts w:eastAsiaTheme="majorEastAsia" w:cstheme="majorBidi"/>
      <w:noProof/>
      <w:color w:val="0F4761" w:themeColor="accent1" w:themeShade="BF"/>
      <w:lang w:val="ro-RO"/>
    </w:rPr>
  </w:style>
  <w:style w:type="character" w:customStyle="1" w:styleId="Heading6Char">
    <w:name w:val="Heading 6 Char"/>
    <w:basedOn w:val="DefaultParagraphFont"/>
    <w:link w:val="Heading6"/>
    <w:uiPriority w:val="9"/>
    <w:semiHidden/>
    <w:rsid w:val="00215A00"/>
    <w:rPr>
      <w:rFonts w:eastAsiaTheme="majorEastAsia" w:cstheme="majorBidi"/>
      <w:i/>
      <w:iCs/>
      <w:noProof/>
      <w:color w:val="595959" w:themeColor="text1" w:themeTint="A6"/>
      <w:lang w:val="ro-RO"/>
    </w:rPr>
  </w:style>
  <w:style w:type="character" w:customStyle="1" w:styleId="Heading7Char">
    <w:name w:val="Heading 7 Char"/>
    <w:basedOn w:val="DefaultParagraphFont"/>
    <w:link w:val="Heading7"/>
    <w:uiPriority w:val="9"/>
    <w:semiHidden/>
    <w:rsid w:val="00215A00"/>
    <w:rPr>
      <w:rFonts w:eastAsiaTheme="majorEastAsia" w:cstheme="majorBidi"/>
      <w:noProof/>
      <w:color w:val="595959" w:themeColor="text1" w:themeTint="A6"/>
      <w:lang w:val="ro-RO"/>
    </w:rPr>
  </w:style>
  <w:style w:type="character" w:customStyle="1" w:styleId="Heading8Char">
    <w:name w:val="Heading 8 Char"/>
    <w:basedOn w:val="DefaultParagraphFont"/>
    <w:link w:val="Heading8"/>
    <w:uiPriority w:val="9"/>
    <w:semiHidden/>
    <w:rsid w:val="00215A00"/>
    <w:rPr>
      <w:rFonts w:eastAsiaTheme="majorEastAsia" w:cstheme="majorBidi"/>
      <w:i/>
      <w:iCs/>
      <w:noProof/>
      <w:color w:val="272727" w:themeColor="text1" w:themeTint="D8"/>
      <w:lang w:val="ro-RO"/>
    </w:rPr>
  </w:style>
  <w:style w:type="character" w:customStyle="1" w:styleId="Heading9Char">
    <w:name w:val="Heading 9 Char"/>
    <w:basedOn w:val="DefaultParagraphFont"/>
    <w:link w:val="Heading9"/>
    <w:uiPriority w:val="9"/>
    <w:semiHidden/>
    <w:rsid w:val="00215A00"/>
    <w:rPr>
      <w:rFonts w:eastAsiaTheme="majorEastAsia" w:cstheme="majorBidi"/>
      <w:noProof/>
      <w:color w:val="272727" w:themeColor="text1" w:themeTint="D8"/>
      <w:lang w:val="ro-RO"/>
    </w:rPr>
  </w:style>
  <w:style w:type="paragraph" w:styleId="Title">
    <w:name w:val="Title"/>
    <w:basedOn w:val="Normal"/>
    <w:next w:val="Normal"/>
    <w:link w:val="TitleChar"/>
    <w:uiPriority w:val="10"/>
    <w:qFormat/>
    <w:rsid w:val="00215A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A00"/>
    <w:rPr>
      <w:rFonts w:asciiTheme="majorHAnsi" w:eastAsiaTheme="majorEastAsia" w:hAnsiTheme="majorHAnsi" w:cstheme="majorBidi"/>
      <w:noProof/>
      <w:spacing w:val="-10"/>
      <w:kern w:val="28"/>
      <w:sz w:val="56"/>
      <w:szCs w:val="56"/>
      <w:lang w:val="ro-RO"/>
    </w:rPr>
  </w:style>
  <w:style w:type="paragraph" w:styleId="Subtitle">
    <w:name w:val="Subtitle"/>
    <w:basedOn w:val="Normal"/>
    <w:next w:val="Normal"/>
    <w:link w:val="SubtitleChar"/>
    <w:uiPriority w:val="11"/>
    <w:qFormat/>
    <w:rsid w:val="00215A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5A00"/>
    <w:rPr>
      <w:rFonts w:eastAsiaTheme="majorEastAsia" w:cstheme="majorBidi"/>
      <w:noProof/>
      <w:color w:val="595959" w:themeColor="text1" w:themeTint="A6"/>
      <w:spacing w:val="15"/>
      <w:sz w:val="28"/>
      <w:szCs w:val="28"/>
      <w:lang w:val="ro-RO"/>
    </w:rPr>
  </w:style>
  <w:style w:type="paragraph" w:styleId="Quote">
    <w:name w:val="Quote"/>
    <w:basedOn w:val="Normal"/>
    <w:next w:val="Normal"/>
    <w:link w:val="QuoteChar"/>
    <w:uiPriority w:val="29"/>
    <w:qFormat/>
    <w:rsid w:val="00215A00"/>
    <w:pPr>
      <w:spacing w:before="160"/>
      <w:jc w:val="center"/>
    </w:pPr>
    <w:rPr>
      <w:i/>
      <w:iCs/>
      <w:color w:val="404040" w:themeColor="text1" w:themeTint="BF"/>
    </w:rPr>
  </w:style>
  <w:style w:type="character" w:customStyle="1" w:styleId="QuoteChar">
    <w:name w:val="Quote Char"/>
    <w:basedOn w:val="DefaultParagraphFont"/>
    <w:link w:val="Quote"/>
    <w:uiPriority w:val="29"/>
    <w:rsid w:val="00215A00"/>
    <w:rPr>
      <w:i/>
      <w:iCs/>
      <w:noProof/>
      <w:color w:val="404040" w:themeColor="text1" w:themeTint="BF"/>
      <w:lang w:val="ro-RO"/>
    </w:rPr>
  </w:style>
  <w:style w:type="paragraph" w:styleId="ListParagraph">
    <w:name w:val="List Paragraph"/>
    <w:basedOn w:val="Normal"/>
    <w:uiPriority w:val="34"/>
    <w:qFormat/>
    <w:rsid w:val="00215A00"/>
    <w:pPr>
      <w:ind w:left="720"/>
      <w:contextualSpacing/>
    </w:pPr>
  </w:style>
  <w:style w:type="character" w:styleId="IntenseEmphasis">
    <w:name w:val="Intense Emphasis"/>
    <w:basedOn w:val="DefaultParagraphFont"/>
    <w:uiPriority w:val="21"/>
    <w:qFormat/>
    <w:rsid w:val="00215A00"/>
    <w:rPr>
      <w:i/>
      <w:iCs/>
      <w:color w:val="0F4761" w:themeColor="accent1" w:themeShade="BF"/>
    </w:rPr>
  </w:style>
  <w:style w:type="paragraph" w:styleId="IntenseQuote">
    <w:name w:val="Intense Quote"/>
    <w:basedOn w:val="Normal"/>
    <w:next w:val="Normal"/>
    <w:link w:val="IntenseQuoteChar"/>
    <w:uiPriority w:val="30"/>
    <w:qFormat/>
    <w:rsid w:val="00215A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5A00"/>
    <w:rPr>
      <w:i/>
      <w:iCs/>
      <w:noProof/>
      <w:color w:val="0F4761" w:themeColor="accent1" w:themeShade="BF"/>
      <w:lang w:val="ro-RO"/>
    </w:rPr>
  </w:style>
  <w:style w:type="character" w:styleId="IntenseReference">
    <w:name w:val="Intense Reference"/>
    <w:basedOn w:val="DefaultParagraphFont"/>
    <w:uiPriority w:val="32"/>
    <w:qFormat/>
    <w:rsid w:val="00215A00"/>
    <w:rPr>
      <w:b/>
      <w:bCs/>
      <w:smallCaps/>
      <w:color w:val="0F4761" w:themeColor="accent1" w:themeShade="BF"/>
      <w:spacing w:val="5"/>
    </w:rPr>
  </w:style>
  <w:style w:type="character" w:styleId="Hyperlink">
    <w:name w:val="Hyperlink"/>
    <w:basedOn w:val="DefaultParagraphFont"/>
    <w:uiPriority w:val="99"/>
    <w:unhideWhenUsed/>
    <w:rsid w:val="00544572"/>
    <w:rPr>
      <w:color w:val="467886" w:themeColor="hyperlink"/>
      <w:u w:val="single"/>
    </w:rPr>
  </w:style>
  <w:style w:type="character" w:styleId="UnresolvedMention">
    <w:name w:val="Unresolved Mention"/>
    <w:basedOn w:val="DefaultParagraphFont"/>
    <w:uiPriority w:val="99"/>
    <w:semiHidden/>
    <w:unhideWhenUsed/>
    <w:rsid w:val="00544572"/>
    <w:rPr>
      <w:color w:val="605E5C"/>
      <w:shd w:val="clear" w:color="auto" w:fill="E1DFDD"/>
    </w:rPr>
  </w:style>
  <w:style w:type="character" w:styleId="FollowedHyperlink">
    <w:name w:val="FollowedHyperlink"/>
    <w:basedOn w:val="DefaultParagraphFont"/>
    <w:uiPriority w:val="99"/>
    <w:semiHidden/>
    <w:unhideWhenUsed/>
    <w:rsid w:val="00F070B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doi.org/10.5281/zenodo.149040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mallbusiness.chron.com/clear-vision-mission-statements-contribute-strategic-management-process-24100.html" TargetMode="External"/><Relationship Id="rId5" Type="http://schemas.openxmlformats.org/officeDocument/2006/relationships/hyperlink" Target="http://doi:10.3794/johlste.91.244" TargetMode="External"/><Relationship Id="rId4" Type="http://schemas.openxmlformats.org/officeDocument/2006/relationships/hyperlink" Target="https://books.google.ro/books/about/Food_and_Beverage_Management.html?id=AAraeqRYz2UC&amp;redir_esc=y"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6</Pages>
  <Words>1906</Words>
  <Characters>10865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Ispas (2025167)</dc:creator>
  <cp:keywords/>
  <dc:description/>
  <cp:lastModifiedBy>Alexandru Ispas (2025167)</cp:lastModifiedBy>
  <cp:revision>19</cp:revision>
  <dcterms:created xsi:type="dcterms:W3CDTF">2024-02-29T18:26:00Z</dcterms:created>
  <dcterms:modified xsi:type="dcterms:W3CDTF">2024-02-29T22:10:00Z</dcterms:modified>
</cp:coreProperties>
</file>