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b/>
          <w:bCs/>
          <w:sz w:val="28"/>
          <w:szCs w:val="28"/>
        </w:rPr>
      </w:pPr>
      <w:r>
        <w:rPr>
          <w:rFonts w:ascii="Times New Roman" w:hAnsi="Times New Roman" w:cs="Times New Roman"/>
          <w:b/>
          <w:bCs/>
          <w:sz w:val="28"/>
          <w:szCs w:val="28"/>
        </w:rPr>
        <w:t>Analysing Marketing Mix of Tomos Watkin Brewery</w:t>
      </w: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center"/>
        <w:rPr>
          <w:rFonts w:hint="eastAsia" w:ascii="Times New Roman" w:hAnsi="Times New Roman" w:cs="Times New Roman"/>
          <w:sz w:val="24"/>
          <w:szCs w:val="24"/>
        </w:rPr>
      </w:pPr>
    </w:p>
    <w:p>
      <w:pPr>
        <w:jc w:val="both"/>
        <w:rPr>
          <w:rFonts w:ascii="Times New Roman" w:hAnsi="Times New Roman" w:cs="Times New Roman"/>
          <w:sz w:val="24"/>
          <w:szCs w:val="24"/>
          <w:lang w:val="en-US"/>
        </w:rPr>
      </w:pPr>
      <w:bookmarkStart w:id="18" w:name="_GoBack"/>
      <w:bookmarkEnd w:id="18"/>
    </w:p>
    <w:sdt>
      <w:sdtPr>
        <w:rPr>
          <w:rFonts w:hint="default" w:ascii="Times New Roman" w:hAnsi="Times New Roman" w:cs="Times New Roman" w:eastAsiaTheme="minorHAnsi"/>
          <w:b/>
          <w:bCs/>
          <w:i w:val="0"/>
          <w:sz w:val="28"/>
          <w:szCs w:val="28"/>
        </w:rPr>
        <w:id w:val="-1262675787"/>
        <w:docPartObj>
          <w:docPartGallery w:val="Table of Contents"/>
          <w:docPartUnique/>
        </w:docPartObj>
      </w:sdtPr>
      <w:sdtEndPr>
        <w:rPr>
          <w:rFonts w:asciiTheme="minorHAnsi" w:hAnsiTheme="minorHAnsi" w:eastAsiaTheme="minorHAnsi" w:cstheme="minorBidi"/>
          <w:b w:val="0"/>
          <w:bCs/>
          <w:i w:val="0"/>
          <w:sz w:val="24"/>
          <w:szCs w:val="24"/>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8"/>
              <w:szCs w:val="28"/>
              <w:lang w:val="en-GB"/>
            </w:rPr>
          </w:pPr>
          <w:r>
            <w:rPr>
              <w:rFonts w:hint="default" w:ascii="Times New Roman" w:hAnsi="Times New Roman" w:cs="Times New Roman"/>
              <w:b/>
              <w:bCs/>
              <w:i w:val="0"/>
              <w:sz w:val="28"/>
              <w:szCs w:val="28"/>
              <w:lang w:val="en-GB"/>
            </w:rPr>
            <w:t xml:space="preserve"> Table of </w:t>
          </w:r>
          <w:r>
            <w:rPr>
              <w:rFonts w:hint="default" w:ascii="Times New Roman" w:hAnsi="Times New Roman" w:eastAsia="宋体" w:cs="Times New Roman"/>
              <w:b/>
              <w:bCs/>
              <w:sz w:val="28"/>
              <w:szCs w:val="28"/>
              <w:lang w:val="en-GB"/>
            </w:rPr>
            <w:t>Contents</w:t>
          </w: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8"/>
              <w:szCs w:val="28"/>
              <w:lang w:val="en-GB"/>
            </w:rPr>
          </w:pP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_Toc19498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 Background of Tomos Watkin Brewery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_Toc19498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_Toc23185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2. Aims and Objectives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_Toc23185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_Toc27243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3. Key Cultural Forces that Might Influence Decisions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_Toc27243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_Toc4828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 Marketing Mix Strategy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_Toc4828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_Toc13822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4.1 Product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_Toc13822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_Toc18920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4.2 Price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_Toc18920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_Toc24102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4.3 Place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_Toc24102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_Toc6569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4.4 Promotion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_Toc6569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_Toc1502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4.4.1 The Appertivo Campaign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_Toc3764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4.4.2 Emotional Positioning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_Toc3764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10"/>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_Toc20164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4.5 Integrated Marketing Communication Toolbox</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_Toc20164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_Toc30216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4.5.1 Online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_Toc30216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6"/>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_Toc9298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4.5.2 Offline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_Toc9298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_Toc24037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5. Risk and Contingency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_Toc24037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_Toc4548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6. Justifications of the Marketing Mix Used</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_Toc4548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7</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_Toc2703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7.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_Toc2703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pStyle w:val="9"/>
            <w:tabs>
              <w:tab w:val="right" w:leader="dot" w:pos="9360"/>
            </w:tabs>
            <w:rPr>
              <w:rFonts w:hint="default" w:ascii="Times New Roman" w:hAnsi="Times New Roman" w:cs="Times New Roman"/>
              <w:sz w:val="24"/>
              <w:szCs w:val="24"/>
            </w:rPr>
          </w:pPr>
          <w:r>
            <w:rPr>
              <w:rFonts w:hint="default" w:ascii="Times New Roman" w:hAnsi="Times New Roman" w:cs="Times New Roman"/>
              <w:bCs/>
              <w:sz w:val="24"/>
              <w:szCs w:val="24"/>
            </w:rPr>
            <w:fldChar w:fldCharType="begin"/>
          </w:r>
          <w:r>
            <w:rPr>
              <w:rFonts w:hint="default" w:ascii="Times New Roman" w:hAnsi="Times New Roman" w:cs="Times New Roman"/>
              <w:bCs/>
              <w:sz w:val="24"/>
              <w:szCs w:val="24"/>
            </w:rPr>
            <w:instrText xml:space="preserve"> HYPERLINK \l _Toc102 </w:instrText>
          </w:r>
          <w:r>
            <w:rPr>
              <w:rFonts w:hint="default" w:ascii="Times New Roman" w:hAnsi="Times New Roman" w:cs="Times New Roman"/>
              <w:bCs/>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sz w:val="24"/>
              <w:szCs w:val="24"/>
            </w:rPr>
            <w:fldChar w:fldCharType="end"/>
          </w:r>
        </w:p>
        <w:p>
          <w:pPr>
            <w:spacing w:line="480" w:lineRule="auto"/>
            <w:jc w:val="center"/>
            <w:rPr>
              <w:rFonts w:ascii="Times New Roman" w:hAnsi="Times New Roman" w:cs="Times New Roman"/>
              <w:sz w:val="24"/>
              <w:szCs w:val="24"/>
            </w:rPr>
          </w:pPr>
          <w:r>
            <w:rPr>
              <w:rFonts w:hint="default" w:ascii="Times New Roman" w:hAnsi="Times New Roman" w:cs="Times New Roman"/>
              <w:bCs/>
              <w:sz w:val="24"/>
              <w:szCs w:val="24"/>
            </w:rPr>
            <w:fldChar w:fldCharType="end"/>
          </w:r>
        </w:p>
      </w:sdtContent>
    </w:sdt>
    <w:p>
      <w:pPr>
        <w:jc w:val="center"/>
        <w:rPr>
          <w:rFonts w:ascii="Times New Roman" w:hAnsi="Times New Roman" w:cs="Times New Roman"/>
          <w:sz w:val="24"/>
          <w:szCs w:val="24"/>
        </w:rPr>
      </w:pPr>
    </w:p>
    <w:p>
      <w:pPr>
        <w:pStyle w:val="2"/>
        <w:rPr>
          <w:sz w:val="24"/>
          <w:szCs w:val="24"/>
        </w:rPr>
        <w:sectPr>
          <w:pgSz w:w="12240" w:h="15840"/>
          <w:pgMar w:top="1440" w:right="1440" w:bottom="1440" w:left="1440" w:header="720" w:footer="720" w:gutter="0"/>
          <w:cols w:space="720" w:num="1"/>
          <w:docGrid w:linePitch="360" w:charSpace="0"/>
        </w:sectPr>
      </w:pPr>
    </w:p>
    <w:p>
      <w:pPr>
        <w:pStyle w:val="2"/>
        <w:rPr>
          <w:rFonts w:ascii="Times New Roman" w:hAnsi="Times New Roman" w:cs="Times New Roman" w:eastAsiaTheme="minorHAnsi"/>
          <w:b/>
          <w:bCs/>
          <w:i w:val="0"/>
          <w:sz w:val="28"/>
          <w:szCs w:val="28"/>
          <w:lang w:val="en-GB" w:eastAsia="en-US" w:bidi="ar-SA"/>
        </w:rPr>
      </w:pPr>
      <w:bookmarkStart w:id="0" w:name="_Toc19498"/>
      <w:r>
        <w:rPr>
          <w:rFonts w:ascii="Times New Roman" w:hAnsi="Times New Roman" w:cs="Times New Roman" w:eastAsiaTheme="minorHAnsi"/>
          <w:b/>
          <w:bCs/>
          <w:i w:val="0"/>
          <w:sz w:val="28"/>
          <w:szCs w:val="28"/>
          <w:lang w:val="en-GB" w:eastAsia="en-US" w:bidi="ar-SA"/>
        </w:rPr>
        <w:t>Background of Tomos Watkin Brewery</w:t>
      </w:r>
      <w:bookmarkEnd w:id="0"/>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company Tomos Watkin Brewery had been opened in the year 1995 in Llandeilo in Wales however; it was a brewery company that was started by Simon Bukley. In addition, the company has been giving some special services and products which involve ales, lagers and beers. The best example of these beverages includes Taffy Apple Cider, Cwru Braf, Magic Lagyr and also others (Tomos Watkin, 2019). The company had been also acquired by the Hurns Brewing Company that has a specialized product and distribution of various beer products in the year 2002, especially when it started to suffer in an economic way. In addition, the company was the primary part of Connie and also her brother before it had been assimilated. The company was located in the South Wales. The beers in the company have been also considered as a brand named The Great Ales of Wales. This fact has made the company to incorporate the pleasure and passion of the South Wales in the area of production. The company have also some success in the international countries especially Spain, China and United States where they have exported.  </w:t>
      </w:r>
    </w:p>
    <w:p>
      <w:pPr>
        <w:pStyle w:val="2"/>
        <w:rPr>
          <w:rFonts w:ascii="Times New Roman" w:hAnsi="Times New Roman" w:cs="Times New Roman" w:eastAsiaTheme="minorHAnsi"/>
          <w:b/>
          <w:bCs/>
          <w:i w:val="0"/>
          <w:sz w:val="28"/>
          <w:szCs w:val="28"/>
          <w:lang w:val="en-GB" w:eastAsia="en-US" w:bidi="ar-SA"/>
        </w:rPr>
      </w:pPr>
      <w:bookmarkStart w:id="1" w:name="_Toc2330511"/>
      <w:bookmarkStart w:id="2" w:name="_Toc23185"/>
      <w:r>
        <w:rPr>
          <w:rFonts w:ascii="Times New Roman" w:hAnsi="Times New Roman" w:cs="Times New Roman" w:eastAsiaTheme="minorHAnsi"/>
          <w:b/>
          <w:bCs/>
          <w:i w:val="0"/>
          <w:sz w:val="28"/>
          <w:szCs w:val="28"/>
          <w:lang w:val="en-GB" w:eastAsia="en-US" w:bidi="ar-SA"/>
        </w:rPr>
        <w:t>Aims and Objectives</w:t>
      </w:r>
      <w:bookmarkEnd w:id="1"/>
      <w:bookmarkEnd w:id="2"/>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primary focus and highlighted part of this study is to make suggestions for the company Tomos Watkin which has a feasible global market that has strong benefits. These benefits aim at providing important and strategic marketing mix based on the recommendation of the market entry. </w:t>
      </w:r>
    </w:p>
    <w:p>
      <w:pPr>
        <w:pStyle w:val="2"/>
        <w:rPr>
          <w:rFonts w:ascii="Times New Roman" w:hAnsi="Times New Roman" w:cs="Times New Roman" w:eastAsiaTheme="minorHAnsi"/>
          <w:b/>
          <w:bCs/>
          <w:i w:val="0"/>
          <w:sz w:val="28"/>
          <w:szCs w:val="28"/>
          <w:lang w:val="en-GB" w:eastAsia="en-US" w:bidi="ar-SA"/>
        </w:rPr>
      </w:pPr>
      <w:bookmarkStart w:id="3" w:name="_Toc27243"/>
      <w:r>
        <w:rPr>
          <w:rFonts w:ascii="Times New Roman" w:hAnsi="Times New Roman" w:cs="Times New Roman" w:eastAsiaTheme="minorHAnsi"/>
          <w:b/>
          <w:bCs/>
          <w:i w:val="0"/>
          <w:sz w:val="28"/>
          <w:szCs w:val="28"/>
          <w:lang w:val="en-GB" w:eastAsia="en-US" w:bidi="ar-SA"/>
        </w:rPr>
        <w:t>Key Cultural Forces that Might Influence Decisions</w:t>
      </w:r>
      <w:bookmarkEnd w:id="3"/>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The beer culture of the Italy is different from the other countries. When it comes to beer and breweries, the Italians prefer a lighter taste and affordability in the same time (Mooji, 2018). The Italian customers highly rely on the influencers like bloggers and coupons. Italians are fond of going to a café and exchange a drink which makes bars and cafes a major place to keep the beers. Moreover, in order to grab the customer market of Italy, there is a need of effective promotional strategy followed with the affordable pricing (Castiglione and Infante, 2016). The two main forces that are identified and may affect the decisions are pricing strategy and marketing in the right way by keeping in mind the culture of Italy. Keeping this in view below is the recommended marketing mix for the company.</w:t>
      </w:r>
    </w:p>
    <w:p>
      <w:pPr>
        <w:pStyle w:val="2"/>
        <w:rPr>
          <w:rFonts w:ascii="Times New Roman" w:hAnsi="Times New Roman" w:cs="Times New Roman" w:eastAsiaTheme="minorHAnsi"/>
          <w:b/>
          <w:bCs/>
          <w:i w:val="0"/>
          <w:sz w:val="28"/>
          <w:szCs w:val="28"/>
          <w:lang w:val="en-GB" w:eastAsia="en-US" w:bidi="ar-SA"/>
        </w:rPr>
      </w:pPr>
      <w:bookmarkStart w:id="4" w:name="_Toc4828"/>
      <w:r>
        <w:rPr>
          <w:rFonts w:ascii="Times New Roman" w:hAnsi="Times New Roman" w:cs="Times New Roman" w:eastAsiaTheme="minorHAnsi"/>
          <w:b/>
          <w:bCs/>
          <w:i w:val="0"/>
          <w:sz w:val="28"/>
          <w:szCs w:val="28"/>
          <w:lang w:val="en-GB" w:eastAsia="en-US" w:bidi="ar-SA"/>
        </w:rPr>
        <w:t>Marketing Mix Strategy</w:t>
      </w:r>
      <w:bookmarkEnd w:id="4"/>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By looking into the experience of different countries including China, Spain, United States and Hong Kong, it would be best to consider Italy as a place to open up, If the TWB adopts the idea of exporting and will globalize then it could reduce the risk factor. As there are many uncertainties associated with the business of alcoholic beverage market, there is a need to make the strategies healthy to compete strongly with the alcoholic beverage market. The idea of export has been also considered as healthy for the globalization strategy as it could make them to cope up in the large market and to obtain the share in the market (Bolar et al., 2015). This would be the best approach to make the manufacturing products known and to ship them easily to Italy. </w:t>
      </w:r>
    </w:p>
    <w:p>
      <w:pPr>
        <w:pStyle w:val="3"/>
        <w:rPr>
          <w:rFonts w:ascii="Times New Roman" w:hAnsi="Times New Roman" w:cs="Times New Roman" w:eastAsiaTheme="minorHAnsi"/>
          <w:b/>
          <w:bCs/>
          <w:i w:val="0"/>
          <w:sz w:val="24"/>
          <w:szCs w:val="24"/>
          <w:lang w:val="en-GB" w:eastAsia="en-US" w:bidi="ar-SA"/>
        </w:rPr>
      </w:pPr>
      <w:bookmarkStart w:id="5" w:name="_Toc13822"/>
      <w:r>
        <w:rPr>
          <w:rFonts w:ascii="Times New Roman" w:hAnsi="Times New Roman" w:cs="Times New Roman" w:eastAsiaTheme="minorHAnsi"/>
          <w:b/>
          <w:bCs/>
          <w:i w:val="0"/>
          <w:sz w:val="24"/>
          <w:szCs w:val="24"/>
          <w:lang w:val="en-GB" w:eastAsia="en-US" w:bidi="ar-SA"/>
        </w:rPr>
        <w:t>Product</w:t>
      </w:r>
      <w:bookmarkEnd w:id="5"/>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brewing company have been aiming to offer various brands that have unique taste and have been designed in different markets. In addition, the company have been also using the product development strategy and diversification strategy by sourcing its technique for the product development (Steenkamp, 2017). In addition, the company will also aim to make it good with the preferential taste in the local markets. The right implementation of this strategy aims to enable the company in gaining significant markets and to cater various and diverse needs and taste of the customers. </w:t>
      </w: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brewing company has been also aiming to make the company products intensified as per the local and international needs (Paun, 2018). The company will also take the products towards local market as per the needs and preferences. In addition, the placement of product has been done in the international and local market thus the strategy has enabled the company to create a significant market share. The brewing company has been also investing towards the product to create differentiation from the differentiation. The company aims at offering some unique products all across the markets in both local and international level. </w:t>
      </w: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p>
    <w:p>
      <w:pPr>
        <w:pStyle w:val="3"/>
        <w:rPr>
          <w:rFonts w:ascii="Times New Roman" w:hAnsi="Times New Roman" w:cs="Times New Roman" w:eastAsiaTheme="minorHAnsi"/>
          <w:b/>
          <w:bCs/>
          <w:i w:val="0"/>
          <w:sz w:val="24"/>
          <w:szCs w:val="24"/>
          <w:lang w:val="en-GB" w:eastAsia="en-US" w:bidi="ar-SA"/>
        </w:rPr>
      </w:pPr>
      <w:bookmarkStart w:id="6" w:name="_Toc18920"/>
      <w:r>
        <w:rPr>
          <w:rFonts w:ascii="Times New Roman" w:hAnsi="Times New Roman" w:cs="Times New Roman" w:eastAsiaTheme="minorHAnsi"/>
          <w:b/>
          <w:bCs/>
          <w:i w:val="0"/>
          <w:sz w:val="24"/>
          <w:szCs w:val="24"/>
          <w:lang w:val="en-GB" w:eastAsia="en-US" w:bidi="ar-SA"/>
        </w:rPr>
        <w:t>Price</w:t>
      </w:r>
      <w:bookmarkEnd w:id="6"/>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Price has been considered as a crucial factor in the strategy of marketing however, the prices have been evaluated with the aim of providing the customers with affordable prices (Bonanno et al., 2018). Specifically, the brewing company has been taking the steps and initiative to offer the competitive and affordable price level. The strategy has been also enabling the company to provide the customers with the best affordable products. The base of customers has led to increase the revenue and sales. The brewing company has been also appreciating the fact that there are various beer brands that have been satisfying the need of every class thus the company has developed the brands with different prices that will aim to obtain the needs of every class and will increase the product demand while maintaining the needs of the existing customers. The pricing strategy of the company is to lower down the product price to attract more and more customers. </w:t>
      </w:r>
    </w:p>
    <w:p>
      <w:pPr>
        <w:pStyle w:val="3"/>
        <w:rPr>
          <w:rFonts w:ascii="Times New Roman" w:hAnsi="Times New Roman" w:cs="Times New Roman" w:eastAsiaTheme="minorHAnsi"/>
          <w:b/>
          <w:bCs/>
          <w:i w:val="0"/>
          <w:sz w:val="24"/>
          <w:szCs w:val="24"/>
          <w:lang w:val="en-GB" w:eastAsia="en-US" w:bidi="ar-SA"/>
        </w:rPr>
      </w:pPr>
      <w:bookmarkStart w:id="7" w:name="_Toc24102"/>
      <w:r>
        <w:rPr>
          <w:rFonts w:ascii="Times New Roman" w:hAnsi="Times New Roman" w:cs="Times New Roman" w:eastAsiaTheme="minorHAnsi"/>
          <w:b/>
          <w:bCs/>
          <w:i w:val="0"/>
          <w:sz w:val="24"/>
          <w:szCs w:val="24"/>
          <w:lang w:val="en-GB" w:eastAsia="en-US" w:bidi="ar-SA"/>
        </w:rPr>
        <w:t>Place</w:t>
      </w:r>
      <w:bookmarkEnd w:id="7"/>
    </w:p>
    <w:p>
      <w:pPr>
        <w:pStyle w:val="11"/>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Product placement has been always an important and essential element for the successful development (Rittner and Hain, 2016). The brewing company has been also embracing the fact that the placement of product must be done in an international and local markets. The company must aim to accomplish the market in a strategic manner. The strategy will be enforced on the basis of demographics and timely delivery will be done all over the world to make the services better. </w:t>
      </w:r>
    </w:p>
    <w:p>
      <w:pPr>
        <w:pStyle w:val="3"/>
        <w:rPr>
          <w:rFonts w:ascii="Times New Roman" w:hAnsi="Times New Roman" w:cs="Times New Roman" w:eastAsiaTheme="minorHAnsi"/>
          <w:b/>
          <w:bCs/>
          <w:i w:val="0"/>
          <w:sz w:val="24"/>
          <w:szCs w:val="24"/>
          <w:lang w:val="en-GB" w:eastAsia="en-US" w:bidi="ar-SA"/>
        </w:rPr>
      </w:pPr>
      <w:bookmarkStart w:id="8" w:name="_Toc6569"/>
      <w:r>
        <w:rPr>
          <w:rFonts w:ascii="Times New Roman" w:hAnsi="Times New Roman" w:cs="Times New Roman" w:eastAsiaTheme="minorHAnsi"/>
          <w:b/>
          <w:bCs/>
          <w:i w:val="0"/>
          <w:sz w:val="24"/>
          <w:szCs w:val="24"/>
          <w:lang w:val="en-GB" w:eastAsia="en-US" w:bidi="ar-SA"/>
        </w:rPr>
        <w:t>Promotion</w:t>
      </w:r>
      <w:bookmarkEnd w:id="8"/>
    </w:p>
    <w:p>
      <w:pPr>
        <w:pStyle w:val="4"/>
        <w:rPr>
          <w:rFonts w:ascii="Times New Roman" w:hAnsi="Times New Roman" w:cs="Times New Roman" w:eastAsiaTheme="minorHAnsi"/>
          <w:b/>
          <w:bCs/>
          <w:i w:val="0"/>
          <w:sz w:val="24"/>
          <w:szCs w:val="24"/>
          <w:lang w:val="en-GB" w:eastAsia="en-US" w:bidi="ar-SA"/>
        </w:rPr>
      </w:pPr>
      <w:bookmarkStart w:id="9" w:name="_Toc1502"/>
      <w:r>
        <w:rPr>
          <w:rFonts w:ascii="Times New Roman" w:hAnsi="Times New Roman" w:cs="Times New Roman" w:eastAsiaTheme="minorHAnsi"/>
          <w:b/>
          <w:bCs/>
          <w:i w:val="0"/>
          <w:sz w:val="24"/>
          <w:szCs w:val="24"/>
          <w:lang w:val="en-GB" w:eastAsia="en-US" w:bidi="ar-SA"/>
        </w:rPr>
        <w:t>The Appertivo Campaign</w:t>
      </w:r>
      <w:bookmarkEnd w:id="9"/>
    </w:p>
    <w:p>
      <w:pPr>
        <w:spacing w:line="600" w:lineRule="auto"/>
        <w:jc w:val="both"/>
        <w:rPr>
          <w:rFonts w:ascii="Times New Roman" w:hAnsi="Times New Roman" w:cs="Times New Roman" w:eastAsiaTheme="minorHAnsi"/>
          <w:b w:val="0"/>
          <w:i w:val="0"/>
          <w:sz w:val="24"/>
          <w:szCs w:val="24"/>
          <w:lang w:val="en-US" w:eastAsia="en-US" w:bidi="ar-SA"/>
        </w:rPr>
      </w:pPr>
      <w:r>
        <w:rPr>
          <w:rFonts w:ascii="Times New Roman" w:hAnsi="Times New Roman" w:cs="Times New Roman" w:eastAsiaTheme="minorHAnsi"/>
          <w:b w:val="0"/>
          <w:i w:val="0"/>
          <w:sz w:val="24"/>
          <w:szCs w:val="24"/>
          <w:lang w:val="en-US" w:eastAsia="en-US" w:bidi="ar-SA"/>
        </w:rPr>
        <w:t xml:space="preserve">Apertivo in Italy is referred to the day when individuals are coming to the cafes at the time of early evenings and spending time to drink and get socialize with people. The concept is same as the concept of happy hour in US (Virgin, 2016). This campaign has already been applied by other brewery competitors like Starbucks and has a successful response from the Italian market. In the same TWB should also apply this tactic by collaborating with the cafes and bars and offering their beers and cocktails with small plates of food to be serving to the customers coming to spend their happy hour. </w:t>
      </w:r>
    </w:p>
    <w:p>
      <w:pPr>
        <w:pStyle w:val="4"/>
        <w:rPr>
          <w:rFonts w:ascii="Times New Roman" w:hAnsi="Times New Roman" w:cs="Times New Roman" w:eastAsiaTheme="minorHAnsi"/>
          <w:b/>
          <w:bCs/>
          <w:i w:val="0"/>
          <w:sz w:val="24"/>
          <w:szCs w:val="24"/>
          <w:lang w:val="en-GB" w:eastAsia="en-US" w:bidi="ar-SA"/>
        </w:rPr>
      </w:pPr>
      <w:bookmarkStart w:id="10" w:name="_Toc3764"/>
      <w:r>
        <w:rPr>
          <w:rFonts w:ascii="Times New Roman" w:hAnsi="Times New Roman" w:cs="Times New Roman" w:eastAsiaTheme="minorHAnsi"/>
          <w:b/>
          <w:bCs/>
          <w:i w:val="0"/>
          <w:sz w:val="24"/>
          <w:szCs w:val="24"/>
          <w:lang w:val="en-GB" w:eastAsia="en-US" w:bidi="ar-SA"/>
        </w:rPr>
        <w:t>Emotional Positioning</w:t>
      </w:r>
      <w:bookmarkEnd w:id="10"/>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ab/>
      </w:r>
      <w:r>
        <w:rPr>
          <w:rFonts w:ascii="Times New Roman" w:hAnsi="Times New Roman" w:cs="Times New Roman" w:eastAsiaTheme="minorHAnsi"/>
          <w:b w:val="0"/>
          <w:i w:val="0"/>
          <w:sz w:val="24"/>
          <w:szCs w:val="24"/>
          <w:lang w:val="en-GB" w:eastAsia="en-US" w:bidi="ar-SA"/>
        </w:rPr>
        <w:t xml:space="preserve">Apart from the happy hour campaign, the brand can also go with the option of emotional positioning as it is the essential aspect when it comes to Italian market. The emotional positioning will illustrate about the customer intimacy and the stronger development of relations with regular customers (Reid, 2016). The company should also offer the products that will portray the lifestyle of the Italian Customers. This positioning will help to directly integrate with the fulfilment of target market expectations fruitfully. </w:t>
      </w:r>
    </w:p>
    <w:p>
      <w:pPr>
        <w:spacing w:line="600" w:lineRule="auto"/>
        <w:jc w:val="both"/>
        <w:rPr>
          <w:rFonts w:ascii="Times New Roman" w:hAnsi="Times New Roman" w:cs="Times New Roman" w:eastAsiaTheme="minorHAnsi"/>
          <w:b w:val="0"/>
          <w:i w:val="0"/>
          <w:sz w:val="24"/>
          <w:szCs w:val="24"/>
          <w:lang w:val="en-GB" w:eastAsia="en-US" w:bidi="ar-SA"/>
        </w:rPr>
      </w:pPr>
    </w:p>
    <w:p>
      <w:pPr>
        <w:spacing w:line="600" w:lineRule="auto"/>
        <w:jc w:val="both"/>
        <w:rPr>
          <w:rFonts w:ascii="Times New Roman" w:hAnsi="Times New Roman" w:cs="Times New Roman" w:eastAsiaTheme="minorHAnsi"/>
          <w:b w:val="0"/>
          <w:i w:val="0"/>
          <w:sz w:val="24"/>
          <w:szCs w:val="24"/>
          <w:lang w:val="en-GB" w:eastAsia="en-US" w:bidi="ar-SA"/>
        </w:rPr>
      </w:pPr>
    </w:p>
    <w:p>
      <w:pPr>
        <w:pStyle w:val="3"/>
        <w:rPr>
          <w:rFonts w:ascii="Times New Roman" w:hAnsi="Times New Roman" w:cs="Times New Roman" w:eastAsiaTheme="minorHAnsi"/>
          <w:b/>
          <w:bCs/>
          <w:i w:val="0"/>
          <w:sz w:val="24"/>
          <w:szCs w:val="24"/>
          <w:lang w:val="en-GB" w:eastAsia="en-US" w:bidi="ar-SA"/>
        </w:rPr>
      </w:pPr>
      <w:bookmarkStart w:id="11" w:name="_Toc20164"/>
      <w:r>
        <w:rPr>
          <w:rFonts w:ascii="Times New Roman" w:hAnsi="Times New Roman" w:cs="Times New Roman" w:eastAsiaTheme="minorHAnsi"/>
          <w:b/>
          <w:bCs/>
          <w:i w:val="0"/>
          <w:sz w:val="24"/>
          <w:szCs w:val="24"/>
          <w:lang w:val="en-GB" w:eastAsia="en-US" w:bidi="ar-SA"/>
        </w:rPr>
        <w:t>Integrated Marketing Communication Toolbox</w:t>
      </w:r>
      <w:bookmarkEnd w:id="11"/>
      <w:r>
        <w:rPr>
          <w:rFonts w:ascii="Times New Roman" w:hAnsi="Times New Roman" w:cs="Times New Roman" w:eastAsiaTheme="minorHAnsi"/>
          <w:b/>
          <w:bCs/>
          <w:i w:val="0"/>
          <w:sz w:val="24"/>
          <w:szCs w:val="24"/>
          <w:lang w:val="en-GB" w:eastAsia="en-US" w:bidi="ar-SA"/>
        </w:rPr>
        <w:t xml:space="preserve"> </w:t>
      </w:r>
    </w:p>
    <w:p>
      <w:pPr>
        <w:pStyle w:val="4"/>
        <w:rPr>
          <w:rFonts w:ascii="Times New Roman" w:hAnsi="Times New Roman" w:cs="Times New Roman" w:eastAsiaTheme="minorHAnsi"/>
          <w:b/>
          <w:bCs/>
          <w:i w:val="0"/>
          <w:sz w:val="24"/>
          <w:szCs w:val="24"/>
          <w:lang w:val="en-GB" w:eastAsia="en-US" w:bidi="ar-SA"/>
        </w:rPr>
      </w:pPr>
      <w:bookmarkStart w:id="12" w:name="_Toc30216"/>
      <w:r>
        <w:rPr>
          <w:rFonts w:ascii="Times New Roman" w:hAnsi="Times New Roman" w:cs="Times New Roman" w:eastAsiaTheme="minorHAnsi"/>
          <w:b/>
          <w:bCs/>
          <w:i w:val="0"/>
          <w:sz w:val="24"/>
          <w:szCs w:val="24"/>
          <w:lang w:val="en-GB" w:eastAsia="en-US" w:bidi="ar-SA"/>
        </w:rPr>
        <w:t>Online</w:t>
      </w:r>
      <w:bookmarkEnd w:id="12"/>
      <w:r>
        <w:rPr>
          <w:rFonts w:ascii="Times New Roman" w:hAnsi="Times New Roman" w:cs="Times New Roman" w:eastAsiaTheme="minorHAnsi"/>
          <w:b/>
          <w:bCs/>
          <w:i w:val="0"/>
          <w:sz w:val="24"/>
          <w:szCs w:val="24"/>
          <w:lang w:val="en-GB" w:eastAsia="en-US" w:bidi="ar-SA"/>
        </w:rPr>
        <w:t xml:space="preserve"> </w:t>
      </w: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online tools that company should use are the social media platforms and the bloggers. The social media has been taking a rapid rise and affecting the behaviour of customer in both negative and positive manner particularly in Italy. In Italy, the two social media platforms that have gained much importance are Facebook and Twitter (Kalsnes and Larsson, 2018). The branding done on social media has seemed to be observable and the Italians are fond of posting on social media. This offers a good chance to the Company to make use of the social media in order to retain the potential customers and keep the, updated about deals and menus. </w:t>
      </w: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Secondly, the company should reach out to the bloggers. Bloggers are one of the leading personalities creating influence on the consumer behaviour in Italy. Given to this, the company must have made this strategy that it should invite the food bloggers in the first meet up and ask them to post review (Magno and Cassia, 2018). The company should in turn offer coupons of free beers to the bloggers so that they post good experience to the general public. </w:t>
      </w:r>
    </w:p>
    <w:p>
      <w:pPr>
        <w:pStyle w:val="4"/>
        <w:rPr>
          <w:rFonts w:ascii="Times New Roman" w:hAnsi="Times New Roman" w:cs="Times New Roman" w:eastAsiaTheme="minorHAnsi"/>
          <w:b/>
          <w:bCs/>
          <w:i w:val="0"/>
          <w:sz w:val="24"/>
          <w:szCs w:val="24"/>
          <w:lang w:val="en-GB" w:eastAsia="en-US" w:bidi="ar-SA"/>
        </w:rPr>
      </w:pPr>
      <w:bookmarkStart w:id="13" w:name="_Toc9298"/>
      <w:r>
        <w:rPr>
          <w:rFonts w:ascii="Times New Roman" w:hAnsi="Times New Roman" w:cs="Times New Roman" w:eastAsiaTheme="minorHAnsi"/>
          <w:b/>
          <w:bCs/>
          <w:i w:val="0"/>
          <w:sz w:val="24"/>
          <w:szCs w:val="24"/>
          <w:lang w:val="en-GB" w:eastAsia="en-US" w:bidi="ar-SA"/>
        </w:rPr>
        <w:t>Offline</w:t>
      </w:r>
      <w:bookmarkEnd w:id="13"/>
      <w:r>
        <w:rPr>
          <w:rFonts w:ascii="Times New Roman" w:hAnsi="Times New Roman" w:cs="Times New Roman" w:eastAsiaTheme="minorHAnsi"/>
          <w:b/>
          <w:bCs/>
          <w:i w:val="0"/>
          <w:sz w:val="24"/>
          <w:szCs w:val="24"/>
          <w:lang w:val="en-GB" w:eastAsia="en-US" w:bidi="ar-SA"/>
        </w:rPr>
        <w:t xml:space="preserve"> </w:t>
      </w:r>
    </w:p>
    <w:p>
      <w:pPr>
        <w:tabs>
          <w:tab w:val="left" w:pos="6900"/>
        </w:tabs>
        <w:spacing w:after="0"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main offline tool that company could use is the marketing by means of posters and advertisements. This kind of street marketing is very effective in Italy. Moreover, the travellers coming to Italy also get attracted to such posters. While announcing the beginning of the apertivo festival, the company should use facebook and twitter to give a daily update on the products (Youssef et al., 2018). Facebook should be used to give an alert to the followers about the deals and Twitter will offer the updates to interact with customers regarding the deals. It will also answer to the queries about the apertivo (Carnelli and Anselmi, 2018). The campaign will be name as the Cheers campaign. The deals should offer the promotional packages like packers of the Milwaukee Brewers and buy one get one free offers. </w:t>
      </w:r>
    </w:p>
    <w:p>
      <w:pPr>
        <w:pStyle w:val="2"/>
        <w:rPr>
          <w:rFonts w:ascii="Times New Roman" w:hAnsi="Times New Roman" w:cs="Times New Roman" w:eastAsiaTheme="minorHAnsi"/>
          <w:b/>
          <w:bCs/>
          <w:i w:val="0"/>
          <w:sz w:val="28"/>
          <w:szCs w:val="28"/>
          <w:lang w:val="en-GB" w:eastAsia="en-US" w:bidi="ar-SA"/>
        </w:rPr>
      </w:pPr>
      <w:bookmarkStart w:id="14" w:name="_Toc24037"/>
      <w:r>
        <w:rPr>
          <w:rFonts w:ascii="Times New Roman" w:hAnsi="Times New Roman" w:cs="Times New Roman" w:eastAsiaTheme="minorHAnsi"/>
          <w:b/>
          <w:bCs/>
          <w:i w:val="0"/>
          <w:sz w:val="28"/>
          <w:szCs w:val="28"/>
          <w:lang w:val="en-GB" w:eastAsia="en-US" w:bidi="ar-SA"/>
        </w:rPr>
        <w:t>Risk and Contingency</w:t>
      </w:r>
      <w:bookmarkEnd w:id="14"/>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ab/>
      </w:r>
      <w:r>
        <w:rPr>
          <w:rFonts w:ascii="Times New Roman" w:hAnsi="Times New Roman" w:cs="Times New Roman" w:eastAsiaTheme="minorHAnsi"/>
          <w:b w:val="0"/>
          <w:i w:val="0"/>
          <w:sz w:val="24"/>
          <w:szCs w:val="24"/>
          <w:lang w:val="en-GB" w:eastAsia="en-US" w:bidi="ar-SA"/>
        </w:rPr>
        <w:t xml:space="preserve">The risks associated to this campaign are that Italian customers might not get persuaded to visit the appertivo as per the culture in Italy. Some other risks would be if there had not been adequate tourism attraction to the campaign, it might impact the profitability. Therefore, the contingency plan to this is that the company should launch the campaign at one location where there are both native Italians and tourists as well such as the city of Milan (Carcano and Lojacono. 2019). This will offer the effective and major customer market for the campaign. </w:t>
      </w:r>
    </w:p>
    <w:p>
      <w:pPr>
        <w:pStyle w:val="2"/>
        <w:rPr>
          <w:rFonts w:ascii="Times New Roman" w:hAnsi="Times New Roman" w:cs="Times New Roman" w:eastAsiaTheme="minorHAnsi"/>
          <w:b/>
          <w:bCs/>
          <w:i w:val="0"/>
          <w:sz w:val="28"/>
          <w:szCs w:val="28"/>
          <w:lang w:val="en-GB" w:eastAsia="en-US" w:bidi="ar-SA"/>
        </w:rPr>
      </w:pPr>
      <w:bookmarkStart w:id="15" w:name="_Toc4548"/>
      <w:r>
        <w:rPr>
          <w:rFonts w:ascii="Times New Roman" w:hAnsi="Times New Roman" w:cs="Times New Roman" w:eastAsiaTheme="minorHAnsi"/>
          <w:b/>
          <w:bCs/>
          <w:i w:val="0"/>
          <w:sz w:val="28"/>
          <w:szCs w:val="28"/>
          <w:lang w:val="en-GB" w:eastAsia="en-US" w:bidi="ar-SA"/>
        </w:rPr>
        <w:t>Justifications of the Marketing Mix Used</w:t>
      </w:r>
      <w:bookmarkEnd w:id="15"/>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ab/>
      </w:r>
      <w:r>
        <w:rPr>
          <w:rFonts w:ascii="Times New Roman" w:hAnsi="Times New Roman" w:cs="Times New Roman" w:eastAsiaTheme="minorHAnsi"/>
          <w:b w:val="0"/>
          <w:i w:val="0"/>
          <w:sz w:val="24"/>
          <w:szCs w:val="24"/>
          <w:lang w:val="en-GB" w:eastAsia="en-US" w:bidi="ar-SA"/>
        </w:rPr>
        <w:t>The product strategy is an attributable one as light beers are more considerable than the other ones. Followed with this the lighter brands would be sold at lower prices which will also attract the young target market base. The lower price will allow the company to offer a kind of service in the markets that are meeting all the aspects in terms preference, taste and affordability of consumers (Rabellotti, 2016). The placement strategy will enable the company to open a beer café at the hub of the Italy where every customer base is attracted be it native Italians or tourists. The promotional strategy will allow the company to reach to all the customers ranging from digital to local customers.</w:t>
      </w:r>
    </w:p>
    <w:p>
      <w:pPr>
        <w:pStyle w:val="2"/>
        <w:rPr>
          <w:rFonts w:ascii="Times New Roman" w:hAnsi="Times New Roman" w:cs="Times New Roman" w:eastAsiaTheme="minorHAnsi"/>
          <w:b/>
          <w:bCs/>
          <w:i w:val="0"/>
          <w:sz w:val="28"/>
          <w:szCs w:val="28"/>
          <w:lang w:val="en-GB" w:eastAsia="en-US" w:bidi="ar-SA"/>
        </w:rPr>
      </w:pPr>
      <w:bookmarkStart w:id="16" w:name="_Toc2703"/>
      <w:r>
        <w:rPr>
          <w:rFonts w:ascii="Times New Roman" w:hAnsi="Times New Roman" w:cs="Times New Roman" w:eastAsiaTheme="minorHAnsi"/>
          <w:b/>
          <w:bCs/>
          <w:i w:val="0"/>
          <w:sz w:val="28"/>
          <w:szCs w:val="28"/>
          <w:lang w:val="en-GB" w:eastAsia="en-US" w:bidi="ar-SA"/>
        </w:rPr>
        <w:t>Conclusion</w:t>
      </w:r>
      <w:bookmarkEnd w:id="16"/>
      <w:r>
        <w:rPr>
          <w:rFonts w:ascii="Times New Roman" w:hAnsi="Times New Roman" w:cs="Times New Roman" w:eastAsiaTheme="minorHAnsi"/>
          <w:b/>
          <w:bCs/>
          <w:i w:val="0"/>
          <w:sz w:val="28"/>
          <w:szCs w:val="28"/>
          <w:lang w:val="en-GB" w:eastAsia="en-US" w:bidi="ar-SA"/>
        </w:rPr>
        <w:t xml:space="preserve"> </w:t>
      </w:r>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major focus of the study is to offer the marketing mix of Tomos Watkin Brewery as per the proposed market entry strategy for the brand. The beer culture of the Italy is different from the other countries. When it comes to beer and breweries, the Italians prefer a lighter taste and affordability in the same time. The Italian customers highly rely on the influencers like bloggers and coupons. Italians are fond of going to a café and exchange a drink which makes bars and cafes a major place to keep the beers. Keeping this in mind, the marketing mix strategy proposed is a product which reflects the lifestyle of the Italians and affordability at the same time. The placement strategy chosen is the distribution channels by which the beers and other products will be kept in bars and cafes through collaboration. </w:t>
      </w:r>
    </w:p>
    <w:p>
      <w:pPr>
        <w:spacing w:line="600" w:lineRule="auto"/>
        <w:jc w:val="both"/>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t xml:space="preserve">The Cheers campaign is expected to reflect a great way for TBW to retain its customers and grab the new ones that visiting Italy. By the effective use of online and offline integrated marketing channels, the company would be able to make its apertivo famous. Apart from the happy hour campaign, the brand can also go with the option of emotional positioning as it is the essential aspect when it comes to Italian market. The emotional positioning will illustrate about the customer intimacy and the stronger development of relations with regular customers. The company should also offer the products that will portray the lifestyle of the Italian Customers. This positioning will help to directly integrate with the fulfilment of target market expectations fruitfully. The overall marketing strategy is a very profitable one which will turn the expansion strategy of the company into a successful one. </w:t>
      </w:r>
    </w:p>
    <w:p>
      <w:pPr>
        <w:rPr>
          <w:rFonts w:ascii="Times New Roman" w:hAnsi="Times New Roman" w:cs="Times New Roman" w:eastAsiaTheme="minorHAnsi"/>
          <w:b w:val="0"/>
          <w:i w:val="0"/>
          <w:sz w:val="24"/>
          <w:szCs w:val="24"/>
          <w:lang w:val="en-GB" w:eastAsia="en-US" w:bidi="ar-SA"/>
        </w:rPr>
      </w:pPr>
      <w:r>
        <w:rPr>
          <w:rFonts w:ascii="Times New Roman" w:hAnsi="Times New Roman" w:cs="Times New Roman" w:eastAsiaTheme="minorHAnsi"/>
          <w:b w:val="0"/>
          <w:i w:val="0"/>
          <w:sz w:val="24"/>
          <w:szCs w:val="24"/>
          <w:lang w:val="en-GB" w:eastAsia="en-US" w:bidi="ar-SA"/>
        </w:rPr>
        <w:br w:type="page"/>
      </w:r>
    </w:p>
    <w:p>
      <w:pPr>
        <w:pStyle w:val="2"/>
        <w:numPr>
          <w:numId w:val="0"/>
        </w:numPr>
        <w:ind w:left="360" w:leftChars="0"/>
        <w:rPr>
          <w:rFonts w:ascii="Times New Roman" w:hAnsi="Times New Roman" w:cs="Times New Roman" w:eastAsiaTheme="minorHAnsi"/>
          <w:b/>
          <w:bCs/>
          <w:i w:val="0"/>
          <w:sz w:val="28"/>
          <w:szCs w:val="28"/>
          <w:lang w:val="en-GB" w:eastAsia="en-US" w:bidi="ar-SA"/>
        </w:rPr>
      </w:pPr>
      <w:bookmarkStart w:id="17" w:name="_Toc102"/>
      <w:r>
        <w:rPr>
          <w:rFonts w:ascii="Times New Roman" w:hAnsi="Times New Roman" w:cs="Times New Roman" w:eastAsiaTheme="minorHAnsi"/>
          <w:b/>
          <w:bCs/>
          <w:i w:val="0"/>
          <w:sz w:val="28"/>
          <w:szCs w:val="28"/>
          <w:lang w:val="en-GB" w:eastAsia="en-US" w:bidi="ar-SA"/>
        </w:rPr>
        <w:t>References</w:t>
      </w:r>
      <w:bookmarkEnd w:id="17"/>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Bøler, E.A., Smarzynska Javorcik, B. and Ulltveit-Moe, K.H., 2015. Globalization: a woman's best friend? Exporters and the gender wage gap.</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Bonanno, A., Russo, C. and Menapace, L., 2018. Market power and bargaining in agrifood markets: A review of emerging topics and tools. </w:t>
      </w:r>
      <w:r>
        <w:rPr>
          <w:rFonts w:ascii="Times New Roman" w:hAnsi="Times New Roman" w:cs="Times New Roman"/>
          <w:i/>
          <w:iCs/>
          <w:color w:val="222222"/>
          <w:sz w:val="24"/>
          <w:szCs w:val="24"/>
          <w:shd w:val="clear" w:color="auto" w:fill="FFFFFF"/>
        </w:rPr>
        <w:t>Agribusiness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34</w:t>
      </w:r>
      <w:r>
        <w:rPr>
          <w:rFonts w:ascii="Times New Roman" w:hAnsi="Times New Roman" w:cs="Times New Roman"/>
          <w:color w:val="222222"/>
          <w:sz w:val="24"/>
          <w:szCs w:val="24"/>
          <w:shd w:val="clear" w:color="auto" w:fill="FFFFFF"/>
        </w:rPr>
        <w:t>(1), pp. 6-23.</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Carcano, L. and Lojacono, G., 2019. </w:t>
      </w:r>
      <w:r>
        <w:rPr>
          <w:rFonts w:ascii="Times New Roman" w:hAnsi="Times New Roman" w:cs="Times New Roman"/>
          <w:i/>
          <w:iCs/>
          <w:color w:val="222222"/>
          <w:sz w:val="24"/>
          <w:szCs w:val="24"/>
          <w:shd w:val="clear" w:color="auto" w:fill="FFFFFF"/>
        </w:rPr>
        <w:t>Made in Italy Industries: Managerial issues and best practices</w:t>
      </w:r>
      <w:r>
        <w:rPr>
          <w:rFonts w:ascii="Times New Roman" w:hAnsi="Times New Roman" w:cs="Times New Roman"/>
          <w:color w:val="222222"/>
          <w:sz w:val="24"/>
          <w:szCs w:val="24"/>
          <w:shd w:val="clear" w:color="auto" w:fill="FFFFFF"/>
        </w:rPr>
        <w:t>. EGEA spa.</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Carnelli, F. and Anselmi, G., 2018. Twitter use in recent floods in Italy. </w:t>
      </w:r>
      <w:r>
        <w:rPr>
          <w:rFonts w:ascii="Times New Roman" w:hAnsi="Times New Roman" w:cs="Times New Roman"/>
          <w:i/>
          <w:iCs/>
          <w:color w:val="222222"/>
          <w:sz w:val="24"/>
          <w:szCs w:val="24"/>
          <w:shd w:val="clear" w:color="auto" w:fill="FFFFFF"/>
        </w:rPr>
        <w:t>Governance of Risk, Hazards and Disasters: Trends in Theory and Practice</w:t>
      </w:r>
      <w:r>
        <w:rPr>
          <w:rFonts w:ascii="Times New Roman" w:hAnsi="Times New Roman" w:cs="Times New Roman"/>
          <w:color w:val="222222"/>
          <w:sz w:val="24"/>
          <w:szCs w:val="24"/>
          <w:shd w:val="clear" w:color="auto" w:fill="FFFFFF"/>
        </w:rPr>
        <w:t>.</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Castiglione, C. and Infante, D., 2016. Rational addiction and cultural goods: the case of the Italian theatregoer. </w:t>
      </w:r>
      <w:r>
        <w:rPr>
          <w:rFonts w:ascii="Times New Roman" w:hAnsi="Times New Roman" w:cs="Times New Roman"/>
          <w:i/>
          <w:iCs/>
          <w:color w:val="222222"/>
          <w:sz w:val="24"/>
          <w:szCs w:val="24"/>
          <w:shd w:val="clear" w:color="auto" w:fill="FFFFFF"/>
        </w:rPr>
        <w:t>Journal of Cultural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40</w:t>
      </w:r>
      <w:r>
        <w:rPr>
          <w:rFonts w:ascii="Times New Roman" w:hAnsi="Times New Roman" w:cs="Times New Roman"/>
          <w:color w:val="222222"/>
          <w:sz w:val="24"/>
          <w:szCs w:val="24"/>
          <w:shd w:val="clear" w:color="auto" w:fill="FFFFFF"/>
        </w:rPr>
        <w:t>(2), pp. 163-190.</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De Mooij, M., 2018. </w:t>
      </w:r>
      <w:r>
        <w:rPr>
          <w:rFonts w:ascii="Times New Roman" w:hAnsi="Times New Roman" w:cs="Times New Roman"/>
          <w:i/>
          <w:iCs/>
          <w:color w:val="222222"/>
          <w:sz w:val="24"/>
          <w:szCs w:val="24"/>
          <w:shd w:val="clear" w:color="auto" w:fill="FFFFFF"/>
        </w:rPr>
        <w:t>Global marketing and advertising: Understanding cultural paradoxes</w:t>
      </w:r>
      <w:r>
        <w:rPr>
          <w:rFonts w:ascii="Times New Roman" w:hAnsi="Times New Roman" w:cs="Times New Roman"/>
          <w:color w:val="222222"/>
          <w:sz w:val="24"/>
          <w:szCs w:val="24"/>
          <w:shd w:val="clear" w:color="auto" w:fill="FFFFFF"/>
        </w:rPr>
        <w:t>. SAGE Publications Limited.</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Kalsnes, B. and Larsson, A.O., 2018. Understanding news sharing across social media: Detailing distribution on Facebook and Twitter. </w:t>
      </w:r>
      <w:r>
        <w:rPr>
          <w:rFonts w:ascii="Times New Roman" w:hAnsi="Times New Roman" w:cs="Times New Roman"/>
          <w:i/>
          <w:iCs/>
          <w:color w:val="222222"/>
          <w:sz w:val="24"/>
          <w:szCs w:val="24"/>
          <w:shd w:val="clear" w:color="auto" w:fill="FFFFFF"/>
        </w:rPr>
        <w:t>Journalism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19</w:t>
      </w:r>
      <w:r>
        <w:rPr>
          <w:rFonts w:ascii="Times New Roman" w:hAnsi="Times New Roman" w:cs="Times New Roman"/>
          <w:color w:val="222222"/>
          <w:sz w:val="24"/>
          <w:szCs w:val="24"/>
          <w:shd w:val="clear" w:color="auto" w:fill="FFFFFF"/>
        </w:rPr>
        <w:t>(11), pp.1669-1688.</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Magno, F. and Cassia, F., 2018. The impact of social media influencers in tourism. </w:t>
      </w:r>
      <w:r>
        <w:rPr>
          <w:rFonts w:ascii="Times New Roman" w:hAnsi="Times New Roman" w:cs="Times New Roman"/>
          <w:i/>
          <w:iCs/>
          <w:color w:val="222222"/>
          <w:sz w:val="24"/>
          <w:szCs w:val="24"/>
          <w:shd w:val="clear" w:color="auto" w:fill="FFFFFF"/>
        </w:rPr>
        <w:t>Anatolia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(2), pp. 288-290.</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Rabellotti, R., 2016. </w:t>
      </w:r>
      <w:r>
        <w:rPr>
          <w:rFonts w:ascii="Times New Roman" w:hAnsi="Times New Roman" w:cs="Times New Roman"/>
          <w:i/>
          <w:iCs/>
          <w:color w:val="222222"/>
          <w:sz w:val="24"/>
          <w:szCs w:val="24"/>
          <w:shd w:val="clear" w:color="auto" w:fill="FFFFFF"/>
        </w:rPr>
        <w:t>External economies and cooperation in industrial districts: a comparison of Italy and Mexico</w:t>
      </w:r>
      <w:r>
        <w:rPr>
          <w:rFonts w:ascii="Times New Roman" w:hAnsi="Times New Roman" w:cs="Times New Roman"/>
          <w:color w:val="222222"/>
          <w:sz w:val="24"/>
          <w:szCs w:val="24"/>
          <w:shd w:val="clear" w:color="auto" w:fill="FFFFFF"/>
        </w:rPr>
        <w:t>. Springer.</w:t>
      </w:r>
    </w:p>
    <w:p>
      <w:pPr>
        <w:spacing w:before="120" w:line="36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Reid, J.M., 2016. </w:t>
      </w:r>
      <w:r>
        <w:rPr>
          <w:rFonts w:ascii="Times New Roman" w:hAnsi="Times New Roman" w:cs="Times New Roman"/>
          <w:i/>
          <w:iCs/>
          <w:color w:val="222222"/>
          <w:sz w:val="24"/>
          <w:szCs w:val="24"/>
          <w:shd w:val="clear" w:color="auto" w:fill="FFFFFF"/>
        </w:rPr>
        <w:t>A mother that protects you: Community performance, identity, and values within the contrade and Palio di Siena</w:t>
      </w:r>
      <w:r>
        <w:rPr>
          <w:rFonts w:ascii="Times New Roman" w:hAnsi="Times New Roman" w:cs="Times New Roman"/>
          <w:color w:val="222222"/>
          <w:sz w:val="24"/>
          <w:szCs w:val="24"/>
          <w:shd w:val="clear" w:color="auto" w:fill="FFFFFF"/>
        </w:rPr>
        <w:t> (Doctoral dissertation, The University of Texas at San Antonio).</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Rittner, L. and Haine, W.S., 2016. </w:t>
      </w:r>
      <w:r>
        <w:rPr>
          <w:rFonts w:ascii="Times New Roman" w:hAnsi="Times New Roman" w:cs="Times New Roman"/>
          <w:i/>
          <w:iCs/>
          <w:color w:val="222222"/>
          <w:sz w:val="24"/>
          <w:szCs w:val="24"/>
          <w:shd w:val="clear" w:color="auto" w:fill="FFFFFF"/>
        </w:rPr>
        <w:t>The thinking space: the cafe as a cultural institution in Paris, Italy and Vienna</w:t>
      </w:r>
      <w:r>
        <w:rPr>
          <w:rFonts w:ascii="Times New Roman" w:hAnsi="Times New Roman" w:cs="Times New Roman"/>
          <w:color w:val="222222"/>
          <w:sz w:val="24"/>
          <w:szCs w:val="24"/>
          <w:shd w:val="clear" w:color="auto" w:fill="FFFFFF"/>
        </w:rPr>
        <w:t>. Routledge.</w:t>
      </w:r>
    </w:p>
    <w:p>
      <w:pPr>
        <w:spacing w:before="120" w:line="48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Steenkamp, J.B., 2017. Global Marketing Mix Decisions: Global Integration, Not Standardization. In </w:t>
      </w:r>
      <w:r>
        <w:rPr>
          <w:rFonts w:ascii="Times New Roman" w:hAnsi="Times New Roman" w:cs="Times New Roman"/>
          <w:i/>
          <w:iCs/>
          <w:color w:val="222222"/>
          <w:sz w:val="24"/>
          <w:szCs w:val="24"/>
          <w:shd w:val="clear" w:color="auto" w:fill="FFFFFF"/>
        </w:rPr>
        <w:t>Global Brand Strategy</w:t>
      </w:r>
      <w:r>
        <w:rPr>
          <w:rFonts w:ascii="Times New Roman" w:hAnsi="Times New Roman" w:cs="Times New Roman"/>
          <w:color w:val="222222"/>
          <w:sz w:val="24"/>
          <w:szCs w:val="24"/>
          <w:shd w:val="clear" w:color="auto" w:fill="FFFFFF"/>
        </w:rPr>
        <w:t> (pp. 75-109). Palgrave Macmillan, London.</w:t>
      </w:r>
    </w:p>
    <w:p>
      <w:pPr>
        <w:spacing w:before="120" w:line="480" w:lineRule="auto"/>
        <w:ind w:left="108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Tomos Watkin., 2019. </w:t>
      </w:r>
      <w:r>
        <w:rPr>
          <w:rFonts w:ascii="Times New Roman" w:hAnsi="Times New Roman" w:cs="Times New Roman"/>
          <w:i/>
          <w:iCs/>
          <w:sz w:val="24"/>
          <w:szCs w:val="24"/>
          <w:lang w:val="en-US"/>
        </w:rPr>
        <w:t>Our Best Selling Tomos Watkin Beer Cwrw Braf – Growing in Popularity</w:t>
      </w:r>
      <w:r>
        <w:rPr>
          <w:rFonts w:ascii="Times New Roman" w:hAnsi="Times New Roman" w:cs="Times New Roman"/>
          <w:sz w:val="24"/>
          <w:szCs w:val="24"/>
          <w:lang w:val="en-US"/>
        </w:rPr>
        <w:t xml:space="preserve">. Retrieved April 24, 2019, from </w:t>
      </w:r>
      <w:r>
        <w:fldChar w:fldCharType="begin"/>
      </w:r>
      <w:r>
        <w:instrText xml:space="preserve"> HYPERLINK "https://tomoswatkin.com/blogs/news/our-best-selling-tomos-watkin-beer-cwrw-braf-growing-in-popularity" </w:instrText>
      </w:r>
      <w:r>
        <w:fldChar w:fldCharType="separate"/>
      </w:r>
      <w:r>
        <w:rPr>
          <w:rStyle w:val="14"/>
          <w:rFonts w:ascii="Times New Roman" w:hAnsi="Times New Roman" w:cs="Times New Roman"/>
          <w:sz w:val="24"/>
          <w:szCs w:val="24"/>
          <w:lang w:val="en-US"/>
        </w:rPr>
        <w:t>https://tomoswatkin.com/blogs/news/our-best-selling-tomos-watkin-beer-cwrw-braf-growing-in-popularity</w:t>
      </w:r>
      <w:r>
        <w:rPr>
          <w:rStyle w:val="14"/>
          <w:rFonts w:ascii="Times New Roman" w:hAnsi="Times New Roman" w:cs="Times New Roman"/>
          <w:sz w:val="24"/>
          <w:szCs w:val="24"/>
          <w:lang w:val="en-US"/>
        </w:rPr>
        <w:fldChar w:fldCharType="end"/>
      </w:r>
    </w:p>
    <w:p>
      <w:pPr>
        <w:spacing w:before="120" w:line="360" w:lineRule="auto"/>
        <w:ind w:left="108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Virgin, M., 2016. </w:t>
      </w:r>
      <w:r>
        <w:rPr>
          <w:rFonts w:ascii="Times New Roman" w:hAnsi="Times New Roman" w:cs="Times New Roman"/>
          <w:i/>
          <w:iCs/>
          <w:color w:val="222222"/>
          <w:sz w:val="24"/>
          <w:szCs w:val="24"/>
          <w:shd w:val="clear" w:color="auto" w:fill="FFFFFF"/>
        </w:rPr>
        <w:t>Cheers! Starbucks Strategy in Italy and the Global Market</w:t>
      </w:r>
      <w:r>
        <w:rPr>
          <w:rFonts w:ascii="Times New Roman" w:hAnsi="Times New Roman" w:cs="Times New Roman"/>
          <w:color w:val="222222"/>
          <w:sz w:val="24"/>
          <w:szCs w:val="24"/>
          <w:shd w:val="clear" w:color="auto" w:fill="FFFFFF"/>
        </w:rPr>
        <w:t> (Doctoral dissertation, University of Oregon).</w:t>
      </w:r>
    </w:p>
    <w:p>
      <w:pPr>
        <w:spacing w:before="120" w:line="480" w:lineRule="auto"/>
        <w:ind w:left="1080" w:hanging="720"/>
      </w:pPr>
      <w:r>
        <w:rPr>
          <w:rFonts w:ascii="Times New Roman" w:hAnsi="Times New Roman" w:cs="Times New Roman"/>
          <w:color w:val="222222"/>
          <w:sz w:val="24"/>
          <w:szCs w:val="24"/>
          <w:shd w:val="clear" w:color="auto" w:fill="FFFFFF"/>
        </w:rPr>
        <w:t>Youssef, K.B., Friel, M. and Giaccardi, G., 2018. Using the Destination’s Heritage, Language, Lifestyle and ‘Made in Italy’as a Tourism Development Model. In </w:t>
      </w:r>
      <w:r>
        <w:rPr>
          <w:rFonts w:ascii="Times New Roman" w:hAnsi="Times New Roman" w:cs="Times New Roman"/>
          <w:i/>
          <w:iCs/>
          <w:color w:val="222222"/>
          <w:sz w:val="24"/>
          <w:szCs w:val="24"/>
          <w:shd w:val="clear" w:color="auto" w:fill="FFFFFF"/>
        </w:rPr>
        <w:t>The Branding of Tourist Destinations: Theoretical and Empirical Insights</w:t>
      </w:r>
      <w:r>
        <w:rPr>
          <w:rFonts w:ascii="Times New Roman" w:hAnsi="Times New Roman" w:cs="Times New Roman"/>
          <w:color w:val="222222"/>
          <w:sz w:val="24"/>
          <w:szCs w:val="24"/>
          <w:shd w:val="clear" w:color="auto" w:fill="FFFFFF"/>
        </w:rPr>
        <w:t> (pp. 97-111). Emerald Publishing Limited.</w:t>
      </w:r>
    </w:p>
    <w:sectPr>
      <w:footerReference r:id="rId3" w:type="default"/>
      <w:pgSz w:w="12240" w:h="15840"/>
      <w:pgMar w:top="1440" w:right="1440" w:bottom="1440" w:left="1440" w:header="720" w:footer="720"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 w:name="Calibri Light">
    <w:panose1 w:val="020F0302020204030204"/>
    <w:charset w:val="00"/>
    <w:family w:val="auto"/>
    <w:pitch w:val="default"/>
    <w:sig w:usb0="E0002A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948E6"/>
    <w:multiLevelType w:val="multilevel"/>
    <w:tmpl w:val="011948E6"/>
    <w:lvl w:ilvl="0" w:tentative="0">
      <w:start w:val="1"/>
      <w:numFmt w:val="decimal"/>
      <w:pStyle w:val="2"/>
      <w:lvlText w:val="%1."/>
      <w:lvlJc w:val="left"/>
      <w:pPr>
        <w:ind w:left="720" w:hanging="360"/>
      </w:pPr>
      <w:rPr>
        <w:rFonts w:hint="default"/>
      </w:rPr>
    </w:lvl>
    <w:lvl w:ilvl="1" w:tentative="0">
      <w:start w:val="1"/>
      <w:numFmt w:val="decimal"/>
      <w:pStyle w:val="3"/>
      <w:isLgl/>
      <w:lvlText w:val="%1.%2"/>
      <w:lvlJc w:val="left"/>
      <w:pPr>
        <w:ind w:left="720" w:hanging="360"/>
      </w:pPr>
      <w:rPr>
        <w:rFonts w:hint="default"/>
      </w:rPr>
    </w:lvl>
    <w:lvl w:ilvl="2" w:tentative="0">
      <w:start w:val="1"/>
      <w:numFmt w:val="decimal"/>
      <w:pStyle w:val="4"/>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487ACE"/>
    <w:rsid w:val="01487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numPr>
        <w:ilvl w:val="0"/>
        <w:numId w:val="1"/>
      </w:numPr>
      <w:spacing w:before="240" w:after="0" w:line="600" w:lineRule="auto"/>
      <w:jc w:val="both"/>
      <w:outlineLvl w:val="0"/>
    </w:pPr>
    <w:rPr>
      <w:rFonts w:ascii="Times New Roman" w:hAnsi="Times New Roman" w:cs="Times New Roman" w:eastAsiaTheme="majorEastAsia"/>
      <w:b/>
      <w:i/>
    </w:rPr>
  </w:style>
  <w:style w:type="paragraph" w:styleId="3">
    <w:name w:val="heading 2"/>
    <w:basedOn w:val="1"/>
    <w:next w:val="1"/>
    <w:qFormat/>
    <w:uiPriority w:val="9"/>
    <w:pPr>
      <w:numPr>
        <w:ilvl w:val="1"/>
        <w:numId w:val="1"/>
      </w:numPr>
      <w:spacing w:after="120" w:line="480" w:lineRule="auto"/>
      <w:contextualSpacing/>
      <w:jc w:val="both"/>
      <w:outlineLvl w:val="1"/>
    </w:pPr>
    <w:rPr>
      <w:rFonts w:ascii="Times New Roman" w:hAnsi="Times New Roman" w:eastAsia="Calibri" w:cs="Arial"/>
      <w:i/>
      <w:sz w:val="24"/>
      <w:lang w:val="en-US"/>
    </w:rPr>
  </w:style>
  <w:style w:type="paragraph" w:styleId="4">
    <w:name w:val="heading 3"/>
    <w:basedOn w:val="5"/>
    <w:next w:val="1"/>
    <w:unhideWhenUsed/>
    <w:qFormat/>
    <w:uiPriority w:val="9"/>
    <w:pPr>
      <w:numPr>
        <w:ilvl w:val="2"/>
        <w:numId w:val="1"/>
      </w:numPr>
      <w:spacing w:line="600" w:lineRule="auto"/>
      <w:jc w:val="both"/>
      <w:outlineLvl w:val="2"/>
    </w:pPr>
    <w:rPr>
      <w:rFonts w:ascii="Times New Roman" w:hAnsi="Times New Roman" w:cs="Times New Roman"/>
      <w:b/>
      <w:lang w:val="en-US"/>
    </w:rPr>
  </w:style>
  <w:style w:type="character" w:default="1" w:styleId="13">
    <w:name w:val="Default Paragraph Font"/>
    <w:semiHidden/>
    <w:qFormat/>
    <w:uiPriority w:val="0"/>
  </w:style>
  <w:style w:type="table" w:default="1" w:styleId="12">
    <w:name w:val="Normal Table"/>
    <w:semiHidden/>
    <w:uiPriority w:val="0"/>
    <w:tblPr>
      <w:tblLayout w:type="fixed"/>
      <w:tblCellMar>
        <w:top w:w="0" w:type="dxa"/>
        <w:left w:w="108" w:type="dxa"/>
        <w:bottom w:w="0" w:type="dxa"/>
        <w:right w:w="108" w:type="dxa"/>
      </w:tblCellMar>
    </w:tblPr>
  </w:style>
  <w:style w:type="paragraph" w:styleId="5">
    <w:name w:val="List Paragraph"/>
    <w:basedOn w:val="1"/>
    <w:qFormat/>
    <w:uiPriority w:val="34"/>
    <w:pPr>
      <w:ind w:left="720"/>
      <w:contextualSpacing/>
    </w:pPr>
  </w:style>
  <w:style w:type="paragraph" w:styleId="6">
    <w:name w:val="toc 3"/>
    <w:basedOn w:val="1"/>
    <w:next w:val="1"/>
    <w:unhideWhenUsed/>
    <w:uiPriority w:val="39"/>
    <w:pPr>
      <w:spacing w:after="100"/>
      <w:ind w:left="44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nhideWhenUsed/>
    <w:uiPriority w:val="39"/>
    <w:pPr>
      <w:spacing w:after="100"/>
    </w:pPr>
  </w:style>
  <w:style w:type="paragraph" w:styleId="10">
    <w:name w:val="toc 2"/>
    <w:basedOn w:val="1"/>
    <w:next w:val="1"/>
    <w:unhideWhenUsed/>
    <w:uiPriority w:val="39"/>
    <w:pPr>
      <w:spacing w:after="100"/>
      <w:ind w:left="220"/>
    </w:pPr>
  </w:style>
  <w:style w:type="paragraph" w:styleId="11">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14">
    <w:name w:val="Hyperlink"/>
    <w:basedOn w:val="13"/>
    <w:unhideWhenUsed/>
    <w:uiPriority w:val="99"/>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2019-05-05T00:31:00Z</dcterms:created>
  <dc:creator>aahhe</dc:creator>
  <cp:lastModifiedBy>aahhe</cp:lastModifiedBy>
  <dcterms:modified xsi:type="dcterms:W3CDTF">2019-05-05T00:44:57Z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