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EACB6" w14:textId="0DFDE9E3" w:rsidR="00026F19" w:rsidRDefault="00026F19" w:rsidP="00026F19">
      <w:pPr>
        <w:jc w:val="center"/>
        <w:rPr>
          <w:i/>
          <w:iCs/>
          <w:sz w:val="24"/>
          <w:szCs w:val="24"/>
        </w:rPr>
      </w:pPr>
      <w:r w:rsidRPr="00026F19">
        <w:rPr>
          <w:b/>
          <w:bCs/>
          <w:sz w:val="36"/>
          <w:szCs w:val="36"/>
          <w:u w:val="single"/>
        </w:rPr>
        <w:t>Gobbet analysis</w:t>
      </w:r>
      <w:r>
        <w:rPr>
          <w:b/>
          <w:bCs/>
          <w:sz w:val="36"/>
          <w:szCs w:val="36"/>
          <w:u w:val="single"/>
        </w:rPr>
        <w:br/>
      </w:r>
      <w:r>
        <w:rPr>
          <w:i/>
          <w:iCs/>
          <w:sz w:val="24"/>
          <w:szCs w:val="24"/>
        </w:rPr>
        <w:t>by Bradley Sloanes</w:t>
      </w:r>
    </w:p>
    <w:p w14:paraId="35E7965E" w14:textId="6B9A26B0" w:rsidR="00026F19" w:rsidRDefault="00026F19" w:rsidP="00026F19">
      <w:pPr>
        <w:pStyle w:val="ListParagraph"/>
        <w:numPr>
          <w:ilvl w:val="0"/>
          <w:numId w:val="2"/>
        </w:numPr>
        <w:rPr>
          <w:b/>
          <w:bCs/>
          <w:sz w:val="24"/>
          <w:szCs w:val="24"/>
        </w:rPr>
      </w:pPr>
      <w:r w:rsidRPr="00026F19">
        <w:rPr>
          <w:b/>
          <w:bCs/>
          <w:sz w:val="24"/>
          <w:szCs w:val="24"/>
        </w:rPr>
        <w:t xml:space="preserve">Frederick II (the Great), King of Prussia (1740-86), </w:t>
      </w:r>
      <w:r w:rsidRPr="00026F19">
        <w:rPr>
          <w:i/>
          <w:iCs/>
          <w:sz w:val="24"/>
          <w:szCs w:val="24"/>
        </w:rPr>
        <w:t>The First Servant of the State</w:t>
      </w:r>
      <w:r w:rsidRPr="00026F19">
        <w:rPr>
          <w:b/>
          <w:bCs/>
          <w:sz w:val="24"/>
          <w:szCs w:val="24"/>
        </w:rPr>
        <w:t xml:space="preserve">, intended as a blueprint for his heir on how best to rule the Prussian kingdom. </w:t>
      </w:r>
    </w:p>
    <w:p w14:paraId="13CB2ED1" w14:textId="0CE53CEC" w:rsidR="00026F19" w:rsidRDefault="00C4574C" w:rsidP="00026F19">
      <w:pPr>
        <w:rPr>
          <w:sz w:val="24"/>
          <w:szCs w:val="24"/>
        </w:rPr>
      </w:pPr>
      <w:r>
        <w:rPr>
          <w:sz w:val="24"/>
          <w:szCs w:val="24"/>
        </w:rPr>
        <w:t>This piece was written 12 years after the beginning of Frederick II’s reign in 1752</w:t>
      </w:r>
      <w:r w:rsidR="004F040F">
        <w:rPr>
          <w:sz w:val="24"/>
          <w:szCs w:val="24"/>
        </w:rPr>
        <w:t>. As a supporter of enlightened absolutism, he believed that the ruler should be the first servant of the state and his values strongly reflected the social contract theory of governance.</w:t>
      </w:r>
      <w:r w:rsidR="008D3545">
        <w:rPr>
          <w:rStyle w:val="FootnoteReference"/>
          <w:sz w:val="24"/>
          <w:szCs w:val="24"/>
        </w:rPr>
        <w:footnoteReference w:id="1"/>
      </w:r>
      <w:r w:rsidR="004F040F">
        <w:rPr>
          <w:sz w:val="24"/>
          <w:szCs w:val="24"/>
        </w:rPr>
        <w:t xml:space="preserve"> An unspoken agreement between the ruler and those who are ruled in which the </w:t>
      </w:r>
      <w:r w:rsidR="00A77A00">
        <w:rPr>
          <w:sz w:val="24"/>
          <w:szCs w:val="24"/>
        </w:rPr>
        <w:t>ruler’s</w:t>
      </w:r>
      <w:r w:rsidR="004F040F">
        <w:rPr>
          <w:sz w:val="24"/>
          <w:szCs w:val="24"/>
        </w:rPr>
        <w:t xml:space="preserve"> superiority and authority is dependent upon their competency in ruling. </w:t>
      </w:r>
      <w:r w:rsidR="00B5583A">
        <w:rPr>
          <w:sz w:val="24"/>
          <w:szCs w:val="24"/>
        </w:rPr>
        <w:t xml:space="preserve">This is communicated throughout the piece in order to help prepare </w:t>
      </w:r>
      <w:r w:rsidR="00D2262D">
        <w:rPr>
          <w:sz w:val="24"/>
          <w:szCs w:val="24"/>
        </w:rPr>
        <w:t xml:space="preserve">his young nephew prince Frederick William II, who would succeed him as King of Prussia in 1786, </w:t>
      </w:r>
      <w:r w:rsidR="00AD5246">
        <w:rPr>
          <w:sz w:val="24"/>
          <w:szCs w:val="24"/>
        </w:rPr>
        <w:t xml:space="preserve">for </w:t>
      </w:r>
      <w:r w:rsidR="00D2262D">
        <w:rPr>
          <w:sz w:val="24"/>
          <w:szCs w:val="24"/>
        </w:rPr>
        <w:t>the</w:t>
      </w:r>
      <w:r w:rsidR="00AD5246">
        <w:rPr>
          <w:sz w:val="24"/>
          <w:szCs w:val="24"/>
        </w:rPr>
        <w:t xml:space="preserve"> role. </w:t>
      </w:r>
      <w:r w:rsidR="00CD7298">
        <w:rPr>
          <w:sz w:val="24"/>
          <w:szCs w:val="24"/>
        </w:rPr>
        <w:t>There could also be a</w:t>
      </w:r>
      <w:r w:rsidR="00A9246C">
        <w:rPr>
          <w:sz w:val="24"/>
          <w:szCs w:val="24"/>
        </w:rPr>
        <w:t>n argument or</w:t>
      </w:r>
      <w:r w:rsidR="00CD7298">
        <w:rPr>
          <w:sz w:val="24"/>
          <w:szCs w:val="24"/>
        </w:rPr>
        <w:t xml:space="preserve"> justification for the continuation of his role of King</w:t>
      </w:r>
      <w:r w:rsidR="00A9246C">
        <w:rPr>
          <w:sz w:val="24"/>
          <w:szCs w:val="24"/>
        </w:rPr>
        <w:t xml:space="preserve"> in the text</w:t>
      </w:r>
      <w:r w:rsidR="00CD7298">
        <w:rPr>
          <w:sz w:val="24"/>
          <w:szCs w:val="24"/>
        </w:rPr>
        <w:t xml:space="preserve"> </w:t>
      </w:r>
      <w:r w:rsidR="00A9246C">
        <w:rPr>
          <w:sz w:val="24"/>
          <w:szCs w:val="24"/>
        </w:rPr>
        <w:t>( especially in context and comparison</w:t>
      </w:r>
      <w:r w:rsidR="00CD7298">
        <w:rPr>
          <w:sz w:val="24"/>
          <w:szCs w:val="24"/>
        </w:rPr>
        <w:t xml:space="preserve"> to other methods of rule and governance at the time</w:t>
      </w:r>
      <w:r w:rsidR="00A9246C">
        <w:rPr>
          <w:sz w:val="24"/>
          <w:szCs w:val="24"/>
        </w:rPr>
        <w:t>)</w:t>
      </w:r>
      <w:r w:rsidR="00CD7298">
        <w:rPr>
          <w:sz w:val="24"/>
          <w:szCs w:val="24"/>
        </w:rPr>
        <w:t>, which can be seen in the line “</w:t>
      </w:r>
      <w:r w:rsidR="00CD7298" w:rsidRPr="00CD7298">
        <w:rPr>
          <w:i/>
          <w:iCs/>
          <w:sz w:val="24"/>
          <w:szCs w:val="24"/>
        </w:rPr>
        <w:t>Now a system can only emanate from one mind; and this must be the monarch’s</w:t>
      </w:r>
      <w:r w:rsidR="00CD7298">
        <w:rPr>
          <w:i/>
          <w:iCs/>
          <w:sz w:val="24"/>
          <w:szCs w:val="24"/>
        </w:rPr>
        <w:t>.</w:t>
      </w:r>
      <w:r w:rsidR="00CD7298">
        <w:rPr>
          <w:sz w:val="24"/>
          <w:szCs w:val="24"/>
        </w:rPr>
        <w:t>”</w:t>
      </w:r>
      <w:r w:rsidR="005813AB">
        <w:rPr>
          <w:rStyle w:val="FootnoteReference"/>
          <w:sz w:val="24"/>
          <w:szCs w:val="24"/>
        </w:rPr>
        <w:footnoteReference w:id="2"/>
      </w:r>
      <w:r w:rsidR="00CD7298">
        <w:rPr>
          <w:sz w:val="24"/>
          <w:szCs w:val="24"/>
        </w:rPr>
        <w:t xml:space="preserve"> </w:t>
      </w:r>
      <w:r w:rsidR="00D31E15">
        <w:rPr>
          <w:sz w:val="24"/>
          <w:szCs w:val="24"/>
        </w:rPr>
        <w:t xml:space="preserve">France’s system of the </w:t>
      </w:r>
      <w:proofErr w:type="spellStart"/>
      <w:r w:rsidR="00D31E15">
        <w:rPr>
          <w:sz w:val="24"/>
          <w:szCs w:val="24"/>
        </w:rPr>
        <w:t>parlements</w:t>
      </w:r>
      <w:proofErr w:type="spellEnd"/>
      <w:r w:rsidR="00D31E15">
        <w:rPr>
          <w:sz w:val="24"/>
          <w:szCs w:val="24"/>
        </w:rPr>
        <w:t xml:space="preserve"> undermined the absolute rule of the monarchy, which meant that royal decrees were not legally binding. Frederick saw this as a weakness of France rather than a strength, and perhaps make</w:t>
      </w:r>
      <w:r w:rsidR="00413E99">
        <w:rPr>
          <w:sz w:val="24"/>
          <w:szCs w:val="24"/>
        </w:rPr>
        <w:t>s</w:t>
      </w:r>
      <w:r w:rsidR="00D31E15">
        <w:rPr>
          <w:sz w:val="24"/>
          <w:szCs w:val="24"/>
        </w:rPr>
        <w:t xml:space="preserve"> critique of It in this text in order to assure the continuation of his absolutist role</w:t>
      </w:r>
      <w:r w:rsidR="00055916">
        <w:rPr>
          <w:rStyle w:val="FootnoteReference"/>
          <w:sz w:val="24"/>
          <w:szCs w:val="24"/>
        </w:rPr>
        <w:footnoteReference w:id="3"/>
      </w:r>
      <w:r w:rsidR="00D31E15">
        <w:rPr>
          <w:sz w:val="24"/>
          <w:szCs w:val="24"/>
        </w:rPr>
        <w:t>; “</w:t>
      </w:r>
      <w:r w:rsidR="00D31E15" w:rsidRPr="00D31E15">
        <w:rPr>
          <w:i/>
          <w:iCs/>
          <w:sz w:val="24"/>
          <w:szCs w:val="24"/>
        </w:rPr>
        <w:t>In France four ministers rule the kingdom: the Ministers of Finance, Marine, War, and Foreign Affairs. These four ‘kings’ never agree or concur…</w:t>
      </w:r>
      <w:r w:rsidR="00D31E15">
        <w:rPr>
          <w:sz w:val="24"/>
          <w:szCs w:val="24"/>
        </w:rPr>
        <w:t>”</w:t>
      </w:r>
      <w:r w:rsidR="002A27AE">
        <w:rPr>
          <w:rStyle w:val="FootnoteReference"/>
          <w:sz w:val="24"/>
          <w:szCs w:val="24"/>
        </w:rPr>
        <w:footnoteReference w:id="4"/>
      </w:r>
      <w:r w:rsidR="00663EFF">
        <w:rPr>
          <w:sz w:val="24"/>
          <w:szCs w:val="24"/>
        </w:rPr>
        <w:t xml:space="preserve"> These ministers of government were hereditary and, of course, members of the aristocracy. By referring to them as “kings,” Frederick draws upon what is essentially their monarchic status but compared to him this authority and power is divided and weakened by there being four of them.</w:t>
      </w:r>
      <w:r w:rsidR="00D64827">
        <w:rPr>
          <w:sz w:val="24"/>
          <w:szCs w:val="24"/>
        </w:rPr>
        <w:t xml:space="preserve"> </w:t>
      </w:r>
      <w:r w:rsidR="00E63EDC">
        <w:rPr>
          <w:sz w:val="24"/>
          <w:szCs w:val="24"/>
        </w:rPr>
        <w:t>However,</w:t>
      </w:r>
      <w:r w:rsidR="004E5854">
        <w:rPr>
          <w:sz w:val="24"/>
          <w:szCs w:val="24"/>
        </w:rPr>
        <w:t xml:space="preserve"> despite his fervent authoritarian beliefs</w:t>
      </w:r>
      <w:r w:rsidR="00E63EDC">
        <w:rPr>
          <w:sz w:val="24"/>
          <w:szCs w:val="24"/>
        </w:rPr>
        <w:t xml:space="preserve"> there is much evidence to support Frederick’s “enlightened” absolutism.</w:t>
      </w:r>
      <w:r w:rsidR="007609FC">
        <w:rPr>
          <w:sz w:val="24"/>
          <w:szCs w:val="24"/>
        </w:rPr>
        <w:t xml:space="preserve"> “</w:t>
      </w:r>
      <w:r w:rsidR="007609FC" w:rsidRPr="007609FC">
        <w:rPr>
          <w:i/>
          <w:iCs/>
          <w:sz w:val="24"/>
          <w:szCs w:val="24"/>
        </w:rPr>
        <w:t>Idleness, luxury or stupidity, prevent rulers from pursuing the noble task of bringing about their people’s happiness.”</w:t>
      </w:r>
      <w:r w:rsidR="007609FC">
        <w:rPr>
          <w:sz w:val="24"/>
          <w:szCs w:val="24"/>
        </w:rPr>
        <w:t xml:space="preserve"> </w:t>
      </w:r>
      <w:r w:rsidR="00E63EDC">
        <w:rPr>
          <w:sz w:val="24"/>
          <w:szCs w:val="24"/>
        </w:rPr>
        <w:t xml:space="preserve">During his time as the Prussian </w:t>
      </w:r>
      <w:r w:rsidR="00B64499">
        <w:rPr>
          <w:sz w:val="24"/>
          <w:szCs w:val="24"/>
        </w:rPr>
        <w:t>monarch,</w:t>
      </w:r>
      <w:r w:rsidR="00E63EDC">
        <w:rPr>
          <w:sz w:val="24"/>
          <w:szCs w:val="24"/>
        </w:rPr>
        <w:t xml:space="preserve"> he made great strides in ensuring free press and free speech in literature.</w:t>
      </w:r>
      <w:r w:rsidR="00E63EDC">
        <w:rPr>
          <w:rStyle w:val="FootnoteReference"/>
          <w:sz w:val="24"/>
          <w:szCs w:val="24"/>
        </w:rPr>
        <w:footnoteReference w:id="5"/>
      </w:r>
      <w:r w:rsidR="00E63EDC">
        <w:rPr>
          <w:sz w:val="24"/>
          <w:szCs w:val="24"/>
        </w:rPr>
        <w:t xml:space="preserve"> </w:t>
      </w:r>
      <w:r w:rsidR="00663EFF">
        <w:rPr>
          <w:sz w:val="24"/>
          <w:szCs w:val="24"/>
        </w:rPr>
        <w:t xml:space="preserve"> </w:t>
      </w:r>
      <w:r w:rsidR="00D2262D">
        <w:rPr>
          <w:sz w:val="24"/>
          <w:szCs w:val="24"/>
        </w:rPr>
        <w:t xml:space="preserve">In regards to the judicial system, he </w:t>
      </w:r>
      <w:r w:rsidR="00776AF5">
        <w:rPr>
          <w:sz w:val="24"/>
          <w:szCs w:val="24"/>
        </w:rPr>
        <w:t>provided major reforms making them more equal through abolishing the separate courts that people of higher social status had and also made it possible for people of lower classes to become judges and bureaucrats.</w:t>
      </w:r>
      <w:r w:rsidR="00776AF5">
        <w:rPr>
          <w:rStyle w:val="FootnoteReference"/>
          <w:sz w:val="24"/>
          <w:szCs w:val="24"/>
        </w:rPr>
        <w:footnoteReference w:id="6"/>
      </w:r>
      <w:r w:rsidR="0079101E">
        <w:rPr>
          <w:sz w:val="24"/>
          <w:szCs w:val="24"/>
        </w:rPr>
        <w:t xml:space="preserve"> Another idea of the enlightenment that Frederick </w:t>
      </w:r>
      <w:r w:rsidR="0079101E">
        <w:rPr>
          <w:sz w:val="24"/>
          <w:szCs w:val="24"/>
        </w:rPr>
        <w:lastRenderedPageBreak/>
        <w:t>helped to implement was greater religious tolerance. He wanted to attract a great variety of skills to Prussia regardless of whether they were Jewish merchants or financers, or Jesuit teachers (of whom he recognised their educational aptitude as an advantage).</w:t>
      </w:r>
      <w:r w:rsidR="0079101E">
        <w:rPr>
          <w:rStyle w:val="FootnoteReference"/>
          <w:sz w:val="24"/>
          <w:szCs w:val="24"/>
        </w:rPr>
        <w:footnoteReference w:id="7"/>
      </w:r>
      <w:r w:rsidR="007E1D59">
        <w:rPr>
          <w:sz w:val="24"/>
          <w:szCs w:val="24"/>
        </w:rPr>
        <w:t xml:space="preserve"> </w:t>
      </w:r>
      <w:r w:rsidR="00D53793">
        <w:rPr>
          <w:sz w:val="24"/>
          <w:szCs w:val="24"/>
        </w:rPr>
        <w:t xml:space="preserve">Furthermore, his persistent search for new colonists to settle Prussian lands ensured that he encouraged immigration by continually highlighting that religion and nationality did not concern him </w:t>
      </w:r>
      <w:r w:rsidR="00E90BEA">
        <w:rPr>
          <w:sz w:val="24"/>
          <w:szCs w:val="24"/>
        </w:rPr>
        <w:t>– indeed this strategy paid off and allowed Prussia to recover more quickly after the heavy losses endured throughout Frederick’s three wars.</w:t>
      </w:r>
      <w:r w:rsidR="000D6610">
        <w:rPr>
          <w:rStyle w:val="FootnoteReference"/>
          <w:sz w:val="24"/>
          <w:szCs w:val="24"/>
        </w:rPr>
        <w:footnoteReference w:id="8"/>
      </w:r>
      <w:r w:rsidR="00C82CEA">
        <w:rPr>
          <w:sz w:val="24"/>
          <w:szCs w:val="24"/>
        </w:rPr>
        <w:t xml:space="preserve"> However, it is more likely that this religious enlightenment was a cynical strategy born out of mutual gain than a greater personal tolerance on Frederick’s part in regards to other religions. </w:t>
      </w:r>
      <w:r w:rsidR="002A2D2C">
        <w:rPr>
          <w:sz w:val="24"/>
          <w:szCs w:val="24"/>
        </w:rPr>
        <w:t>For example, in his work Testament Politique he stated:</w:t>
      </w:r>
    </w:p>
    <w:p w14:paraId="7E3DE002" w14:textId="247174ED" w:rsidR="002A2D2C" w:rsidRPr="004E248D" w:rsidRDefault="002A2D2C" w:rsidP="004E248D">
      <w:pPr>
        <w:rPr>
          <w:i/>
          <w:iCs/>
          <w:sz w:val="24"/>
          <w:szCs w:val="24"/>
        </w:rPr>
      </w:pPr>
      <w:r w:rsidRPr="004E248D">
        <w:rPr>
          <w:i/>
          <w:iCs/>
          <w:sz w:val="24"/>
          <w:szCs w:val="24"/>
        </w:rPr>
        <w:t>“The Jews become a disadvantage, they form cliques, they deal in contraband and get up to all manner of rascally tricks which are detrimental to Christian burghers and merchants</w:t>
      </w:r>
      <w:r w:rsidR="004E248D" w:rsidRPr="004E248D">
        <w:rPr>
          <w:i/>
          <w:iCs/>
          <w:sz w:val="24"/>
          <w:szCs w:val="24"/>
        </w:rPr>
        <w:t>… it would be prudent to pay attention, so that their numbers do not increase.</w:t>
      </w:r>
      <w:r w:rsidR="004E248D">
        <w:rPr>
          <w:i/>
          <w:iCs/>
          <w:sz w:val="24"/>
          <w:szCs w:val="24"/>
        </w:rPr>
        <w:t>”</w:t>
      </w:r>
      <w:r w:rsidR="00AF3839">
        <w:rPr>
          <w:rStyle w:val="FootnoteReference"/>
          <w:i/>
          <w:iCs/>
          <w:sz w:val="24"/>
          <w:szCs w:val="24"/>
        </w:rPr>
        <w:footnoteReference w:id="9"/>
      </w:r>
    </w:p>
    <w:p w14:paraId="6102724B" w14:textId="58545DF6" w:rsidR="00026F19" w:rsidRDefault="003C0141" w:rsidP="00026F19">
      <w:pPr>
        <w:rPr>
          <w:sz w:val="24"/>
          <w:szCs w:val="24"/>
        </w:rPr>
      </w:pPr>
      <w:r>
        <w:rPr>
          <w:sz w:val="24"/>
          <w:szCs w:val="24"/>
        </w:rPr>
        <w:t xml:space="preserve">Despite the intolerance to certain religions, Frederick the Great </w:t>
      </w:r>
      <w:r w:rsidR="007E5E86">
        <w:rPr>
          <w:sz w:val="24"/>
          <w:szCs w:val="24"/>
        </w:rPr>
        <w:t xml:space="preserve">revolutionised Prussia and created a much more modern bureaucracy. This text contains within it numerous examples of this more enlightened approach to absolute monarchy and good advice for the future King of Prussia. </w:t>
      </w:r>
    </w:p>
    <w:p w14:paraId="37A5969C" w14:textId="668FBC41" w:rsidR="00C81996" w:rsidRDefault="00C81996" w:rsidP="00026F19">
      <w:pPr>
        <w:rPr>
          <w:sz w:val="24"/>
          <w:szCs w:val="24"/>
        </w:rPr>
      </w:pPr>
    </w:p>
    <w:p w14:paraId="333604CC" w14:textId="3A62D143" w:rsidR="00C81996" w:rsidRDefault="00C81996" w:rsidP="00026F19">
      <w:pPr>
        <w:rPr>
          <w:sz w:val="24"/>
          <w:szCs w:val="24"/>
        </w:rPr>
      </w:pPr>
    </w:p>
    <w:p w14:paraId="6A13015D" w14:textId="77777777" w:rsidR="00C81996" w:rsidRDefault="00C81996" w:rsidP="00C81996">
      <w:pPr>
        <w:rPr>
          <w:sz w:val="24"/>
          <w:szCs w:val="24"/>
        </w:rPr>
      </w:pPr>
    </w:p>
    <w:p w14:paraId="1358EB73" w14:textId="0D747CDC" w:rsidR="00C81996" w:rsidRPr="00275DBB" w:rsidRDefault="00C81996" w:rsidP="00C81996">
      <w:pPr>
        <w:pStyle w:val="ListParagraph"/>
        <w:numPr>
          <w:ilvl w:val="0"/>
          <w:numId w:val="2"/>
        </w:numPr>
        <w:rPr>
          <w:b/>
          <w:bCs/>
          <w:sz w:val="24"/>
          <w:szCs w:val="24"/>
        </w:rPr>
      </w:pPr>
      <w:r>
        <w:rPr>
          <w:b/>
          <w:bCs/>
          <w:sz w:val="24"/>
          <w:szCs w:val="24"/>
        </w:rPr>
        <w:t>Extract from Von Claus</w:t>
      </w:r>
      <w:r w:rsidR="00054FF9">
        <w:rPr>
          <w:b/>
          <w:bCs/>
          <w:sz w:val="24"/>
          <w:szCs w:val="24"/>
        </w:rPr>
        <w:t>e</w:t>
      </w:r>
      <w:r>
        <w:rPr>
          <w:b/>
          <w:bCs/>
          <w:sz w:val="24"/>
          <w:szCs w:val="24"/>
        </w:rPr>
        <w:t xml:space="preserve">witz </w:t>
      </w:r>
      <w:r w:rsidRPr="00275DBB">
        <w:rPr>
          <w:b/>
          <w:bCs/>
          <w:i/>
          <w:iCs/>
          <w:sz w:val="24"/>
          <w:szCs w:val="24"/>
        </w:rPr>
        <w:t>“What Is War”</w:t>
      </w:r>
      <w:r w:rsidR="00275DBB">
        <w:rPr>
          <w:b/>
          <w:bCs/>
          <w:sz w:val="24"/>
          <w:szCs w:val="24"/>
        </w:rPr>
        <w:t xml:space="preserve"> Chapter One </w:t>
      </w:r>
      <w:r w:rsidR="00275DBB" w:rsidRPr="00275DBB">
        <w:rPr>
          <w:b/>
          <w:bCs/>
          <w:i/>
          <w:iCs/>
          <w:sz w:val="24"/>
          <w:szCs w:val="24"/>
        </w:rPr>
        <w:t>“On War”</w:t>
      </w:r>
    </w:p>
    <w:p w14:paraId="562CB304" w14:textId="251A4695" w:rsidR="002D6301" w:rsidRDefault="00054FF9" w:rsidP="00275DBB">
      <w:pPr>
        <w:rPr>
          <w:sz w:val="24"/>
          <w:szCs w:val="24"/>
        </w:rPr>
      </w:pPr>
      <w:r>
        <w:rPr>
          <w:sz w:val="24"/>
          <w:szCs w:val="24"/>
        </w:rPr>
        <w:t>Clausewitz was a soldier and Prussian general who spent a large part of his military life fighting Napoleon and the French Revolutionary Army. He was intrigued by the manner in which leaders like Napoleon had altered the conduct of warfare and motivated hu</w:t>
      </w:r>
      <w:r w:rsidR="00AE2478">
        <w:rPr>
          <w:sz w:val="24"/>
          <w:szCs w:val="24"/>
        </w:rPr>
        <w:t>ge</w:t>
      </w:r>
      <w:r>
        <w:rPr>
          <w:sz w:val="24"/>
          <w:szCs w:val="24"/>
        </w:rPr>
        <w:t xml:space="preserve"> numbers of people </w:t>
      </w:r>
      <w:r w:rsidR="00AE2478">
        <w:rPr>
          <w:sz w:val="24"/>
          <w:szCs w:val="24"/>
        </w:rPr>
        <w:t>to fight for their country, especially having witnessed first-hand the fervour with which the French army fought</w:t>
      </w:r>
      <w:r w:rsidR="00DA1572">
        <w:rPr>
          <w:sz w:val="24"/>
          <w:szCs w:val="24"/>
        </w:rPr>
        <w:t xml:space="preserve"> with</w:t>
      </w:r>
      <w:r w:rsidR="00AE2478">
        <w:rPr>
          <w:sz w:val="24"/>
          <w:szCs w:val="24"/>
        </w:rPr>
        <w:t xml:space="preserve"> when compared to the old statutory army. These personal insights as well as his knowledge of European history are what provide the groundwork for this piece.</w:t>
      </w:r>
      <w:r w:rsidR="00AE2478">
        <w:rPr>
          <w:rStyle w:val="FootnoteReference"/>
          <w:sz w:val="24"/>
          <w:szCs w:val="24"/>
        </w:rPr>
        <w:footnoteReference w:id="10"/>
      </w:r>
      <w:r w:rsidR="00C5035A">
        <w:rPr>
          <w:sz w:val="24"/>
          <w:szCs w:val="24"/>
        </w:rPr>
        <w:t xml:space="preserve"> “</w:t>
      </w:r>
      <w:r w:rsidR="00C5035A" w:rsidRPr="00C5035A">
        <w:rPr>
          <w:i/>
          <w:iCs/>
          <w:sz w:val="24"/>
          <w:szCs w:val="24"/>
        </w:rPr>
        <w:t xml:space="preserve">We see, therefore, that war is not merely a political act, but </w:t>
      </w:r>
      <w:r w:rsidR="00C5035A" w:rsidRPr="00C5035A">
        <w:rPr>
          <w:i/>
          <w:iCs/>
          <w:sz w:val="24"/>
          <w:szCs w:val="24"/>
        </w:rPr>
        <w:lastRenderedPageBreak/>
        <w:t>also a real political instrument, a continuation of political commerce</w:t>
      </w:r>
      <w:r w:rsidR="00C5035A">
        <w:rPr>
          <w:i/>
          <w:iCs/>
          <w:sz w:val="24"/>
          <w:szCs w:val="24"/>
        </w:rPr>
        <w:t>.</w:t>
      </w:r>
      <w:r w:rsidR="00C5035A">
        <w:rPr>
          <w:sz w:val="24"/>
          <w:szCs w:val="24"/>
        </w:rPr>
        <w:t>”</w:t>
      </w:r>
      <w:r w:rsidR="001E6D56">
        <w:rPr>
          <w:rStyle w:val="FootnoteReference"/>
          <w:sz w:val="24"/>
          <w:szCs w:val="24"/>
        </w:rPr>
        <w:footnoteReference w:id="11"/>
      </w:r>
      <w:r w:rsidR="00563069">
        <w:rPr>
          <w:sz w:val="24"/>
          <w:szCs w:val="24"/>
        </w:rPr>
        <w:t xml:space="preserve"> This sentence underpins much of Clausewitz’s theory, which effectively analyses war through the lens of its purpose, goal and means. So the purpose of war is for one’s will to be enforced, hence a political act. It follows then that the goal of war is to defeat your opponent in order to enact the purpose. This goal is achieved with the help of a strategy or the means with which to win the war, whether that be in battle, through economic sanctions or propaganda etc.</w:t>
      </w:r>
      <w:r w:rsidR="002D6301">
        <w:rPr>
          <w:sz w:val="24"/>
          <w:szCs w:val="24"/>
        </w:rPr>
        <w:t xml:space="preserve"> The common theme that is stipulated throughout this work is that war cannot be reduced </w:t>
      </w:r>
      <w:r w:rsidR="0025030B">
        <w:rPr>
          <w:sz w:val="24"/>
          <w:szCs w:val="24"/>
        </w:rPr>
        <w:t>to universal principles, and it is always controlled, instigated and dominated by politics and morality.</w:t>
      </w:r>
      <w:r w:rsidR="0025030B">
        <w:rPr>
          <w:rStyle w:val="FootnoteReference"/>
          <w:sz w:val="24"/>
          <w:szCs w:val="24"/>
        </w:rPr>
        <w:footnoteReference w:id="12"/>
      </w:r>
      <w:r w:rsidR="0025030B">
        <w:rPr>
          <w:sz w:val="24"/>
          <w:szCs w:val="24"/>
        </w:rPr>
        <w:t xml:space="preserve"> </w:t>
      </w:r>
    </w:p>
    <w:p w14:paraId="7C128CAE" w14:textId="1B8AC161" w:rsidR="007B5626" w:rsidRDefault="007B5626" w:rsidP="00275DBB">
      <w:pPr>
        <w:rPr>
          <w:sz w:val="24"/>
          <w:szCs w:val="24"/>
        </w:rPr>
      </w:pPr>
      <w:r>
        <w:rPr>
          <w:sz w:val="24"/>
          <w:szCs w:val="24"/>
        </w:rPr>
        <w:t>Clausewitz’s work has maintained its relevance over almost two centuries later whilst his rival of the 19</w:t>
      </w:r>
      <w:r w:rsidRPr="007B5626">
        <w:rPr>
          <w:sz w:val="24"/>
          <w:szCs w:val="24"/>
          <w:vertAlign w:val="superscript"/>
        </w:rPr>
        <w:t>th</w:t>
      </w:r>
      <w:r>
        <w:rPr>
          <w:sz w:val="24"/>
          <w:szCs w:val="24"/>
        </w:rPr>
        <w:t xml:space="preserve"> century Swiss military officer Antoine-Henri </w:t>
      </w:r>
      <w:proofErr w:type="spellStart"/>
      <w:r>
        <w:rPr>
          <w:sz w:val="24"/>
          <w:szCs w:val="24"/>
        </w:rPr>
        <w:t>Jomini</w:t>
      </w:r>
      <w:proofErr w:type="spellEnd"/>
      <w:r>
        <w:rPr>
          <w:sz w:val="24"/>
          <w:szCs w:val="24"/>
        </w:rPr>
        <w:t xml:space="preserve"> has waned in his influence of modern western military thinking. This is due largely in part to </w:t>
      </w:r>
      <w:proofErr w:type="spellStart"/>
      <w:r>
        <w:rPr>
          <w:sz w:val="24"/>
          <w:szCs w:val="24"/>
        </w:rPr>
        <w:t>Jomini</w:t>
      </w:r>
      <w:proofErr w:type="spellEnd"/>
      <w:r>
        <w:rPr>
          <w:sz w:val="24"/>
          <w:szCs w:val="24"/>
        </w:rPr>
        <w:t xml:space="preserve"> producing works discussing </w:t>
      </w:r>
      <w:r w:rsidR="00796E0C">
        <w:rPr>
          <w:sz w:val="24"/>
          <w:szCs w:val="24"/>
        </w:rPr>
        <w:t xml:space="preserve">systems of war at the time, which has since been outdated by advances in the weapons of war. In contrast, Clausewitz produced a philosophy which still has influence over the strategy </w:t>
      </w:r>
      <w:r w:rsidR="00CD0722">
        <w:rPr>
          <w:sz w:val="24"/>
          <w:szCs w:val="24"/>
        </w:rPr>
        <w:t xml:space="preserve">and justification </w:t>
      </w:r>
      <w:r w:rsidR="00796E0C">
        <w:rPr>
          <w:sz w:val="24"/>
          <w:szCs w:val="24"/>
        </w:rPr>
        <w:t>in utilising these new weapons.</w:t>
      </w:r>
      <w:r w:rsidR="003C3B11">
        <w:rPr>
          <w:rStyle w:val="FootnoteReference"/>
          <w:sz w:val="24"/>
          <w:szCs w:val="24"/>
        </w:rPr>
        <w:footnoteReference w:id="13"/>
      </w:r>
      <w:r w:rsidR="00796E0C">
        <w:rPr>
          <w:sz w:val="24"/>
          <w:szCs w:val="24"/>
        </w:rPr>
        <w:t xml:space="preserve"> </w:t>
      </w:r>
      <w:r w:rsidR="0014749F">
        <w:rPr>
          <w:sz w:val="24"/>
          <w:szCs w:val="24"/>
        </w:rPr>
        <w:t xml:space="preserve">However, this work has often been misinterpreted with historian and military theorist Basil Henry Liddell Hart stating that his theory of war was too complex for ordinary soldiers and so most people grasped only at the surface meaning of his words rather than </w:t>
      </w:r>
      <w:r w:rsidR="0086659C">
        <w:rPr>
          <w:sz w:val="24"/>
          <w:szCs w:val="24"/>
        </w:rPr>
        <w:t>their deeper meaning.</w:t>
      </w:r>
      <w:r w:rsidR="0086659C">
        <w:rPr>
          <w:rStyle w:val="FootnoteReference"/>
          <w:sz w:val="24"/>
          <w:szCs w:val="24"/>
        </w:rPr>
        <w:footnoteReference w:id="14"/>
      </w:r>
      <w:r w:rsidR="00317E5C">
        <w:rPr>
          <w:sz w:val="24"/>
          <w:szCs w:val="24"/>
        </w:rPr>
        <w:t xml:space="preserve"> “</w:t>
      </w:r>
      <w:r w:rsidR="00160B09" w:rsidRPr="00160B09">
        <w:rPr>
          <w:i/>
          <w:iCs/>
          <w:sz w:val="24"/>
          <w:szCs w:val="24"/>
        </w:rPr>
        <w:t>A</w:t>
      </w:r>
      <w:r w:rsidR="00317E5C" w:rsidRPr="00160B09">
        <w:rPr>
          <w:i/>
          <w:iCs/>
          <w:sz w:val="24"/>
          <w:szCs w:val="24"/>
        </w:rPr>
        <w:t>mongst all the constellations in the political sky which it has to compute, those must be included which arise when the nature of its relations imposes the necessity of a great war.</w:t>
      </w:r>
      <w:r w:rsidR="00160B09" w:rsidRPr="00160B09">
        <w:rPr>
          <w:i/>
          <w:iCs/>
          <w:sz w:val="24"/>
          <w:szCs w:val="24"/>
        </w:rPr>
        <w:t>”</w:t>
      </w:r>
      <w:r w:rsidR="00160B09">
        <w:rPr>
          <w:rStyle w:val="FootnoteReference"/>
          <w:i/>
          <w:iCs/>
          <w:sz w:val="24"/>
          <w:szCs w:val="24"/>
        </w:rPr>
        <w:footnoteReference w:id="15"/>
      </w:r>
      <w:r w:rsidR="007F74F7">
        <w:rPr>
          <w:i/>
          <w:iCs/>
          <w:sz w:val="24"/>
          <w:szCs w:val="24"/>
        </w:rPr>
        <w:br/>
      </w:r>
      <w:r w:rsidR="007F74F7">
        <w:rPr>
          <w:sz w:val="24"/>
          <w:szCs w:val="24"/>
        </w:rPr>
        <w:t xml:space="preserve">It was statements like this which led to that confusion that he was a proponent of total war, which includes all civilian infrastructure and resources as legitimate military targets, and this was especially prominent in Nazi propaganda throughout the 1940’s. </w:t>
      </w:r>
      <w:r w:rsidR="00014797">
        <w:rPr>
          <w:sz w:val="24"/>
          <w:szCs w:val="24"/>
        </w:rPr>
        <w:t>However, this is not at all what Clausewitz intended from such statements. Firstly, he never used the term total war. Secondly, what he stated was that war could not be waged in a limited way because the very rules of the competition will inevitably force participants to use all means at their disposal in order to win the war. But Clausewitz said that this kind of logic was dangerous in the real world, and that the military objectives of real war are to effectively disarm the enemy</w:t>
      </w:r>
      <w:r w:rsidR="000D4CDE">
        <w:rPr>
          <w:sz w:val="24"/>
          <w:szCs w:val="24"/>
        </w:rPr>
        <w:t>, which means that the total defeat of annihilation of an enemy is often not necessary or desirable.</w:t>
      </w:r>
      <w:r w:rsidR="000D4CDE">
        <w:rPr>
          <w:rStyle w:val="FootnoteReference"/>
          <w:sz w:val="24"/>
          <w:szCs w:val="24"/>
        </w:rPr>
        <w:footnoteReference w:id="16"/>
      </w:r>
      <w:r w:rsidR="00B12116">
        <w:rPr>
          <w:sz w:val="24"/>
          <w:szCs w:val="24"/>
        </w:rPr>
        <w:t xml:space="preserve"> For Clausewitz then, war is often a unique means that is applied in the never-ending quest for power and a country’s pursuit of national interest.</w:t>
      </w:r>
    </w:p>
    <w:p w14:paraId="35295BD0" w14:textId="0EB40F89" w:rsidR="00A70681" w:rsidRDefault="00A70681" w:rsidP="00275DBB">
      <w:pPr>
        <w:rPr>
          <w:sz w:val="24"/>
          <w:szCs w:val="24"/>
        </w:rPr>
      </w:pPr>
    </w:p>
    <w:p w14:paraId="2CC4AD7F" w14:textId="1040B9DB" w:rsidR="00A70681" w:rsidRDefault="00A70681" w:rsidP="00275DBB">
      <w:pPr>
        <w:rPr>
          <w:sz w:val="24"/>
          <w:szCs w:val="24"/>
        </w:rPr>
      </w:pPr>
    </w:p>
    <w:p w14:paraId="5C197F71" w14:textId="593AEC43" w:rsidR="00A70681" w:rsidRDefault="00A70681" w:rsidP="00275DBB">
      <w:pPr>
        <w:rPr>
          <w:sz w:val="24"/>
          <w:szCs w:val="24"/>
        </w:rPr>
      </w:pPr>
    </w:p>
    <w:p w14:paraId="30D62F6B" w14:textId="3511CCFD" w:rsidR="00A70681" w:rsidRDefault="00A70681" w:rsidP="00A70681">
      <w:pPr>
        <w:pStyle w:val="ListParagraph"/>
        <w:numPr>
          <w:ilvl w:val="0"/>
          <w:numId w:val="2"/>
        </w:numPr>
        <w:spacing w:after="0" w:line="240" w:lineRule="auto"/>
        <w:rPr>
          <w:b/>
          <w:sz w:val="24"/>
          <w:szCs w:val="24"/>
        </w:rPr>
      </w:pPr>
      <w:r w:rsidRPr="00A70681">
        <w:rPr>
          <w:b/>
          <w:sz w:val="24"/>
          <w:szCs w:val="24"/>
        </w:rPr>
        <w:t xml:space="preserve">Memorandum by Prince Karl Max </w:t>
      </w:r>
      <w:proofErr w:type="spellStart"/>
      <w:r w:rsidRPr="00A70681">
        <w:rPr>
          <w:b/>
          <w:sz w:val="24"/>
          <w:szCs w:val="24"/>
        </w:rPr>
        <w:t>Lichnowsky</w:t>
      </w:r>
      <w:proofErr w:type="spellEnd"/>
      <w:r w:rsidRPr="00A70681">
        <w:rPr>
          <w:b/>
          <w:sz w:val="24"/>
          <w:szCs w:val="24"/>
        </w:rPr>
        <w:t>, January 1915 (German Ambassador to London 1912-14)</w:t>
      </w:r>
    </w:p>
    <w:p w14:paraId="06F1E227" w14:textId="0095E6F1" w:rsidR="007E6BEE" w:rsidRDefault="007E6BEE" w:rsidP="007E6BEE">
      <w:pPr>
        <w:spacing w:after="0" w:line="240" w:lineRule="auto"/>
        <w:rPr>
          <w:b/>
          <w:sz w:val="24"/>
          <w:szCs w:val="24"/>
        </w:rPr>
      </w:pPr>
    </w:p>
    <w:p w14:paraId="25E99789" w14:textId="77777777" w:rsidR="003276E9" w:rsidRDefault="007E6BEE" w:rsidP="007E6BEE">
      <w:pPr>
        <w:spacing w:after="0" w:line="240" w:lineRule="auto"/>
        <w:rPr>
          <w:bCs/>
          <w:sz w:val="24"/>
          <w:szCs w:val="24"/>
        </w:rPr>
      </w:pPr>
      <w:r>
        <w:rPr>
          <w:bCs/>
          <w:sz w:val="24"/>
          <w:szCs w:val="24"/>
        </w:rPr>
        <w:t xml:space="preserve">Karl Max </w:t>
      </w:r>
      <w:proofErr w:type="spellStart"/>
      <w:r>
        <w:rPr>
          <w:bCs/>
          <w:sz w:val="24"/>
          <w:szCs w:val="24"/>
        </w:rPr>
        <w:t>Lichnowsky</w:t>
      </w:r>
      <w:proofErr w:type="spellEnd"/>
      <w:r>
        <w:rPr>
          <w:bCs/>
          <w:sz w:val="24"/>
          <w:szCs w:val="24"/>
        </w:rPr>
        <w:t xml:space="preserve"> was a German diplomat and ambassador to Britain during the period of heightened tensions between European powers known as the July period, which would eventually lead to the</w:t>
      </w:r>
      <w:r w:rsidR="006A6511">
        <w:rPr>
          <w:bCs/>
          <w:sz w:val="24"/>
          <w:szCs w:val="24"/>
        </w:rPr>
        <w:t xml:space="preserve"> outbreak of world war one in 1914. This 1916 pamphlet was published by </w:t>
      </w:r>
      <w:proofErr w:type="spellStart"/>
      <w:r w:rsidR="006A6511">
        <w:rPr>
          <w:bCs/>
          <w:sz w:val="24"/>
          <w:szCs w:val="24"/>
        </w:rPr>
        <w:t>Lichnowsky</w:t>
      </w:r>
      <w:proofErr w:type="spellEnd"/>
      <w:r w:rsidR="006A6511">
        <w:rPr>
          <w:bCs/>
          <w:sz w:val="24"/>
          <w:szCs w:val="24"/>
        </w:rPr>
        <w:t xml:space="preserve"> and blamed German diplomacy, arguing that it contributed majorly to the escalation of tensions and the resultant war.</w:t>
      </w:r>
      <w:r w:rsidR="00F95A0F">
        <w:rPr>
          <w:rStyle w:val="FootnoteReference"/>
          <w:bCs/>
          <w:sz w:val="24"/>
          <w:szCs w:val="24"/>
        </w:rPr>
        <w:footnoteReference w:id="17"/>
      </w:r>
      <w:r w:rsidR="003276E9">
        <w:rPr>
          <w:bCs/>
          <w:sz w:val="24"/>
          <w:szCs w:val="24"/>
        </w:rPr>
        <w:t xml:space="preserve"> </w:t>
      </w:r>
    </w:p>
    <w:p w14:paraId="4AD53221" w14:textId="77777777" w:rsidR="003276E9" w:rsidRDefault="003276E9" w:rsidP="007E6BEE">
      <w:pPr>
        <w:spacing w:after="0" w:line="240" w:lineRule="auto"/>
        <w:rPr>
          <w:bCs/>
          <w:sz w:val="24"/>
          <w:szCs w:val="24"/>
        </w:rPr>
      </w:pPr>
    </w:p>
    <w:p w14:paraId="0E30DC0A" w14:textId="5A5AE6CC" w:rsidR="003276E9" w:rsidRPr="003276E9" w:rsidRDefault="003276E9" w:rsidP="007E6BEE">
      <w:pPr>
        <w:spacing w:after="0" w:line="240" w:lineRule="auto"/>
        <w:rPr>
          <w:i/>
          <w:iCs/>
          <w:sz w:val="24"/>
          <w:szCs w:val="24"/>
        </w:rPr>
      </w:pPr>
      <w:r w:rsidRPr="003276E9">
        <w:rPr>
          <w:bCs/>
          <w:i/>
          <w:iCs/>
          <w:sz w:val="24"/>
          <w:szCs w:val="24"/>
        </w:rPr>
        <w:t>“</w:t>
      </w:r>
      <w:r w:rsidRPr="003276E9">
        <w:rPr>
          <w:i/>
          <w:iCs/>
          <w:sz w:val="24"/>
          <w:szCs w:val="24"/>
        </w:rPr>
        <w:t>She had to support France, as we had to support Austria.  The basis of any understanding with us must therefore be an unquestionable policy of peace, since England would be drawn through France into a European war</w:t>
      </w:r>
      <w:r w:rsidRPr="003276E9">
        <w:rPr>
          <w:i/>
          <w:iCs/>
          <w:sz w:val="24"/>
          <w:szCs w:val="24"/>
        </w:rPr>
        <w:t>.”</w:t>
      </w:r>
      <w:r w:rsidR="0053526B">
        <w:rPr>
          <w:rStyle w:val="FootnoteReference"/>
          <w:i/>
          <w:iCs/>
          <w:sz w:val="24"/>
          <w:szCs w:val="24"/>
        </w:rPr>
        <w:footnoteReference w:id="18"/>
      </w:r>
    </w:p>
    <w:p w14:paraId="64B6F0CD" w14:textId="77777777" w:rsidR="003276E9" w:rsidRDefault="003276E9" w:rsidP="007E6BEE">
      <w:pPr>
        <w:spacing w:after="0" w:line="240" w:lineRule="auto"/>
        <w:rPr>
          <w:sz w:val="24"/>
          <w:szCs w:val="24"/>
        </w:rPr>
      </w:pPr>
    </w:p>
    <w:p w14:paraId="11C965B3" w14:textId="609D4CFA" w:rsidR="007E6BEE" w:rsidRDefault="003276E9" w:rsidP="007E6BEE">
      <w:pPr>
        <w:spacing w:after="0" w:line="240" w:lineRule="auto"/>
        <w:rPr>
          <w:bCs/>
          <w:sz w:val="24"/>
          <w:szCs w:val="24"/>
        </w:rPr>
      </w:pPr>
      <w:r w:rsidRPr="003276E9">
        <w:rPr>
          <w:sz w:val="24"/>
          <w:szCs w:val="24"/>
        </w:rPr>
        <w:t>He</w:t>
      </w:r>
      <w:r>
        <w:rPr>
          <w:bCs/>
          <w:sz w:val="24"/>
          <w:szCs w:val="24"/>
        </w:rPr>
        <w:t xml:space="preserve"> was the only German diplomat to raise such objections to Germany’s approach to an Austro-Serbian </w:t>
      </w:r>
      <w:r w:rsidR="00254F99">
        <w:rPr>
          <w:bCs/>
          <w:sz w:val="24"/>
          <w:szCs w:val="24"/>
        </w:rPr>
        <w:t>war and</w:t>
      </w:r>
      <w:r>
        <w:rPr>
          <w:bCs/>
          <w:sz w:val="24"/>
          <w:szCs w:val="24"/>
        </w:rPr>
        <w:t xml:space="preserve"> insisted that Britain would intervene if war broke out on the continent. Despite his best efforts to warn Germany that the war would be the greatest catastrophe the world was yet to see, his attempts went ignored. </w:t>
      </w:r>
      <w:r w:rsidR="00EC3F25">
        <w:rPr>
          <w:bCs/>
          <w:sz w:val="24"/>
          <w:szCs w:val="24"/>
        </w:rPr>
        <w:t xml:space="preserve">As a result of this, </w:t>
      </w:r>
      <w:proofErr w:type="spellStart"/>
      <w:r w:rsidR="00EC3F25">
        <w:rPr>
          <w:bCs/>
          <w:sz w:val="24"/>
          <w:szCs w:val="24"/>
        </w:rPr>
        <w:t>Lichnowsky</w:t>
      </w:r>
      <w:proofErr w:type="spellEnd"/>
      <w:r w:rsidR="00EC3F25">
        <w:rPr>
          <w:bCs/>
          <w:sz w:val="24"/>
          <w:szCs w:val="24"/>
        </w:rPr>
        <w:t xml:space="preserve"> privately published this memorandum and circulated it amongst upper classes in Germany, accusing the German government of neglecting and failing his attempts to avoid world war one. </w:t>
      </w:r>
      <w:r w:rsidR="00F05479">
        <w:rPr>
          <w:bCs/>
          <w:sz w:val="24"/>
          <w:szCs w:val="24"/>
        </w:rPr>
        <w:t>He was even critical of the German alliance with Austria-Hungary, believing that it pulled Germany into potential Balkan crises which in turn escalates tensions with Russia all for very little benefit to Germany at all.</w:t>
      </w:r>
      <w:r w:rsidR="006B2027">
        <w:rPr>
          <w:bCs/>
          <w:sz w:val="24"/>
          <w:szCs w:val="24"/>
        </w:rPr>
        <w:t xml:space="preserve"> In contrast to this, Kaiser Wilhelm II said:</w:t>
      </w:r>
    </w:p>
    <w:p w14:paraId="0D9EEADD" w14:textId="24A4E42C" w:rsidR="006B2027" w:rsidRDefault="006B2027" w:rsidP="007E6BEE">
      <w:pPr>
        <w:spacing w:after="0" w:line="240" w:lineRule="auto"/>
        <w:rPr>
          <w:bCs/>
          <w:sz w:val="24"/>
          <w:szCs w:val="24"/>
        </w:rPr>
      </w:pPr>
    </w:p>
    <w:p w14:paraId="64D23530" w14:textId="6C5E75CD" w:rsidR="006B2027" w:rsidRDefault="006B2027" w:rsidP="006B2027">
      <w:pPr>
        <w:rPr>
          <w:i/>
          <w:iCs/>
          <w:sz w:val="24"/>
          <w:szCs w:val="24"/>
        </w:rPr>
      </w:pPr>
      <w:r>
        <w:rPr>
          <w:i/>
          <w:iCs/>
          <w:sz w:val="24"/>
          <w:szCs w:val="24"/>
        </w:rPr>
        <w:t>“</w:t>
      </w:r>
      <w:r w:rsidRPr="006B2027">
        <w:rPr>
          <w:i/>
          <w:iCs/>
          <w:sz w:val="24"/>
          <w:szCs w:val="24"/>
        </w:rPr>
        <w:t>For I no longer have any doubt that England, Russia and France have agreed among themselves—knowing that our treaty obligations compel us to support Austria-Hungary—to use the Austro-Serb conflict as a pretext for waging a war of annihilation against us</w:t>
      </w:r>
      <w:r>
        <w:rPr>
          <w:i/>
          <w:iCs/>
          <w:sz w:val="24"/>
          <w:szCs w:val="24"/>
        </w:rPr>
        <w:t>.”</w:t>
      </w:r>
      <w:r w:rsidR="002053B2">
        <w:rPr>
          <w:rStyle w:val="FootnoteReference"/>
          <w:i/>
          <w:iCs/>
          <w:sz w:val="24"/>
          <w:szCs w:val="24"/>
        </w:rPr>
        <w:footnoteReference w:id="19"/>
      </w:r>
    </w:p>
    <w:p w14:paraId="4486BADA" w14:textId="04973C4C" w:rsidR="00A70681" w:rsidRPr="00A70681" w:rsidRDefault="00963D7C" w:rsidP="00963D7C">
      <w:pPr>
        <w:rPr>
          <w:b/>
          <w:bCs/>
          <w:sz w:val="24"/>
          <w:szCs w:val="24"/>
        </w:rPr>
      </w:pPr>
      <w:r>
        <w:rPr>
          <w:sz w:val="24"/>
          <w:szCs w:val="24"/>
        </w:rPr>
        <w:t xml:space="preserve">This was contrary to what </w:t>
      </w:r>
      <w:proofErr w:type="spellStart"/>
      <w:r w:rsidR="00DE0B46">
        <w:rPr>
          <w:sz w:val="24"/>
          <w:szCs w:val="24"/>
        </w:rPr>
        <w:t>Lichnowsky</w:t>
      </w:r>
      <w:proofErr w:type="spellEnd"/>
      <w:r>
        <w:rPr>
          <w:sz w:val="24"/>
          <w:szCs w:val="24"/>
        </w:rPr>
        <w:t xml:space="preserve"> wrote in his pamphlet, in which he discusses how the British foreign minister had actually helped support German policy in the aftermath of the 1912-13 Balkan wars. Furthermore, Britain did not formally declare war until Germany’s invasion of Belgium on the 4</w:t>
      </w:r>
      <w:r w:rsidRPr="00963D7C">
        <w:rPr>
          <w:sz w:val="24"/>
          <w:szCs w:val="24"/>
          <w:vertAlign w:val="superscript"/>
        </w:rPr>
        <w:t>th</w:t>
      </w:r>
      <w:r>
        <w:rPr>
          <w:sz w:val="24"/>
          <w:szCs w:val="24"/>
        </w:rPr>
        <w:t xml:space="preserve"> of August </w:t>
      </w:r>
      <w:r w:rsidR="00CD5E53">
        <w:rPr>
          <w:sz w:val="24"/>
          <w:szCs w:val="24"/>
        </w:rPr>
        <w:t>but yet just 3 days earlier he had received a telegram from the government already mentioning Britain as an opponent.</w:t>
      </w:r>
      <w:r w:rsidR="00FB3DAF">
        <w:rPr>
          <w:sz w:val="24"/>
          <w:szCs w:val="24"/>
        </w:rPr>
        <w:br/>
      </w:r>
      <w:r w:rsidR="00FB3DAF">
        <w:rPr>
          <w:sz w:val="24"/>
          <w:szCs w:val="24"/>
        </w:rPr>
        <w:br/>
      </w:r>
      <w:r w:rsidR="00FB3DAF">
        <w:rPr>
          <w:i/>
          <w:iCs/>
          <w:sz w:val="24"/>
          <w:szCs w:val="24"/>
        </w:rPr>
        <w:t>“</w:t>
      </w:r>
      <w:r w:rsidR="00FB3DAF" w:rsidRPr="00FB3DAF">
        <w:rPr>
          <w:i/>
          <w:iCs/>
          <w:sz w:val="24"/>
          <w:szCs w:val="24"/>
        </w:rPr>
        <w:t xml:space="preserve">The world will belong to the Anglo-Saxons, Russian and Japanese, and the German will remain alone with Austria and Hungary. His rule will be that of thought and of commerce, </w:t>
      </w:r>
      <w:r w:rsidR="00FB3DAF" w:rsidRPr="00FB3DAF">
        <w:rPr>
          <w:i/>
          <w:iCs/>
          <w:sz w:val="24"/>
          <w:szCs w:val="24"/>
        </w:rPr>
        <w:lastRenderedPageBreak/>
        <w:t>not that of the bureaucrat and the soldier. He made his appearance too late, and hi last chance of making good the past, that of founding a Colonial Empire, was annihilated by the world-war.</w:t>
      </w:r>
      <w:r w:rsidR="00FB3DAF">
        <w:rPr>
          <w:sz w:val="24"/>
          <w:szCs w:val="24"/>
        </w:rPr>
        <w:t>”</w:t>
      </w:r>
      <w:r w:rsidR="00DE1C15">
        <w:rPr>
          <w:rStyle w:val="FootnoteReference"/>
          <w:sz w:val="24"/>
          <w:szCs w:val="24"/>
        </w:rPr>
        <w:footnoteReference w:id="20"/>
      </w:r>
    </w:p>
    <w:p w14:paraId="7F7DE15A" w14:textId="15E9DD56" w:rsidR="00C81996" w:rsidRDefault="00DE0B46" w:rsidP="00C81996">
      <w:pPr>
        <w:rPr>
          <w:sz w:val="24"/>
          <w:szCs w:val="24"/>
        </w:rPr>
      </w:pPr>
      <w:r>
        <w:rPr>
          <w:sz w:val="24"/>
          <w:szCs w:val="24"/>
        </w:rPr>
        <w:t xml:space="preserve">This damning prediction of the likely outcome of world war one marks the end of </w:t>
      </w:r>
      <w:proofErr w:type="spellStart"/>
      <w:r>
        <w:rPr>
          <w:sz w:val="24"/>
          <w:szCs w:val="24"/>
        </w:rPr>
        <w:t>Lichnowsky’s</w:t>
      </w:r>
      <w:proofErr w:type="spellEnd"/>
      <w:r>
        <w:rPr>
          <w:sz w:val="24"/>
          <w:szCs w:val="24"/>
        </w:rPr>
        <w:t xml:space="preserve"> pamphlet and likely influenced British and French minds behind the treaty of Versailles. </w:t>
      </w:r>
      <w:r w:rsidR="00D421A3">
        <w:rPr>
          <w:sz w:val="24"/>
          <w:szCs w:val="24"/>
        </w:rPr>
        <w:t xml:space="preserve">In summary he blamed the failure in diplomacy and subsequent outbreak of war on three main points. One, German ministers had encouraged Austria to issue the ultimatum to the Serbians. Two, after Russia stated that they would not tolerate war in Serbia, Germany refused all attempts to mediate the conflict. Finally, in response to Russian mobilisation Germany sent an ultimatum to the Russians and declared war. Despite the tzar stating he would not march on Germany while negotiations continued. This in essence ruled out any potential for peace. </w:t>
      </w:r>
    </w:p>
    <w:p w14:paraId="47DCE5F0" w14:textId="006DFCC9" w:rsidR="00AD2CBA" w:rsidRDefault="00AD2CBA" w:rsidP="00C81996">
      <w:pPr>
        <w:rPr>
          <w:sz w:val="24"/>
          <w:szCs w:val="24"/>
        </w:rPr>
      </w:pPr>
    </w:p>
    <w:p w14:paraId="16876145" w14:textId="62AB5B06" w:rsidR="00AD2CBA" w:rsidRDefault="00AD2CBA" w:rsidP="00C81996">
      <w:pPr>
        <w:rPr>
          <w:sz w:val="24"/>
          <w:szCs w:val="24"/>
        </w:rPr>
      </w:pPr>
    </w:p>
    <w:p w14:paraId="62CFDB0B" w14:textId="3CE0998D" w:rsidR="00AD2CBA" w:rsidRDefault="00AD2CBA" w:rsidP="00C81996">
      <w:pPr>
        <w:rPr>
          <w:b/>
          <w:bCs/>
          <w:sz w:val="24"/>
          <w:szCs w:val="24"/>
          <w:u w:val="single"/>
        </w:rPr>
      </w:pPr>
      <w:r w:rsidRPr="00AD2CBA">
        <w:rPr>
          <w:b/>
          <w:bCs/>
          <w:sz w:val="24"/>
          <w:szCs w:val="24"/>
          <w:u w:val="single"/>
        </w:rPr>
        <w:t>References</w:t>
      </w:r>
    </w:p>
    <w:p w14:paraId="618A8E3D" w14:textId="4238957E"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Andrew Holmes, </w:t>
      </w:r>
      <w:r w:rsidRPr="00446658">
        <w:rPr>
          <w:rFonts w:ascii="Arial" w:hAnsi="Arial" w:cs="Arial"/>
          <w:i/>
          <w:iCs/>
          <w:color w:val="000000"/>
          <w:shd w:val="clear" w:color="auto" w:fill="FFFFFF"/>
        </w:rPr>
        <w:t>Carl Von Clausewitz's On War: A modern-day interpretation of a strategy classic</w:t>
      </w:r>
      <w:r w:rsidRPr="00446658">
        <w:rPr>
          <w:rFonts w:ascii="Arial" w:hAnsi="Arial" w:cs="Arial"/>
          <w:color w:val="000000"/>
          <w:shd w:val="clear" w:color="auto" w:fill="FFFFFF"/>
        </w:rPr>
        <w:t> (Oxford: Infinite Ideas Limited, 2010).</w:t>
      </w:r>
    </w:p>
    <w:p w14:paraId="0FCBE2AF" w14:textId="77777777" w:rsidR="00446658" w:rsidRPr="00446658" w:rsidRDefault="00446658" w:rsidP="00E41271">
      <w:pPr>
        <w:pStyle w:val="FootnoteText"/>
        <w:rPr>
          <w:rFonts w:ascii="Arial" w:hAnsi="Arial" w:cs="Arial"/>
          <w:color w:val="000000"/>
          <w:shd w:val="clear" w:color="auto" w:fill="FFFFFF"/>
        </w:rPr>
      </w:pPr>
    </w:p>
    <w:p w14:paraId="1B7FB079" w14:textId="1BC41A3C"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Azar Gat, </w:t>
      </w:r>
      <w:r w:rsidRPr="00446658">
        <w:rPr>
          <w:rFonts w:ascii="Arial" w:hAnsi="Arial" w:cs="Arial"/>
          <w:i/>
          <w:iCs/>
          <w:color w:val="000000"/>
          <w:shd w:val="clear" w:color="auto" w:fill="FFFFFF"/>
        </w:rPr>
        <w:t>A History of Military Thought: From the Enlightenment to the Cold War</w:t>
      </w:r>
      <w:r w:rsidRPr="00446658">
        <w:rPr>
          <w:rFonts w:ascii="Arial" w:hAnsi="Arial" w:cs="Arial"/>
          <w:color w:val="000000"/>
          <w:shd w:val="clear" w:color="auto" w:fill="FFFFFF"/>
        </w:rPr>
        <w:t> (New York: Oxford University Press, 2001)</w:t>
      </w:r>
      <w:r w:rsidRPr="00446658">
        <w:rPr>
          <w:rFonts w:ascii="Arial" w:hAnsi="Arial" w:cs="Arial"/>
          <w:color w:val="000000"/>
          <w:shd w:val="clear" w:color="auto" w:fill="FFFFFF"/>
        </w:rPr>
        <w:t>.</w:t>
      </w:r>
    </w:p>
    <w:p w14:paraId="4D2F2E49" w14:textId="77777777" w:rsidR="00446658" w:rsidRPr="00446658" w:rsidRDefault="00446658" w:rsidP="0033036A">
      <w:pPr>
        <w:pStyle w:val="FootnoteText"/>
        <w:rPr>
          <w:rFonts w:ascii="Arial" w:hAnsi="Arial" w:cs="Arial"/>
          <w:color w:val="000000"/>
          <w:shd w:val="clear" w:color="auto" w:fill="FFFFFF"/>
        </w:rPr>
      </w:pPr>
    </w:p>
    <w:p w14:paraId="0CA1E488" w14:textId="260F9318"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Carl Von Clausewitz, Clausewitz.com, </w:t>
      </w:r>
      <w:r w:rsidRPr="00446658">
        <w:rPr>
          <w:rFonts w:ascii="Arial" w:hAnsi="Arial" w:cs="Arial"/>
          <w:i/>
          <w:iCs/>
          <w:color w:val="000000"/>
          <w:shd w:val="clear" w:color="auto" w:fill="FFFFFF"/>
        </w:rPr>
        <w:t>On War - Carl von Clausewitz</w:t>
      </w:r>
      <w:r w:rsidRPr="00446658">
        <w:rPr>
          <w:rFonts w:ascii="Arial" w:hAnsi="Arial" w:cs="Arial"/>
          <w:color w:val="000000"/>
          <w:shd w:val="clear" w:color="auto" w:fill="FFFFFF"/>
        </w:rPr>
        <w:t xml:space="preserve"> (2019) &lt;http://www.clausewitz.com/readings/OnWar1873/BK1ch01.html#a&gt; </w:t>
      </w:r>
    </w:p>
    <w:p w14:paraId="3E8ABAC3" w14:textId="77777777" w:rsidR="00446658" w:rsidRPr="00446658" w:rsidRDefault="00446658" w:rsidP="00E41271">
      <w:pPr>
        <w:pStyle w:val="FootnoteText"/>
        <w:rPr>
          <w:rFonts w:ascii="Arial" w:hAnsi="Arial" w:cs="Arial"/>
          <w:color w:val="000000"/>
          <w:shd w:val="clear" w:color="auto" w:fill="FFFFFF"/>
        </w:rPr>
      </w:pPr>
    </w:p>
    <w:p w14:paraId="39C8EF54" w14:textId="6B2BA9C6"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Christopher Clark, </w:t>
      </w:r>
      <w:r w:rsidRPr="00446658">
        <w:rPr>
          <w:rFonts w:ascii="Arial" w:hAnsi="Arial" w:cs="Arial"/>
          <w:i/>
          <w:iCs/>
          <w:color w:val="000000"/>
          <w:shd w:val="clear" w:color="auto" w:fill="FFFFFF"/>
        </w:rPr>
        <w:t>Iron Kingdom: The Rise and Downfall of Prussia 1600–1947</w:t>
      </w:r>
      <w:r w:rsidRPr="00446658">
        <w:rPr>
          <w:rFonts w:ascii="Arial" w:hAnsi="Arial" w:cs="Arial"/>
          <w:color w:val="000000"/>
          <w:shd w:val="clear" w:color="auto" w:fill="FFFFFF"/>
        </w:rPr>
        <w:t xml:space="preserve"> (Cambridge, MA: </w:t>
      </w:r>
      <w:proofErr w:type="spellStart"/>
      <w:r w:rsidRPr="00446658">
        <w:rPr>
          <w:rFonts w:ascii="Arial" w:hAnsi="Arial" w:cs="Arial"/>
          <w:color w:val="000000"/>
          <w:shd w:val="clear" w:color="auto" w:fill="FFFFFF"/>
        </w:rPr>
        <w:t>Belknap</w:t>
      </w:r>
      <w:proofErr w:type="spellEnd"/>
      <w:r w:rsidRPr="00446658">
        <w:rPr>
          <w:rFonts w:ascii="Arial" w:hAnsi="Arial" w:cs="Arial"/>
          <w:color w:val="000000"/>
          <w:shd w:val="clear" w:color="auto" w:fill="FFFFFF"/>
        </w:rPr>
        <w:t xml:space="preserve"> Press of Harvard University Press, 2006)</w:t>
      </w:r>
      <w:r w:rsidRPr="00446658">
        <w:rPr>
          <w:rFonts w:ascii="Arial" w:hAnsi="Arial" w:cs="Arial"/>
          <w:color w:val="000000"/>
          <w:shd w:val="clear" w:color="auto" w:fill="FFFFFF"/>
        </w:rPr>
        <w:t>.</w:t>
      </w:r>
    </w:p>
    <w:p w14:paraId="051CF018" w14:textId="77777777" w:rsidR="00446658" w:rsidRPr="00446658" w:rsidRDefault="00446658" w:rsidP="00E41271">
      <w:pPr>
        <w:pStyle w:val="FootnoteText"/>
        <w:rPr>
          <w:rFonts w:ascii="Arial" w:hAnsi="Arial" w:cs="Arial"/>
          <w:color w:val="000000"/>
          <w:shd w:val="clear" w:color="auto" w:fill="FFFFFF"/>
        </w:rPr>
      </w:pPr>
    </w:p>
    <w:p w14:paraId="6C922CA6" w14:textId="42337035"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Gerhard Ritter, </w:t>
      </w:r>
      <w:r w:rsidRPr="00446658">
        <w:rPr>
          <w:rFonts w:ascii="Arial" w:hAnsi="Arial" w:cs="Arial"/>
          <w:i/>
          <w:iCs/>
          <w:color w:val="000000"/>
          <w:shd w:val="clear" w:color="auto" w:fill="FFFFFF"/>
        </w:rPr>
        <w:t>Frederick the Great: A Historical Profile</w:t>
      </w:r>
      <w:r w:rsidRPr="00446658">
        <w:rPr>
          <w:rFonts w:ascii="Arial" w:hAnsi="Arial" w:cs="Arial"/>
          <w:color w:val="000000"/>
          <w:shd w:val="clear" w:color="auto" w:fill="FFFFFF"/>
        </w:rPr>
        <w:t xml:space="preserve">, trans. by Peter </w:t>
      </w:r>
      <w:proofErr w:type="spellStart"/>
      <w:r w:rsidRPr="00446658">
        <w:rPr>
          <w:rFonts w:ascii="Arial" w:hAnsi="Arial" w:cs="Arial"/>
          <w:color w:val="000000"/>
          <w:shd w:val="clear" w:color="auto" w:fill="FFFFFF"/>
        </w:rPr>
        <w:t>Peret</w:t>
      </w:r>
      <w:proofErr w:type="spellEnd"/>
      <w:r w:rsidRPr="00446658">
        <w:rPr>
          <w:rFonts w:ascii="Arial" w:hAnsi="Arial" w:cs="Arial"/>
          <w:color w:val="000000"/>
          <w:shd w:val="clear" w:color="auto" w:fill="FFFFFF"/>
        </w:rPr>
        <w:t xml:space="preserve"> (Berkeley: University of California Press, 1974 (originally 1936))</w:t>
      </w:r>
      <w:r w:rsidRPr="00446658">
        <w:rPr>
          <w:rFonts w:ascii="Arial" w:hAnsi="Arial" w:cs="Arial"/>
          <w:color w:val="000000"/>
          <w:shd w:val="clear" w:color="auto" w:fill="FFFFFF"/>
        </w:rPr>
        <w:t>.</w:t>
      </w:r>
    </w:p>
    <w:p w14:paraId="4A647087" w14:textId="77777777" w:rsidR="00446658" w:rsidRPr="00446658" w:rsidRDefault="00446658" w:rsidP="00E41271">
      <w:pPr>
        <w:pStyle w:val="FootnoteText"/>
        <w:rPr>
          <w:rFonts w:ascii="Arial" w:hAnsi="Arial" w:cs="Arial"/>
          <w:color w:val="000000"/>
          <w:shd w:val="clear" w:color="auto" w:fill="FFFFFF"/>
        </w:rPr>
      </w:pPr>
    </w:p>
    <w:p w14:paraId="3EC7D2EB" w14:textId="0A3DCBA1"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 xml:space="preserve">Giles </w:t>
      </w:r>
      <w:proofErr w:type="spellStart"/>
      <w:r w:rsidRPr="00446658">
        <w:rPr>
          <w:rFonts w:ascii="Arial" w:hAnsi="Arial" w:cs="Arial"/>
          <w:color w:val="000000"/>
          <w:shd w:val="clear" w:color="auto" w:fill="FFFFFF"/>
        </w:rPr>
        <w:t>MacDonogh</w:t>
      </w:r>
      <w:proofErr w:type="spellEnd"/>
      <w:r w:rsidRPr="00446658">
        <w:rPr>
          <w:rFonts w:ascii="Arial" w:hAnsi="Arial" w:cs="Arial"/>
          <w:color w:val="000000"/>
          <w:shd w:val="clear" w:color="auto" w:fill="FFFFFF"/>
        </w:rPr>
        <w:t>, </w:t>
      </w:r>
      <w:r w:rsidRPr="00446658">
        <w:rPr>
          <w:rFonts w:ascii="Arial" w:hAnsi="Arial" w:cs="Arial"/>
          <w:i/>
          <w:iCs/>
          <w:color w:val="000000"/>
          <w:shd w:val="clear" w:color="auto" w:fill="FFFFFF"/>
        </w:rPr>
        <w:t>Frederick the Great: A Life in Deed and Letters</w:t>
      </w:r>
      <w:r w:rsidRPr="00446658">
        <w:rPr>
          <w:rFonts w:ascii="Arial" w:hAnsi="Arial" w:cs="Arial"/>
          <w:color w:val="000000"/>
          <w:shd w:val="clear" w:color="auto" w:fill="FFFFFF"/>
        </w:rPr>
        <w:t> (New York: St. Martin's Griffin, 2000</w:t>
      </w:r>
      <w:r w:rsidRPr="00446658">
        <w:rPr>
          <w:rFonts w:ascii="Arial" w:hAnsi="Arial" w:cs="Arial"/>
          <w:color w:val="000000"/>
          <w:shd w:val="clear" w:color="auto" w:fill="FFFFFF"/>
        </w:rPr>
        <w:t>).</w:t>
      </w:r>
    </w:p>
    <w:p w14:paraId="7FB99821" w14:textId="77777777" w:rsidR="00446658" w:rsidRPr="00446658" w:rsidRDefault="00446658" w:rsidP="00E41271">
      <w:pPr>
        <w:pStyle w:val="FootnoteText"/>
        <w:rPr>
          <w:rFonts w:ascii="Arial" w:hAnsi="Arial" w:cs="Arial"/>
          <w:color w:val="000000"/>
          <w:shd w:val="clear" w:color="auto" w:fill="FFFFFF"/>
        </w:rPr>
      </w:pPr>
    </w:p>
    <w:p w14:paraId="12F34988" w14:textId="0E0E367B"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 xml:space="preserve">Hal Brands, </w:t>
      </w:r>
      <w:proofErr w:type="spellStart"/>
      <w:r w:rsidRPr="00446658">
        <w:rPr>
          <w:rFonts w:ascii="Arial" w:hAnsi="Arial" w:cs="Arial"/>
          <w:color w:val="000000"/>
          <w:shd w:val="clear" w:color="auto" w:fill="FFFFFF"/>
        </w:rPr>
        <w:t>Jeremi</w:t>
      </w:r>
      <w:proofErr w:type="spellEnd"/>
      <w:r w:rsidRPr="00446658">
        <w:rPr>
          <w:rFonts w:ascii="Arial" w:hAnsi="Arial" w:cs="Arial"/>
          <w:color w:val="000000"/>
          <w:shd w:val="clear" w:color="auto" w:fill="FFFFFF"/>
        </w:rPr>
        <w:t xml:space="preserve"> Suri, </w:t>
      </w:r>
      <w:r w:rsidRPr="00446658">
        <w:rPr>
          <w:rFonts w:ascii="Arial" w:hAnsi="Arial" w:cs="Arial"/>
          <w:i/>
          <w:iCs/>
          <w:color w:val="000000"/>
          <w:shd w:val="clear" w:color="auto" w:fill="FFFFFF"/>
        </w:rPr>
        <w:t>The Power of the Past: History and Statecraft</w:t>
      </w:r>
      <w:r w:rsidRPr="00446658">
        <w:rPr>
          <w:rFonts w:ascii="Arial" w:hAnsi="Arial" w:cs="Arial"/>
          <w:color w:val="000000"/>
          <w:shd w:val="clear" w:color="auto" w:fill="FFFFFF"/>
        </w:rPr>
        <w:t> (US: Brookings Institution Press, 2015)</w:t>
      </w:r>
      <w:r w:rsidRPr="00446658">
        <w:rPr>
          <w:rFonts w:ascii="Arial" w:hAnsi="Arial" w:cs="Arial"/>
          <w:color w:val="000000"/>
          <w:shd w:val="clear" w:color="auto" w:fill="FFFFFF"/>
        </w:rPr>
        <w:t>.</w:t>
      </w:r>
    </w:p>
    <w:p w14:paraId="524CD656" w14:textId="77777777" w:rsidR="00446658" w:rsidRPr="00446658" w:rsidRDefault="00446658" w:rsidP="0033036A">
      <w:pPr>
        <w:pStyle w:val="FootnoteText"/>
      </w:pPr>
    </w:p>
    <w:p w14:paraId="1A5896D0" w14:textId="68C79049"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Henry Charles Woods, </w:t>
      </w:r>
      <w:r w:rsidRPr="00446658">
        <w:rPr>
          <w:rFonts w:ascii="Arial" w:hAnsi="Arial" w:cs="Arial"/>
          <w:i/>
          <w:iCs/>
          <w:color w:val="000000"/>
          <w:shd w:val="clear" w:color="auto" w:fill="FFFFFF"/>
        </w:rPr>
        <w:t>The Cradle of the War: The Near East and Pan-Germanism</w:t>
      </w:r>
      <w:r w:rsidRPr="00446658">
        <w:rPr>
          <w:rFonts w:ascii="Arial" w:hAnsi="Arial" w:cs="Arial"/>
          <w:color w:val="000000"/>
          <w:shd w:val="clear" w:color="auto" w:fill="FFFFFF"/>
        </w:rPr>
        <w:t> (Boston, Massachusetts: Little, Brown and Co, 1918).</w:t>
      </w:r>
    </w:p>
    <w:p w14:paraId="4AF721B4" w14:textId="77777777" w:rsidR="00446658" w:rsidRPr="00446658" w:rsidRDefault="00446658" w:rsidP="0033036A">
      <w:pPr>
        <w:pStyle w:val="FootnoteText"/>
        <w:rPr>
          <w:rFonts w:ascii="Arial" w:hAnsi="Arial" w:cs="Arial"/>
          <w:color w:val="000000"/>
          <w:shd w:val="clear" w:color="auto" w:fill="FFFFFF"/>
        </w:rPr>
      </w:pPr>
    </w:p>
    <w:p w14:paraId="539E6A13" w14:textId="05D4C06C"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 xml:space="preserve">Herman Weil, 'Judicial reform in eighteenth century Prussia: Samuel von </w:t>
      </w:r>
      <w:proofErr w:type="spellStart"/>
      <w:r w:rsidRPr="00446658">
        <w:rPr>
          <w:rFonts w:ascii="Arial" w:hAnsi="Arial" w:cs="Arial"/>
          <w:color w:val="000000"/>
          <w:shd w:val="clear" w:color="auto" w:fill="FFFFFF"/>
        </w:rPr>
        <w:t>Cocceji</w:t>
      </w:r>
      <w:proofErr w:type="spellEnd"/>
      <w:r w:rsidRPr="00446658">
        <w:rPr>
          <w:rFonts w:ascii="Arial" w:hAnsi="Arial" w:cs="Arial"/>
          <w:color w:val="000000"/>
          <w:shd w:val="clear" w:color="auto" w:fill="FFFFFF"/>
        </w:rPr>
        <w:t xml:space="preserve"> and the unification of the courts', </w:t>
      </w:r>
      <w:r w:rsidRPr="00446658">
        <w:rPr>
          <w:rFonts w:ascii="Arial" w:hAnsi="Arial" w:cs="Arial"/>
          <w:i/>
          <w:iCs/>
          <w:color w:val="000000"/>
          <w:shd w:val="clear" w:color="auto" w:fill="FFFFFF"/>
        </w:rPr>
        <w:t>The American Journal of Legal History</w:t>
      </w:r>
      <w:r w:rsidRPr="00446658">
        <w:rPr>
          <w:rFonts w:ascii="Arial" w:hAnsi="Arial" w:cs="Arial"/>
          <w:color w:val="000000"/>
          <w:shd w:val="clear" w:color="auto" w:fill="FFFFFF"/>
        </w:rPr>
        <w:t>, 4.3, (1960), 226-240</w:t>
      </w:r>
    </w:p>
    <w:p w14:paraId="4DE6B465" w14:textId="77777777" w:rsidR="00446658" w:rsidRPr="00446658" w:rsidRDefault="00446658" w:rsidP="00E41271">
      <w:pPr>
        <w:pStyle w:val="FootnoteText"/>
        <w:rPr>
          <w:rFonts w:ascii="Arial" w:hAnsi="Arial" w:cs="Arial"/>
          <w:color w:val="000000"/>
          <w:shd w:val="clear" w:color="auto" w:fill="FFFFFF"/>
        </w:rPr>
      </w:pPr>
    </w:p>
    <w:p w14:paraId="7F5843CC" w14:textId="26A35345"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 xml:space="preserve">Isaac </w:t>
      </w:r>
      <w:proofErr w:type="spellStart"/>
      <w:r w:rsidRPr="00446658">
        <w:rPr>
          <w:rFonts w:ascii="Arial" w:hAnsi="Arial" w:cs="Arial"/>
          <w:color w:val="000000"/>
          <w:shd w:val="clear" w:color="auto" w:fill="FFFFFF"/>
        </w:rPr>
        <w:t>Kramnick</w:t>
      </w:r>
      <w:proofErr w:type="spellEnd"/>
      <w:r w:rsidRPr="00446658">
        <w:rPr>
          <w:rFonts w:ascii="Arial" w:hAnsi="Arial" w:cs="Arial"/>
          <w:color w:val="000000"/>
          <w:shd w:val="clear" w:color="auto" w:fill="FFFFFF"/>
        </w:rPr>
        <w:t>, </w:t>
      </w:r>
      <w:r w:rsidRPr="00446658">
        <w:rPr>
          <w:rFonts w:ascii="Arial" w:hAnsi="Arial" w:cs="Arial"/>
          <w:i/>
          <w:iCs/>
          <w:color w:val="000000"/>
          <w:shd w:val="clear" w:color="auto" w:fill="FFFFFF"/>
        </w:rPr>
        <w:t>The portable Enlightenment reader</w:t>
      </w:r>
      <w:r w:rsidRPr="00446658">
        <w:rPr>
          <w:rFonts w:ascii="Arial" w:hAnsi="Arial" w:cs="Arial"/>
          <w:color w:val="000000"/>
          <w:shd w:val="clear" w:color="auto" w:fill="FFFFFF"/>
        </w:rPr>
        <w:t> (New York: Penguin Books, 1995)</w:t>
      </w:r>
      <w:r w:rsidRPr="00446658">
        <w:rPr>
          <w:rFonts w:ascii="Arial" w:hAnsi="Arial" w:cs="Arial"/>
          <w:color w:val="000000"/>
          <w:shd w:val="clear" w:color="auto" w:fill="FFFFFF"/>
        </w:rPr>
        <w:t>.</w:t>
      </w:r>
    </w:p>
    <w:p w14:paraId="62BE49F8" w14:textId="77777777" w:rsidR="00446658" w:rsidRPr="00446658" w:rsidRDefault="00446658" w:rsidP="00E41271">
      <w:pPr>
        <w:pStyle w:val="FootnoteText"/>
        <w:rPr>
          <w:rFonts w:ascii="Arial" w:hAnsi="Arial" w:cs="Arial"/>
          <w:color w:val="000000"/>
          <w:shd w:val="clear" w:color="auto" w:fill="FFFFFF"/>
        </w:rPr>
      </w:pPr>
    </w:p>
    <w:p w14:paraId="782DF4B3" w14:textId="39288902"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Lynn Montross, </w:t>
      </w:r>
      <w:r w:rsidRPr="00446658">
        <w:rPr>
          <w:rFonts w:ascii="Arial" w:hAnsi="Arial" w:cs="Arial"/>
          <w:i/>
          <w:iCs/>
          <w:color w:val="000000"/>
          <w:shd w:val="clear" w:color="auto" w:fill="FFFFFF"/>
        </w:rPr>
        <w:t>War Through the Ages</w:t>
      </w:r>
      <w:r w:rsidRPr="00446658">
        <w:rPr>
          <w:rFonts w:ascii="Arial" w:hAnsi="Arial" w:cs="Arial"/>
          <w:color w:val="000000"/>
          <w:shd w:val="clear" w:color="auto" w:fill="FFFFFF"/>
        </w:rPr>
        <w:t xml:space="preserve">, 2nd </w:t>
      </w:r>
      <w:proofErr w:type="spellStart"/>
      <w:r w:rsidRPr="00446658">
        <w:rPr>
          <w:rFonts w:ascii="Arial" w:hAnsi="Arial" w:cs="Arial"/>
          <w:color w:val="000000"/>
          <w:shd w:val="clear" w:color="auto" w:fill="FFFFFF"/>
        </w:rPr>
        <w:t>edn</w:t>
      </w:r>
      <w:proofErr w:type="spellEnd"/>
      <w:r w:rsidRPr="00446658">
        <w:rPr>
          <w:rFonts w:ascii="Arial" w:hAnsi="Arial" w:cs="Arial"/>
          <w:color w:val="000000"/>
          <w:shd w:val="clear" w:color="auto" w:fill="FFFFFF"/>
        </w:rPr>
        <w:t xml:space="preserve"> (New York: Harper &amp; Brothers, 1946)</w:t>
      </w:r>
      <w:r w:rsidRPr="00446658">
        <w:rPr>
          <w:rFonts w:ascii="Arial" w:hAnsi="Arial" w:cs="Arial"/>
          <w:color w:val="000000"/>
          <w:shd w:val="clear" w:color="auto" w:fill="FFFFFF"/>
        </w:rPr>
        <w:t>.</w:t>
      </w:r>
    </w:p>
    <w:p w14:paraId="631CEA5D" w14:textId="77777777" w:rsidR="00446658" w:rsidRPr="00446658" w:rsidRDefault="00446658" w:rsidP="0033036A">
      <w:pPr>
        <w:pStyle w:val="FootnoteText"/>
        <w:rPr>
          <w:rFonts w:ascii="Arial" w:hAnsi="Arial" w:cs="Arial"/>
          <w:color w:val="000000"/>
          <w:shd w:val="clear" w:color="auto" w:fill="FFFFFF"/>
        </w:rPr>
      </w:pPr>
    </w:p>
    <w:p w14:paraId="16116028" w14:textId="6757ED6A"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Michael Balfour, </w:t>
      </w:r>
      <w:r w:rsidRPr="00446658">
        <w:rPr>
          <w:rFonts w:ascii="Arial" w:hAnsi="Arial" w:cs="Arial"/>
          <w:i/>
          <w:iCs/>
          <w:color w:val="000000"/>
          <w:shd w:val="clear" w:color="auto" w:fill="FFFFFF"/>
        </w:rPr>
        <w:t>The Kaiser and His Times</w:t>
      </w:r>
      <w:r w:rsidRPr="00446658">
        <w:rPr>
          <w:rFonts w:ascii="Arial" w:hAnsi="Arial" w:cs="Arial"/>
          <w:color w:val="000000"/>
          <w:shd w:val="clear" w:color="auto" w:fill="FFFFFF"/>
        </w:rPr>
        <w:t> (Boston: Houghton Mifflin, 1964).</w:t>
      </w:r>
    </w:p>
    <w:p w14:paraId="333BF079" w14:textId="77777777" w:rsidR="00446658" w:rsidRPr="00446658" w:rsidRDefault="00446658" w:rsidP="0033036A">
      <w:pPr>
        <w:pStyle w:val="FootnoteText"/>
      </w:pPr>
    </w:p>
    <w:p w14:paraId="33A28C04" w14:textId="692BA686" w:rsid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lastRenderedPageBreak/>
        <w:t xml:space="preserve">Prince Karl Max </w:t>
      </w:r>
      <w:proofErr w:type="spellStart"/>
      <w:r w:rsidRPr="00446658">
        <w:rPr>
          <w:rFonts w:ascii="Arial" w:hAnsi="Arial" w:cs="Arial"/>
          <w:color w:val="000000"/>
          <w:shd w:val="clear" w:color="auto" w:fill="FFFFFF"/>
        </w:rPr>
        <w:t>Lichnowsky</w:t>
      </w:r>
      <w:proofErr w:type="spellEnd"/>
      <w:r w:rsidRPr="00446658">
        <w:rPr>
          <w:rFonts w:ascii="Arial" w:hAnsi="Arial" w:cs="Arial"/>
          <w:color w:val="000000"/>
          <w:shd w:val="clear" w:color="auto" w:fill="FFFFFF"/>
        </w:rPr>
        <w:t>, </w:t>
      </w:r>
      <w:r w:rsidRPr="00446658">
        <w:rPr>
          <w:rFonts w:ascii="Arial" w:hAnsi="Arial" w:cs="Arial"/>
          <w:i/>
          <w:iCs/>
          <w:color w:val="000000"/>
          <w:shd w:val="clear" w:color="auto" w:fill="FFFFFF"/>
        </w:rPr>
        <w:t xml:space="preserve">Prince </w:t>
      </w:r>
      <w:proofErr w:type="spellStart"/>
      <w:r w:rsidRPr="00446658">
        <w:rPr>
          <w:rFonts w:ascii="Arial" w:hAnsi="Arial" w:cs="Arial"/>
          <w:i/>
          <w:iCs/>
          <w:color w:val="000000"/>
          <w:shd w:val="clear" w:color="auto" w:fill="FFFFFF"/>
        </w:rPr>
        <w:t>Lichnowsky's</w:t>
      </w:r>
      <w:proofErr w:type="spellEnd"/>
      <w:r w:rsidRPr="00446658">
        <w:rPr>
          <w:rFonts w:ascii="Arial" w:hAnsi="Arial" w:cs="Arial"/>
          <w:i/>
          <w:iCs/>
          <w:color w:val="000000"/>
          <w:shd w:val="clear" w:color="auto" w:fill="FFFFFF"/>
        </w:rPr>
        <w:t xml:space="preserve"> Mission to London, Memoirs: My Mission to London, 1912-14</w:t>
      </w:r>
      <w:r w:rsidRPr="00446658">
        <w:rPr>
          <w:rFonts w:ascii="Arial" w:hAnsi="Arial" w:cs="Arial"/>
          <w:color w:val="000000"/>
          <w:shd w:val="clear" w:color="auto" w:fill="FFFFFF"/>
        </w:rPr>
        <w:t xml:space="preserve"> () &lt;https://wwi.lib.byu.edu/index.php/Prince_Lichnowsky%27s_Mission_to_London,_Memoirs&gt; </w:t>
      </w:r>
    </w:p>
    <w:p w14:paraId="4AA05BEA" w14:textId="04F2F5CE" w:rsidR="008E037C" w:rsidRDefault="008E037C" w:rsidP="0033036A">
      <w:pPr>
        <w:pStyle w:val="FootnoteText"/>
        <w:rPr>
          <w:rFonts w:ascii="Arial" w:hAnsi="Arial" w:cs="Arial"/>
          <w:color w:val="000000"/>
          <w:shd w:val="clear" w:color="auto" w:fill="FFFFFF"/>
        </w:rPr>
      </w:pPr>
    </w:p>
    <w:p w14:paraId="77CC927C" w14:textId="7E1C9727" w:rsidR="008E037C" w:rsidRPr="00446658" w:rsidRDefault="008E037C" w:rsidP="0033036A">
      <w:pPr>
        <w:pStyle w:val="FootnoteText"/>
        <w:rPr>
          <w:rFonts w:ascii="Arial" w:hAnsi="Arial" w:cs="Arial"/>
          <w:color w:val="000000"/>
          <w:shd w:val="clear" w:color="auto" w:fill="FFFFFF"/>
        </w:rPr>
      </w:pPr>
      <w:r w:rsidRPr="005813AB">
        <w:rPr>
          <w:rFonts w:ascii="Arial" w:hAnsi="Arial" w:cs="Arial"/>
          <w:sz w:val="19"/>
          <w:szCs w:val="19"/>
        </w:rPr>
        <w:t>Simon Eliot and Keith Whitlock, (eds), The Enlightenment – Texts 1 (The Open University Press, 1992)</w:t>
      </w:r>
    </w:p>
    <w:p w14:paraId="164A812D" w14:textId="77777777" w:rsidR="00446658" w:rsidRPr="00446658" w:rsidRDefault="00446658" w:rsidP="0033036A">
      <w:pPr>
        <w:pStyle w:val="FootnoteText"/>
        <w:rPr>
          <w:rFonts w:ascii="Arial" w:hAnsi="Arial" w:cs="Arial"/>
          <w:color w:val="000000"/>
          <w:shd w:val="clear" w:color="auto" w:fill="FFFFFF"/>
        </w:rPr>
      </w:pPr>
    </w:p>
    <w:p w14:paraId="7DE232BE" w14:textId="434A57BD" w:rsidR="00446658" w:rsidRPr="00446658" w:rsidRDefault="00446658" w:rsidP="0033036A">
      <w:pPr>
        <w:pStyle w:val="FootnoteText"/>
        <w:rPr>
          <w:rFonts w:ascii="Arial" w:hAnsi="Arial" w:cs="Arial"/>
          <w:color w:val="000000"/>
          <w:shd w:val="clear" w:color="auto" w:fill="FFFFFF"/>
        </w:rPr>
      </w:pPr>
      <w:r w:rsidRPr="00446658">
        <w:rPr>
          <w:rFonts w:ascii="Arial" w:hAnsi="Arial" w:cs="Arial"/>
          <w:color w:val="000000"/>
          <w:shd w:val="clear" w:color="auto" w:fill="FFFFFF"/>
        </w:rPr>
        <w:t>Sir Basil Henry Liddell Hart, </w:t>
      </w:r>
      <w:r w:rsidRPr="00446658">
        <w:rPr>
          <w:rFonts w:ascii="Arial" w:hAnsi="Arial" w:cs="Arial"/>
          <w:i/>
          <w:iCs/>
          <w:color w:val="000000"/>
          <w:shd w:val="clear" w:color="auto" w:fill="FFFFFF"/>
        </w:rPr>
        <w:t>Strategy</w:t>
      </w:r>
      <w:r w:rsidRPr="00446658">
        <w:rPr>
          <w:rFonts w:ascii="Arial" w:hAnsi="Arial" w:cs="Arial"/>
          <w:color w:val="000000"/>
          <w:shd w:val="clear" w:color="auto" w:fill="FFFFFF"/>
        </w:rPr>
        <w:t xml:space="preserve">, 2nd </w:t>
      </w:r>
      <w:proofErr w:type="spellStart"/>
      <w:r w:rsidRPr="00446658">
        <w:rPr>
          <w:rFonts w:ascii="Arial" w:hAnsi="Arial" w:cs="Arial"/>
          <w:color w:val="000000"/>
          <w:shd w:val="clear" w:color="auto" w:fill="FFFFFF"/>
        </w:rPr>
        <w:t>edn</w:t>
      </w:r>
      <w:proofErr w:type="spellEnd"/>
      <w:r w:rsidRPr="00446658">
        <w:rPr>
          <w:rFonts w:ascii="Arial" w:hAnsi="Arial" w:cs="Arial"/>
          <w:color w:val="000000"/>
          <w:shd w:val="clear" w:color="auto" w:fill="FFFFFF"/>
        </w:rPr>
        <w:t xml:space="preserve"> (London: Faber, 1967).</w:t>
      </w:r>
    </w:p>
    <w:p w14:paraId="1614D6F0" w14:textId="77777777" w:rsidR="00446658" w:rsidRPr="00446658" w:rsidRDefault="00446658" w:rsidP="0033036A">
      <w:pPr>
        <w:pStyle w:val="FootnoteText"/>
        <w:rPr>
          <w:rFonts w:ascii="Arial" w:hAnsi="Arial" w:cs="Arial"/>
          <w:color w:val="000000"/>
          <w:shd w:val="clear" w:color="auto" w:fill="FFFFFF"/>
        </w:rPr>
      </w:pPr>
    </w:p>
    <w:p w14:paraId="69C19330" w14:textId="77777777" w:rsidR="00446658" w:rsidRPr="00446658" w:rsidRDefault="00446658" w:rsidP="00E41271">
      <w:pPr>
        <w:pStyle w:val="FootnoteText"/>
        <w:rPr>
          <w:rFonts w:ascii="Arial" w:hAnsi="Arial" w:cs="Arial"/>
          <w:color w:val="000000"/>
          <w:shd w:val="clear" w:color="auto" w:fill="FFFFFF"/>
        </w:rPr>
      </w:pPr>
      <w:r w:rsidRPr="00446658">
        <w:rPr>
          <w:rFonts w:ascii="Arial" w:hAnsi="Arial" w:cs="Arial"/>
          <w:color w:val="000000"/>
          <w:shd w:val="clear" w:color="auto" w:fill="FFFFFF"/>
        </w:rPr>
        <w:t xml:space="preserve">Tim </w:t>
      </w:r>
      <w:proofErr w:type="spellStart"/>
      <w:r w:rsidRPr="00446658">
        <w:rPr>
          <w:rFonts w:ascii="Arial" w:hAnsi="Arial" w:cs="Arial"/>
          <w:color w:val="000000"/>
          <w:shd w:val="clear" w:color="auto" w:fill="FFFFFF"/>
        </w:rPr>
        <w:t>Blanning</w:t>
      </w:r>
      <w:proofErr w:type="spellEnd"/>
      <w:r w:rsidRPr="00446658">
        <w:rPr>
          <w:rFonts w:ascii="Arial" w:hAnsi="Arial" w:cs="Arial"/>
          <w:color w:val="000000"/>
          <w:shd w:val="clear" w:color="auto" w:fill="FFFFFF"/>
        </w:rPr>
        <w:t>, </w:t>
      </w:r>
      <w:r w:rsidRPr="00446658">
        <w:rPr>
          <w:rFonts w:ascii="Arial" w:hAnsi="Arial" w:cs="Arial"/>
          <w:i/>
          <w:iCs/>
          <w:color w:val="000000"/>
          <w:shd w:val="clear" w:color="auto" w:fill="FFFFFF"/>
        </w:rPr>
        <w:t>Frederick the Great: King of Prussia</w:t>
      </w:r>
      <w:r w:rsidRPr="00446658">
        <w:rPr>
          <w:rFonts w:ascii="Arial" w:hAnsi="Arial" w:cs="Arial"/>
          <w:color w:val="000000"/>
          <w:shd w:val="clear" w:color="auto" w:fill="FFFFFF"/>
        </w:rPr>
        <w:t> (New York: Random House Publishing Group, 2016)</w:t>
      </w:r>
      <w:r w:rsidRPr="00446658">
        <w:rPr>
          <w:rFonts w:ascii="Arial" w:hAnsi="Arial" w:cs="Arial"/>
          <w:color w:val="000000"/>
          <w:shd w:val="clear" w:color="auto" w:fill="FFFFFF"/>
        </w:rPr>
        <w:t>.</w:t>
      </w:r>
    </w:p>
    <w:p w14:paraId="0F6F837A" w14:textId="77777777" w:rsidR="00E41271" w:rsidRPr="00E41271" w:rsidRDefault="00E41271" w:rsidP="00C81996">
      <w:pPr>
        <w:rPr>
          <w:sz w:val="24"/>
          <w:szCs w:val="24"/>
        </w:rPr>
      </w:pPr>
    </w:p>
    <w:p w14:paraId="0D936E53" w14:textId="77777777" w:rsidR="00AD2CBA" w:rsidRPr="00AD2CBA" w:rsidRDefault="00AD2CBA" w:rsidP="00C81996">
      <w:pPr>
        <w:rPr>
          <w:b/>
          <w:bCs/>
          <w:sz w:val="24"/>
          <w:szCs w:val="24"/>
        </w:rPr>
      </w:pPr>
    </w:p>
    <w:sectPr w:rsidR="00AD2CBA" w:rsidRPr="00AD2C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B5432" w14:textId="77777777" w:rsidR="00B90A85" w:rsidRDefault="00B90A85" w:rsidP="008D3545">
      <w:pPr>
        <w:spacing w:after="0" w:line="240" w:lineRule="auto"/>
      </w:pPr>
      <w:r>
        <w:separator/>
      </w:r>
    </w:p>
  </w:endnote>
  <w:endnote w:type="continuationSeparator" w:id="0">
    <w:p w14:paraId="2E775F96" w14:textId="77777777" w:rsidR="00B90A85" w:rsidRDefault="00B90A85" w:rsidP="008D3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302C1" w14:textId="77777777" w:rsidR="00B90A85" w:rsidRDefault="00B90A85" w:rsidP="008D3545">
      <w:pPr>
        <w:spacing w:after="0" w:line="240" w:lineRule="auto"/>
      </w:pPr>
      <w:r>
        <w:separator/>
      </w:r>
    </w:p>
  </w:footnote>
  <w:footnote w:type="continuationSeparator" w:id="0">
    <w:p w14:paraId="70D7F42F" w14:textId="77777777" w:rsidR="00B90A85" w:rsidRDefault="00B90A85" w:rsidP="008D3545">
      <w:pPr>
        <w:spacing w:after="0" w:line="240" w:lineRule="auto"/>
      </w:pPr>
      <w:r>
        <w:continuationSeparator/>
      </w:r>
    </w:p>
  </w:footnote>
  <w:footnote w:id="1">
    <w:p w14:paraId="14002416" w14:textId="32A15028" w:rsidR="00055916" w:rsidRPr="005813AB" w:rsidRDefault="008D3545">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Tim </w:t>
      </w:r>
      <w:proofErr w:type="spellStart"/>
      <w:r>
        <w:rPr>
          <w:rFonts w:ascii="Arial" w:hAnsi="Arial" w:cs="Arial"/>
          <w:color w:val="000000"/>
          <w:sz w:val="19"/>
          <w:szCs w:val="19"/>
          <w:shd w:val="clear" w:color="auto" w:fill="FFFFFF"/>
        </w:rPr>
        <w:t>Blanning</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Frederick the Great: King of Prussia</w:t>
      </w:r>
      <w:r>
        <w:rPr>
          <w:rFonts w:ascii="Arial" w:hAnsi="Arial" w:cs="Arial"/>
          <w:color w:val="000000"/>
          <w:sz w:val="19"/>
          <w:szCs w:val="19"/>
          <w:shd w:val="clear" w:color="auto" w:fill="FFFFFF"/>
        </w:rPr>
        <w:t> (New York: Random House Publishing Group, 2016), p. 431.</w:t>
      </w:r>
    </w:p>
  </w:footnote>
  <w:footnote w:id="2">
    <w:p w14:paraId="60B5460B" w14:textId="718CE31F" w:rsidR="005813AB" w:rsidRDefault="005813AB" w:rsidP="005813AB">
      <w:pPr>
        <w:pStyle w:val="NormalWeb"/>
        <w:spacing w:before="0" w:after="0"/>
        <w:jc w:val="both"/>
      </w:pPr>
      <w:r>
        <w:rPr>
          <w:rStyle w:val="FootnoteReference"/>
        </w:rPr>
        <w:footnoteRef/>
      </w:r>
      <w:r>
        <w:t xml:space="preserve"> </w:t>
      </w:r>
      <w:r w:rsidRPr="005813AB">
        <w:rPr>
          <w:rFonts w:ascii="Arial" w:hAnsi="Arial" w:cs="Arial"/>
          <w:sz w:val="19"/>
          <w:szCs w:val="19"/>
        </w:rPr>
        <w:t>Simon Eliot and Keith Whitlock, (eds), The Enlightenment – Texts 1 (The Open University Press, 1992), pp.45-6.</w:t>
      </w:r>
    </w:p>
  </w:footnote>
  <w:footnote w:id="3">
    <w:p w14:paraId="2293D500" w14:textId="6DF7D414" w:rsidR="00055916" w:rsidRDefault="00055916">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Isaac </w:t>
      </w:r>
      <w:proofErr w:type="spellStart"/>
      <w:r>
        <w:rPr>
          <w:rFonts w:ascii="Arial" w:hAnsi="Arial" w:cs="Arial"/>
          <w:color w:val="000000"/>
          <w:sz w:val="19"/>
          <w:szCs w:val="19"/>
          <w:shd w:val="clear" w:color="auto" w:fill="FFFFFF"/>
        </w:rPr>
        <w:t>Kramnick</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The portable Enlightenment reader</w:t>
      </w:r>
      <w:r>
        <w:rPr>
          <w:rFonts w:ascii="Arial" w:hAnsi="Arial" w:cs="Arial"/>
          <w:color w:val="000000"/>
          <w:sz w:val="19"/>
          <w:szCs w:val="19"/>
          <w:shd w:val="clear" w:color="auto" w:fill="FFFFFF"/>
        </w:rPr>
        <w:t> (New York: Penguin Books, 1995), p. 452-458.</w:t>
      </w:r>
    </w:p>
    <w:p w14:paraId="578FFDEC" w14:textId="77777777" w:rsidR="00492B2D" w:rsidRDefault="00492B2D">
      <w:pPr>
        <w:pStyle w:val="FootnoteText"/>
      </w:pPr>
    </w:p>
  </w:footnote>
  <w:footnote w:id="4">
    <w:p w14:paraId="515EDC9C" w14:textId="5680E6D5" w:rsidR="002A27AE" w:rsidRDefault="002A27AE">
      <w:pPr>
        <w:pStyle w:val="FootnoteText"/>
        <w:rPr>
          <w:rFonts w:ascii="Arial" w:hAnsi="Arial" w:cs="Arial"/>
          <w:sz w:val="19"/>
          <w:szCs w:val="19"/>
        </w:rPr>
      </w:pPr>
      <w:r>
        <w:rPr>
          <w:rStyle w:val="FootnoteReference"/>
        </w:rPr>
        <w:footnoteRef/>
      </w:r>
      <w:r>
        <w:t xml:space="preserve"> </w:t>
      </w:r>
      <w:r w:rsidRPr="005813AB">
        <w:rPr>
          <w:rFonts w:ascii="Arial" w:hAnsi="Arial" w:cs="Arial"/>
          <w:sz w:val="19"/>
          <w:szCs w:val="19"/>
        </w:rPr>
        <w:t>Simon Eliot and Keith Whitlock, (eds), The Enlightenment – Texts 1 (The Open University Press, 1992)</w:t>
      </w:r>
    </w:p>
    <w:p w14:paraId="2A2450BF" w14:textId="77777777" w:rsidR="002A27AE" w:rsidRDefault="002A27AE">
      <w:pPr>
        <w:pStyle w:val="FootnoteText"/>
      </w:pPr>
    </w:p>
  </w:footnote>
  <w:footnote w:id="5">
    <w:p w14:paraId="01715B65" w14:textId="031D2156" w:rsidR="00E63EDC" w:rsidRDefault="00E63EDC">
      <w:pPr>
        <w:pStyle w:val="FootnoteText"/>
        <w:rPr>
          <w:rFonts w:ascii="Arial" w:hAnsi="Arial" w:cs="Arial"/>
          <w:color w:val="000000"/>
          <w:sz w:val="19"/>
          <w:szCs w:val="19"/>
          <w:shd w:val="clear" w:color="auto" w:fill="FFFFFF"/>
        </w:rPr>
      </w:pPr>
      <w:r>
        <w:rPr>
          <w:rStyle w:val="FootnoteReference"/>
        </w:rPr>
        <w:footnoteRef/>
      </w:r>
      <w:r>
        <w:t xml:space="preserve"> </w:t>
      </w:r>
      <w:r w:rsidR="00492B2D">
        <w:rPr>
          <w:rFonts w:ascii="Arial" w:hAnsi="Arial" w:cs="Arial"/>
          <w:color w:val="000000"/>
          <w:sz w:val="19"/>
          <w:szCs w:val="19"/>
          <w:shd w:val="clear" w:color="auto" w:fill="FFFFFF"/>
        </w:rPr>
        <w:t>Christopher Clark, </w:t>
      </w:r>
      <w:r w:rsidR="00492B2D">
        <w:rPr>
          <w:rFonts w:ascii="Arial" w:hAnsi="Arial" w:cs="Arial"/>
          <w:i/>
          <w:iCs/>
          <w:color w:val="000000"/>
          <w:sz w:val="19"/>
          <w:szCs w:val="19"/>
          <w:shd w:val="clear" w:color="auto" w:fill="FFFFFF"/>
        </w:rPr>
        <w:t>Iron Kingdom: The Rise and Downfall of Prussia 1600–1947</w:t>
      </w:r>
      <w:r w:rsidR="00492B2D">
        <w:rPr>
          <w:rFonts w:ascii="Arial" w:hAnsi="Arial" w:cs="Arial"/>
          <w:color w:val="000000"/>
          <w:sz w:val="19"/>
          <w:szCs w:val="19"/>
          <w:shd w:val="clear" w:color="auto" w:fill="FFFFFF"/>
        </w:rPr>
        <w:t xml:space="preserve"> (Cambridge, MA: </w:t>
      </w:r>
      <w:proofErr w:type="spellStart"/>
      <w:r w:rsidR="00492B2D">
        <w:rPr>
          <w:rFonts w:ascii="Arial" w:hAnsi="Arial" w:cs="Arial"/>
          <w:color w:val="000000"/>
          <w:sz w:val="19"/>
          <w:szCs w:val="19"/>
          <w:shd w:val="clear" w:color="auto" w:fill="FFFFFF"/>
        </w:rPr>
        <w:t>Belknap</w:t>
      </w:r>
      <w:proofErr w:type="spellEnd"/>
      <w:r w:rsidR="00492B2D">
        <w:rPr>
          <w:rFonts w:ascii="Arial" w:hAnsi="Arial" w:cs="Arial"/>
          <w:color w:val="000000"/>
          <w:sz w:val="19"/>
          <w:szCs w:val="19"/>
          <w:shd w:val="clear" w:color="auto" w:fill="FFFFFF"/>
        </w:rPr>
        <w:t xml:space="preserve"> Press of Harvard University Press, 2006), p. 256.</w:t>
      </w:r>
    </w:p>
    <w:p w14:paraId="0F9484E3" w14:textId="77777777" w:rsidR="008C1336" w:rsidRDefault="008C1336">
      <w:pPr>
        <w:pStyle w:val="FootnoteText"/>
      </w:pPr>
    </w:p>
  </w:footnote>
  <w:footnote w:id="6">
    <w:p w14:paraId="6403EABC" w14:textId="598DD5C3" w:rsidR="00776AF5" w:rsidRDefault="00776AF5">
      <w:pPr>
        <w:pStyle w:val="FootnoteText"/>
        <w:rPr>
          <w:rFonts w:ascii="Arial" w:hAnsi="Arial" w:cs="Arial"/>
          <w:color w:val="000000"/>
          <w:sz w:val="19"/>
          <w:szCs w:val="19"/>
          <w:shd w:val="clear" w:color="auto" w:fill="FFFFFF"/>
        </w:rPr>
      </w:pPr>
      <w:r>
        <w:rPr>
          <w:rStyle w:val="FootnoteReference"/>
        </w:rPr>
        <w:footnoteRef/>
      </w:r>
      <w:r>
        <w:t xml:space="preserve"> </w:t>
      </w:r>
      <w:r w:rsidR="008C1336">
        <w:rPr>
          <w:rFonts w:ascii="Arial" w:hAnsi="Arial" w:cs="Arial"/>
          <w:color w:val="000000"/>
          <w:sz w:val="19"/>
          <w:szCs w:val="19"/>
          <w:shd w:val="clear" w:color="auto" w:fill="FFFFFF"/>
        </w:rPr>
        <w:t xml:space="preserve">Herman Weil, 'Judicial reform in eighteenth century Prussia: Samuel von </w:t>
      </w:r>
      <w:proofErr w:type="spellStart"/>
      <w:r w:rsidR="008C1336">
        <w:rPr>
          <w:rFonts w:ascii="Arial" w:hAnsi="Arial" w:cs="Arial"/>
          <w:color w:val="000000"/>
          <w:sz w:val="19"/>
          <w:szCs w:val="19"/>
          <w:shd w:val="clear" w:color="auto" w:fill="FFFFFF"/>
        </w:rPr>
        <w:t>Cocceji</w:t>
      </w:r>
      <w:proofErr w:type="spellEnd"/>
      <w:r w:rsidR="008C1336">
        <w:rPr>
          <w:rFonts w:ascii="Arial" w:hAnsi="Arial" w:cs="Arial"/>
          <w:color w:val="000000"/>
          <w:sz w:val="19"/>
          <w:szCs w:val="19"/>
          <w:shd w:val="clear" w:color="auto" w:fill="FFFFFF"/>
        </w:rPr>
        <w:t xml:space="preserve"> and the unification of the courts', </w:t>
      </w:r>
      <w:r w:rsidR="008C1336">
        <w:rPr>
          <w:rFonts w:ascii="Arial" w:hAnsi="Arial" w:cs="Arial"/>
          <w:i/>
          <w:iCs/>
          <w:color w:val="000000"/>
          <w:sz w:val="19"/>
          <w:szCs w:val="19"/>
          <w:shd w:val="clear" w:color="auto" w:fill="FFFFFF"/>
        </w:rPr>
        <w:t>The American Journal of Legal History</w:t>
      </w:r>
      <w:r w:rsidR="008C1336">
        <w:rPr>
          <w:rFonts w:ascii="Arial" w:hAnsi="Arial" w:cs="Arial"/>
          <w:color w:val="000000"/>
          <w:sz w:val="19"/>
          <w:szCs w:val="19"/>
          <w:shd w:val="clear" w:color="auto" w:fill="FFFFFF"/>
        </w:rPr>
        <w:t>, 4.3, (1960), 226-240 (p. 240).</w:t>
      </w:r>
    </w:p>
    <w:p w14:paraId="314E8EF4" w14:textId="77777777" w:rsidR="00441B33" w:rsidRDefault="00441B33">
      <w:pPr>
        <w:pStyle w:val="FootnoteText"/>
      </w:pPr>
    </w:p>
  </w:footnote>
  <w:footnote w:id="7">
    <w:p w14:paraId="281FB4B6" w14:textId="49C31AB9" w:rsidR="0079101E" w:rsidRDefault="0079101E">
      <w:pPr>
        <w:pStyle w:val="FootnoteText"/>
        <w:rPr>
          <w:rFonts w:ascii="Arial" w:hAnsi="Arial" w:cs="Arial"/>
          <w:color w:val="000000"/>
          <w:sz w:val="19"/>
          <w:szCs w:val="19"/>
          <w:shd w:val="clear" w:color="auto" w:fill="FFFFFF"/>
        </w:rPr>
      </w:pPr>
      <w:r>
        <w:rPr>
          <w:rStyle w:val="FootnoteReference"/>
        </w:rPr>
        <w:footnoteRef/>
      </w:r>
      <w:r>
        <w:t xml:space="preserve"> </w:t>
      </w:r>
      <w:r w:rsidR="00441B33">
        <w:rPr>
          <w:rFonts w:ascii="Arial" w:hAnsi="Arial" w:cs="Arial"/>
          <w:color w:val="000000"/>
          <w:sz w:val="19"/>
          <w:szCs w:val="19"/>
          <w:shd w:val="clear" w:color="auto" w:fill="FFFFFF"/>
        </w:rPr>
        <w:t xml:space="preserve">Giles </w:t>
      </w:r>
      <w:proofErr w:type="spellStart"/>
      <w:r w:rsidR="00441B33">
        <w:rPr>
          <w:rFonts w:ascii="Arial" w:hAnsi="Arial" w:cs="Arial"/>
          <w:color w:val="000000"/>
          <w:sz w:val="19"/>
          <w:szCs w:val="19"/>
          <w:shd w:val="clear" w:color="auto" w:fill="FFFFFF"/>
        </w:rPr>
        <w:t>MacDonogh</w:t>
      </w:r>
      <w:proofErr w:type="spellEnd"/>
      <w:r w:rsidR="00441B33">
        <w:rPr>
          <w:rFonts w:ascii="Arial" w:hAnsi="Arial" w:cs="Arial"/>
          <w:color w:val="000000"/>
          <w:sz w:val="19"/>
          <w:szCs w:val="19"/>
          <w:shd w:val="clear" w:color="auto" w:fill="FFFFFF"/>
        </w:rPr>
        <w:t>, </w:t>
      </w:r>
      <w:r w:rsidR="00441B33">
        <w:rPr>
          <w:rFonts w:ascii="Arial" w:hAnsi="Arial" w:cs="Arial"/>
          <w:i/>
          <w:iCs/>
          <w:color w:val="000000"/>
          <w:sz w:val="19"/>
          <w:szCs w:val="19"/>
          <w:shd w:val="clear" w:color="auto" w:fill="FFFFFF"/>
        </w:rPr>
        <w:t>Frederick the Great: A Life in Deed and Letters</w:t>
      </w:r>
      <w:r w:rsidR="00441B33">
        <w:rPr>
          <w:rFonts w:ascii="Arial" w:hAnsi="Arial" w:cs="Arial"/>
          <w:color w:val="000000"/>
          <w:sz w:val="19"/>
          <w:szCs w:val="19"/>
          <w:shd w:val="clear" w:color="auto" w:fill="FFFFFF"/>
        </w:rPr>
        <w:t> (New York: St. Martin's Griffin, 2000), p. 364-366.</w:t>
      </w:r>
    </w:p>
    <w:p w14:paraId="5CE51322" w14:textId="77777777" w:rsidR="002A2D2C" w:rsidRDefault="002A2D2C">
      <w:pPr>
        <w:pStyle w:val="FootnoteText"/>
      </w:pPr>
    </w:p>
  </w:footnote>
  <w:footnote w:id="8">
    <w:p w14:paraId="7D6BF530" w14:textId="4190A080" w:rsidR="000D6610" w:rsidRDefault="000D6610">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Gerhard Ritter, </w:t>
      </w:r>
      <w:r>
        <w:rPr>
          <w:rFonts w:ascii="Arial" w:hAnsi="Arial" w:cs="Arial"/>
          <w:i/>
          <w:iCs/>
          <w:color w:val="000000"/>
          <w:sz w:val="19"/>
          <w:szCs w:val="19"/>
          <w:shd w:val="clear" w:color="auto" w:fill="FFFFFF"/>
        </w:rPr>
        <w:t>Frederick the Great: A Historical Profile</w:t>
      </w:r>
      <w:r>
        <w:rPr>
          <w:rFonts w:ascii="Arial" w:hAnsi="Arial" w:cs="Arial"/>
          <w:color w:val="000000"/>
          <w:sz w:val="19"/>
          <w:szCs w:val="19"/>
          <w:shd w:val="clear" w:color="auto" w:fill="FFFFFF"/>
        </w:rPr>
        <w:t xml:space="preserve">, trans. by Peter </w:t>
      </w:r>
      <w:proofErr w:type="spellStart"/>
      <w:r>
        <w:rPr>
          <w:rFonts w:ascii="Arial" w:hAnsi="Arial" w:cs="Arial"/>
          <w:color w:val="000000"/>
          <w:sz w:val="19"/>
          <w:szCs w:val="19"/>
          <w:shd w:val="clear" w:color="auto" w:fill="FFFFFF"/>
        </w:rPr>
        <w:t>Peret</w:t>
      </w:r>
      <w:proofErr w:type="spellEnd"/>
      <w:r>
        <w:rPr>
          <w:rFonts w:ascii="Arial" w:hAnsi="Arial" w:cs="Arial"/>
          <w:color w:val="000000"/>
          <w:sz w:val="19"/>
          <w:szCs w:val="19"/>
          <w:shd w:val="clear" w:color="auto" w:fill="FFFFFF"/>
        </w:rPr>
        <w:t xml:space="preserve"> (Berkeley: University of California Press, 1974 (originally 1936)), p. 180.</w:t>
      </w:r>
    </w:p>
    <w:p w14:paraId="646A262A" w14:textId="77777777" w:rsidR="003C0141" w:rsidRDefault="003C0141">
      <w:pPr>
        <w:pStyle w:val="FootnoteText"/>
      </w:pPr>
    </w:p>
  </w:footnote>
  <w:footnote w:id="9">
    <w:p w14:paraId="2F9F6B03" w14:textId="7C54BEE8" w:rsidR="00AF3839" w:rsidRDefault="00AF3839">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Giles </w:t>
      </w:r>
      <w:proofErr w:type="spellStart"/>
      <w:r>
        <w:rPr>
          <w:rFonts w:ascii="Arial" w:hAnsi="Arial" w:cs="Arial"/>
          <w:color w:val="000000"/>
          <w:sz w:val="19"/>
          <w:szCs w:val="19"/>
          <w:shd w:val="clear" w:color="auto" w:fill="FFFFFF"/>
        </w:rPr>
        <w:t>MacDonogh</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Frederick the Great: A Life in Deed and Letters</w:t>
      </w:r>
      <w:r>
        <w:rPr>
          <w:rFonts w:ascii="Arial" w:hAnsi="Arial" w:cs="Arial"/>
          <w:color w:val="000000"/>
          <w:sz w:val="19"/>
          <w:szCs w:val="19"/>
          <w:shd w:val="clear" w:color="auto" w:fill="FFFFFF"/>
        </w:rPr>
        <w:t> (New York: St. Martin's Griffin, 2000), p. 347.</w:t>
      </w:r>
    </w:p>
    <w:p w14:paraId="5A2CB654" w14:textId="77777777" w:rsidR="004368BE" w:rsidRDefault="004368BE">
      <w:pPr>
        <w:pStyle w:val="FootnoteText"/>
      </w:pPr>
    </w:p>
  </w:footnote>
  <w:footnote w:id="10">
    <w:p w14:paraId="664BEA0E" w14:textId="450D8190" w:rsidR="00AE2478" w:rsidRDefault="00AE2478">
      <w:pPr>
        <w:pStyle w:val="FootnoteText"/>
        <w:rPr>
          <w:rFonts w:ascii="Arial" w:hAnsi="Arial" w:cs="Arial"/>
          <w:color w:val="000000"/>
          <w:sz w:val="19"/>
          <w:szCs w:val="19"/>
          <w:shd w:val="clear" w:color="auto" w:fill="FFFFFF"/>
        </w:rPr>
      </w:pPr>
      <w:r>
        <w:rPr>
          <w:rStyle w:val="FootnoteReference"/>
        </w:rPr>
        <w:footnoteRef/>
      </w:r>
      <w:r>
        <w:t xml:space="preserve"> </w:t>
      </w:r>
      <w:r w:rsidR="004368BE">
        <w:rPr>
          <w:rFonts w:ascii="Arial" w:hAnsi="Arial" w:cs="Arial"/>
          <w:color w:val="000000"/>
          <w:sz w:val="19"/>
          <w:szCs w:val="19"/>
          <w:shd w:val="clear" w:color="auto" w:fill="FFFFFF"/>
        </w:rPr>
        <w:t>Andrew Holmes, </w:t>
      </w:r>
      <w:r w:rsidR="004368BE">
        <w:rPr>
          <w:rFonts w:ascii="Arial" w:hAnsi="Arial" w:cs="Arial"/>
          <w:i/>
          <w:iCs/>
          <w:color w:val="000000"/>
          <w:sz w:val="19"/>
          <w:szCs w:val="19"/>
          <w:shd w:val="clear" w:color="auto" w:fill="FFFFFF"/>
        </w:rPr>
        <w:t>Carl Von Clausewitz's On War: A modern-day interpretation of a strategy classic</w:t>
      </w:r>
      <w:r w:rsidR="004368BE">
        <w:rPr>
          <w:rFonts w:ascii="Arial" w:hAnsi="Arial" w:cs="Arial"/>
          <w:color w:val="000000"/>
          <w:sz w:val="19"/>
          <w:szCs w:val="19"/>
          <w:shd w:val="clear" w:color="auto" w:fill="FFFFFF"/>
        </w:rPr>
        <w:t> (Oxford: Infinite Ideas Limited, 2010).</w:t>
      </w:r>
    </w:p>
    <w:p w14:paraId="32304130" w14:textId="77777777" w:rsidR="001E6D56" w:rsidRDefault="001E6D56">
      <w:pPr>
        <w:pStyle w:val="FootnoteText"/>
      </w:pPr>
    </w:p>
  </w:footnote>
  <w:footnote w:id="11">
    <w:p w14:paraId="6A5D20F8" w14:textId="50B105F1" w:rsidR="001E6D56" w:rsidRDefault="001E6D56">
      <w:pPr>
        <w:pStyle w:val="FootnoteText"/>
      </w:pPr>
      <w:r>
        <w:rPr>
          <w:rStyle w:val="FootnoteReference"/>
        </w:rPr>
        <w:footnoteRef/>
      </w:r>
      <w:r>
        <w:t xml:space="preserve"> </w:t>
      </w:r>
      <w:r>
        <w:rPr>
          <w:rFonts w:ascii="Arial" w:hAnsi="Arial" w:cs="Arial"/>
          <w:color w:val="000000"/>
          <w:sz w:val="19"/>
          <w:szCs w:val="19"/>
          <w:shd w:val="clear" w:color="auto" w:fill="FFFFFF"/>
        </w:rPr>
        <w:t>Carl Von Clausewitz, Clausewitz.com, </w:t>
      </w:r>
      <w:r>
        <w:rPr>
          <w:rFonts w:ascii="Arial" w:hAnsi="Arial" w:cs="Arial"/>
          <w:i/>
          <w:iCs/>
          <w:color w:val="000000"/>
          <w:sz w:val="19"/>
          <w:szCs w:val="19"/>
          <w:shd w:val="clear" w:color="auto" w:fill="FFFFFF"/>
        </w:rPr>
        <w:t>On War - Carl von Clausewitz</w:t>
      </w:r>
      <w:r>
        <w:rPr>
          <w:rFonts w:ascii="Arial" w:hAnsi="Arial" w:cs="Arial"/>
          <w:color w:val="000000"/>
          <w:sz w:val="19"/>
          <w:szCs w:val="19"/>
          <w:shd w:val="clear" w:color="auto" w:fill="FFFFFF"/>
        </w:rPr>
        <w:t> (2019) &lt;http://www.clausewitz.com/readings/OnWar1873/BK1ch01.html#a&gt; [accessed 3 June 2022].</w:t>
      </w:r>
    </w:p>
  </w:footnote>
  <w:footnote w:id="12">
    <w:p w14:paraId="2621AAC4" w14:textId="3422EC27" w:rsidR="0025030B" w:rsidRDefault="0025030B">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Azar Gat, </w:t>
      </w:r>
      <w:r>
        <w:rPr>
          <w:rFonts w:ascii="Arial" w:hAnsi="Arial" w:cs="Arial"/>
          <w:i/>
          <w:iCs/>
          <w:color w:val="000000"/>
          <w:sz w:val="19"/>
          <w:szCs w:val="19"/>
          <w:shd w:val="clear" w:color="auto" w:fill="FFFFFF"/>
        </w:rPr>
        <w:t>A History of Military Thought: From the Enlightenment to the Cold War</w:t>
      </w:r>
      <w:r>
        <w:rPr>
          <w:rFonts w:ascii="Arial" w:hAnsi="Arial" w:cs="Arial"/>
          <w:color w:val="000000"/>
          <w:sz w:val="19"/>
          <w:szCs w:val="19"/>
          <w:shd w:val="clear" w:color="auto" w:fill="FFFFFF"/>
        </w:rPr>
        <w:t> (New York: Oxford University Press, 2001), p. 125.</w:t>
      </w:r>
    </w:p>
    <w:p w14:paraId="3ACA69BD" w14:textId="77777777" w:rsidR="003C3B11" w:rsidRDefault="003C3B11">
      <w:pPr>
        <w:pStyle w:val="FootnoteText"/>
      </w:pPr>
    </w:p>
  </w:footnote>
  <w:footnote w:id="13">
    <w:p w14:paraId="01FB9A45" w14:textId="0A1E50A3" w:rsidR="003C3B11" w:rsidRDefault="003C3B11">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Lynn Montross, </w:t>
      </w:r>
      <w:r>
        <w:rPr>
          <w:rFonts w:ascii="Arial" w:hAnsi="Arial" w:cs="Arial"/>
          <w:i/>
          <w:iCs/>
          <w:color w:val="000000"/>
          <w:sz w:val="19"/>
          <w:szCs w:val="19"/>
          <w:shd w:val="clear" w:color="auto" w:fill="FFFFFF"/>
        </w:rPr>
        <w:t>War Through the Ages</w:t>
      </w:r>
      <w:r>
        <w:rPr>
          <w:rFonts w:ascii="Arial" w:hAnsi="Arial" w:cs="Arial"/>
          <w:color w:val="000000"/>
          <w:sz w:val="19"/>
          <w:szCs w:val="19"/>
          <w:shd w:val="clear" w:color="auto" w:fill="FFFFFF"/>
        </w:rPr>
        <w:t xml:space="preserve">, 2nd </w:t>
      </w:r>
      <w:proofErr w:type="spellStart"/>
      <w:r>
        <w:rPr>
          <w:rFonts w:ascii="Arial" w:hAnsi="Arial" w:cs="Arial"/>
          <w:color w:val="000000"/>
          <w:sz w:val="19"/>
          <w:szCs w:val="19"/>
          <w:shd w:val="clear" w:color="auto" w:fill="FFFFFF"/>
        </w:rPr>
        <w:t>edn</w:t>
      </w:r>
      <w:proofErr w:type="spellEnd"/>
      <w:r>
        <w:rPr>
          <w:rFonts w:ascii="Arial" w:hAnsi="Arial" w:cs="Arial"/>
          <w:color w:val="000000"/>
          <w:sz w:val="19"/>
          <w:szCs w:val="19"/>
          <w:shd w:val="clear" w:color="auto" w:fill="FFFFFF"/>
        </w:rPr>
        <w:t xml:space="preserve"> (New York: Harper &amp; Brothers, 1946), p. 583.</w:t>
      </w:r>
    </w:p>
    <w:p w14:paraId="48082454" w14:textId="77777777" w:rsidR="00A007F9" w:rsidRDefault="00A007F9">
      <w:pPr>
        <w:pStyle w:val="FootnoteText"/>
      </w:pPr>
    </w:p>
  </w:footnote>
  <w:footnote w:id="14">
    <w:p w14:paraId="6A5B135F" w14:textId="215ADEE8" w:rsidR="0086659C" w:rsidRDefault="0086659C">
      <w:pPr>
        <w:pStyle w:val="FootnoteText"/>
        <w:rPr>
          <w:rFonts w:ascii="Arial" w:hAnsi="Arial" w:cs="Arial"/>
          <w:color w:val="000000"/>
          <w:sz w:val="19"/>
          <w:szCs w:val="19"/>
          <w:shd w:val="clear" w:color="auto" w:fill="FFFFFF"/>
        </w:rPr>
      </w:pPr>
      <w:r>
        <w:rPr>
          <w:rStyle w:val="FootnoteReference"/>
        </w:rPr>
        <w:footnoteRef/>
      </w:r>
      <w:r>
        <w:t xml:space="preserve"> </w:t>
      </w:r>
      <w:r w:rsidR="00A007F9">
        <w:rPr>
          <w:rFonts w:ascii="Arial" w:hAnsi="Arial" w:cs="Arial"/>
          <w:color w:val="000000"/>
          <w:sz w:val="19"/>
          <w:szCs w:val="19"/>
          <w:shd w:val="clear" w:color="auto" w:fill="FFFFFF"/>
        </w:rPr>
        <w:t>Sir Basil Henry Liddell Hart, </w:t>
      </w:r>
      <w:r w:rsidR="00A007F9">
        <w:rPr>
          <w:rFonts w:ascii="Arial" w:hAnsi="Arial" w:cs="Arial"/>
          <w:i/>
          <w:iCs/>
          <w:color w:val="000000"/>
          <w:sz w:val="19"/>
          <w:szCs w:val="19"/>
          <w:shd w:val="clear" w:color="auto" w:fill="FFFFFF"/>
        </w:rPr>
        <w:t>Strategy</w:t>
      </w:r>
      <w:r w:rsidR="00A007F9">
        <w:rPr>
          <w:rFonts w:ascii="Arial" w:hAnsi="Arial" w:cs="Arial"/>
          <w:color w:val="000000"/>
          <w:sz w:val="19"/>
          <w:szCs w:val="19"/>
          <w:shd w:val="clear" w:color="auto" w:fill="FFFFFF"/>
        </w:rPr>
        <w:t xml:space="preserve">, 2nd </w:t>
      </w:r>
      <w:proofErr w:type="spellStart"/>
      <w:r w:rsidR="00A007F9">
        <w:rPr>
          <w:rFonts w:ascii="Arial" w:hAnsi="Arial" w:cs="Arial"/>
          <w:color w:val="000000"/>
          <w:sz w:val="19"/>
          <w:szCs w:val="19"/>
          <w:shd w:val="clear" w:color="auto" w:fill="FFFFFF"/>
        </w:rPr>
        <w:t>edn</w:t>
      </w:r>
      <w:proofErr w:type="spellEnd"/>
      <w:r w:rsidR="00A007F9">
        <w:rPr>
          <w:rFonts w:ascii="Arial" w:hAnsi="Arial" w:cs="Arial"/>
          <w:color w:val="000000"/>
          <w:sz w:val="19"/>
          <w:szCs w:val="19"/>
          <w:shd w:val="clear" w:color="auto" w:fill="FFFFFF"/>
        </w:rPr>
        <w:t xml:space="preserve"> (London: Faber, 1967).</w:t>
      </w:r>
    </w:p>
    <w:p w14:paraId="36261F2E" w14:textId="77777777" w:rsidR="00160B09" w:rsidRDefault="00160B09">
      <w:pPr>
        <w:pStyle w:val="FootnoteText"/>
      </w:pPr>
    </w:p>
  </w:footnote>
  <w:footnote w:id="15">
    <w:p w14:paraId="1E1BCCA9" w14:textId="462131C5" w:rsidR="00160B09" w:rsidRDefault="00160B09">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Carl Von Clausewitz, Clausewitz.com, </w:t>
      </w:r>
      <w:r>
        <w:rPr>
          <w:rFonts w:ascii="Arial" w:hAnsi="Arial" w:cs="Arial"/>
          <w:i/>
          <w:iCs/>
          <w:color w:val="000000"/>
          <w:sz w:val="19"/>
          <w:szCs w:val="19"/>
          <w:shd w:val="clear" w:color="auto" w:fill="FFFFFF"/>
        </w:rPr>
        <w:t>On War - Carl von Clausewitz</w:t>
      </w:r>
      <w:r>
        <w:rPr>
          <w:rFonts w:ascii="Arial" w:hAnsi="Arial" w:cs="Arial"/>
          <w:color w:val="000000"/>
          <w:sz w:val="19"/>
          <w:szCs w:val="19"/>
          <w:shd w:val="clear" w:color="auto" w:fill="FFFFFF"/>
        </w:rPr>
        <w:t xml:space="preserve"> (2019) </w:t>
      </w:r>
      <w:hyperlink r:id="rId1" w:history="1">
        <w:r w:rsidR="000D4CDE" w:rsidRPr="00E54E05">
          <w:rPr>
            <w:rStyle w:val="Hyperlink"/>
            <w:rFonts w:ascii="Arial" w:hAnsi="Arial" w:cs="Arial"/>
            <w:sz w:val="19"/>
            <w:szCs w:val="19"/>
            <w:shd w:val="clear" w:color="auto" w:fill="FFFFFF"/>
          </w:rPr>
          <w:t>http://www.clausewitz.com/readings/OnWar1873/BK1ch01.html#a</w:t>
        </w:r>
      </w:hyperlink>
    </w:p>
    <w:p w14:paraId="3886EAAD" w14:textId="77777777" w:rsidR="000D4CDE" w:rsidRDefault="000D4CDE">
      <w:pPr>
        <w:pStyle w:val="FootnoteText"/>
      </w:pPr>
    </w:p>
  </w:footnote>
  <w:footnote w:id="16">
    <w:p w14:paraId="31BD8FE9" w14:textId="7A515B02" w:rsidR="000D4CDE" w:rsidRDefault="000D4CDE">
      <w:pPr>
        <w:pStyle w:val="FootnoteText"/>
      </w:pPr>
      <w:r>
        <w:rPr>
          <w:rStyle w:val="FootnoteReference"/>
        </w:rPr>
        <w:footnoteRef/>
      </w:r>
      <w:r>
        <w:t xml:space="preserve"> </w:t>
      </w:r>
      <w:r>
        <w:rPr>
          <w:rFonts w:ascii="Arial" w:hAnsi="Arial" w:cs="Arial"/>
          <w:color w:val="000000"/>
          <w:sz w:val="19"/>
          <w:szCs w:val="19"/>
          <w:shd w:val="clear" w:color="auto" w:fill="FFFFFF"/>
        </w:rPr>
        <w:t xml:space="preserve">Hal Brands, </w:t>
      </w:r>
      <w:proofErr w:type="spellStart"/>
      <w:r>
        <w:rPr>
          <w:rFonts w:ascii="Arial" w:hAnsi="Arial" w:cs="Arial"/>
          <w:color w:val="000000"/>
          <w:sz w:val="19"/>
          <w:szCs w:val="19"/>
          <w:shd w:val="clear" w:color="auto" w:fill="FFFFFF"/>
        </w:rPr>
        <w:t>Jeremi</w:t>
      </w:r>
      <w:proofErr w:type="spellEnd"/>
      <w:r>
        <w:rPr>
          <w:rFonts w:ascii="Arial" w:hAnsi="Arial" w:cs="Arial"/>
          <w:color w:val="000000"/>
          <w:sz w:val="19"/>
          <w:szCs w:val="19"/>
          <w:shd w:val="clear" w:color="auto" w:fill="FFFFFF"/>
        </w:rPr>
        <w:t xml:space="preserve"> Suri, </w:t>
      </w:r>
      <w:r>
        <w:rPr>
          <w:rFonts w:ascii="Arial" w:hAnsi="Arial" w:cs="Arial"/>
          <w:i/>
          <w:iCs/>
          <w:color w:val="000000"/>
          <w:sz w:val="19"/>
          <w:szCs w:val="19"/>
          <w:shd w:val="clear" w:color="auto" w:fill="FFFFFF"/>
        </w:rPr>
        <w:t>The Power of the Past: History and Statecraft</w:t>
      </w:r>
      <w:r>
        <w:rPr>
          <w:rFonts w:ascii="Arial" w:hAnsi="Arial" w:cs="Arial"/>
          <w:color w:val="000000"/>
          <w:sz w:val="19"/>
          <w:szCs w:val="19"/>
          <w:shd w:val="clear" w:color="auto" w:fill="FFFFFF"/>
        </w:rPr>
        <w:t> (US: Brookings Institution Press, 2015), p. 147.</w:t>
      </w:r>
    </w:p>
  </w:footnote>
  <w:footnote w:id="17">
    <w:p w14:paraId="65AD2015" w14:textId="068A3A80" w:rsidR="00F95A0F" w:rsidRDefault="00F95A0F">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Henry Charles Woods, </w:t>
      </w:r>
      <w:r>
        <w:rPr>
          <w:rFonts w:ascii="Arial" w:hAnsi="Arial" w:cs="Arial"/>
          <w:i/>
          <w:iCs/>
          <w:color w:val="000000"/>
          <w:sz w:val="19"/>
          <w:szCs w:val="19"/>
          <w:shd w:val="clear" w:color="auto" w:fill="FFFFFF"/>
        </w:rPr>
        <w:t>The Cradle of the War: The Near East and Pan-Germanism</w:t>
      </w:r>
      <w:r>
        <w:rPr>
          <w:rFonts w:ascii="Arial" w:hAnsi="Arial" w:cs="Arial"/>
          <w:color w:val="000000"/>
          <w:sz w:val="19"/>
          <w:szCs w:val="19"/>
          <w:shd w:val="clear" w:color="auto" w:fill="FFFFFF"/>
        </w:rPr>
        <w:t> (Boston, Massachusetts: Little, Brown and Co, 1918).</w:t>
      </w:r>
    </w:p>
    <w:p w14:paraId="7FF2FB3D" w14:textId="77777777" w:rsidR="0053526B" w:rsidRDefault="0053526B">
      <w:pPr>
        <w:pStyle w:val="FootnoteText"/>
      </w:pPr>
    </w:p>
  </w:footnote>
  <w:footnote w:id="18">
    <w:p w14:paraId="6C54F8BF" w14:textId="426689ED" w:rsidR="0053526B" w:rsidRDefault="0053526B">
      <w:pPr>
        <w:pStyle w:val="FootnoteText"/>
        <w:rPr>
          <w:rFonts w:ascii="Arial" w:hAnsi="Arial" w:cs="Arial"/>
          <w:color w:val="000000"/>
          <w:sz w:val="19"/>
          <w:szCs w:val="19"/>
          <w:shd w:val="clear" w:color="auto" w:fill="FFFFFF"/>
        </w:rPr>
      </w:pPr>
      <w:r>
        <w:rPr>
          <w:rStyle w:val="FootnoteReference"/>
        </w:rPr>
        <w:footnoteRef/>
      </w:r>
      <w:r>
        <w:t xml:space="preserve"> </w:t>
      </w:r>
      <w:r>
        <w:rPr>
          <w:rFonts w:ascii="Arial" w:hAnsi="Arial" w:cs="Arial"/>
          <w:color w:val="000000"/>
          <w:sz w:val="19"/>
          <w:szCs w:val="19"/>
          <w:shd w:val="clear" w:color="auto" w:fill="FFFFFF"/>
        </w:rPr>
        <w:t xml:space="preserve">Prince Karl Max </w:t>
      </w:r>
      <w:proofErr w:type="spellStart"/>
      <w:r>
        <w:rPr>
          <w:rFonts w:ascii="Arial" w:hAnsi="Arial" w:cs="Arial"/>
          <w:color w:val="000000"/>
          <w:sz w:val="19"/>
          <w:szCs w:val="19"/>
          <w:shd w:val="clear" w:color="auto" w:fill="FFFFFF"/>
        </w:rPr>
        <w:t>Lichnowsky</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Prince </w:t>
      </w:r>
      <w:proofErr w:type="spellStart"/>
      <w:r>
        <w:rPr>
          <w:rFonts w:ascii="Arial" w:hAnsi="Arial" w:cs="Arial"/>
          <w:i/>
          <w:iCs/>
          <w:color w:val="000000"/>
          <w:sz w:val="19"/>
          <w:szCs w:val="19"/>
          <w:shd w:val="clear" w:color="auto" w:fill="FFFFFF"/>
        </w:rPr>
        <w:t>Lichnowsky's</w:t>
      </w:r>
      <w:proofErr w:type="spellEnd"/>
      <w:r>
        <w:rPr>
          <w:rFonts w:ascii="Arial" w:hAnsi="Arial" w:cs="Arial"/>
          <w:i/>
          <w:iCs/>
          <w:color w:val="000000"/>
          <w:sz w:val="19"/>
          <w:szCs w:val="19"/>
          <w:shd w:val="clear" w:color="auto" w:fill="FFFFFF"/>
        </w:rPr>
        <w:t xml:space="preserve"> Mission to London, Memoirs: My Mission to London, 1912-14</w:t>
      </w:r>
      <w:r>
        <w:rPr>
          <w:rFonts w:ascii="Arial" w:hAnsi="Arial" w:cs="Arial"/>
          <w:color w:val="000000"/>
          <w:sz w:val="19"/>
          <w:szCs w:val="19"/>
          <w:shd w:val="clear" w:color="auto" w:fill="FFFFFF"/>
        </w:rPr>
        <w:t> () &lt;https://wwi.lib.byu.edu/index.php/Prince_Lichnowsky%27s_Mission_to_London,_Memoirs&gt; [accessed 7 June 2022].</w:t>
      </w:r>
    </w:p>
    <w:p w14:paraId="72C622C9" w14:textId="77777777" w:rsidR="002053B2" w:rsidRDefault="002053B2">
      <w:pPr>
        <w:pStyle w:val="FootnoteText"/>
      </w:pPr>
    </w:p>
  </w:footnote>
  <w:footnote w:id="19">
    <w:p w14:paraId="6B53A6A9" w14:textId="61794815" w:rsidR="002053B2" w:rsidRDefault="002053B2">
      <w:pPr>
        <w:pStyle w:val="FootnoteText"/>
      </w:pPr>
      <w:r>
        <w:rPr>
          <w:rStyle w:val="FootnoteReference"/>
        </w:rPr>
        <w:footnoteRef/>
      </w:r>
      <w:r>
        <w:t xml:space="preserve"> </w:t>
      </w:r>
      <w:r>
        <w:rPr>
          <w:rFonts w:ascii="Arial" w:hAnsi="Arial" w:cs="Arial"/>
          <w:color w:val="000000"/>
          <w:sz w:val="19"/>
          <w:szCs w:val="19"/>
          <w:shd w:val="clear" w:color="auto" w:fill="FFFFFF"/>
        </w:rPr>
        <w:t>Michael Balfour, </w:t>
      </w:r>
      <w:r>
        <w:rPr>
          <w:rFonts w:ascii="Arial" w:hAnsi="Arial" w:cs="Arial"/>
          <w:i/>
          <w:iCs/>
          <w:color w:val="000000"/>
          <w:sz w:val="19"/>
          <w:szCs w:val="19"/>
          <w:shd w:val="clear" w:color="auto" w:fill="FFFFFF"/>
        </w:rPr>
        <w:t>The Kaiser and His Times</w:t>
      </w:r>
      <w:r>
        <w:rPr>
          <w:rFonts w:ascii="Arial" w:hAnsi="Arial" w:cs="Arial"/>
          <w:color w:val="000000"/>
          <w:sz w:val="19"/>
          <w:szCs w:val="19"/>
          <w:shd w:val="clear" w:color="auto" w:fill="FFFFFF"/>
        </w:rPr>
        <w:t> (Boston: Houghton Mifflin, 1964), p. 350-351.</w:t>
      </w:r>
    </w:p>
  </w:footnote>
  <w:footnote w:id="20">
    <w:p w14:paraId="51D78004" w14:textId="688864B7" w:rsidR="00DE1C15" w:rsidRDefault="00DE1C15">
      <w:pPr>
        <w:pStyle w:val="FootnoteText"/>
      </w:pPr>
      <w:r>
        <w:rPr>
          <w:rStyle w:val="FootnoteReference"/>
        </w:rPr>
        <w:footnoteRef/>
      </w:r>
      <w:r>
        <w:t xml:space="preserve"> </w:t>
      </w:r>
      <w:r>
        <w:rPr>
          <w:rFonts w:ascii="Arial" w:hAnsi="Arial" w:cs="Arial"/>
          <w:color w:val="000000"/>
          <w:sz w:val="19"/>
          <w:szCs w:val="19"/>
          <w:shd w:val="clear" w:color="auto" w:fill="FFFFFF"/>
        </w:rPr>
        <w:t xml:space="preserve">Prince Karl Max </w:t>
      </w:r>
      <w:proofErr w:type="spellStart"/>
      <w:r>
        <w:rPr>
          <w:rFonts w:ascii="Arial" w:hAnsi="Arial" w:cs="Arial"/>
          <w:color w:val="000000"/>
          <w:sz w:val="19"/>
          <w:szCs w:val="19"/>
          <w:shd w:val="clear" w:color="auto" w:fill="FFFFFF"/>
        </w:rPr>
        <w:t>Lichnowsky</w:t>
      </w:r>
      <w:proofErr w:type="spellEnd"/>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Prince </w:t>
      </w:r>
      <w:proofErr w:type="spellStart"/>
      <w:r>
        <w:rPr>
          <w:rFonts w:ascii="Arial" w:hAnsi="Arial" w:cs="Arial"/>
          <w:i/>
          <w:iCs/>
          <w:color w:val="000000"/>
          <w:sz w:val="19"/>
          <w:szCs w:val="19"/>
          <w:shd w:val="clear" w:color="auto" w:fill="FFFFFF"/>
        </w:rPr>
        <w:t>Lichnowsky's</w:t>
      </w:r>
      <w:proofErr w:type="spellEnd"/>
      <w:r>
        <w:rPr>
          <w:rFonts w:ascii="Arial" w:hAnsi="Arial" w:cs="Arial"/>
          <w:i/>
          <w:iCs/>
          <w:color w:val="000000"/>
          <w:sz w:val="19"/>
          <w:szCs w:val="19"/>
          <w:shd w:val="clear" w:color="auto" w:fill="FFFFFF"/>
        </w:rPr>
        <w:t xml:space="preserve"> Mission to London, Memoirs: My Mission to London, 1912-14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23EBD"/>
    <w:multiLevelType w:val="hybridMultilevel"/>
    <w:tmpl w:val="699AC36A"/>
    <w:lvl w:ilvl="0" w:tplc="F18E532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F6645"/>
    <w:multiLevelType w:val="hybridMultilevel"/>
    <w:tmpl w:val="C8DC53AA"/>
    <w:lvl w:ilvl="0" w:tplc="0A1A04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833901">
    <w:abstractNumId w:val="0"/>
  </w:num>
  <w:num w:numId="2" w16cid:durableId="263198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F19"/>
    <w:rsid w:val="00011559"/>
    <w:rsid w:val="00014797"/>
    <w:rsid w:val="00026F19"/>
    <w:rsid w:val="00054FF9"/>
    <w:rsid w:val="00055916"/>
    <w:rsid w:val="000D4CDE"/>
    <w:rsid w:val="000D6610"/>
    <w:rsid w:val="0014749F"/>
    <w:rsid w:val="00160B09"/>
    <w:rsid w:val="00171C1F"/>
    <w:rsid w:val="001E6D56"/>
    <w:rsid w:val="002053B2"/>
    <w:rsid w:val="0025030B"/>
    <w:rsid w:val="00254F99"/>
    <w:rsid w:val="00275DBB"/>
    <w:rsid w:val="002A27AE"/>
    <w:rsid w:val="002A2D2C"/>
    <w:rsid w:val="002D6301"/>
    <w:rsid w:val="00317E5C"/>
    <w:rsid w:val="003276E9"/>
    <w:rsid w:val="0033036A"/>
    <w:rsid w:val="003C0141"/>
    <w:rsid w:val="003C3B11"/>
    <w:rsid w:val="00413E99"/>
    <w:rsid w:val="004368BE"/>
    <w:rsid w:val="00441B33"/>
    <w:rsid w:val="00446658"/>
    <w:rsid w:val="00492B2D"/>
    <w:rsid w:val="004E248D"/>
    <w:rsid w:val="004E5854"/>
    <w:rsid w:val="004F040F"/>
    <w:rsid w:val="0053526B"/>
    <w:rsid w:val="00563069"/>
    <w:rsid w:val="005813AB"/>
    <w:rsid w:val="00632B09"/>
    <w:rsid w:val="00663EFF"/>
    <w:rsid w:val="006A6511"/>
    <w:rsid w:val="006B2027"/>
    <w:rsid w:val="007609FC"/>
    <w:rsid w:val="00776AF5"/>
    <w:rsid w:val="0079101E"/>
    <w:rsid w:val="00796E0C"/>
    <w:rsid w:val="007B5626"/>
    <w:rsid w:val="007C1E46"/>
    <w:rsid w:val="007E1D59"/>
    <w:rsid w:val="007E5E86"/>
    <w:rsid w:val="007E6BEE"/>
    <w:rsid w:val="007F74F7"/>
    <w:rsid w:val="0086659C"/>
    <w:rsid w:val="008C1336"/>
    <w:rsid w:val="008D3545"/>
    <w:rsid w:val="008E037C"/>
    <w:rsid w:val="008E226A"/>
    <w:rsid w:val="00963D7C"/>
    <w:rsid w:val="00A007F9"/>
    <w:rsid w:val="00A70681"/>
    <w:rsid w:val="00A77A00"/>
    <w:rsid w:val="00A9246C"/>
    <w:rsid w:val="00AD2CBA"/>
    <w:rsid w:val="00AD5246"/>
    <w:rsid w:val="00AE2478"/>
    <w:rsid w:val="00AF3839"/>
    <w:rsid w:val="00B12116"/>
    <w:rsid w:val="00B5583A"/>
    <w:rsid w:val="00B62A28"/>
    <w:rsid w:val="00B64499"/>
    <w:rsid w:val="00B90A85"/>
    <w:rsid w:val="00C37340"/>
    <w:rsid w:val="00C4574C"/>
    <w:rsid w:val="00C5035A"/>
    <w:rsid w:val="00C65136"/>
    <w:rsid w:val="00C81996"/>
    <w:rsid w:val="00C82CEA"/>
    <w:rsid w:val="00CD0722"/>
    <w:rsid w:val="00CD5E53"/>
    <w:rsid w:val="00CD7298"/>
    <w:rsid w:val="00D2262D"/>
    <w:rsid w:val="00D31E15"/>
    <w:rsid w:val="00D421A3"/>
    <w:rsid w:val="00D53793"/>
    <w:rsid w:val="00D64827"/>
    <w:rsid w:val="00DA1572"/>
    <w:rsid w:val="00DE0B46"/>
    <w:rsid w:val="00DE1C15"/>
    <w:rsid w:val="00E41271"/>
    <w:rsid w:val="00E63EDC"/>
    <w:rsid w:val="00E90BEA"/>
    <w:rsid w:val="00EC3F25"/>
    <w:rsid w:val="00F05479"/>
    <w:rsid w:val="00F95A0F"/>
    <w:rsid w:val="00FB3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5212"/>
  <w15:chartTrackingRefBased/>
  <w15:docId w15:val="{7DFE27C2-3C93-499C-A476-2EC63C713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026F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qFormat/>
    <w:rsid w:val="00026F19"/>
    <w:pPr>
      <w:ind w:left="720"/>
      <w:contextualSpacing/>
    </w:pPr>
  </w:style>
  <w:style w:type="paragraph" w:styleId="FootnoteText">
    <w:name w:val="footnote text"/>
    <w:basedOn w:val="Normal"/>
    <w:link w:val="FootnoteTextChar"/>
    <w:uiPriority w:val="99"/>
    <w:semiHidden/>
    <w:unhideWhenUsed/>
    <w:rsid w:val="008D35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3545"/>
    <w:rPr>
      <w:sz w:val="20"/>
      <w:szCs w:val="20"/>
    </w:rPr>
  </w:style>
  <w:style w:type="character" w:styleId="FootnoteReference">
    <w:name w:val="footnote reference"/>
    <w:basedOn w:val="DefaultParagraphFont"/>
    <w:uiPriority w:val="99"/>
    <w:semiHidden/>
    <w:unhideWhenUsed/>
    <w:rsid w:val="008D3545"/>
    <w:rPr>
      <w:vertAlign w:val="superscript"/>
    </w:rPr>
  </w:style>
  <w:style w:type="character" w:styleId="Hyperlink">
    <w:name w:val="Hyperlink"/>
    <w:basedOn w:val="DefaultParagraphFont"/>
    <w:uiPriority w:val="99"/>
    <w:unhideWhenUsed/>
    <w:rsid w:val="000D4CDE"/>
    <w:rPr>
      <w:color w:val="0563C1" w:themeColor="hyperlink"/>
      <w:u w:val="single"/>
    </w:rPr>
  </w:style>
  <w:style w:type="character" w:styleId="UnresolvedMention">
    <w:name w:val="Unresolved Mention"/>
    <w:basedOn w:val="DefaultParagraphFont"/>
    <w:uiPriority w:val="99"/>
    <w:semiHidden/>
    <w:unhideWhenUsed/>
    <w:rsid w:val="000D4C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1642195">
      <w:bodyDiv w:val="1"/>
      <w:marLeft w:val="0"/>
      <w:marRight w:val="0"/>
      <w:marTop w:val="0"/>
      <w:marBottom w:val="0"/>
      <w:divBdr>
        <w:top w:val="none" w:sz="0" w:space="0" w:color="auto"/>
        <w:left w:val="none" w:sz="0" w:space="0" w:color="auto"/>
        <w:bottom w:val="none" w:sz="0" w:space="0" w:color="auto"/>
        <w:right w:val="none" w:sz="0" w:space="0" w:color="auto"/>
      </w:divBdr>
    </w:div>
    <w:div w:id="2028824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clausewitz.com/readings/OnWar1873/BK1ch01.htm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26C43-F11B-49B9-9AED-F621B15A4D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2710</TotalTime>
  <Pages>6</Pages>
  <Words>1875</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66</cp:revision>
  <dcterms:created xsi:type="dcterms:W3CDTF">2022-06-08T12:46:00Z</dcterms:created>
  <dcterms:modified xsi:type="dcterms:W3CDTF">2022-06-12T13:17:00Z</dcterms:modified>
</cp:coreProperties>
</file>