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6EFAC4" w14:textId="77777777" w:rsidR="00F34121" w:rsidRDefault="00F34121"/>
    <w:p w14:paraId="0035D827" w14:textId="617CB451" w:rsidR="00183C49" w:rsidRDefault="00B0435C">
      <w:r>
        <w:t xml:space="preserve">  </w:t>
      </w:r>
      <w:r w:rsidR="002E2790">
        <w:t xml:space="preserve">Anthropological studies </w:t>
      </w:r>
      <w:r w:rsidR="00292B1B">
        <w:t xml:space="preserve">might </w:t>
      </w:r>
      <w:r w:rsidR="002E2790">
        <w:t xml:space="preserve">suggest that there is </w:t>
      </w:r>
      <w:r w:rsidR="00292B1B">
        <w:t xml:space="preserve">scope for a </w:t>
      </w:r>
      <w:r w:rsidR="002E2790">
        <w:t>universal belief that there is something beyond death</w:t>
      </w:r>
      <w:r w:rsidR="0045082E">
        <w:t xml:space="preserve"> or</w:t>
      </w:r>
      <w:r w:rsidR="002E2790">
        <w:t xml:space="preserve"> that a part of the human existence would continue after dying on earth</w:t>
      </w:r>
      <w:r w:rsidR="00292B1B">
        <w:t>.</w:t>
      </w:r>
      <w:r w:rsidR="00E74929">
        <w:t xml:space="preserve"> </w:t>
      </w:r>
      <w:r w:rsidR="00F34121">
        <w:t xml:space="preserve">Most societies provide funerary rites for their dead, whether they are praying for them to reach a peaceful afterlife </w:t>
      </w:r>
      <w:r w:rsidR="00D779D6">
        <w:t xml:space="preserve">with safe passage to a realm of the dead </w:t>
      </w:r>
      <w:r w:rsidR="00F34121">
        <w:t xml:space="preserve">or simply pay respects and celebrate the deceased’s life. These rites and rituals and ceremonies differ across the world and through history, with some preferring cremation over burial and vice versa. </w:t>
      </w:r>
      <w:r w:rsidR="00E74929">
        <w:t>In Bronze Age Greece, cremations were few and far between</w:t>
      </w:r>
      <w:r w:rsidR="00292B1B">
        <w:t>.</w:t>
      </w:r>
      <w:r w:rsidR="00E74929">
        <w:t xml:space="preserve"> Instead then, the funerary setting and resting place of the deceased in the Bronze Age was </w:t>
      </w:r>
      <w:r w:rsidR="0045082E">
        <w:t>a</w:t>
      </w:r>
      <w:r w:rsidR="00E74929">
        <w:t xml:space="preserve"> burial tomb or cemetery.</w:t>
      </w:r>
      <w:r w:rsidR="005C7D33" w:rsidRPr="005C7D33">
        <w:t xml:space="preserve"> </w:t>
      </w:r>
      <w:r w:rsidR="005C7D33">
        <w:t>To consider the link between the funerary rites of Bronze Age Greece and the link between death and pollution, this paper will examine the archaeological evidence and reports detailing the finds and interpretation</w:t>
      </w:r>
      <w:r w:rsidR="003B4007">
        <w:t>s</w:t>
      </w:r>
      <w:r w:rsidR="005C7D33">
        <w:t xml:space="preserve"> of burial sites. From this, the finding that funerary rites were a devaluation of individuality and the associations with pollution will be shown and explained. In addition, the changes that led to a more individualised burial system in the later stages of the Bronze Age will be highlighted,</w:t>
      </w:r>
      <w:r w:rsidR="00C41593">
        <w:t xml:space="preserve"> in contrast to</w:t>
      </w:r>
      <w:r w:rsidR="005C7D33">
        <w:t xml:space="preserve"> the previous customs. </w:t>
      </w:r>
      <w:r w:rsidR="007313E5">
        <w:t xml:space="preserve">At the core of this discussion is the phrase by Bloch and Parry in their 1982 work, </w:t>
      </w:r>
      <w:r w:rsidR="007313E5">
        <w:rPr>
          <w:i/>
          <w:iCs/>
        </w:rPr>
        <w:t>Death and the Regeneration of Life</w:t>
      </w:r>
      <w:r w:rsidR="007313E5">
        <w:t xml:space="preserve">, in which it is promulgated that there existed a </w:t>
      </w:r>
      <w:r w:rsidR="00183C49">
        <w:t xml:space="preserve">“radical devaluation of the deceased’s individuality” </w:t>
      </w:r>
      <w:r w:rsidR="007313E5">
        <w:t>in funerary rites</w:t>
      </w:r>
      <w:r w:rsidR="00183C49">
        <w:t>.</w:t>
      </w:r>
      <w:r w:rsidR="007313E5">
        <w:rPr>
          <w:rStyle w:val="FootnoteReference"/>
        </w:rPr>
        <w:footnoteReference w:id="1"/>
      </w:r>
      <w:r w:rsidR="00183C49">
        <w:t xml:space="preserve"> To unpack this quote</w:t>
      </w:r>
      <w:r w:rsidR="007313E5">
        <w:t xml:space="preserve"> for clarity</w:t>
      </w:r>
      <w:r w:rsidR="00183C49">
        <w:t xml:space="preserve">, the suggestion here </w:t>
      </w:r>
      <w:r w:rsidR="007313E5">
        <w:t xml:space="preserve">is </w:t>
      </w:r>
      <w:r w:rsidR="00183C49">
        <w:t xml:space="preserve">that the funerary rites, rituals, and arrangements </w:t>
      </w:r>
      <w:r w:rsidR="00324789">
        <w:t xml:space="preserve">showed a </w:t>
      </w:r>
      <w:r w:rsidR="00183C49">
        <w:t xml:space="preserve">reduction in the </w:t>
      </w:r>
      <w:r w:rsidR="00324789">
        <w:t xml:space="preserve">displayed </w:t>
      </w:r>
      <w:r w:rsidR="00183C49">
        <w:t xml:space="preserve">value of the deceased’s distinguishing features that </w:t>
      </w:r>
      <w:r w:rsidR="00EA7671">
        <w:t>showed respect for the dead</w:t>
      </w:r>
      <w:r w:rsidR="00183C49">
        <w:t>.</w:t>
      </w:r>
      <w:r w:rsidR="00D779D6">
        <w:t xml:space="preserve"> </w:t>
      </w:r>
      <w:r w:rsidR="00F83E91">
        <w:t>Prior to the use of pithoi and larnakes</w:t>
      </w:r>
      <w:r w:rsidR="003B4007">
        <w:t xml:space="preserve"> in Bronze Age Greece</w:t>
      </w:r>
      <w:r w:rsidR="00F83E91">
        <w:t xml:space="preserve"> this seems to have been the case</w:t>
      </w:r>
      <w:r w:rsidR="00EA7671">
        <w:t xml:space="preserve"> as the conditions and care (or lack thereof) shown in tombs will be explained</w:t>
      </w:r>
      <w:r w:rsidR="00F83E91">
        <w:t>.</w:t>
      </w:r>
      <w:r w:rsidR="00AF4012" w:rsidRPr="00AF4012">
        <w:t xml:space="preserve"> </w:t>
      </w:r>
      <w:r w:rsidR="00AF4012">
        <w:t>Fowler observed that ‘people in past societies were not necessarily individualized in the same way as those of modern people’.</w:t>
      </w:r>
      <w:r w:rsidR="00AF4012">
        <w:rPr>
          <w:rStyle w:val="FootnoteReference"/>
        </w:rPr>
        <w:footnoteReference w:id="2"/>
      </w:r>
    </w:p>
    <w:p w14:paraId="6B39C144" w14:textId="27EF1D0A" w:rsidR="003B4007" w:rsidRDefault="00B0435C" w:rsidP="003B4007">
      <w:r>
        <w:t xml:space="preserve">  </w:t>
      </w:r>
      <w:r w:rsidR="00324789">
        <w:t>As the responsibility of performing funerary rites falls to the living, there can be a degree of embroidering or denying of minor aspects of the dead person's past identity.</w:t>
      </w:r>
      <w:r w:rsidR="00324789">
        <w:rPr>
          <w:rStyle w:val="FootnoteReference"/>
        </w:rPr>
        <w:footnoteReference w:id="3"/>
      </w:r>
      <w:r w:rsidR="00324789">
        <w:t xml:space="preserve"> This can be presumed to be because honours accorded to the dead reflect upon the status of the funeral</w:t>
      </w:r>
      <w:r w:rsidR="00A25DBA">
        <w:t xml:space="preserve"> and of the living representatives</w:t>
      </w:r>
      <w:r w:rsidR="00324789">
        <w:t xml:space="preserve">. </w:t>
      </w:r>
      <w:r w:rsidR="003B4007">
        <w:t>The usual activity of a Minoan funerary custom was to have the deceased inhumed in a cave or house burial, where a shared space was used for multiple bodies.</w:t>
      </w:r>
      <w:r w:rsidR="003B4007">
        <w:rPr>
          <w:rStyle w:val="FootnoteReference"/>
        </w:rPr>
        <w:footnoteReference w:id="4"/>
      </w:r>
      <w:r w:rsidR="003B4007">
        <w:t xml:space="preserve"> Sites on both Cyprus and Crete have shown the use of extramural cemeteries or collective tombs </w:t>
      </w:r>
      <w:r w:rsidR="00A25DBA">
        <w:t xml:space="preserve">containing evidence of </w:t>
      </w:r>
      <w:r w:rsidR="003B4007">
        <w:t>post-funerary offerings.</w:t>
      </w:r>
      <w:r w:rsidR="003B4007">
        <w:rPr>
          <w:rStyle w:val="FootnoteReference"/>
        </w:rPr>
        <w:footnoteReference w:id="5"/>
      </w:r>
      <w:r w:rsidR="003B4007">
        <w:t xml:space="preserve"> The post-funerary practices were not to be confused as ancestor worship, </w:t>
      </w:r>
      <w:proofErr w:type="spellStart"/>
      <w:r w:rsidR="003B4007">
        <w:t>Keswani</w:t>
      </w:r>
      <w:proofErr w:type="spellEnd"/>
      <w:r w:rsidR="003B4007">
        <w:t xml:space="preserve"> states, suggesting the deceased was believed to be dead and not deified. The bodies were left to decompose in the tomb setting before a second burial occurred, moving their skulls and/or larger bones to a new location. That which was not taken for the second burial is evidence that the body ceased to contain individuality at least within the confines of that tomb as the remains that were not moved became a part of the collective dead ancestors’ bones.</w:t>
      </w:r>
      <w:r w:rsidR="003B4007">
        <w:rPr>
          <w:rStyle w:val="FootnoteReference"/>
        </w:rPr>
        <w:footnoteReference w:id="6"/>
      </w:r>
      <w:r w:rsidR="003B4007">
        <w:t xml:space="preserve"> These decomposition tombs were reused for new bodies so that they could decompose before also being moved, with minor bones being swept into a corner or the sides of the chamber to make space for the new </w:t>
      </w:r>
      <w:r w:rsidR="003B4007">
        <w:lastRenderedPageBreak/>
        <w:t>cadavers.</w:t>
      </w:r>
      <w:r w:rsidR="003B4007">
        <w:rPr>
          <w:rStyle w:val="FootnoteReference"/>
        </w:rPr>
        <w:footnoteReference w:id="7"/>
      </w:r>
      <w:r w:rsidR="003B4007">
        <w:t xml:space="preserve"> Any material offerings that were placed in that tomb would be mixed with an assortment of bones belonging to multiple ancestors, making differentiation near impossible.</w:t>
      </w:r>
      <w:r w:rsidR="00A25DBA">
        <w:t xml:space="preserve"> Offerings also displayed signs of being intentional broken as part of the ceremony.</w:t>
      </w:r>
    </w:p>
    <w:p w14:paraId="7B4D92A3" w14:textId="0DD96277" w:rsidR="00A25DBA" w:rsidRPr="00A25DBA" w:rsidRDefault="00B0435C" w:rsidP="005C7D33">
      <w:pPr>
        <w:rPr>
          <w:rFonts w:cstheme="minorHAnsi"/>
        </w:rPr>
      </w:pPr>
      <w:r>
        <w:t xml:space="preserve">  </w:t>
      </w:r>
      <w:r w:rsidR="00E74929">
        <w:t xml:space="preserve">Generally, the roles of members </w:t>
      </w:r>
      <w:r w:rsidR="005104F7">
        <w:t xml:space="preserve">in a </w:t>
      </w:r>
      <w:r w:rsidR="00E74929">
        <w:t xml:space="preserve">society </w:t>
      </w:r>
      <w:r w:rsidR="005104F7">
        <w:t xml:space="preserve">are </w:t>
      </w:r>
      <w:r w:rsidR="00E74929">
        <w:t>different</w:t>
      </w:r>
      <w:r w:rsidR="005104F7">
        <w:t xml:space="preserve"> based on numerous factors</w:t>
      </w:r>
      <w:r w:rsidR="00E74929">
        <w:t xml:space="preserve">. </w:t>
      </w:r>
      <w:r w:rsidR="00F34121">
        <w:t xml:space="preserve">In fact, the roles and responsibilities given to citizens can be </w:t>
      </w:r>
      <w:r w:rsidR="00E74929">
        <w:t>seen to have been (and still are</w:t>
      </w:r>
      <w:r w:rsidR="00183C49">
        <w:t>,</w:t>
      </w:r>
      <w:r w:rsidR="00E74929">
        <w:t xml:space="preserve"> in some cultures) </w:t>
      </w:r>
      <w:r w:rsidR="00F34121">
        <w:t>influenced by their status or class</w:t>
      </w:r>
      <w:r w:rsidR="00BF512E">
        <w:t xml:space="preserve"> </w:t>
      </w:r>
      <w:r w:rsidR="005C7D33">
        <w:t xml:space="preserve">or gender </w:t>
      </w:r>
      <w:r w:rsidR="00BF512E">
        <w:t>with an emphasis on differentiating the pure and the impure</w:t>
      </w:r>
      <w:r w:rsidR="00F34121">
        <w:t xml:space="preserve">. </w:t>
      </w:r>
      <w:r w:rsidR="005C7D33" w:rsidRPr="00051F0F">
        <w:rPr>
          <w:rFonts w:cstheme="minorHAnsi"/>
        </w:rPr>
        <w:t>For example, women might be considered to be polluted in some societies due to menstruation and childbirth – menstruation is viewed as the death of what would have been a life.</w:t>
      </w:r>
      <w:r w:rsidR="005C7D33" w:rsidRPr="00051F0F">
        <w:rPr>
          <w:rStyle w:val="FootnoteReference"/>
          <w:rFonts w:cstheme="minorHAnsi"/>
        </w:rPr>
        <w:footnoteReference w:id="8"/>
      </w:r>
      <w:r w:rsidR="005C7D33" w:rsidRPr="00051F0F">
        <w:rPr>
          <w:rFonts w:cstheme="minorHAnsi"/>
        </w:rPr>
        <w:t xml:space="preserve"> </w:t>
      </w:r>
      <w:r w:rsidR="004212B6">
        <w:rPr>
          <w:rFonts w:cstheme="minorHAnsi"/>
        </w:rPr>
        <w:t>Similarly, w</w:t>
      </w:r>
      <w:r w:rsidR="00E62340">
        <w:rPr>
          <w:rFonts w:cstheme="minorHAnsi"/>
        </w:rPr>
        <w:t xml:space="preserve">hile pregnant, a woman </w:t>
      </w:r>
      <w:r w:rsidR="004212B6">
        <w:rPr>
          <w:rFonts w:cstheme="minorHAnsi"/>
        </w:rPr>
        <w:t xml:space="preserve">in the </w:t>
      </w:r>
      <w:proofErr w:type="spellStart"/>
      <w:r w:rsidR="004212B6">
        <w:rPr>
          <w:rFonts w:cstheme="minorHAnsi"/>
        </w:rPr>
        <w:t>Nyakyusa</w:t>
      </w:r>
      <w:proofErr w:type="spellEnd"/>
      <w:r w:rsidR="004212B6">
        <w:rPr>
          <w:rFonts w:cstheme="minorHAnsi"/>
        </w:rPr>
        <w:t xml:space="preserve"> culture </w:t>
      </w:r>
      <w:r w:rsidR="00E62340">
        <w:rPr>
          <w:rFonts w:cstheme="minorHAnsi"/>
        </w:rPr>
        <w:t xml:space="preserve">is kept away from certain objects such as food and beverages lest the unborn child spoil </w:t>
      </w:r>
      <w:r w:rsidR="004212B6">
        <w:rPr>
          <w:rFonts w:cstheme="minorHAnsi"/>
        </w:rPr>
        <w:t xml:space="preserve">or steal </w:t>
      </w:r>
      <w:r w:rsidR="00E62340">
        <w:rPr>
          <w:rFonts w:cstheme="minorHAnsi"/>
        </w:rPr>
        <w:t>the</w:t>
      </w:r>
      <w:r w:rsidR="004212B6">
        <w:rPr>
          <w:rFonts w:cstheme="minorHAnsi"/>
        </w:rPr>
        <w:t xml:space="preserve"> produce</w:t>
      </w:r>
      <w:r w:rsidR="00E62340">
        <w:rPr>
          <w:rFonts w:cstheme="minorHAnsi"/>
        </w:rPr>
        <w:t>.</w:t>
      </w:r>
      <w:r w:rsidR="00E62340">
        <w:rPr>
          <w:rStyle w:val="FootnoteReference"/>
          <w:rFonts w:cstheme="minorHAnsi"/>
        </w:rPr>
        <w:footnoteReference w:id="9"/>
      </w:r>
      <w:r w:rsidR="00E62340">
        <w:rPr>
          <w:rFonts w:cstheme="minorHAnsi"/>
        </w:rPr>
        <w:t xml:space="preserve"> </w:t>
      </w:r>
      <w:r w:rsidR="005C7D33" w:rsidRPr="00051F0F">
        <w:rPr>
          <w:rFonts w:cstheme="minorHAnsi"/>
        </w:rPr>
        <w:t>Because of this already present association with pollution, those individuals might be given greater responsibility in an act that is considered to be polluting or handling polluting themes. This can be seen on funerary vessels of ancient Greece where mourners, particularly depicted as looking female, are shown with their hands raised to their heads</w:t>
      </w:r>
      <w:r w:rsidR="009C0303" w:rsidRPr="00051F0F">
        <w:rPr>
          <w:rFonts w:cstheme="minorHAnsi"/>
        </w:rPr>
        <w:t xml:space="preserve"> in mourning or funerary rituals.</w:t>
      </w:r>
      <w:r w:rsidR="009C0303" w:rsidRPr="00051F0F">
        <w:rPr>
          <w:rStyle w:val="FootnoteReference"/>
          <w:rFonts w:cstheme="minorHAnsi"/>
        </w:rPr>
        <w:footnoteReference w:id="10"/>
      </w:r>
      <w:r w:rsidR="00051E56">
        <w:rPr>
          <w:rFonts w:cstheme="minorHAnsi"/>
          <w:i/>
        </w:rPr>
        <w:t xml:space="preserve"> </w:t>
      </w:r>
      <w:r w:rsidR="00051E56">
        <w:rPr>
          <w:rFonts w:cstheme="minorHAnsi"/>
          <w:iCs/>
        </w:rPr>
        <w:t xml:space="preserve">For comparison, </w:t>
      </w:r>
      <w:r w:rsidR="00051E56">
        <w:rPr>
          <w:rFonts w:cstheme="minorHAnsi"/>
        </w:rPr>
        <w:t>i</w:t>
      </w:r>
      <w:r w:rsidR="00F34121" w:rsidRPr="00B83456">
        <w:rPr>
          <w:rFonts w:cstheme="minorHAnsi"/>
        </w:rPr>
        <w:t>n Hinduism</w:t>
      </w:r>
      <w:r w:rsidR="00051E56">
        <w:rPr>
          <w:rFonts w:cstheme="minorHAnsi"/>
        </w:rPr>
        <w:t xml:space="preserve"> it is expected that </w:t>
      </w:r>
      <w:r w:rsidR="00F34121" w:rsidRPr="00B83456">
        <w:rPr>
          <w:rFonts w:cstheme="minorHAnsi"/>
        </w:rPr>
        <w:t xml:space="preserve">only the lowest caste (the </w:t>
      </w:r>
      <w:proofErr w:type="spellStart"/>
      <w:r w:rsidR="00F34121" w:rsidRPr="00B83456">
        <w:rPr>
          <w:rFonts w:cstheme="minorHAnsi"/>
          <w:i/>
          <w:iCs/>
        </w:rPr>
        <w:t>sudra</w:t>
      </w:r>
      <w:proofErr w:type="spellEnd"/>
      <w:r w:rsidR="00F34121" w:rsidRPr="00B83456">
        <w:rPr>
          <w:rFonts w:cstheme="minorHAnsi"/>
        </w:rPr>
        <w:t xml:space="preserve">) is </w:t>
      </w:r>
      <w:r w:rsidR="00051E56">
        <w:rPr>
          <w:rFonts w:cstheme="minorHAnsi"/>
        </w:rPr>
        <w:t xml:space="preserve">responsible for </w:t>
      </w:r>
      <w:r w:rsidR="00F34121" w:rsidRPr="00B83456">
        <w:rPr>
          <w:rFonts w:cstheme="minorHAnsi"/>
        </w:rPr>
        <w:t>t</w:t>
      </w:r>
      <w:r w:rsidR="00051E56">
        <w:rPr>
          <w:rFonts w:cstheme="minorHAnsi"/>
        </w:rPr>
        <w:t>he</w:t>
      </w:r>
      <w:r w:rsidR="00F34121" w:rsidRPr="00B83456">
        <w:rPr>
          <w:rFonts w:cstheme="minorHAnsi"/>
        </w:rPr>
        <w:t xml:space="preserve"> handl</w:t>
      </w:r>
      <w:r w:rsidR="00051E56">
        <w:rPr>
          <w:rFonts w:cstheme="minorHAnsi"/>
        </w:rPr>
        <w:t xml:space="preserve">ing </w:t>
      </w:r>
      <w:r w:rsidR="00F34121" w:rsidRPr="00B83456">
        <w:rPr>
          <w:rFonts w:cstheme="minorHAnsi"/>
        </w:rPr>
        <w:t>the dead.</w:t>
      </w:r>
      <w:r w:rsidR="00BF512E" w:rsidRPr="00B83456">
        <w:rPr>
          <w:rStyle w:val="FootnoteReference"/>
          <w:rFonts w:cstheme="minorHAnsi"/>
        </w:rPr>
        <w:footnoteReference w:id="11"/>
      </w:r>
      <w:r w:rsidR="00F34121" w:rsidRPr="00B83456">
        <w:rPr>
          <w:rFonts w:cstheme="minorHAnsi"/>
        </w:rPr>
        <w:t xml:space="preserve"> The idea of </w:t>
      </w:r>
      <w:r w:rsidR="00B2021C" w:rsidRPr="00B83456">
        <w:rPr>
          <w:rFonts w:cstheme="minorHAnsi"/>
        </w:rPr>
        <w:t>pure</w:t>
      </w:r>
      <w:r w:rsidR="001771C8" w:rsidRPr="00B83456">
        <w:rPr>
          <w:rFonts w:cstheme="minorHAnsi"/>
        </w:rPr>
        <w:t xml:space="preserve"> in opposition to</w:t>
      </w:r>
      <w:r w:rsidR="00B2021C" w:rsidRPr="00B83456">
        <w:rPr>
          <w:rFonts w:cstheme="minorHAnsi"/>
        </w:rPr>
        <w:t xml:space="preserve"> impure and </w:t>
      </w:r>
      <w:r w:rsidR="00F34121" w:rsidRPr="00B83456">
        <w:rPr>
          <w:rFonts w:cstheme="minorHAnsi"/>
        </w:rPr>
        <w:t>pollution</w:t>
      </w:r>
      <w:r w:rsidR="00B2021C" w:rsidRPr="00B83456">
        <w:rPr>
          <w:rFonts w:cstheme="minorHAnsi"/>
        </w:rPr>
        <w:t xml:space="preserve">, especially </w:t>
      </w:r>
      <w:r w:rsidR="00F34121" w:rsidRPr="00B83456">
        <w:rPr>
          <w:rFonts w:cstheme="minorHAnsi"/>
        </w:rPr>
        <w:t>due to the presence of a corpse</w:t>
      </w:r>
      <w:r w:rsidR="00B2021C" w:rsidRPr="00B83456">
        <w:rPr>
          <w:rFonts w:cstheme="minorHAnsi"/>
        </w:rPr>
        <w:t xml:space="preserve">, </w:t>
      </w:r>
      <w:r w:rsidR="00F34121" w:rsidRPr="00B83456">
        <w:rPr>
          <w:rFonts w:cstheme="minorHAnsi"/>
        </w:rPr>
        <w:t>is not uncommon</w:t>
      </w:r>
      <w:r w:rsidR="00420EDA">
        <w:rPr>
          <w:rFonts w:cstheme="minorHAnsi"/>
        </w:rPr>
        <w:t xml:space="preserve"> –</w:t>
      </w:r>
      <w:r w:rsidR="00B2021C" w:rsidRPr="00B83456">
        <w:rPr>
          <w:rFonts w:cstheme="minorHAnsi"/>
        </w:rPr>
        <w:t xml:space="preserve"> </w:t>
      </w:r>
      <w:r w:rsidR="005C7D33" w:rsidRPr="00420EDA">
        <w:rPr>
          <w:rFonts w:cstheme="minorHAnsi"/>
          <w:iCs/>
        </w:rPr>
        <w:t>the</w:t>
      </w:r>
      <w:r w:rsidR="005C7D33" w:rsidRPr="00B83456">
        <w:rPr>
          <w:rFonts w:cstheme="minorHAnsi"/>
          <w:i/>
        </w:rPr>
        <w:t xml:space="preserve"> </w:t>
      </w:r>
      <w:r w:rsidR="005C7D33" w:rsidRPr="00B83456">
        <w:rPr>
          <w:rFonts w:cstheme="minorHAnsi"/>
          <w:iCs/>
        </w:rPr>
        <w:t xml:space="preserve">“impure cloud” which, according to the </w:t>
      </w:r>
      <w:proofErr w:type="spellStart"/>
      <w:r w:rsidR="005C7D33" w:rsidRPr="00B83456">
        <w:rPr>
          <w:rFonts w:cstheme="minorHAnsi"/>
          <w:iCs/>
        </w:rPr>
        <w:t>Olo</w:t>
      </w:r>
      <w:proofErr w:type="spellEnd"/>
      <w:r w:rsidR="005C7D33" w:rsidRPr="00B83456">
        <w:rPr>
          <w:rFonts w:cstheme="minorHAnsi"/>
          <w:iCs/>
        </w:rPr>
        <w:t xml:space="preserve"> </w:t>
      </w:r>
      <w:proofErr w:type="spellStart"/>
      <w:r w:rsidR="005C7D33" w:rsidRPr="00B83456">
        <w:rPr>
          <w:rFonts w:cstheme="minorHAnsi"/>
          <w:iCs/>
        </w:rPr>
        <w:t>Ngaju</w:t>
      </w:r>
      <w:proofErr w:type="spellEnd"/>
      <w:r w:rsidR="005C7D33" w:rsidRPr="00B83456">
        <w:rPr>
          <w:rFonts w:cstheme="minorHAnsi"/>
          <w:iCs/>
        </w:rPr>
        <w:t>, surrounds the deceased, pollutes everything it touches</w:t>
      </w:r>
      <w:r w:rsidR="005C7D33" w:rsidRPr="00B83456">
        <w:rPr>
          <w:rFonts w:cstheme="minorHAnsi"/>
        </w:rPr>
        <w:t>.</w:t>
      </w:r>
      <w:r w:rsidR="00051F0F" w:rsidRPr="00B83456">
        <w:rPr>
          <w:rStyle w:val="FootnoteReference"/>
          <w:rFonts w:cstheme="minorHAnsi"/>
        </w:rPr>
        <w:footnoteReference w:id="12"/>
      </w:r>
      <w:r w:rsidR="00051F0F" w:rsidRPr="00B83456">
        <w:rPr>
          <w:rFonts w:cstheme="minorHAnsi"/>
        </w:rPr>
        <w:t xml:space="preserve"> Metcalf and Huntingdon also propose that</w:t>
      </w:r>
      <w:r w:rsidR="005C7D33" w:rsidRPr="00B83456">
        <w:rPr>
          <w:rFonts w:cstheme="minorHAnsi"/>
        </w:rPr>
        <w:t xml:space="preserve"> </w:t>
      </w:r>
      <w:r w:rsidR="00051F0F" w:rsidRPr="00B83456">
        <w:rPr>
          <w:rFonts w:cstheme="minorHAnsi"/>
        </w:rPr>
        <w:t xml:space="preserve">“each </w:t>
      </w:r>
      <w:r w:rsidR="005C7D33" w:rsidRPr="00B83456">
        <w:rPr>
          <w:rFonts w:cstheme="minorHAnsi"/>
        </w:rPr>
        <w:t>severed relationship leaves a living person that much reduced: a social and psychological amputee”</w:t>
      </w:r>
      <w:r w:rsidR="00051F0F" w:rsidRPr="00B83456">
        <w:rPr>
          <w:rFonts w:cstheme="minorHAnsi"/>
        </w:rPr>
        <w:t>.</w:t>
      </w:r>
      <w:r w:rsidR="00051F0F" w:rsidRPr="00B83456">
        <w:rPr>
          <w:rStyle w:val="FootnoteReference"/>
          <w:rFonts w:cstheme="minorHAnsi"/>
        </w:rPr>
        <w:footnoteReference w:id="13"/>
      </w:r>
      <w:r w:rsidR="00051E56">
        <w:rPr>
          <w:rFonts w:cstheme="minorHAnsi"/>
        </w:rPr>
        <w:t xml:space="preserve"> Therefore, once an individual has suffered loss they are then polluted during their grieving process if not even longer.</w:t>
      </w:r>
      <w:r w:rsidR="00A25DBA">
        <w:rPr>
          <w:rFonts w:cstheme="minorHAnsi"/>
        </w:rPr>
        <w:t xml:space="preserve"> </w:t>
      </w:r>
      <w:r w:rsidR="009B4419">
        <w:rPr>
          <w:rFonts w:cstheme="minorHAnsi"/>
        </w:rPr>
        <w:t xml:space="preserve">Performing rituals might reduce or remove this social stigma. </w:t>
      </w:r>
      <w:r w:rsidR="00A25DBA">
        <w:rPr>
          <w:rFonts w:cstheme="minorHAnsi"/>
        </w:rPr>
        <w:t>Conversely, the role of the performing members of society that carried out the ritual activities of a funeral can be seen to gain social status through the enactment of the funeral. The dead may have been venerated as powerful entities and the rituals then placed respect upon those who sponsored the funeral.</w:t>
      </w:r>
      <w:r w:rsidR="00A25DBA">
        <w:rPr>
          <w:rStyle w:val="FootnoteReference"/>
          <w:rFonts w:cstheme="minorHAnsi"/>
        </w:rPr>
        <w:footnoteReference w:id="14"/>
      </w:r>
      <w:r w:rsidR="00A25DBA">
        <w:rPr>
          <w:rFonts w:cstheme="minorHAnsi"/>
        </w:rPr>
        <w:t xml:space="preserve"> This indicates the intentions and focus of the living was more with themselves than with commemorating the dead.</w:t>
      </w:r>
    </w:p>
    <w:p w14:paraId="51A26658" w14:textId="5F26B73E" w:rsidR="003B4007" w:rsidRDefault="00B0435C" w:rsidP="003B4007">
      <w:r>
        <w:t xml:space="preserve">  </w:t>
      </w:r>
      <w:proofErr w:type="spellStart"/>
      <w:r w:rsidR="003B4007">
        <w:t>Keswani</w:t>
      </w:r>
      <w:proofErr w:type="spellEnd"/>
      <w:r w:rsidR="003B4007">
        <w:t xml:space="preserve"> begins her paper by defining the term ritual and extrapolating this further to establish that a ritual might be used during a significant change in the life cycle of humans, as in a rite of passage.</w:t>
      </w:r>
      <w:r w:rsidR="003B4007">
        <w:rPr>
          <w:rStyle w:val="FootnoteReference"/>
        </w:rPr>
        <w:footnoteReference w:id="15"/>
      </w:r>
      <w:r w:rsidR="003B4007">
        <w:t xml:space="preserve"> The article concerns itself with answering if the Bronze Age Cypriots worshipped their dead as deified ancestors, or if instead they were driven by a degree of fear or reverence that </w:t>
      </w:r>
      <w:r w:rsidR="004212B6">
        <w:t>motivated post-funerary offerings and communion.</w:t>
      </w:r>
      <w:r w:rsidR="004212B6">
        <w:rPr>
          <w:rStyle w:val="FootnoteReference"/>
        </w:rPr>
        <w:footnoteReference w:id="16"/>
      </w:r>
      <w:r w:rsidR="004212B6">
        <w:t xml:space="preserve"> </w:t>
      </w:r>
      <w:r w:rsidR="00D93A54">
        <w:t xml:space="preserve">In this article it is proposed there is no such evidence that the ancestors were deified for worship and turns attention to the ritual feasting. The presence of bowl fragments indicates that there was food present in the tombs, whether for offering or consumption. A practice of feasting with the dead is found within the Near Eastern ancient culture </w:t>
      </w:r>
      <w:r w:rsidR="00D93A54">
        <w:lastRenderedPageBreak/>
        <w:t xml:space="preserve">and Crewe remarks on the similarities of the </w:t>
      </w:r>
      <w:r w:rsidR="008B0156">
        <w:t>findings in Cyprian tombs.</w:t>
      </w:r>
      <w:r w:rsidR="008B0156">
        <w:rPr>
          <w:rStyle w:val="FootnoteReference"/>
        </w:rPr>
        <w:footnoteReference w:id="17"/>
      </w:r>
      <w:r w:rsidR="008B0156">
        <w:t xml:space="preserve"> Even with this possible explanation, it is unknown if the artefacts were used in ceremonies at the time of burials or if they were used in the post-funerary revisits. The reasons for revisit could have been for tribute, offering, or maintenance, as has been seen by the evidence for fumigation. In addition, the purpose of a revisit could have stemmed from fear out of respect of the dead and the power the dead might possess. </w:t>
      </w:r>
      <w:r w:rsidR="00D93A54">
        <w:t>Dietrich explains the negative function of a funerary ritual as a means of preventing the spirit returning to haunt the living which clearly indicates the fear and association with death as a pollutant.</w:t>
      </w:r>
      <w:r w:rsidR="00D93A54">
        <w:rPr>
          <w:rStyle w:val="FootnoteReference"/>
        </w:rPr>
        <w:footnoteReference w:id="18"/>
      </w:r>
      <w:r w:rsidR="00D93A54">
        <w:t xml:space="preserve"> </w:t>
      </w:r>
      <w:r w:rsidR="00A33809">
        <w:t>The fear here stems from a belief that demons</w:t>
      </w:r>
      <w:r>
        <w:t>, goblins, and bogeys could (and would) strike the living with disease or madness, and it seems possible that these superstitious beliefs could have played a part in Minoan society.</w:t>
      </w:r>
      <w:r>
        <w:rPr>
          <w:rStyle w:val="FootnoteReference"/>
        </w:rPr>
        <w:footnoteReference w:id="19"/>
      </w:r>
    </w:p>
    <w:p w14:paraId="5FBF0BA8" w14:textId="0BBD8E61" w:rsidR="005104F7" w:rsidRPr="00212E0C" w:rsidRDefault="00B0435C">
      <w:r>
        <w:t xml:space="preserve">  </w:t>
      </w:r>
      <w:r w:rsidR="00E2135F">
        <w:t>Rites and pass</w:t>
      </w:r>
      <w:r w:rsidR="00D779D6">
        <w:t>a</w:t>
      </w:r>
      <w:r w:rsidR="00E2135F">
        <w:t>ge</w:t>
      </w:r>
      <w:r w:rsidR="00292B1B">
        <w:t xml:space="preserve"> are a key part to a ritual.</w:t>
      </w:r>
      <w:r w:rsidR="00E2135F">
        <w:t xml:space="preserve"> Van </w:t>
      </w:r>
      <w:proofErr w:type="spellStart"/>
      <w:r w:rsidR="00E2135F">
        <w:t>Gennep</w:t>
      </w:r>
      <w:proofErr w:type="spellEnd"/>
      <w:r w:rsidR="002E2790">
        <w:t xml:space="preserve"> </w:t>
      </w:r>
      <w:r w:rsidR="00112EA3">
        <w:t xml:space="preserve">suggested that rites of passage are applicable to all </w:t>
      </w:r>
      <w:r w:rsidR="003E2803">
        <w:t xml:space="preserve">and thus should apply to what is known of the ritual performances in antiquity. Van </w:t>
      </w:r>
      <w:proofErr w:type="spellStart"/>
      <w:r w:rsidR="003E2803">
        <w:t>Gennep</w:t>
      </w:r>
      <w:proofErr w:type="spellEnd"/>
      <w:r w:rsidR="003E2803">
        <w:t xml:space="preserve"> proposes three basic phases to</w:t>
      </w:r>
      <w:r w:rsidR="00E22633">
        <w:t xml:space="preserve"> all</w:t>
      </w:r>
      <w:r w:rsidR="003E2803">
        <w:t xml:space="preserve"> rites of passage – separation, transition, and incorporation.</w:t>
      </w:r>
      <w:r w:rsidR="00292B1B">
        <w:rPr>
          <w:rStyle w:val="FootnoteReference"/>
        </w:rPr>
        <w:footnoteReference w:id="20"/>
      </w:r>
      <w:r w:rsidR="00E2135F">
        <w:t xml:space="preserve"> </w:t>
      </w:r>
      <w:r w:rsidR="005104F7">
        <w:t xml:space="preserve">This is most simply noticeable in the ancient Greek custom </w:t>
      </w:r>
      <w:r w:rsidR="005C7D33">
        <w:t>of removing the dead from society to place them in a tomb, the transitional phase of decomposing, followed by the reincorporation of that person by way of taking their skull and/or long bones to be deposited elsewhere more relevant.</w:t>
      </w:r>
      <w:r w:rsidR="00E22633">
        <w:t xml:space="preserve"> </w:t>
      </w:r>
      <w:r w:rsidR="00292B1B">
        <w:t>It is while in the transitional phase that the deceased poses a threat to the living.</w:t>
      </w:r>
      <w:r w:rsidR="00292B1B">
        <w:rPr>
          <w:rStyle w:val="FootnoteReference"/>
        </w:rPr>
        <w:footnoteReference w:id="21"/>
      </w:r>
      <w:r w:rsidR="00292B1B">
        <w:t xml:space="preserve"> The superstition that there is danger associated with the dead further supports the possibility of an association with pollution that overrules the deceased’s individuality in rituals. </w:t>
      </w:r>
      <w:r w:rsidR="00212E0C">
        <w:t>The rites of passage in ancient funerary rites might indicate that the repeated visit of extended kin maintained a feeling of unity and community amongst the living and the collective dead ancestors in the years after the death of their common member of society.</w:t>
      </w:r>
      <w:r w:rsidR="00212E0C">
        <w:rPr>
          <w:rStyle w:val="FootnoteReference"/>
        </w:rPr>
        <w:footnoteReference w:id="22"/>
      </w:r>
      <w:r w:rsidR="00BE2469">
        <w:t xml:space="preserve"> In terms of reintroduction or reincorporation, there is evidence that when the skull was removed from an initial burial tomb and repositioned elsewhere, it was placed in the centre of a burial tomb amongst other skulls.</w:t>
      </w:r>
      <w:r w:rsidR="00BE2469">
        <w:rPr>
          <w:rStyle w:val="FootnoteReference"/>
        </w:rPr>
        <w:footnoteReference w:id="23"/>
      </w:r>
      <w:r w:rsidR="00BE2469">
        <w:t xml:space="preserve"> Driessen questions if those skulls gathered at the secondary burial tomb are selected intentionally as individuals or if they were thought as representative of the collective ancestors. It his Driessen’s belief that the placement of skulls and the funerary objects were not personal items for identifying individualism.</w:t>
      </w:r>
      <w:r w:rsidR="00BE2469">
        <w:rPr>
          <w:rStyle w:val="FootnoteReference"/>
        </w:rPr>
        <w:footnoteReference w:id="24"/>
      </w:r>
      <w:r w:rsidR="00BE2469">
        <w:t xml:space="preserve"> This is due to the indistinguishable nature of the collective group of bones that were </w:t>
      </w:r>
      <w:r w:rsidR="00AF4012">
        <w:t xml:space="preserve">deposited </w:t>
      </w:r>
      <w:r w:rsidR="00BE2469">
        <w:t xml:space="preserve">in one </w:t>
      </w:r>
      <w:r w:rsidR="00AF4012">
        <w:t xml:space="preserve">tomb area and this is indicative of a ‘fractal personhood’, that is to say that the individual is no longer a complete sole person. From this, the identities are forgotten, and the dead are honoured collectively. </w:t>
      </w:r>
    </w:p>
    <w:p w14:paraId="2234D748" w14:textId="7473EC82" w:rsidR="00183C49" w:rsidRDefault="00B0435C">
      <w:r>
        <w:t xml:space="preserve">  </w:t>
      </w:r>
      <w:r w:rsidR="00E2135F">
        <w:t>Minoan funerary customs under</w:t>
      </w:r>
      <w:r w:rsidR="00EA0DE5">
        <w:t xml:space="preserve">went </w:t>
      </w:r>
      <w:r w:rsidR="00E2135F">
        <w:t xml:space="preserve">a drastic shift towards the end of the third millennium B.C.E. when they began to use clay receptacles (known as </w:t>
      </w:r>
      <w:r w:rsidR="00E2135F">
        <w:rPr>
          <w:i/>
          <w:iCs/>
        </w:rPr>
        <w:t xml:space="preserve">pithoi </w:t>
      </w:r>
      <w:r w:rsidR="00E2135F" w:rsidRPr="00E2135F">
        <w:t>or</w:t>
      </w:r>
      <w:r w:rsidR="00E2135F">
        <w:rPr>
          <w:i/>
          <w:iCs/>
        </w:rPr>
        <w:t xml:space="preserve"> larnakes</w:t>
      </w:r>
      <w:r w:rsidR="00E2135F">
        <w:t xml:space="preserve">) </w:t>
      </w:r>
      <w:r w:rsidR="00DB1F13">
        <w:t xml:space="preserve">as common usage </w:t>
      </w:r>
      <w:r w:rsidR="00E2135F">
        <w:t>to store the bodies of their dead.</w:t>
      </w:r>
      <w:r w:rsidR="00E2135F">
        <w:rPr>
          <w:rStyle w:val="FootnoteReference"/>
        </w:rPr>
        <w:footnoteReference w:id="25"/>
      </w:r>
      <w:r w:rsidR="00E2135F">
        <w:t xml:space="preserve"> </w:t>
      </w:r>
      <w:r w:rsidR="00183C49">
        <w:t xml:space="preserve">Pithoi resembled an almost vase-like pot while larnakes were chest-shaped coffins. </w:t>
      </w:r>
      <w:r w:rsidR="00E2135F">
        <w:t xml:space="preserve">This was an abandonment of the usual </w:t>
      </w:r>
      <w:r w:rsidR="005B704E">
        <w:t>custom surrounding extramural tomb or cemetery burial. Larnakes and pithoi contained the remains of the dead, such as ashes</w:t>
      </w:r>
      <w:r w:rsidR="00DB1F13">
        <w:t xml:space="preserve"> or the trussed body of </w:t>
      </w:r>
      <w:r w:rsidR="00DB1F13">
        <w:lastRenderedPageBreak/>
        <w:t>the deceased, and this allowed them to be stored in a more individualised basis</w:t>
      </w:r>
      <w:r w:rsidR="008B39F4">
        <w:t xml:space="preserve"> which prevented the jumbling of assorted remains previously highlighted. This might not have been the intention, with </w:t>
      </w:r>
      <w:r w:rsidR="00183C49">
        <w:t xml:space="preserve">Dickinson </w:t>
      </w:r>
      <w:r w:rsidR="008B39F4">
        <w:t xml:space="preserve">proposing that </w:t>
      </w:r>
      <w:r w:rsidR="00183C49">
        <w:t>larnakes and pithoi did</w:t>
      </w:r>
      <w:r w:rsidR="008B39F4">
        <w:t xml:space="preserve"> effectively isolate one burial from another, that does not</w:t>
      </w:r>
      <w:r w:rsidR="00183C49">
        <w:t xml:space="preserve"> </w:t>
      </w:r>
      <w:r w:rsidR="008B39F4">
        <w:t xml:space="preserve">necessarily </w:t>
      </w:r>
      <w:r w:rsidR="00183C49">
        <w:t>denote individuality</w:t>
      </w:r>
      <w:r w:rsidR="008B39F4">
        <w:t xml:space="preserve"> as an intended form of respect for the dead</w:t>
      </w:r>
      <w:r w:rsidR="00183C49">
        <w:t>.</w:t>
      </w:r>
      <w:r w:rsidR="00183C49">
        <w:rPr>
          <w:rStyle w:val="FootnoteReference"/>
        </w:rPr>
        <w:footnoteReference w:id="26"/>
      </w:r>
      <w:r w:rsidR="00D94626">
        <w:t xml:space="preserve"> Even so, the extra care taken to store individual remains grants the </w:t>
      </w:r>
      <w:r w:rsidR="00E22633">
        <w:t>impression that the deceased were now</w:t>
      </w:r>
      <w:r w:rsidR="002730AC">
        <w:t xml:space="preserve"> cared for on an individual basis</w:t>
      </w:r>
      <w:r w:rsidR="00E22633">
        <w:t xml:space="preserve">. </w:t>
      </w:r>
    </w:p>
    <w:p w14:paraId="4C15C90C" w14:textId="3FE73CF0" w:rsidR="00E22633" w:rsidRDefault="00B0435C">
      <w:r>
        <w:t xml:space="preserve">  </w:t>
      </w:r>
      <w:r w:rsidR="00E22633">
        <w:t xml:space="preserve">In summary, </w:t>
      </w:r>
      <w:r w:rsidR="008B0156">
        <w:t>it has been found that the funerary rituals of the Bronze Age began with the use of tombs, both collective and extramural, where numerous bodies would be stored to decompose. Out of these tombs, particularly important items such as the skull or longer bones of the body might have been exhumed for a second ‘burial’ at a prescribed location</w:t>
      </w:r>
      <w:r w:rsidR="00E54AA8">
        <w:t xml:space="preserve"> but many bones were left in a collective state and swept aside to make room for new burials</w:t>
      </w:r>
      <w:r w:rsidR="008B0156">
        <w:t>.</w:t>
      </w:r>
      <w:r w:rsidR="00E54AA8">
        <w:t xml:space="preserve"> While containing a jumbled collection of multiple bone sets, the tomb was somewhat taken care of including fumigated to cleanse it of pests but the minor bones belonging to ancestors were still ‘neglected’. </w:t>
      </w:r>
      <w:r w:rsidR="004775A5">
        <w:t xml:space="preserve">When concerned with the theme of the dead harbouring dark or polluted spirits, efforts to ensure the living were safe has the negative connotation of being less concerned about the dead and their spirit, instead focusing on the living. The deceased has been reduced to a spirit with inferior identity and rituals seemingly about respect are performed out of self-interest. This links to the idea of death having an intrinsic relation with pollution. Those who are mourning are polluted and psychologically amputated, those who are in transitional states are polluted, and this concept of pollution is rectified by the rites of passage to negate these effects. </w:t>
      </w:r>
      <w:r w:rsidR="002730AC">
        <w:t xml:space="preserve">Following these traditions, the use of </w:t>
      </w:r>
      <w:r w:rsidR="002730AC">
        <w:rPr>
          <w:i/>
          <w:iCs/>
        </w:rPr>
        <w:t xml:space="preserve">pithoi </w:t>
      </w:r>
      <w:r w:rsidR="002730AC">
        <w:t xml:space="preserve">and </w:t>
      </w:r>
      <w:r w:rsidR="002730AC">
        <w:rPr>
          <w:i/>
          <w:iCs/>
        </w:rPr>
        <w:t xml:space="preserve">larnakes </w:t>
      </w:r>
      <w:r w:rsidR="002730AC">
        <w:t>were introduced which provides an impression that the dead were cared for on a more individual basis as they made use of individual containers for the person or person’s remains, avoiding the trouble of mixed and assorted remains swept to a corner of a tomb.</w:t>
      </w:r>
      <w:r w:rsidR="00AF4012">
        <w:t xml:space="preserve"> The lack of individualism that accompanied the collective nature of burials is best summarised by Driessen as observed</w:t>
      </w:r>
      <w:r w:rsidR="00541EED">
        <w:t xml:space="preserve"> in the statement that the activities</w:t>
      </w:r>
      <w:r w:rsidR="00AF4012">
        <w:t xml:space="preserve"> ‘represent at the same time a process of </w:t>
      </w:r>
      <w:proofErr w:type="spellStart"/>
      <w:r w:rsidR="00AF4012">
        <w:t>deindividualisation</w:t>
      </w:r>
      <w:proofErr w:type="spellEnd"/>
      <w:r w:rsidR="00AF4012">
        <w:t xml:space="preserve"> and an ascendance to a new status of collective ancestor’.</w:t>
      </w:r>
      <w:r w:rsidR="00AF4012">
        <w:rPr>
          <w:rStyle w:val="FootnoteReference"/>
        </w:rPr>
        <w:footnoteReference w:id="27"/>
      </w:r>
      <w:r w:rsidR="00BE2469">
        <w:rPr>
          <w:color w:val="FF0000"/>
        </w:rPr>
        <w:br/>
      </w:r>
      <w:r>
        <w:t xml:space="preserve">  </w:t>
      </w:r>
      <w:r w:rsidR="00212E0C">
        <w:t xml:space="preserve">The main question posed by this paper was concerned with the funerary practices being indicative of a ‘radical devaluation of the deceased’s individuality’. </w:t>
      </w:r>
      <w:r w:rsidR="00E22633">
        <w:t xml:space="preserve">Therefore, in conclusion, </w:t>
      </w:r>
      <w:r w:rsidR="002730AC">
        <w:t>funerary rituals</w:t>
      </w:r>
      <w:r w:rsidR="00E70F0D">
        <w:t xml:space="preserve">, at least prior to the use of </w:t>
      </w:r>
      <w:r w:rsidR="001E69A8">
        <w:t xml:space="preserve">coffin-like receptacles, </w:t>
      </w:r>
      <w:r w:rsidR="002730AC">
        <w:t>were in fact displays of devaluation to the deceased’s individuality.</w:t>
      </w:r>
      <w:r w:rsidR="00B018D0">
        <w:t xml:space="preserve"> Due to a need to protect the living and cleanse them of the deceased’s negative impact, this lack of individuality in the deceased could have been caused by the superstitious attitudes that arise from an association of death and pollution.</w:t>
      </w:r>
      <w:r w:rsidR="002730AC">
        <w:t xml:space="preserve"> </w:t>
      </w:r>
      <w:r w:rsidR="00541EED">
        <w:t>Ancestors were seemingly considered more in the collective sense rather than the individual manner though greater care was taken to separate the remains in later stages.</w:t>
      </w:r>
      <w:r w:rsidR="00B018D0">
        <w:t xml:space="preserve"> </w:t>
      </w:r>
    </w:p>
    <w:p w14:paraId="2519A845" w14:textId="45BA087C" w:rsidR="00EF7FED" w:rsidRDefault="00EF7FED"/>
    <w:p w14:paraId="0CE46606" w14:textId="312ABA04" w:rsidR="00EF7FED" w:rsidRDefault="00EF7FED"/>
    <w:p w14:paraId="4F2EEA05" w14:textId="55D48EFE" w:rsidR="00EF7FED" w:rsidRDefault="00EF7FED"/>
    <w:p w14:paraId="567E838F" w14:textId="4E89E442" w:rsidR="00EF7FED" w:rsidRDefault="00EF7FED"/>
    <w:p w14:paraId="1B06939E" w14:textId="6659CD7E" w:rsidR="00EF7FED" w:rsidRDefault="00EF7FED"/>
    <w:p w14:paraId="1E2D445A" w14:textId="49A3E18C" w:rsidR="00EF7FED" w:rsidRDefault="00EF7FED"/>
    <w:p w14:paraId="350E86EC" w14:textId="6CA0ACB9" w:rsidR="00EF7FED" w:rsidRDefault="00EF7FED" w:rsidP="00EF7FED">
      <w:r>
        <w:lastRenderedPageBreak/>
        <w:t>Bibliography</w:t>
      </w:r>
    </w:p>
    <w:p w14:paraId="6B0F24C6" w14:textId="77777777" w:rsidR="00EF7FED" w:rsidRDefault="00EF7FED" w:rsidP="00EF7FED"/>
    <w:p w14:paraId="095AD864" w14:textId="77777777" w:rsidR="00EF7FED" w:rsidRDefault="00EF7FED" w:rsidP="00EF7FED">
      <w:bookmarkStart w:id="1" w:name="_Hlk31897831"/>
      <w:r>
        <w:t>Bloch, M., Parry, J., ‘Death and the Regeneration of Life’, (1982) Cambridge: Cambridge University Press.</w:t>
      </w:r>
    </w:p>
    <w:p w14:paraId="7D2C20D5" w14:textId="77777777" w:rsidR="00EF7FED" w:rsidRDefault="00EF7FED" w:rsidP="00EF7FED">
      <w:pPr>
        <w:rPr>
          <w:rFonts w:cstheme="minorHAnsi"/>
          <w:color w:val="222222"/>
          <w:shd w:val="clear" w:color="auto" w:fill="FFFFFF"/>
        </w:rPr>
      </w:pPr>
      <w:bookmarkStart w:id="2" w:name="_Hlk31898248"/>
      <w:bookmarkEnd w:id="1"/>
      <w:r>
        <w:rPr>
          <w:rFonts w:ascii="Arial" w:hAnsi="Arial" w:cs="Arial"/>
          <w:color w:val="222222"/>
          <w:sz w:val="20"/>
          <w:szCs w:val="20"/>
          <w:shd w:val="clear" w:color="auto" w:fill="FFFFFF"/>
        </w:rPr>
        <w:t xml:space="preserve">Dietrich, B.C., ‘Death and Afterlife in Minoan Religion’, </w:t>
      </w:r>
      <w:proofErr w:type="spellStart"/>
      <w:r>
        <w:rPr>
          <w:rFonts w:cstheme="minorHAnsi"/>
          <w:i/>
          <w:iCs/>
          <w:color w:val="222222"/>
          <w:shd w:val="clear" w:color="auto" w:fill="FFFFFF"/>
        </w:rPr>
        <w:t>Kernos</w:t>
      </w:r>
      <w:proofErr w:type="spellEnd"/>
      <w:r>
        <w:rPr>
          <w:rFonts w:cstheme="minorHAnsi"/>
          <w:i/>
          <w:iCs/>
          <w:color w:val="222222"/>
          <w:shd w:val="clear" w:color="auto" w:fill="FFFFFF"/>
        </w:rPr>
        <w:t xml:space="preserve">: </w:t>
      </w:r>
      <w:r>
        <w:rPr>
          <w:rFonts w:cstheme="minorHAnsi"/>
          <w:i/>
          <w:iCs/>
        </w:rPr>
        <w:t xml:space="preserve">Revue </w:t>
      </w:r>
      <w:proofErr w:type="spellStart"/>
      <w:r>
        <w:rPr>
          <w:rFonts w:cstheme="minorHAnsi"/>
          <w:i/>
          <w:iCs/>
        </w:rPr>
        <w:t>internationale</w:t>
      </w:r>
      <w:proofErr w:type="spellEnd"/>
      <w:r>
        <w:rPr>
          <w:rFonts w:cstheme="minorHAnsi"/>
          <w:i/>
          <w:iCs/>
        </w:rPr>
        <w:t xml:space="preserve"> et </w:t>
      </w:r>
      <w:proofErr w:type="spellStart"/>
      <w:r>
        <w:rPr>
          <w:rFonts w:cstheme="minorHAnsi"/>
          <w:i/>
          <w:iCs/>
        </w:rPr>
        <w:t>pluridisciplinaire</w:t>
      </w:r>
      <w:proofErr w:type="spellEnd"/>
      <w:r>
        <w:rPr>
          <w:rFonts w:cstheme="minorHAnsi"/>
          <w:i/>
          <w:iCs/>
        </w:rPr>
        <w:t xml:space="preserve"> de religion grecque antique</w:t>
      </w:r>
      <w:r>
        <w:rPr>
          <w:rFonts w:cstheme="minorHAnsi"/>
        </w:rPr>
        <w:t xml:space="preserve">, Vol. 10, 1997, </w:t>
      </w:r>
      <w:bookmarkEnd w:id="2"/>
      <w:r>
        <w:rPr>
          <w:rFonts w:cstheme="minorHAnsi"/>
        </w:rPr>
        <w:t>pp. 19-38</w:t>
      </w:r>
    </w:p>
    <w:p w14:paraId="20F4878A" w14:textId="77777777" w:rsidR="00EF7FED" w:rsidRDefault="00EF7FED" w:rsidP="00EF7FED">
      <w:bookmarkStart w:id="3" w:name="_Hlk31898015"/>
      <w:bookmarkStart w:id="4" w:name="_Hlk31897885"/>
      <w:r>
        <w:t>Douglas, M., ‘Purity and Danger: An Analysis of the Concepts of Pollution and Taboo’, Ch. 6 – ‘Powers and Dangers’, 1966.</w:t>
      </w:r>
      <w:bookmarkEnd w:id="3"/>
      <w:r>
        <w:t xml:space="preserve"> United Kingdom: Routledge.</w:t>
      </w:r>
    </w:p>
    <w:p w14:paraId="60006BDC" w14:textId="77777777" w:rsidR="00EF7FED" w:rsidRDefault="00EF7FED" w:rsidP="00EF7FED">
      <w:pPr>
        <w:rPr>
          <w:rFonts w:cstheme="minorHAnsi"/>
          <w:color w:val="222222"/>
          <w:shd w:val="clear" w:color="auto" w:fill="FFFFFF"/>
        </w:rPr>
      </w:pPr>
      <w:r>
        <w:rPr>
          <w:rFonts w:cstheme="minorHAnsi"/>
          <w:color w:val="222222"/>
          <w:shd w:val="clear" w:color="auto" w:fill="FFFFFF"/>
        </w:rPr>
        <w:t xml:space="preserve">Driessen, J., ‘The Goddess and the Skull: Some Observations on Group Identity in </w:t>
      </w:r>
      <w:proofErr w:type="spellStart"/>
      <w:r>
        <w:rPr>
          <w:rFonts w:cstheme="minorHAnsi"/>
          <w:color w:val="222222"/>
          <w:shd w:val="clear" w:color="auto" w:fill="FFFFFF"/>
        </w:rPr>
        <w:t>Prepalatial</w:t>
      </w:r>
      <w:proofErr w:type="spellEnd"/>
      <w:r>
        <w:rPr>
          <w:rFonts w:cstheme="minorHAnsi"/>
          <w:color w:val="222222"/>
          <w:shd w:val="clear" w:color="auto" w:fill="FFFFFF"/>
        </w:rPr>
        <w:t xml:space="preserve"> Crete’, </w:t>
      </w:r>
      <w:r>
        <w:rPr>
          <w:rStyle w:val="HTMLCite"/>
          <w:rFonts w:cstheme="minorHAnsi"/>
          <w:color w:val="333333"/>
          <w:shd w:val="clear" w:color="auto" w:fill="FFFFFF"/>
        </w:rPr>
        <w:t>British School at Athens Studies</w:t>
      </w:r>
      <w:r>
        <w:rPr>
          <w:rFonts w:cstheme="minorHAnsi"/>
          <w:color w:val="333333"/>
          <w:shd w:val="clear" w:color="auto" w:fill="FFFFFF"/>
        </w:rPr>
        <w:t>, Vol. 18, CRETAN OFFERINGS: Studies in honour of Peter Warren (2010), pp. 107-117</w:t>
      </w:r>
      <w:bookmarkEnd w:id="4"/>
    </w:p>
    <w:p w14:paraId="0B36AFA4" w14:textId="77777777" w:rsidR="00EF7FED" w:rsidRDefault="00EF7FED" w:rsidP="00EF7FED">
      <w:proofErr w:type="spellStart"/>
      <w:r>
        <w:t>Hatzaki</w:t>
      </w:r>
      <w:proofErr w:type="spellEnd"/>
      <w:r>
        <w:t xml:space="preserve">, E., ‘Mortuary Practices and Ideology in Bronze Age and Early Iron Age Crete’, </w:t>
      </w:r>
      <w:r>
        <w:rPr>
          <w:i/>
          <w:iCs/>
        </w:rPr>
        <w:t xml:space="preserve">British School at Athens Studies, </w:t>
      </w:r>
      <w:r>
        <w:t>Vol. 20, Parallel Lives: Ancient Island Societies in Crete and Cyprus (2012), pp. 307-313</w:t>
      </w:r>
    </w:p>
    <w:p w14:paraId="4BFCDC73" w14:textId="77777777" w:rsidR="00EF7FED" w:rsidRDefault="00EF7FED" w:rsidP="00EF7FED">
      <w:bookmarkStart w:id="5" w:name="_Hlk31898082"/>
      <w:r>
        <w:t>Hertz, in Metcalf, P. and Huntington, R., ‘</w:t>
      </w:r>
      <w:r>
        <w:rPr>
          <w:i/>
        </w:rPr>
        <w:t>Celebrations of Death: The Anthropology of Mortuary Ritual’</w:t>
      </w:r>
      <w:r>
        <w:t xml:space="preserve">. (1991) Cambridge: Cambridge University Press. </w:t>
      </w:r>
    </w:p>
    <w:p w14:paraId="3EA2189F" w14:textId="77777777" w:rsidR="00EF7FED" w:rsidRDefault="00EF7FED" w:rsidP="00EF7FED">
      <w:pPr>
        <w:rPr>
          <w:rFonts w:cstheme="minorHAnsi"/>
          <w:color w:val="222222"/>
          <w:shd w:val="clear" w:color="auto" w:fill="FFFFFF"/>
        </w:rPr>
      </w:pPr>
      <w:bookmarkStart w:id="6" w:name="_Hlk31898058"/>
      <w:bookmarkEnd w:id="5"/>
      <w:r>
        <w:rPr>
          <w:rFonts w:ascii="Arial" w:hAnsi="Arial" w:cs="Arial"/>
          <w:color w:val="222222"/>
          <w:sz w:val="20"/>
          <w:szCs w:val="20"/>
          <w:shd w:val="clear" w:color="auto" w:fill="FFFFFF"/>
        </w:rPr>
        <w:t>Joshi, D. and Fawcett, B.N., 2001, August. Water, Hindu mythology and an unequal social order in India. In </w:t>
      </w:r>
      <w:r>
        <w:rPr>
          <w:rFonts w:ascii="Arial" w:hAnsi="Arial" w:cs="Arial"/>
          <w:i/>
          <w:iCs/>
          <w:color w:val="222222"/>
          <w:sz w:val="20"/>
          <w:szCs w:val="20"/>
          <w:shd w:val="clear" w:color="auto" w:fill="FFFFFF"/>
        </w:rPr>
        <w:t>second conference of the International Water History Association, Bergen, Norway</w:t>
      </w:r>
      <w:r>
        <w:rPr>
          <w:rFonts w:ascii="Arial" w:hAnsi="Arial" w:cs="Arial"/>
          <w:color w:val="222222"/>
          <w:sz w:val="20"/>
          <w:szCs w:val="20"/>
          <w:shd w:val="clear" w:color="auto" w:fill="FFFFFF"/>
        </w:rPr>
        <w:t> (pp. 10-12).</w:t>
      </w:r>
    </w:p>
    <w:p w14:paraId="6B97545D" w14:textId="77777777" w:rsidR="00EF7FED" w:rsidRDefault="00EF7FED" w:rsidP="00EF7FED">
      <w:bookmarkStart w:id="7" w:name="_Hlk31898127"/>
      <w:bookmarkEnd w:id="6"/>
      <w:proofErr w:type="spellStart"/>
      <w:r>
        <w:t>Keswani</w:t>
      </w:r>
      <w:proofErr w:type="spellEnd"/>
      <w:r>
        <w:t xml:space="preserve">, P.S., ‘Death, </w:t>
      </w:r>
      <w:proofErr w:type="gramStart"/>
      <w:r>
        <w:t>Prestige ,</w:t>
      </w:r>
      <w:proofErr w:type="gramEnd"/>
      <w:r>
        <w:t xml:space="preserve"> and Copper in Bronze Age Cyprus’, </w:t>
      </w:r>
      <w:r>
        <w:rPr>
          <w:i/>
          <w:iCs/>
        </w:rPr>
        <w:t xml:space="preserve">American Journal of Archaeology, </w:t>
      </w:r>
      <w:r>
        <w:t xml:space="preserve">Vol. 109, No. 3 (Jul. 2005), </w:t>
      </w:r>
      <w:bookmarkEnd w:id="7"/>
      <w:r>
        <w:t>pp. 341-401</w:t>
      </w:r>
    </w:p>
    <w:p w14:paraId="278C745D" w14:textId="77777777" w:rsidR="00EF7FED" w:rsidRDefault="00EF7FED" w:rsidP="00EF7FED">
      <w:bookmarkStart w:id="8" w:name="_Hlk31897961"/>
      <w:proofErr w:type="spellStart"/>
      <w:r>
        <w:t>Keswani</w:t>
      </w:r>
      <w:proofErr w:type="spellEnd"/>
      <w:r>
        <w:t xml:space="preserve">, P.S., ‘Mortuary Practices and Burial Cults in Cyprus From the Bronze Age Through the Early Iron Age, </w:t>
      </w:r>
      <w:r>
        <w:rPr>
          <w:i/>
          <w:iCs/>
        </w:rPr>
        <w:t xml:space="preserve">British School at Athens Studies, </w:t>
      </w:r>
      <w:r>
        <w:t>Vol. 20, Parallel Lives: Ancient Island Societies in Crete and Cyprus (2012),</w:t>
      </w:r>
      <w:bookmarkEnd w:id="8"/>
      <w:r>
        <w:t xml:space="preserve"> pp. 313-330</w:t>
      </w:r>
    </w:p>
    <w:p w14:paraId="5258E1EF" w14:textId="77777777" w:rsidR="00EF7FED" w:rsidRDefault="00EF7FED" w:rsidP="00EF7FED">
      <w:bookmarkStart w:id="9" w:name="_Hlk31898040"/>
      <w:r>
        <w:t>Kramer-</w:t>
      </w:r>
      <w:proofErr w:type="spellStart"/>
      <w:r>
        <w:t>Hajos</w:t>
      </w:r>
      <w:proofErr w:type="spellEnd"/>
      <w:r>
        <w:t xml:space="preserve">, M., ‘Mourning on the Larnakes at Tanagra: Gender and Agency in Late Bronze Age Greece’, </w:t>
      </w:r>
      <w:r>
        <w:rPr>
          <w:i/>
          <w:iCs/>
        </w:rPr>
        <w:t xml:space="preserve">Hesperia: The Journal of the American School of Classical Studies at Athens. </w:t>
      </w:r>
      <w:r>
        <w:t>Vol. 84, No. 4 (Oct-Dec. 2015),</w:t>
      </w:r>
      <w:bookmarkEnd w:id="9"/>
      <w:r>
        <w:t xml:space="preserve"> pp. 627-667</w:t>
      </w:r>
    </w:p>
    <w:p w14:paraId="36E078F9" w14:textId="77777777" w:rsidR="00EF7FED" w:rsidRDefault="00EF7FED" w:rsidP="00EF7FED">
      <w:r>
        <w:t>Metcalf, P. and Huntington, R., ‘</w:t>
      </w:r>
      <w:r>
        <w:rPr>
          <w:i/>
        </w:rPr>
        <w:t>Celebrations of Death: The Anthropology of Mortuary Ritual’</w:t>
      </w:r>
      <w:r>
        <w:t>. (1991) Cambridge: Cambridge University Press.</w:t>
      </w:r>
    </w:p>
    <w:p w14:paraId="5C8DB88E" w14:textId="77777777" w:rsidR="00EF7FED" w:rsidRDefault="00EF7FED" w:rsidP="00EF7FED">
      <w:pPr>
        <w:rPr>
          <w:rFonts w:ascii="Arial" w:hAnsi="Arial" w:cs="Arial"/>
          <w:color w:val="222222"/>
          <w:sz w:val="20"/>
          <w:szCs w:val="20"/>
          <w:shd w:val="clear" w:color="auto" w:fill="FFFFFF"/>
        </w:rPr>
      </w:pPr>
      <w:bookmarkStart w:id="10" w:name="_Hlk31897936"/>
      <w:r>
        <w:rPr>
          <w:rFonts w:ascii="Arial" w:hAnsi="Arial" w:cs="Arial"/>
          <w:color w:val="222222"/>
          <w:sz w:val="20"/>
          <w:szCs w:val="20"/>
          <w:shd w:val="clear" w:color="auto" w:fill="FFFFFF"/>
        </w:rPr>
        <w:t xml:space="preserve">Rutter, J.B., Early Minoan Period: The Tombs, Dartmouth College. Available at: </w:t>
      </w:r>
      <w:r>
        <w:rPr>
          <w:rFonts w:cstheme="minorHAnsi"/>
          <w:color w:val="222222"/>
          <w:shd w:val="clear" w:color="auto" w:fill="FFFFFF"/>
        </w:rPr>
        <w:t xml:space="preserve">https://www.dartmouth.edu/~prehistory/aegean/?page_id=569 </w:t>
      </w:r>
    </w:p>
    <w:bookmarkEnd w:id="10"/>
    <w:p w14:paraId="43EE0018" w14:textId="77777777" w:rsidR="00EF7FED" w:rsidRDefault="00EF7FED" w:rsidP="00EF7FED">
      <w:r>
        <w:t xml:space="preserve">Valla, M., </w:t>
      </w:r>
      <w:proofErr w:type="spellStart"/>
      <w:r>
        <w:t>Triantaphyllou</w:t>
      </w:r>
      <w:proofErr w:type="spellEnd"/>
      <w:r>
        <w:t xml:space="preserve">, S., Halstead, P., </w:t>
      </w:r>
      <w:proofErr w:type="spellStart"/>
      <w:r>
        <w:t>Isaakidou</w:t>
      </w:r>
      <w:proofErr w:type="spellEnd"/>
      <w:r>
        <w:t xml:space="preserve">, V., </w:t>
      </w:r>
      <w:bookmarkStart w:id="11" w:name="_Hlk31898303"/>
      <w:r>
        <w:t xml:space="preserve">‘The Handling of Death at the End of the Late Bronze Age: the Case of </w:t>
      </w:r>
      <w:proofErr w:type="spellStart"/>
      <w:r>
        <w:t>Faia</w:t>
      </w:r>
      <w:proofErr w:type="spellEnd"/>
      <w:r>
        <w:t xml:space="preserve"> Petra, 13</w:t>
      </w:r>
      <w:r>
        <w:rPr>
          <w:vertAlign w:val="superscript"/>
        </w:rPr>
        <w:t>th</w:t>
      </w:r>
      <w:r>
        <w:t xml:space="preserve"> c. BC, Eastern Macedonia, Greece’,</w:t>
      </w:r>
      <w:bookmarkEnd w:id="11"/>
      <w:r>
        <w:t xml:space="preserve"> pp. 231-248 in </w:t>
      </w:r>
      <w:proofErr w:type="spellStart"/>
      <w:r>
        <w:rPr>
          <w:i/>
          <w:iCs/>
        </w:rPr>
        <w:t>Brandbestattungen</w:t>
      </w:r>
      <w:proofErr w:type="spellEnd"/>
      <w:r>
        <w:rPr>
          <w:i/>
          <w:iCs/>
        </w:rPr>
        <w:t xml:space="preserve"> Von Der </w:t>
      </w:r>
      <w:proofErr w:type="spellStart"/>
      <w:r>
        <w:rPr>
          <w:i/>
          <w:iCs/>
        </w:rPr>
        <w:t>Mittleren</w:t>
      </w:r>
      <w:proofErr w:type="spellEnd"/>
      <w:r>
        <w:rPr>
          <w:i/>
          <w:iCs/>
        </w:rPr>
        <w:t xml:space="preserve"> Donau Bis </w:t>
      </w:r>
      <w:proofErr w:type="spellStart"/>
      <w:r>
        <w:rPr>
          <w:i/>
          <w:iCs/>
        </w:rPr>
        <w:t>Zur</w:t>
      </w:r>
      <w:proofErr w:type="spellEnd"/>
      <w:r>
        <w:rPr>
          <w:i/>
          <w:iCs/>
        </w:rPr>
        <w:t xml:space="preserve"> </w:t>
      </w:r>
      <w:proofErr w:type="spellStart"/>
      <w:r>
        <w:rPr>
          <w:i/>
          <w:iCs/>
        </w:rPr>
        <w:t>Ägäis</w:t>
      </w:r>
      <w:proofErr w:type="spellEnd"/>
      <w:r>
        <w:rPr>
          <w:i/>
          <w:iCs/>
        </w:rPr>
        <w:t xml:space="preserve"> </w:t>
      </w:r>
      <w:proofErr w:type="spellStart"/>
      <w:r>
        <w:rPr>
          <w:i/>
          <w:iCs/>
        </w:rPr>
        <w:t>Zwischen</w:t>
      </w:r>
      <w:proofErr w:type="spellEnd"/>
      <w:r>
        <w:rPr>
          <w:i/>
          <w:iCs/>
        </w:rPr>
        <w:t xml:space="preserve"> 1300 Und 750 v. Chr.: </w:t>
      </w:r>
      <w:proofErr w:type="spellStart"/>
      <w:r>
        <w:rPr>
          <w:i/>
          <w:iCs/>
        </w:rPr>
        <w:t>Akten</w:t>
      </w:r>
      <w:proofErr w:type="spellEnd"/>
      <w:r>
        <w:rPr>
          <w:i/>
          <w:iCs/>
        </w:rPr>
        <w:t xml:space="preserve"> Des Internationalen Symposiums an Der </w:t>
      </w:r>
      <w:proofErr w:type="spellStart"/>
      <w:r>
        <w:rPr>
          <w:i/>
          <w:iCs/>
        </w:rPr>
        <w:t>Österreichischen</w:t>
      </w:r>
      <w:proofErr w:type="spellEnd"/>
      <w:r>
        <w:rPr>
          <w:i/>
          <w:iCs/>
        </w:rPr>
        <w:t xml:space="preserve"> Akademie Der </w:t>
      </w:r>
      <w:proofErr w:type="spellStart"/>
      <w:r>
        <w:rPr>
          <w:i/>
          <w:iCs/>
        </w:rPr>
        <w:t>Wissenschaften</w:t>
      </w:r>
      <w:proofErr w:type="spellEnd"/>
      <w:r>
        <w:rPr>
          <w:i/>
          <w:iCs/>
        </w:rPr>
        <w:t xml:space="preserve"> in Wien, 11.-12.Februar 2010</w:t>
      </w:r>
      <w:r>
        <w:t xml:space="preserve">, ed. Lochner, M. and </w:t>
      </w:r>
      <w:proofErr w:type="spellStart"/>
      <w:r>
        <w:t>Ruppenstein</w:t>
      </w:r>
      <w:proofErr w:type="spellEnd"/>
      <w:r>
        <w:t>, F., Wien: Austrian Academy of Sciences Press, 2013</w:t>
      </w:r>
    </w:p>
    <w:p w14:paraId="2F10A22F" w14:textId="3F02AB9A" w:rsidR="00EF7FED" w:rsidRPr="00EF7FED" w:rsidRDefault="00EF7FED">
      <w:proofErr w:type="spellStart"/>
      <w:r>
        <w:t>Vavouranakis</w:t>
      </w:r>
      <w:proofErr w:type="spellEnd"/>
      <w:r>
        <w:t xml:space="preserve">, </w:t>
      </w:r>
      <w:bookmarkStart w:id="12" w:name="_Hlk31898366"/>
      <w:r>
        <w:t>G., ‘Funerary Pithoi in Bronze Age Crete: Their Introduction and Significance at the Threshold of Minoan Palatial Society’, </w:t>
      </w:r>
      <w:r>
        <w:rPr>
          <w:i/>
          <w:iCs/>
        </w:rPr>
        <w:t>American Journal of Archaeology,</w:t>
      </w:r>
      <w:r>
        <w:t xml:space="preserve"> Vol. 118, No. 2 (2014), </w:t>
      </w:r>
      <w:bookmarkEnd w:id="12"/>
      <w:r>
        <w:t>pp. 197-222</w:t>
      </w:r>
      <w:bookmarkStart w:id="13" w:name="_GoBack"/>
      <w:bookmarkEnd w:id="13"/>
    </w:p>
    <w:sectPr w:rsidR="00EF7FED" w:rsidRPr="00EF7FE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2E559" w14:textId="77777777" w:rsidR="0049050D" w:rsidRDefault="0049050D" w:rsidP="00F34121">
      <w:pPr>
        <w:spacing w:after="0" w:line="240" w:lineRule="auto"/>
      </w:pPr>
      <w:r>
        <w:separator/>
      </w:r>
    </w:p>
  </w:endnote>
  <w:endnote w:type="continuationSeparator" w:id="0">
    <w:p w14:paraId="4A8740ED" w14:textId="77777777" w:rsidR="0049050D" w:rsidRDefault="0049050D" w:rsidP="00F34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C2196C" w14:textId="77777777" w:rsidR="0049050D" w:rsidRDefault="0049050D" w:rsidP="00F34121">
      <w:pPr>
        <w:spacing w:after="0" w:line="240" w:lineRule="auto"/>
      </w:pPr>
      <w:r>
        <w:separator/>
      </w:r>
    </w:p>
  </w:footnote>
  <w:footnote w:type="continuationSeparator" w:id="0">
    <w:p w14:paraId="389C60D0" w14:textId="77777777" w:rsidR="0049050D" w:rsidRDefault="0049050D" w:rsidP="00F34121">
      <w:pPr>
        <w:spacing w:after="0" w:line="240" w:lineRule="auto"/>
      </w:pPr>
      <w:r>
        <w:continuationSeparator/>
      </w:r>
    </w:p>
  </w:footnote>
  <w:footnote w:id="1">
    <w:p w14:paraId="19F2C2CF" w14:textId="45D085E0" w:rsidR="007313E5" w:rsidRDefault="007313E5">
      <w:pPr>
        <w:pStyle w:val="FootnoteText"/>
      </w:pPr>
      <w:r>
        <w:rPr>
          <w:rStyle w:val="FootnoteReference"/>
        </w:rPr>
        <w:footnoteRef/>
      </w:r>
      <w:r>
        <w:t xml:space="preserve"> </w:t>
      </w:r>
      <w:r w:rsidR="00847B6A" w:rsidRPr="00847B6A">
        <w:t xml:space="preserve">Bloch, M., Parry, J., ‘Death and the Regeneration of Life’, (1982) </w:t>
      </w:r>
      <w:r w:rsidR="00643DCD">
        <w:t>p.11</w:t>
      </w:r>
    </w:p>
  </w:footnote>
  <w:footnote w:id="2">
    <w:p w14:paraId="74A4EE89" w14:textId="3DC17803" w:rsidR="00AF4012" w:rsidRDefault="00AF4012">
      <w:pPr>
        <w:pStyle w:val="FootnoteText"/>
      </w:pPr>
      <w:r>
        <w:rPr>
          <w:rStyle w:val="FootnoteReference"/>
        </w:rPr>
        <w:footnoteRef/>
      </w:r>
      <w:r>
        <w:t xml:space="preserve"> Fowler,</w:t>
      </w:r>
      <w:r w:rsidR="00643DCD">
        <w:t xml:space="preserve"> </w:t>
      </w:r>
      <w:r>
        <w:t>i</w:t>
      </w:r>
      <w:r w:rsidR="00643DCD">
        <w:t xml:space="preserve">n </w:t>
      </w:r>
      <w:r w:rsidR="00643DCD" w:rsidRPr="00643DCD">
        <w:t xml:space="preserve">Driessen, J., ‘The Goddess and the Skull: Some Observations on Group Identity in </w:t>
      </w:r>
      <w:proofErr w:type="spellStart"/>
      <w:r w:rsidR="00643DCD" w:rsidRPr="00643DCD">
        <w:t>Prepalatial</w:t>
      </w:r>
      <w:proofErr w:type="spellEnd"/>
      <w:r w:rsidR="00643DCD" w:rsidRPr="00643DCD">
        <w:t xml:space="preserve"> Crete’, </w:t>
      </w:r>
      <w:r w:rsidR="00643DCD" w:rsidRPr="00643DCD">
        <w:rPr>
          <w:i/>
          <w:iCs/>
        </w:rPr>
        <w:t>British School at Athens Studies</w:t>
      </w:r>
      <w:r w:rsidR="00643DCD" w:rsidRPr="00643DCD">
        <w:t xml:space="preserve">, Vol. 18, CRETAN OFFERINGS: Studies in honour of Peter Warren (2010), </w:t>
      </w:r>
      <w:r>
        <w:t>p.109</w:t>
      </w:r>
    </w:p>
  </w:footnote>
  <w:footnote w:id="3">
    <w:p w14:paraId="0AAFB69D" w14:textId="5E9EBCD0" w:rsidR="00324789" w:rsidRDefault="00324789">
      <w:pPr>
        <w:pStyle w:val="FootnoteText"/>
      </w:pPr>
      <w:r>
        <w:rPr>
          <w:rStyle w:val="FootnoteReference"/>
        </w:rPr>
        <w:footnoteRef/>
      </w:r>
      <w:r>
        <w:t xml:space="preserve"> </w:t>
      </w:r>
      <w:proofErr w:type="spellStart"/>
      <w:r w:rsidR="00643DCD" w:rsidRPr="00643DCD">
        <w:t>Keswani</w:t>
      </w:r>
      <w:proofErr w:type="spellEnd"/>
      <w:r w:rsidR="00643DCD" w:rsidRPr="00643DCD">
        <w:t xml:space="preserve">, P.S., ‘Death, </w:t>
      </w:r>
      <w:proofErr w:type="gramStart"/>
      <w:r w:rsidR="00643DCD" w:rsidRPr="00643DCD">
        <w:t>Prestige ,</w:t>
      </w:r>
      <w:proofErr w:type="gramEnd"/>
      <w:r w:rsidR="00643DCD" w:rsidRPr="00643DCD">
        <w:t xml:space="preserve"> and Copper in Bronze Age Cyprus’, </w:t>
      </w:r>
      <w:r w:rsidR="00643DCD" w:rsidRPr="00643DCD">
        <w:rPr>
          <w:i/>
          <w:iCs/>
        </w:rPr>
        <w:t xml:space="preserve">American Journal of Archaeology, </w:t>
      </w:r>
      <w:r w:rsidR="00643DCD" w:rsidRPr="00643DCD">
        <w:t>Vol. 109, No. 3 (Jul. 2005),</w:t>
      </w:r>
      <w:r w:rsidR="00643DCD">
        <w:t xml:space="preserve"> </w:t>
      </w:r>
      <w:r>
        <w:t>p.341</w:t>
      </w:r>
    </w:p>
  </w:footnote>
  <w:footnote w:id="4">
    <w:p w14:paraId="21B83FE5" w14:textId="5D6792A5" w:rsidR="003B4007" w:rsidRDefault="003B4007" w:rsidP="003B4007">
      <w:pPr>
        <w:pStyle w:val="FootnoteText"/>
      </w:pPr>
      <w:r>
        <w:rPr>
          <w:rStyle w:val="FootnoteReference"/>
        </w:rPr>
        <w:footnoteRef/>
      </w:r>
      <w:r>
        <w:t xml:space="preserve"> </w:t>
      </w:r>
      <w:r w:rsidR="00643DCD" w:rsidRPr="00643DCD">
        <w:t>Rutter, J.B., Early Minoan Period: The Tombs, Dartmouth College.</w:t>
      </w:r>
    </w:p>
  </w:footnote>
  <w:footnote w:id="5">
    <w:p w14:paraId="34780723" w14:textId="7CEF0BD0" w:rsidR="003B4007" w:rsidRDefault="003B4007" w:rsidP="003B4007">
      <w:pPr>
        <w:pStyle w:val="FootnoteText"/>
      </w:pPr>
      <w:r>
        <w:rPr>
          <w:rStyle w:val="FootnoteReference"/>
        </w:rPr>
        <w:footnoteRef/>
      </w:r>
      <w:r>
        <w:t xml:space="preserve"> </w:t>
      </w:r>
      <w:proofErr w:type="spellStart"/>
      <w:r w:rsidR="00643DCD">
        <w:t>Keswani</w:t>
      </w:r>
      <w:proofErr w:type="spellEnd"/>
      <w:r w:rsidR="00643DCD">
        <w:t xml:space="preserve">, P.S., ‘Mortuary Practices and Burial Cults in Cyprus From the Bronze Age Through the Early Iron Age, </w:t>
      </w:r>
      <w:r w:rsidR="00643DCD">
        <w:rPr>
          <w:i/>
          <w:iCs/>
        </w:rPr>
        <w:t xml:space="preserve">British School at Athens Studies, </w:t>
      </w:r>
      <w:r w:rsidR="00643DCD">
        <w:t xml:space="preserve">Vol. 20, Parallel Lives: Ancient Island Societies in Crete and Cyprus (2012), </w:t>
      </w:r>
      <w:r>
        <w:t>p.323</w:t>
      </w:r>
    </w:p>
  </w:footnote>
  <w:footnote w:id="6">
    <w:p w14:paraId="7BB6A679" w14:textId="7CE73AEF" w:rsidR="003B4007" w:rsidRDefault="003B4007" w:rsidP="003B4007">
      <w:pPr>
        <w:pStyle w:val="FootnoteText"/>
      </w:pPr>
      <w:r>
        <w:rPr>
          <w:rStyle w:val="FootnoteReference"/>
        </w:rPr>
        <w:footnoteRef/>
      </w:r>
      <w:r>
        <w:t xml:space="preserve"> Dries</w:t>
      </w:r>
      <w:r w:rsidR="005C7800">
        <w:t>s</w:t>
      </w:r>
      <w:r>
        <w:t>en,</w:t>
      </w:r>
      <w:r w:rsidR="00643DCD">
        <w:t xml:space="preserve"> </w:t>
      </w:r>
      <w:r>
        <w:t>p.</w:t>
      </w:r>
      <w:r w:rsidR="00643DCD">
        <w:t xml:space="preserve"> </w:t>
      </w:r>
      <w:r>
        <w:t>109</w:t>
      </w:r>
    </w:p>
  </w:footnote>
  <w:footnote w:id="7">
    <w:p w14:paraId="291D6B37" w14:textId="4898AC9A" w:rsidR="003B4007" w:rsidRDefault="003B4007" w:rsidP="003B4007">
      <w:pPr>
        <w:pStyle w:val="FootnoteText"/>
      </w:pPr>
      <w:r>
        <w:rPr>
          <w:rStyle w:val="FootnoteReference"/>
        </w:rPr>
        <w:footnoteRef/>
      </w:r>
      <w:r>
        <w:t xml:space="preserve"> Dries</w:t>
      </w:r>
      <w:r w:rsidR="00643DCD">
        <w:t>s</w:t>
      </w:r>
      <w:r>
        <w:t>en,</w:t>
      </w:r>
      <w:r w:rsidR="00643DCD">
        <w:t xml:space="preserve"> </w:t>
      </w:r>
      <w:r>
        <w:t>p.</w:t>
      </w:r>
      <w:r w:rsidR="00643DCD">
        <w:t xml:space="preserve"> </w:t>
      </w:r>
      <w:r>
        <w:t>109</w:t>
      </w:r>
    </w:p>
  </w:footnote>
  <w:footnote w:id="8">
    <w:p w14:paraId="3F729765" w14:textId="2C726F1F" w:rsidR="005C7D33" w:rsidRDefault="005C7D33">
      <w:pPr>
        <w:pStyle w:val="FootnoteText"/>
      </w:pPr>
      <w:r>
        <w:rPr>
          <w:rStyle w:val="FootnoteReference"/>
        </w:rPr>
        <w:footnoteRef/>
      </w:r>
      <w:r>
        <w:t xml:space="preserve"> Levi-</w:t>
      </w:r>
      <w:proofErr w:type="spellStart"/>
      <w:r>
        <w:t>Bruhl</w:t>
      </w:r>
      <w:proofErr w:type="spellEnd"/>
      <w:r>
        <w:t>,</w:t>
      </w:r>
      <w:r w:rsidR="00643DCD">
        <w:t xml:space="preserve"> </w:t>
      </w:r>
      <w:r>
        <w:t>in</w:t>
      </w:r>
      <w:r w:rsidR="00643DCD">
        <w:t xml:space="preserve"> </w:t>
      </w:r>
      <w:r w:rsidR="00643DCD" w:rsidRPr="00643DCD">
        <w:t>Douglas, M., ‘Purity and Danger: An Analysis of the Concepts of Pollution and Taboo’, Ch. 6 – ‘Powers and Dangers’, 1966</w:t>
      </w:r>
      <w:r w:rsidR="00643DCD">
        <w:t xml:space="preserve">, </w:t>
      </w:r>
      <w:r>
        <w:t>p.2</w:t>
      </w:r>
    </w:p>
  </w:footnote>
  <w:footnote w:id="9">
    <w:p w14:paraId="2047E3FA" w14:textId="3A79D37B" w:rsidR="00E62340" w:rsidRDefault="00E62340">
      <w:pPr>
        <w:pStyle w:val="FootnoteText"/>
      </w:pPr>
      <w:r>
        <w:rPr>
          <w:rStyle w:val="FootnoteReference"/>
        </w:rPr>
        <w:footnoteRef/>
      </w:r>
      <w:r>
        <w:t xml:space="preserve"> Douglas,</w:t>
      </w:r>
      <w:r w:rsidR="00643DCD">
        <w:t xml:space="preserve"> </w:t>
      </w:r>
      <w:r>
        <w:t>p.</w:t>
      </w:r>
      <w:r w:rsidR="00643DCD">
        <w:t xml:space="preserve"> </w:t>
      </w:r>
      <w:r>
        <w:t>2</w:t>
      </w:r>
    </w:p>
  </w:footnote>
  <w:footnote w:id="10">
    <w:p w14:paraId="540DA47F" w14:textId="47A3A8BB" w:rsidR="009C0303" w:rsidRDefault="009C0303">
      <w:pPr>
        <w:pStyle w:val="FootnoteText"/>
      </w:pPr>
      <w:r>
        <w:rPr>
          <w:rStyle w:val="FootnoteReference"/>
        </w:rPr>
        <w:footnoteRef/>
      </w:r>
      <w:r>
        <w:t xml:space="preserve"> </w:t>
      </w:r>
      <w:r w:rsidR="00643DCD">
        <w:t>Kramer-</w:t>
      </w:r>
      <w:proofErr w:type="spellStart"/>
      <w:r w:rsidR="00643DCD">
        <w:t>Hajos</w:t>
      </w:r>
      <w:proofErr w:type="spellEnd"/>
      <w:r w:rsidR="00643DCD">
        <w:t xml:space="preserve">, M., ‘Mourning on the Larnakes at Tanagra: Gender and Agency in Late Bronze Age Greece’, </w:t>
      </w:r>
      <w:r w:rsidR="00643DCD">
        <w:rPr>
          <w:i/>
          <w:iCs/>
        </w:rPr>
        <w:t xml:space="preserve">Hesperia: The Journal of the American School of Classical Studies at Athens. </w:t>
      </w:r>
      <w:r w:rsidR="00643DCD">
        <w:t>Vol. 84, No. 4 (Oct-Dec. 2015), pp. 627-667</w:t>
      </w:r>
    </w:p>
  </w:footnote>
  <w:footnote w:id="11">
    <w:p w14:paraId="67F4BA3D" w14:textId="50E9835D" w:rsidR="00BF512E" w:rsidRDefault="00BF512E">
      <w:pPr>
        <w:pStyle w:val="FootnoteText"/>
      </w:pPr>
      <w:r>
        <w:rPr>
          <w:rStyle w:val="FootnoteReference"/>
        </w:rPr>
        <w:footnoteRef/>
      </w:r>
      <w:r>
        <w:t xml:space="preserve"> </w:t>
      </w:r>
      <w:r w:rsidR="00643DCD" w:rsidRPr="00643DCD">
        <w:t>Joshi, D. and Fawcett, B.N., 2001, August. Water, Hindu mythology and an unequal social order in India. In </w:t>
      </w:r>
      <w:r w:rsidR="00643DCD" w:rsidRPr="00643DCD">
        <w:rPr>
          <w:i/>
          <w:iCs/>
        </w:rPr>
        <w:t>second conference of the International Water History Association, Bergen, Norway</w:t>
      </w:r>
      <w:r w:rsidR="00643DCD" w:rsidRPr="00643DCD">
        <w:t> (pp. 10-12).</w:t>
      </w:r>
    </w:p>
  </w:footnote>
  <w:footnote w:id="12">
    <w:p w14:paraId="7112FF13" w14:textId="62C59DDC" w:rsidR="00051F0F" w:rsidRDefault="00051F0F">
      <w:pPr>
        <w:pStyle w:val="FootnoteText"/>
      </w:pPr>
      <w:r>
        <w:rPr>
          <w:rStyle w:val="FootnoteReference"/>
        </w:rPr>
        <w:footnoteRef/>
      </w:r>
      <w:r w:rsidR="00643DCD" w:rsidRPr="00643DCD">
        <w:t xml:space="preserve"> Hertz, in Metcalf, P. </w:t>
      </w:r>
      <w:r w:rsidR="00643DCD">
        <w:t>&amp;</w:t>
      </w:r>
      <w:r w:rsidR="00643DCD" w:rsidRPr="00643DCD">
        <w:t xml:space="preserve"> Huntington, R., ‘</w:t>
      </w:r>
      <w:r w:rsidR="00643DCD" w:rsidRPr="00643DCD">
        <w:rPr>
          <w:i/>
        </w:rPr>
        <w:t>Celebrations of Death: The Anthropology of Mortuary Ritual’</w:t>
      </w:r>
      <w:r w:rsidR="00643DCD" w:rsidRPr="00643DCD">
        <w:t>. (1991</w:t>
      </w:r>
      <w:r w:rsidR="00643DCD">
        <w:t>)</w:t>
      </w:r>
      <w:r w:rsidR="00643DCD" w:rsidRPr="00643DCD">
        <w:t xml:space="preserve"> </w:t>
      </w:r>
    </w:p>
  </w:footnote>
  <w:footnote w:id="13">
    <w:p w14:paraId="2B22468F" w14:textId="08D1E1FA" w:rsidR="00051F0F" w:rsidRDefault="00051F0F">
      <w:pPr>
        <w:pStyle w:val="FootnoteText"/>
      </w:pPr>
      <w:r>
        <w:rPr>
          <w:rStyle w:val="FootnoteReference"/>
        </w:rPr>
        <w:footnoteRef/>
      </w:r>
      <w:r>
        <w:t xml:space="preserve"> Metcalf</w:t>
      </w:r>
      <w:r w:rsidR="00643DCD">
        <w:t xml:space="preserve"> &amp; </w:t>
      </w:r>
      <w:r>
        <w:t>Huntingdon,</w:t>
      </w:r>
      <w:r w:rsidR="00643DCD">
        <w:t xml:space="preserve"> </w:t>
      </w:r>
      <w:r>
        <w:t>p.</w:t>
      </w:r>
      <w:r w:rsidR="00643DCD">
        <w:t xml:space="preserve"> </w:t>
      </w:r>
      <w:r>
        <w:t>82</w:t>
      </w:r>
    </w:p>
  </w:footnote>
  <w:footnote w:id="14">
    <w:p w14:paraId="2EBB1913" w14:textId="3EDE3808" w:rsidR="00A25DBA" w:rsidRDefault="00A25DBA">
      <w:pPr>
        <w:pStyle w:val="FootnoteText"/>
      </w:pPr>
      <w:r>
        <w:rPr>
          <w:rStyle w:val="FootnoteReference"/>
        </w:rPr>
        <w:footnoteRef/>
      </w:r>
      <w:r>
        <w:t xml:space="preserve"> </w:t>
      </w:r>
      <w:bookmarkStart w:id="0" w:name="_Hlk31897918"/>
      <w:proofErr w:type="spellStart"/>
      <w:r w:rsidR="00643DCD">
        <w:t>Keswani</w:t>
      </w:r>
      <w:proofErr w:type="spellEnd"/>
      <w:r w:rsidR="00643DCD">
        <w:t xml:space="preserve">, P.S., ‘Death, Prestige, and Copper in Bronze Age Cyprus’, </w:t>
      </w:r>
      <w:r w:rsidR="00643DCD">
        <w:rPr>
          <w:i/>
          <w:iCs/>
        </w:rPr>
        <w:t xml:space="preserve">American Journal of Archaeology, </w:t>
      </w:r>
      <w:r w:rsidR="00643DCD">
        <w:t>Vol. 109, No. 3 (Jul. 2005),</w:t>
      </w:r>
      <w:bookmarkEnd w:id="0"/>
      <w:r w:rsidR="00643DCD">
        <w:t xml:space="preserve"> </w:t>
      </w:r>
      <w:r>
        <w:t>p.350</w:t>
      </w:r>
    </w:p>
  </w:footnote>
  <w:footnote w:id="15">
    <w:p w14:paraId="1C64C583" w14:textId="3D4794D8" w:rsidR="003B4007" w:rsidRDefault="003B4007">
      <w:pPr>
        <w:pStyle w:val="FootnoteText"/>
      </w:pPr>
      <w:r>
        <w:rPr>
          <w:rStyle w:val="FootnoteReference"/>
        </w:rPr>
        <w:footnoteRef/>
      </w:r>
      <w:r>
        <w:t xml:space="preserve"> </w:t>
      </w:r>
      <w:proofErr w:type="spellStart"/>
      <w:r>
        <w:t>Keswani</w:t>
      </w:r>
      <w:proofErr w:type="spellEnd"/>
      <w:r>
        <w:t>,</w:t>
      </w:r>
      <w:r w:rsidR="00643DCD">
        <w:t xml:space="preserve"> ‘Mortuary Practices and Burial Cults’, </w:t>
      </w:r>
      <w:r>
        <w:t>p.313</w:t>
      </w:r>
    </w:p>
  </w:footnote>
  <w:footnote w:id="16">
    <w:p w14:paraId="7FB8EED4" w14:textId="4CB40636" w:rsidR="004212B6" w:rsidRDefault="004212B6">
      <w:pPr>
        <w:pStyle w:val="FootnoteText"/>
      </w:pPr>
      <w:r>
        <w:rPr>
          <w:rStyle w:val="FootnoteReference"/>
        </w:rPr>
        <w:footnoteRef/>
      </w:r>
      <w:r>
        <w:t xml:space="preserve"> </w:t>
      </w:r>
      <w:proofErr w:type="spellStart"/>
      <w:r>
        <w:t>Kes</w:t>
      </w:r>
      <w:r w:rsidR="00643DCD">
        <w:t>wani</w:t>
      </w:r>
      <w:proofErr w:type="spellEnd"/>
      <w:r w:rsidR="00643DCD">
        <w:t xml:space="preserve">, ‘Mortuary Practices and Burial Cults’, </w:t>
      </w:r>
      <w:r>
        <w:t>p.314</w:t>
      </w:r>
    </w:p>
  </w:footnote>
  <w:footnote w:id="17">
    <w:p w14:paraId="07785511" w14:textId="4731606F" w:rsidR="008B0156" w:rsidRDefault="008B0156">
      <w:pPr>
        <w:pStyle w:val="FootnoteText"/>
      </w:pPr>
      <w:r>
        <w:rPr>
          <w:rStyle w:val="FootnoteReference"/>
        </w:rPr>
        <w:footnoteRef/>
      </w:r>
      <w:r>
        <w:t xml:space="preserve"> Crewe,</w:t>
      </w:r>
      <w:r w:rsidR="00643DCD">
        <w:t xml:space="preserve"> </w:t>
      </w:r>
      <w:r>
        <w:t>in</w:t>
      </w:r>
      <w:r w:rsidR="00643DCD">
        <w:t xml:space="preserve"> </w:t>
      </w:r>
      <w:proofErr w:type="spellStart"/>
      <w:r>
        <w:t>Keswani</w:t>
      </w:r>
      <w:proofErr w:type="spellEnd"/>
      <w:r>
        <w:t>,</w:t>
      </w:r>
      <w:r w:rsidR="00643DCD">
        <w:t xml:space="preserve"> ’Mortuary Practices and Burial Cults’, </w:t>
      </w:r>
      <w:r>
        <w:t>p.317</w:t>
      </w:r>
    </w:p>
  </w:footnote>
  <w:footnote w:id="18">
    <w:p w14:paraId="721A52BE" w14:textId="13CCADF6" w:rsidR="00D93A54" w:rsidRPr="00643DCD" w:rsidRDefault="00D93A54">
      <w:pPr>
        <w:pStyle w:val="FootnoteText"/>
        <w:rPr>
          <w:rFonts w:cstheme="minorHAnsi"/>
        </w:rPr>
      </w:pPr>
      <w:r>
        <w:rPr>
          <w:rStyle w:val="FootnoteReference"/>
        </w:rPr>
        <w:footnoteRef/>
      </w:r>
      <w:r>
        <w:t xml:space="preserve"> </w:t>
      </w:r>
      <w:r w:rsidR="00643DCD" w:rsidRPr="00643DCD">
        <w:rPr>
          <w:rFonts w:cstheme="minorHAnsi"/>
          <w:color w:val="222222"/>
          <w:shd w:val="clear" w:color="auto" w:fill="FFFFFF"/>
        </w:rPr>
        <w:t xml:space="preserve">Dietrich, B.C., ‘Death and Afterlife in Minoan Religion’, </w:t>
      </w:r>
      <w:proofErr w:type="spellStart"/>
      <w:r w:rsidR="00643DCD" w:rsidRPr="00643DCD">
        <w:rPr>
          <w:rFonts w:cstheme="minorHAnsi"/>
          <w:i/>
          <w:iCs/>
          <w:color w:val="222222"/>
          <w:shd w:val="clear" w:color="auto" w:fill="FFFFFF"/>
        </w:rPr>
        <w:t>Kernos</w:t>
      </w:r>
      <w:proofErr w:type="spellEnd"/>
      <w:r w:rsidR="00643DCD" w:rsidRPr="00643DCD">
        <w:rPr>
          <w:rFonts w:cstheme="minorHAnsi"/>
          <w:i/>
          <w:iCs/>
          <w:color w:val="222222"/>
          <w:shd w:val="clear" w:color="auto" w:fill="FFFFFF"/>
        </w:rPr>
        <w:t xml:space="preserve">: </w:t>
      </w:r>
      <w:r w:rsidR="00643DCD" w:rsidRPr="00643DCD">
        <w:rPr>
          <w:rFonts w:cstheme="minorHAnsi"/>
          <w:i/>
          <w:iCs/>
        </w:rPr>
        <w:t xml:space="preserve">Revue </w:t>
      </w:r>
      <w:proofErr w:type="spellStart"/>
      <w:r w:rsidR="00643DCD" w:rsidRPr="00643DCD">
        <w:rPr>
          <w:rFonts w:cstheme="minorHAnsi"/>
          <w:i/>
          <w:iCs/>
        </w:rPr>
        <w:t>internationale</w:t>
      </w:r>
      <w:proofErr w:type="spellEnd"/>
      <w:r w:rsidR="00643DCD" w:rsidRPr="00643DCD">
        <w:rPr>
          <w:rFonts w:cstheme="minorHAnsi"/>
          <w:i/>
          <w:iCs/>
        </w:rPr>
        <w:t xml:space="preserve"> et </w:t>
      </w:r>
      <w:proofErr w:type="spellStart"/>
      <w:r w:rsidR="00643DCD" w:rsidRPr="00643DCD">
        <w:rPr>
          <w:rFonts w:cstheme="minorHAnsi"/>
          <w:i/>
          <w:iCs/>
        </w:rPr>
        <w:t>pluridisciplinaire</w:t>
      </w:r>
      <w:proofErr w:type="spellEnd"/>
      <w:r w:rsidR="00643DCD" w:rsidRPr="00643DCD">
        <w:rPr>
          <w:rFonts w:cstheme="minorHAnsi"/>
          <w:i/>
          <w:iCs/>
        </w:rPr>
        <w:t xml:space="preserve"> de religion grecque antique</w:t>
      </w:r>
      <w:r w:rsidR="00643DCD" w:rsidRPr="00643DCD">
        <w:rPr>
          <w:rFonts w:cstheme="minorHAnsi"/>
        </w:rPr>
        <w:t>, Vol. 10, 1997</w:t>
      </w:r>
      <w:r w:rsidR="00A33809" w:rsidRPr="00643DCD">
        <w:rPr>
          <w:rFonts w:cstheme="minorHAnsi"/>
        </w:rPr>
        <w:t>,</w:t>
      </w:r>
      <w:r w:rsidR="00643DCD" w:rsidRPr="00643DCD">
        <w:rPr>
          <w:rFonts w:cstheme="minorHAnsi"/>
        </w:rPr>
        <w:t xml:space="preserve"> </w:t>
      </w:r>
      <w:r w:rsidR="00A33809" w:rsidRPr="00643DCD">
        <w:rPr>
          <w:rFonts w:cstheme="minorHAnsi"/>
        </w:rPr>
        <w:t>p.</w:t>
      </w:r>
      <w:r w:rsidR="00643DCD" w:rsidRPr="00643DCD">
        <w:rPr>
          <w:rFonts w:cstheme="minorHAnsi"/>
        </w:rPr>
        <w:t xml:space="preserve"> </w:t>
      </w:r>
      <w:r w:rsidR="00A33809" w:rsidRPr="00643DCD">
        <w:rPr>
          <w:rFonts w:cstheme="minorHAnsi"/>
        </w:rPr>
        <w:t>24</w:t>
      </w:r>
      <w:r w:rsidR="00643DCD" w:rsidRPr="00643DCD">
        <w:rPr>
          <w:rFonts w:cstheme="minorHAnsi"/>
        </w:rPr>
        <w:t xml:space="preserve"> </w:t>
      </w:r>
    </w:p>
  </w:footnote>
  <w:footnote w:id="19">
    <w:p w14:paraId="504C15EE" w14:textId="6044895B" w:rsidR="00B0435C" w:rsidRDefault="00B0435C">
      <w:pPr>
        <w:pStyle w:val="FootnoteText"/>
      </w:pPr>
      <w:r>
        <w:rPr>
          <w:rStyle w:val="FootnoteReference"/>
        </w:rPr>
        <w:footnoteRef/>
      </w:r>
      <w:r>
        <w:t xml:space="preserve"> Rohde,</w:t>
      </w:r>
      <w:r w:rsidR="00643DCD">
        <w:t xml:space="preserve"> </w:t>
      </w:r>
      <w:r>
        <w:t>in</w:t>
      </w:r>
      <w:r w:rsidR="00643DCD">
        <w:t xml:space="preserve"> </w:t>
      </w:r>
      <w:r>
        <w:t>Dietrich,</w:t>
      </w:r>
      <w:r w:rsidR="00643DCD">
        <w:t xml:space="preserve"> </w:t>
      </w:r>
      <w:r>
        <w:t>p.24</w:t>
      </w:r>
    </w:p>
  </w:footnote>
  <w:footnote w:id="20">
    <w:p w14:paraId="7867F488" w14:textId="559F30CA" w:rsidR="00292B1B" w:rsidRDefault="00292B1B">
      <w:pPr>
        <w:pStyle w:val="FootnoteText"/>
      </w:pPr>
      <w:r>
        <w:rPr>
          <w:rStyle w:val="FootnoteReference"/>
        </w:rPr>
        <w:footnoteRef/>
      </w:r>
      <w:r>
        <w:t xml:space="preserve"> </w:t>
      </w:r>
      <w:proofErr w:type="gramStart"/>
      <w:r>
        <w:t>Douglas,p.</w:t>
      </w:r>
      <w:proofErr w:type="gramEnd"/>
      <w:r>
        <w:t>2</w:t>
      </w:r>
    </w:p>
  </w:footnote>
  <w:footnote w:id="21">
    <w:p w14:paraId="4BFAD360" w14:textId="2F282494" w:rsidR="00292B1B" w:rsidRDefault="00292B1B">
      <w:pPr>
        <w:pStyle w:val="FootnoteText"/>
      </w:pPr>
      <w:r>
        <w:rPr>
          <w:rStyle w:val="FootnoteReference"/>
        </w:rPr>
        <w:footnoteRef/>
      </w:r>
      <w:r>
        <w:t xml:space="preserve"> </w:t>
      </w:r>
      <w:proofErr w:type="gramStart"/>
      <w:r>
        <w:t>Douglas,p.</w:t>
      </w:r>
      <w:proofErr w:type="gramEnd"/>
      <w:r>
        <w:t>2</w:t>
      </w:r>
    </w:p>
  </w:footnote>
  <w:footnote w:id="22">
    <w:p w14:paraId="6EF4DA52" w14:textId="28DA67CE" w:rsidR="00212E0C" w:rsidRDefault="00212E0C">
      <w:pPr>
        <w:pStyle w:val="FootnoteText"/>
      </w:pPr>
      <w:r>
        <w:rPr>
          <w:rStyle w:val="FootnoteReference"/>
        </w:rPr>
        <w:footnoteRef/>
      </w:r>
      <w:r>
        <w:t xml:space="preserve"> Valla,</w:t>
      </w:r>
      <w:r w:rsidR="00643DCD">
        <w:t xml:space="preserve"> M. </w:t>
      </w:r>
      <w:r w:rsidR="00643DCD" w:rsidRPr="00643DCD">
        <w:rPr>
          <w:i/>
          <w:iCs/>
        </w:rPr>
        <w:t>et al</w:t>
      </w:r>
      <w:r w:rsidR="00643DCD">
        <w:t xml:space="preserve">, ‘The Handling of Death at the End of the Late Bronze Age: </w:t>
      </w:r>
      <w:proofErr w:type="gramStart"/>
      <w:r w:rsidR="00643DCD">
        <w:t>the</w:t>
      </w:r>
      <w:proofErr w:type="gramEnd"/>
      <w:r w:rsidR="00643DCD">
        <w:t xml:space="preserve"> Case of </w:t>
      </w:r>
      <w:proofErr w:type="spellStart"/>
      <w:r w:rsidR="00643DCD">
        <w:t>Faia</w:t>
      </w:r>
      <w:proofErr w:type="spellEnd"/>
      <w:r w:rsidR="00643DCD">
        <w:t xml:space="preserve"> Petra, 13</w:t>
      </w:r>
      <w:r w:rsidR="00643DCD">
        <w:rPr>
          <w:vertAlign w:val="superscript"/>
        </w:rPr>
        <w:t>th</w:t>
      </w:r>
      <w:r w:rsidR="00643DCD">
        <w:t xml:space="preserve"> c. BC, Eastern Macedonia, Greece’, </w:t>
      </w:r>
      <w:r>
        <w:t>p.</w:t>
      </w:r>
      <w:r w:rsidR="00643DCD">
        <w:t xml:space="preserve"> </w:t>
      </w:r>
      <w:r>
        <w:t>244</w:t>
      </w:r>
    </w:p>
  </w:footnote>
  <w:footnote w:id="23">
    <w:p w14:paraId="52EDD08B" w14:textId="176B3485" w:rsidR="00BE2469" w:rsidRDefault="00BE2469">
      <w:pPr>
        <w:pStyle w:val="FootnoteText"/>
      </w:pPr>
      <w:r>
        <w:rPr>
          <w:rStyle w:val="FootnoteReference"/>
        </w:rPr>
        <w:footnoteRef/>
      </w:r>
      <w:r>
        <w:t xml:space="preserve"> Valla,</w:t>
      </w:r>
      <w:r w:rsidR="00643DCD">
        <w:t xml:space="preserve"> M. </w:t>
      </w:r>
      <w:r w:rsidR="00643DCD">
        <w:rPr>
          <w:i/>
          <w:iCs/>
        </w:rPr>
        <w:t xml:space="preserve">et </w:t>
      </w:r>
      <w:r w:rsidR="00643DCD" w:rsidRPr="00643DCD">
        <w:rPr>
          <w:i/>
          <w:iCs/>
        </w:rPr>
        <w:t>al</w:t>
      </w:r>
      <w:r w:rsidR="00643DCD">
        <w:t xml:space="preserve">, </w:t>
      </w:r>
      <w:r w:rsidRPr="00643DCD">
        <w:t>p</w:t>
      </w:r>
      <w:r>
        <w:t>.</w:t>
      </w:r>
      <w:r w:rsidR="00643DCD">
        <w:t xml:space="preserve"> </w:t>
      </w:r>
      <w:r>
        <w:t>242</w:t>
      </w:r>
    </w:p>
  </w:footnote>
  <w:footnote w:id="24">
    <w:p w14:paraId="318366D2" w14:textId="014E3EAF" w:rsidR="00BE2469" w:rsidRDefault="00BE2469">
      <w:pPr>
        <w:pStyle w:val="FootnoteText"/>
      </w:pPr>
      <w:r>
        <w:rPr>
          <w:rStyle w:val="FootnoteReference"/>
        </w:rPr>
        <w:footnoteRef/>
      </w:r>
      <w:r>
        <w:t xml:space="preserve"> </w:t>
      </w:r>
      <w:proofErr w:type="gramStart"/>
      <w:r>
        <w:t>Driessen,p.</w:t>
      </w:r>
      <w:proofErr w:type="gramEnd"/>
      <w:r>
        <w:t>109</w:t>
      </w:r>
    </w:p>
  </w:footnote>
  <w:footnote w:id="25">
    <w:p w14:paraId="3299B5FD" w14:textId="1A498AE0" w:rsidR="00E2135F" w:rsidRDefault="00E2135F">
      <w:pPr>
        <w:pStyle w:val="FootnoteText"/>
      </w:pPr>
      <w:r>
        <w:rPr>
          <w:rStyle w:val="FootnoteReference"/>
        </w:rPr>
        <w:footnoteRef/>
      </w:r>
      <w:r>
        <w:t xml:space="preserve"> </w:t>
      </w:r>
      <w:proofErr w:type="spellStart"/>
      <w:r>
        <w:t>Vavouranakis</w:t>
      </w:r>
      <w:proofErr w:type="spellEnd"/>
      <w:r>
        <w:t>,</w:t>
      </w:r>
      <w:r w:rsidR="00643DCD">
        <w:t xml:space="preserve"> G., ‘Funerary Pithoi in Bronze Age Crete: Their Introduction and Significance at the Threshold of Minoan Palatial Society’, </w:t>
      </w:r>
      <w:r w:rsidR="00643DCD">
        <w:rPr>
          <w:i/>
          <w:iCs/>
        </w:rPr>
        <w:t>American Journal of Archaeology,</w:t>
      </w:r>
      <w:r w:rsidR="00643DCD">
        <w:t xml:space="preserve"> Vol. 118, No. 2 (2014), </w:t>
      </w:r>
      <w:r>
        <w:t>p.197</w:t>
      </w:r>
    </w:p>
  </w:footnote>
  <w:footnote w:id="26">
    <w:p w14:paraId="4DE7801A" w14:textId="24D23317" w:rsidR="00183C49" w:rsidRDefault="00183C49">
      <w:pPr>
        <w:pStyle w:val="FootnoteText"/>
      </w:pPr>
      <w:r>
        <w:rPr>
          <w:rStyle w:val="FootnoteReference"/>
        </w:rPr>
        <w:footnoteRef/>
      </w:r>
      <w:r>
        <w:t xml:space="preserve"> </w:t>
      </w:r>
      <w:r w:rsidR="00E8637B">
        <w:t>Dickinson,</w:t>
      </w:r>
      <w:r w:rsidR="00643DCD">
        <w:t xml:space="preserve"> </w:t>
      </w:r>
      <w:r w:rsidR="00E8637B">
        <w:t>in</w:t>
      </w:r>
      <w:r w:rsidR="00643DCD">
        <w:t xml:space="preserve"> </w:t>
      </w:r>
      <w:proofErr w:type="spellStart"/>
      <w:r>
        <w:t>Vav</w:t>
      </w:r>
      <w:r w:rsidR="00643DCD">
        <w:t>ouranakis</w:t>
      </w:r>
      <w:proofErr w:type="spellEnd"/>
      <w:r>
        <w:t>,</w:t>
      </w:r>
      <w:r w:rsidR="00643DCD">
        <w:t xml:space="preserve"> </w:t>
      </w:r>
      <w:r>
        <w:t>p.</w:t>
      </w:r>
      <w:r w:rsidR="00643DCD">
        <w:t xml:space="preserve"> </w:t>
      </w:r>
      <w:r>
        <w:t>199</w:t>
      </w:r>
    </w:p>
  </w:footnote>
  <w:footnote w:id="27">
    <w:p w14:paraId="676E7E2E" w14:textId="00385F81" w:rsidR="00AF4012" w:rsidRDefault="00AF4012">
      <w:pPr>
        <w:pStyle w:val="FootnoteText"/>
      </w:pPr>
      <w:r>
        <w:rPr>
          <w:rStyle w:val="FootnoteReference"/>
        </w:rPr>
        <w:footnoteRef/>
      </w:r>
      <w:r>
        <w:t xml:space="preserve"> Driessen,</w:t>
      </w:r>
      <w:r w:rsidR="00643DCD">
        <w:t xml:space="preserve"> </w:t>
      </w:r>
      <w:r>
        <w:t>p.</w:t>
      </w:r>
      <w:r w:rsidR="00643DCD">
        <w:t xml:space="preserve"> </w:t>
      </w:r>
      <w:r>
        <w:t>115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227605" w14:textId="77777777" w:rsidR="00F34121" w:rsidRDefault="00F34121">
    <w:pPr>
      <w:pStyle w:val="Header"/>
    </w:pPr>
    <w:r>
      <w:t>Thomas Hawkins</w:t>
    </w:r>
    <w:r>
      <w:ptab w:relativeTo="margin" w:alignment="center" w:leader="none"/>
    </w:r>
    <w:r w:rsidRPr="00F34121">
      <w:rPr>
        <w:i/>
        <w:iCs/>
      </w:rPr>
      <w:t xml:space="preserve">“A </w:t>
    </w:r>
    <w:r>
      <w:rPr>
        <w:i/>
        <w:iCs/>
      </w:rPr>
      <w:t>R</w:t>
    </w:r>
    <w:r w:rsidRPr="00F34121">
      <w:rPr>
        <w:i/>
        <w:iCs/>
      </w:rPr>
      <w:t xml:space="preserve">adical </w:t>
    </w:r>
    <w:r>
      <w:rPr>
        <w:i/>
        <w:iCs/>
      </w:rPr>
      <w:t>D</w:t>
    </w:r>
    <w:r w:rsidRPr="00F34121">
      <w:rPr>
        <w:i/>
        <w:iCs/>
      </w:rPr>
      <w:t xml:space="preserve">evaluation of the </w:t>
    </w:r>
    <w:r>
      <w:rPr>
        <w:i/>
        <w:iCs/>
      </w:rPr>
      <w:t>D</w:t>
    </w:r>
    <w:r w:rsidRPr="00F34121">
      <w:rPr>
        <w:i/>
        <w:iCs/>
      </w:rPr>
      <w:t>eceased’s</w:t>
    </w:r>
    <w:r>
      <w:ptab w:relativeTo="margin" w:alignment="right" w:leader="none"/>
    </w:r>
    <w:r>
      <w:t>Theory &amp; Methodology</w:t>
    </w:r>
  </w:p>
  <w:p w14:paraId="4D166F1D" w14:textId="77777777" w:rsidR="00F34121" w:rsidRDefault="00F34121">
    <w:pPr>
      <w:pStyle w:val="Header"/>
    </w:pPr>
    <w:r>
      <w:t>1906585</w:t>
    </w:r>
    <w:r>
      <w:tab/>
    </w:r>
    <w:r>
      <w:rPr>
        <w:i/>
        <w:iCs/>
      </w:rPr>
      <w:t>I</w:t>
    </w:r>
    <w:r w:rsidRPr="00F34121">
      <w:rPr>
        <w:i/>
        <w:iCs/>
      </w:rPr>
      <w:t xml:space="preserve">ndividuality” </w:t>
    </w:r>
    <w:r>
      <w:rPr>
        <w:i/>
        <w:iCs/>
      </w:rPr>
      <w:t>D</w:t>
    </w:r>
    <w:r w:rsidRPr="00F34121">
      <w:rPr>
        <w:i/>
        <w:iCs/>
      </w:rPr>
      <w:t xml:space="preserve">ue to </w:t>
    </w:r>
    <w:r>
      <w:rPr>
        <w:i/>
        <w:iCs/>
      </w:rPr>
      <w:t>D</w:t>
    </w:r>
    <w:r w:rsidRPr="00F34121">
      <w:rPr>
        <w:i/>
        <w:iCs/>
      </w:rPr>
      <w:t xml:space="preserve">eath and </w:t>
    </w:r>
    <w:r>
      <w:rPr>
        <w:i/>
        <w:iCs/>
      </w:rPr>
      <w:t>P</w:t>
    </w:r>
    <w:r w:rsidRPr="00F34121">
      <w:rPr>
        <w:i/>
        <w:iCs/>
      </w:rPr>
      <w:t>ollution?</w:t>
    </w:r>
    <w:r>
      <w:tab/>
      <w:t>CLCL7003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121"/>
    <w:rsid w:val="00026BA9"/>
    <w:rsid w:val="00051E56"/>
    <w:rsid w:val="00051F0F"/>
    <w:rsid w:val="00112EA3"/>
    <w:rsid w:val="001771C8"/>
    <w:rsid w:val="00183C49"/>
    <w:rsid w:val="001E69A8"/>
    <w:rsid w:val="00212E0C"/>
    <w:rsid w:val="002730AC"/>
    <w:rsid w:val="00292B1B"/>
    <w:rsid w:val="002E2790"/>
    <w:rsid w:val="00324789"/>
    <w:rsid w:val="003B4007"/>
    <w:rsid w:val="003E2803"/>
    <w:rsid w:val="00420EDA"/>
    <w:rsid w:val="004212B6"/>
    <w:rsid w:val="0045082E"/>
    <w:rsid w:val="004775A5"/>
    <w:rsid w:val="0049050D"/>
    <w:rsid w:val="004A61AA"/>
    <w:rsid w:val="004B76B2"/>
    <w:rsid w:val="004D6520"/>
    <w:rsid w:val="005104F7"/>
    <w:rsid w:val="00541EED"/>
    <w:rsid w:val="005B704E"/>
    <w:rsid w:val="005C7800"/>
    <w:rsid w:val="005C7D33"/>
    <w:rsid w:val="00643DCD"/>
    <w:rsid w:val="006908EF"/>
    <w:rsid w:val="007313E5"/>
    <w:rsid w:val="007864F9"/>
    <w:rsid w:val="00847B6A"/>
    <w:rsid w:val="00860E69"/>
    <w:rsid w:val="008647E3"/>
    <w:rsid w:val="008B0156"/>
    <w:rsid w:val="008B39F4"/>
    <w:rsid w:val="00951A3B"/>
    <w:rsid w:val="009B4419"/>
    <w:rsid w:val="009C0303"/>
    <w:rsid w:val="009F72A5"/>
    <w:rsid w:val="00A25DBA"/>
    <w:rsid w:val="00A33809"/>
    <w:rsid w:val="00AF4012"/>
    <w:rsid w:val="00B018D0"/>
    <w:rsid w:val="00B0435C"/>
    <w:rsid w:val="00B2021C"/>
    <w:rsid w:val="00B83456"/>
    <w:rsid w:val="00BE2469"/>
    <w:rsid w:val="00BF1A69"/>
    <w:rsid w:val="00BF512E"/>
    <w:rsid w:val="00C228EB"/>
    <w:rsid w:val="00C41593"/>
    <w:rsid w:val="00CD2F23"/>
    <w:rsid w:val="00D616FA"/>
    <w:rsid w:val="00D779D6"/>
    <w:rsid w:val="00D93A54"/>
    <w:rsid w:val="00D94626"/>
    <w:rsid w:val="00DB1F13"/>
    <w:rsid w:val="00E10CF5"/>
    <w:rsid w:val="00E2135F"/>
    <w:rsid w:val="00E22633"/>
    <w:rsid w:val="00E54AA8"/>
    <w:rsid w:val="00E62340"/>
    <w:rsid w:val="00E70F0D"/>
    <w:rsid w:val="00E74929"/>
    <w:rsid w:val="00E8637B"/>
    <w:rsid w:val="00EA0DE5"/>
    <w:rsid w:val="00EA7671"/>
    <w:rsid w:val="00EF7FED"/>
    <w:rsid w:val="00F07070"/>
    <w:rsid w:val="00F34121"/>
    <w:rsid w:val="00F83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D66C7"/>
  <w15:chartTrackingRefBased/>
  <w15:docId w15:val="{77CC8A08-932E-4DC7-A2A0-DABA189A2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4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121"/>
  </w:style>
  <w:style w:type="paragraph" w:styleId="Footer">
    <w:name w:val="footer"/>
    <w:basedOn w:val="Normal"/>
    <w:link w:val="FooterChar"/>
    <w:uiPriority w:val="99"/>
    <w:unhideWhenUsed/>
    <w:rsid w:val="00F34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121"/>
  </w:style>
  <w:style w:type="paragraph" w:styleId="FootnoteText">
    <w:name w:val="footnote text"/>
    <w:basedOn w:val="Normal"/>
    <w:link w:val="FootnoteTextChar"/>
    <w:uiPriority w:val="99"/>
    <w:semiHidden/>
    <w:unhideWhenUsed/>
    <w:rsid w:val="00BF51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512E"/>
    <w:rPr>
      <w:sz w:val="20"/>
      <w:szCs w:val="20"/>
    </w:rPr>
  </w:style>
  <w:style w:type="character" w:styleId="FootnoteReference">
    <w:name w:val="footnote reference"/>
    <w:basedOn w:val="DefaultParagraphFont"/>
    <w:uiPriority w:val="99"/>
    <w:semiHidden/>
    <w:unhideWhenUsed/>
    <w:rsid w:val="00BF512E"/>
    <w:rPr>
      <w:vertAlign w:val="superscript"/>
    </w:rPr>
  </w:style>
  <w:style w:type="character" w:styleId="HTMLCite">
    <w:name w:val="HTML Cite"/>
    <w:basedOn w:val="DefaultParagraphFont"/>
    <w:uiPriority w:val="99"/>
    <w:semiHidden/>
    <w:unhideWhenUsed/>
    <w:rsid w:val="00EF7F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177973">
      <w:bodyDiv w:val="1"/>
      <w:marLeft w:val="0"/>
      <w:marRight w:val="0"/>
      <w:marTop w:val="0"/>
      <w:marBottom w:val="0"/>
      <w:divBdr>
        <w:top w:val="none" w:sz="0" w:space="0" w:color="auto"/>
        <w:left w:val="none" w:sz="0" w:space="0" w:color="auto"/>
        <w:bottom w:val="none" w:sz="0" w:space="0" w:color="auto"/>
        <w:right w:val="none" w:sz="0" w:space="0" w:color="auto"/>
      </w:divBdr>
    </w:div>
    <w:div w:id="189996122">
      <w:bodyDiv w:val="1"/>
      <w:marLeft w:val="0"/>
      <w:marRight w:val="0"/>
      <w:marTop w:val="0"/>
      <w:marBottom w:val="0"/>
      <w:divBdr>
        <w:top w:val="none" w:sz="0" w:space="0" w:color="auto"/>
        <w:left w:val="none" w:sz="0" w:space="0" w:color="auto"/>
        <w:bottom w:val="none" w:sz="0" w:space="0" w:color="auto"/>
        <w:right w:val="none" w:sz="0" w:space="0" w:color="auto"/>
      </w:divBdr>
    </w:div>
    <w:div w:id="630793340">
      <w:bodyDiv w:val="1"/>
      <w:marLeft w:val="0"/>
      <w:marRight w:val="0"/>
      <w:marTop w:val="0"/>
      <w:marBottom w:val="0"/>
      <w:divBdr>
        <w:top w:val="none" w:sz="0" w:space="0" w:color="auto"/>
        <w:left w:val="none" w:sz="0" w:space="0" w:color="auto"/>
        <w:bottom w:val="none" w:sz="0" w:space="0" w:color="auto"/>
        <w:right w:val="none" w:sz="0" w:space="0" w:color="auto"/>
      </w:divBdr>
    </w:div>
    <w:div w:id="648872899">
      <w:bodyDiv w:val="1"/>
      <w:marLeft w:val="0"/>
      <w:marRight w:val="0"/>
      <w:marTop w:val="0"/>
      <w:marBottom w:val="0"/>
      <w:divBdr>
        <w:top w:val="none" w:sz="0" w:space="0" w:color="auto"/>
        <w:left w:val="none" w:sz="0" w:space="0" w:color="auto"/>
        <w:bottom w:val="none" w:sz="0" w:space="0" w:color="auto"/>
        <w:right w:val="none" w:sz="0" w:space="0" w:color="auto"/>
      </w:divBdr>
    </w:div>
    <w:div w:id="1057968933">
      <w:bodyDiv w:val="1"/>
      <w:marLeft w:val="0"/>
      <w:marRight w:val="0"/>
      <w:marTop w:val="0"/>
      <w:marBottom w:val="0"/>
      <w:divBdr>
        <w:top w:val="none" w:sz="0" w:space="0" w:color="auto"/>
        <w:left w:val="none" w:sz="0" w:space="0" w:color="auto"/>
        <w:bottom w:val="none" w:sz="0" w:space="0" w:color="auto"/>
        <w:right w:val="none" w:sz="0" w:space="0" w:color="auto"/>
      </w:divBdr>
    </w:div>
    <w:div w:id="1067924324">
      <w:bodyDiv w:val="1"/>
      <w:marLeft w:val="0"/>
      <w:marRight w:val="0"/>
      <w:marTop w:val="0"/>
      <w:marBottom w:val="0"/>
      <w:divBdr>
        <w:top w:val="none" w:sz="0" w:space="0" w:color="auto"/>
        <w:left w:val="none" w:sz="0" w:space="0" w:color="auto"/>
        <w:bottom w:val="none" w:sz="0" w:space="0" w:color="auto"/>
        <w:right w:val="none" w:sz="0" w:space="0" w:color="auto"/>
      </w:divBdr>
    </w:div>
    <w:div w:id="1295865511">
      <w:bodyDiv w:val="1"/>
      <w:marLeft w:val="0"/>
      <w:marRight w:val="0"/>
      <w:marTop w:val="0"/>
      <w:marBottom w:val="0"/>
      <w:divBdr>
        <w:top w:val="none" w:sz="0" w:space="0" w:color="auto"/>
        <w:left w:val="none" w:sz="0" w:space="0" w:color="auto"/>
        <w:bottom w:val="none" w:sz="0" w:space="0" w:color="auto"/>
        <w:right w:val="none" w:sz="0" w:space="0" w:color="auto"/>
      </w:divBdr>
    </w:div>
    <w:div w:id="1295912118">
      <w:bodyDiv w:val="1"/>
      <w:marLeft w:val="0"/>
      <w:marRight w:val="0"/>
      <w:marTop w:val="0"/>
      <w:marBottom w:val="0"/>
      <w:divBdr>
        <w:top w:val="none" w:sz="0" w:space="0" w:color="auto"/>
        <w:left w:val="none" w:sz="0" w:space="0" w:color="auto"/>
        <w:bottom w:val="none" w:sz="0" w:space="0" w:color="auto"/>
        <w:right w:val="none" w:sz="0" w:space="0" w:color="auto"/>
      </w:divBdr>
    </w:div>
    <w:div w:id="2115326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2C3A7-B3F8-499E-90E6-FDC3212BF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5</Pages>
  <Words>2387</Words>
  <Characters>13607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Hawkins</dc:creator>
  <cp:keywords/>
  <dc:description/>
  <cp:lastModifiedBy>Thomas Hawkins</cp:lastModifiedBy>
  <cp:revision>38</cp:revision>
  <dcterms:created xsi:type="dcterms:W3CDTF">2020-01-30T11:16:00Z</dcterms:created>
  <dcterms:modified xsi:type="dcterms:W3CDTF">2020-02-06T16:22:00Z</dcterms:modified>
</cp:coreProperties>
</file>