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86284" w14:textId="77777777" w:rsidR="00A84743" w:rsidRPr="00E2195F" w:rsidRDefault="00A84743" w:rsidP="002E2094">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2195F">
        <w:rPr>
          <w:rFonts w:ascii="Times New Roman" w:eastAsia="Times New Roman" w:hAnsi="Times New Roman" w:cs="Times New Roman"/>
          <w:b/>
          <w:bCs/>
          <w:kern w:val="36"/>
          <w14:ligatures w14:val="none"/>
        </w:rPr>
        <w:t>Module: Stakeholder Engagement</w:t>
      </w:r>
    </w:p>
    <w:p w14:paraId="3D78435C" w14:textId="77777777" w:rsidR="00A84743" w:rsidRPr="00E2195F" w:rsidRDefault="00A84743" w:rsidP="002E2094">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2195F">
        <w:rPr>
          <w:rFonts w:ascii="Times New Roman" w:eastAsia="Times New Roman" w:hAnsi="Times New Roman" w:cs="Times New Roman"/>
          <w:b/>
          <w:bCs/>
          <w:kern w:val="36"/>
          <w14:ligatures w14:val="none"/>
        </w:rPr>
        <w:t xml:space="preserve">  Module code: LCBB4013</w:t>
      </w:r>
    </w:p>
    <w:p w14:paraId="49BCFF5B" w14:textId="77777777" w:rsidR="00A84743" w:rsidRPr="00E2195F" w:rsidRDefault="00A84743" w:rsidP="002E2094">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2195F">
        <w:rPr>
          <w:rFonts w:ascii="Times New Roman" w:eastAsia="Times New Roman" w:hAnsi="Times New Roman" w:cs="Times New Roman"/>
          <w:b/>
          <w:bCs/>
          <w:kern w:val="36"/>
          <w14:ligatures w14:val="none"/>
        </w:rPr>
        <w:t xml:space="preserve">  Lecture: </w:t>
      </w:r>
      <w:proofErr w:type="spellStart"/>
      <w:r w:rsidRPr="00E2195F">
        <w:rPr>
          <w:rFonts w:ascii="Times New Roman" w:eastAsia="Times New Roman" w:hAnsi="Times New Roman" w:cs="Times New Roman"/>
          <w:b/>
          <w:bCs/>
          <w:kern w:val="36"/>
          <w14:ligatures w14:val="none"/>
        </w:rPr>
        <w:t>Mudassar</w:t>
      </w:r>
      <w:proofErr w:type="spellEnd"/>
      <w:r w:rsidRPr="00E2195F">
        <w:rPr>
          <w:rFonts w:ascii="Times New Roman" w:eastAsia="Times New Roman" w:hAnsi="Times New Roman" w:cs="Times New Roman"/>
          <w:b/>
          <w:bCs/>
          <w:kern w:val="36"/>
          <w14:ligatures w14:val="none"/>
        </w:rPr>
        <w:t xml:space="preserve"> Hasan</w:t>
      </w:r>
    </w:p>
    <w:p w14:paraId="729D2537" w14:textId="317097A5" w:rsidR="00A84743" w:rsidRPr="00E2195F" w:rsidRDefault="00A84743" w:rsidP="002E2094">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2195F">
        <w:rPr>
          <w:rFonts w:ascii="Times New Roman" w:eastAsia="Times New Roman" w:hAnsi="Times New Roman" w:cs="Times New Roman"/>
          <w:b/>
          <w:bCs/>
          <w:kern w:val="36"/>
          <w14:ligatures w14:val="none"/>
        </w:rPr>
        <w:t xml:space="preserve">  Assignment title: Component: </w:t>
      </w:r>
      <w:r w:rsidR="00D75712">
        <w:rPr>
          <w:rFonts w:ascii="Times New Roman" w:eastAsia="Times New Roman" w:hAnsi="Times New Roman" w:cs="Times New Roman"/>
          <w:b/>
          <w:bCs/>
          <w:kern w:val="36"/>
          <w14:ligatures w14:val="none"/>
        </w:rPr>
        <w:t xml:space="preserve">2 </w:t>
      </w:r>
      <w:r w:rsidRPr="00E2195F">
        <w:rPr>
          <w:rFonts w:ascii="Times New Roman" w:eastAsia="Times New Roman" w:hAnsi="Times New Roman" w:cs="Times New Roman"/>
          <w:b/>
          <w:bCs/>
          <w:kern w:val="36"/>
          <w14:ligatures w14:val="none"/>
        </w:rPr>
        <w:t>Coursework Portfolio</w:t>
      </w:r>
    </w:p>
    <w:p w14:paraId="11A9A30C" w14:textId="77777777" w:rsidR="00A84743" w:rsidRPr="00E2195F" w:rsidRDefault="00A84743" w:rsidP="002E2094">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2195F">
        <w:rPr>
          <w:rFonts w:ascii="Times New Roman" w:eastAsia="Times New Roman" w:hAnsi="Times New Roman" w:cs="Times New Roman"/>
          <w:b/>
          <w:bCs/>
          <w:kern w:val="36"/>
          <w14:ligatures w14:val="none"/>
        </w:rPr>
        <w:t xml:space="preserve">  Student Number: 2328205 </w:t>
      </w:r>
    </w:p>
    <w:p w14:paraId="33E0C4C6" w14:textId="77777777" w:rsidR="00A84743" w:rsidRPr="00E2195F" w:rsidRDefault="00A84743" w:rsidP="002E2094">
      <w:pPr>
        <w:spacing w:before="100" w:beforeAutospacing="1" w:after="100" w:afterAutospacing="1" w:line="240" w:lineRule="auto"/>
        <w:outlineLvl w:val="0"/>
        <w:rPr>
          <w:rFonts w:ascii="Times New Roman" w:eastAsia="Times New Roman" w:hAnsi="Times New Roman" w:cs="Times New Roman"/>
          <w:b/>
          <w:bCs/>
          <w:kern w:val="36"/>
          <w14:ligatures w14:val="none"/>
        </w:rPr>
      </w:pPr>
      <w:r w:rsidRPr="00E2195F">
        <w:rPr>
          <w:rFonts w:ascii="Times New Roman" w:eastAsia="Times New Roman" w:hAnsi="Times New Roman" w:cs="Times New Roman"/>
          <w:b/>
          <w:bCs/>
          <w:kern w:val="36"/>
          <w14:ligatures w14:val="none"/>
        </w:rPr>
        <w:t xml:space="preserve">  Student Name: Sukhwinder Kaur</w:t>
      </w:r>
    </w:p>
    <w:p w14:paraId="50E9A95C" w14:textId="77777777" w:rsidR="00A84743" w:rsidRPr="00DC506F" w:rsidRDefault="00A84743" w:rsidP="002E2094">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817CA2">
        <w:rPr>
          <w:rFonts w:ascii="Times New Roman" w:eastAsia="Times New Roman" w:hAnsi="Times New Roman" w:cs="Times New Roman"/>
          <w:b/>
          <w:bCs/>
          <w:kern w:val="0"/>
          <w:sz w:val="36"/>
          <w:szCs w:val="36"/>
          <w14:ligatures w14:val="none"/>
        </w:rPr>
        <w:t>Stakeholder Engagement in Homelessness Support Services in the United Kingdom</w:t>
      </w:r>
    </w:p>
    <w:p w14:paraId="2F130890" w14:textId="77777777" w:rsidR="00A84743" w:rsidRPr="005C14DE" w:rsidRDefault="00A84743" w:rsidP="002E2094">
      <w:pPr>
        <w:spacing w:after="0" w:line="240" w:lineRule="auto"/>
        <w:rPr>
          <w:rFonts w:ascii="Times New Roman" w:eastAsia="Times New Roman" w:hAnsi="Times New Roman" w:cs="Times New Roman"/>
          <w:kern w:val="0"/>
          <w14:ligatures w14:val="none"/>
        </w:rPr>
      </w:pPr>
    </w:p>
    <w:p w14:paraId="1A1E2F9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Stakeholder Engagement in Homelessness Support Services in the United Kingdom</w:t>
      </w:r>
    </w:p>
    <w:p w14:paraId="1315B31E"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2853CE5"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Introduction</w:t>
      </w:r>
    </w:p>
    <w:p w14:paraId="0C7E037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957EA1C" w14:textId="1D8496CD"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Homelessness </w:t>
      </w:r>
      <w:r w:rsidR="004C3AB4" w:rsidRPr="00EF7FF7">
        <w:rPr>
          <w:rFonts w:ascii="UICTFontTextStyleBody" w:hAnsi="UICTFontTextStyleBody" w:cs="Times New Roman"/>
          <w:kern w:val="0"/>
          <w:sz w:val="26"/>
          <w:szCs w:val="26"/>
          <w14:ligatures w14:val="none"/>
        </w:rPr>
        <w:t>stays</w:t>
      </w:r>
      <w:r w:rsidRPr="00EF7FF7">
        <w:rPr>
          <w:rFonts w:ascii="UICTFontTextStyleBody" w:hAnsi="UICTFontTextStyleBody" w:cs="Times New Roman"/>
          <w:kern w:val="0"/>
          <w:sz w:val="26"/>
          <w:szCs w:val="26"/>
          <w14:ligatures w14:val="none"/>
        </w:rPr>
        <w:t xml:space="preserve"> one of the most pressing and complex social issues in the United Kingdom, affecting individuals from a wide range of social, economic, and demographic backgrounds. It extends beyond the absence of a permanent home and is often linked to a combination of structural factors such as poverty, unemployment, housing shortages, and systemic inequality, as well as personal factors including mental health challenges, substance misuse, and family breakdown. Due to its complexity, homelessness is widely recognised as a “wicked problem” that cannot be resolved through a single policy or by one organisation alone.</w:t>
      </w:r>
    </w:p>
    <w:p w14:paraId="1CBD1402"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1CB5506B" w14:textId="44B1B9C0"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Addressing homelessness effectively requires coordinated action between multiple stakeholders, each bringing different resources, </w:t>
      </w:r>
      <w:r w:rsidR="00967071" w:rsidRPr="00EF7FF7">
        <w:rPr>
          <w:rFonts w:ascii="UICTFontTextStyleBody" w:hAnsi="UICTFontTextStyleBody" w:cs="Times New Roman"/>
          <w:kern w:val="0"/>
          <w:sz w:val="26"/>
          <w:szCs w:val="26"/>
          <w14:ligatures w14:val="none"/>
        </w:rPr>
        <w:t>ability</w:t>
      </w:r>
      <w:r w:rsidRPr="00EF7FF7">
        <w:rPr>
          <w:rFonts w:ascii="UICTFontTextStyleBody" w:hAnsi="UICTFontTextStyleBody" w:cs="Times New Roman"/>
          <w:kern w:val="0"/>
          <w:sz w:val="26"/>
          <w:szCs w:val="26"/>
          <w14:ligatures w14:val="none"/>
        </w:rPr>
        <w:t>, and perspectives. These stakeholders include government bodies, charities, healthcare providers, private sector organisations, community groups, and, most importantly, individuals experiencing homelessness themselves. The interactions between these stakeholders are often complex, involving competing priorities, power imbalances, and differing levels of influence.</w:t>
      </w:r>
    </w:p>
    <w:p w14:paraId="72DADB7B"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122E9E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Stakeholder analysis provides a structured framework for understanding these relationships by identifying key stakeholders, assessing their interests and influence, and determining how best to engage them. This process is essential in homelessness support services, as it enables organisations to deliver more coordinated, inclusive, and effective interventions.</w:t>
      </w:r>
    </w:p>
    <w:p w14:paraId="437341AB"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7AB0A4C"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This report explores the application of stakeholder analysis in the context of homelessness support in the UK. It examines key stakeholders, evaluates their levels of power and interest, and analyses engagement strategies. It also critically discusses the challenges and ethical considerations involved in stakeholder engagement, highlighting the importance of collaboration, inclusivity, and long-term sustainable approaches.</w:t>
      </w:r>
    </w:p>
    <w:p w14:paraId="37B6E2E5"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E2B4A7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DD5EC2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2D0DA3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Depth of Analysis and Application</w:t>
      </w:r>
    </w:p>
    <w:p w14:paraId="5151936E"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191B60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Understanding Stakeholder Analysis</w:t>
      </w:r>
    </w:p>
    <w:p w14:paraId="0E0221CA"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02D6E8AD" w14:textId="1B999084"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Stakeholder analysis is a structured process used to </w:t>
      </w:r>
      <w:r w:rsidR="00967071" w:rsidRPr="00EF7FF7">
        <w:rPr>
          <w:rFonts w:ascii="UICTFontTextStyleBody" w:hAnsi="UICTFontTextStyleBody" w:cs="Times New Roman"/>
          <w:kern w:val="0"/>
          <w:sz w:val="26"/>
          <w:szCs w:val="26"/>
          <w14:ligatures w14:val="none"/>
        </w:rPr>
        <w:t>find</w:t>
      </w:r>
      <w:r w:rsidRPr="00EF7FF7">
        <w:rPr>
          <w:rFonts w:ascii="UICTFontTextStyleBody" w:hAnsi="UICTFontTextStyleBody" w:cs="Times New Roman"/>
          <w:kern w:val="0"/>
          <w:sz w:val="26"/>
          <w:szCs w:val="26"/>
          <w14:ligatures w14:val="none"/>
        </w:rPr>
        <w:t>, assess, and prioritise individuals or groups who can influence or are affected by a service or project (Bryson, 2018). In homelessness support, this process is particularly important because the issue involves multiple interconnected systems, including housing, healthcare, employment, and social care.</w:t>
      </w:r>
    </w:p>
    <w:p w14:paraId="09A8E15C"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EDA35DB" w14:textId="5A145010"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Homelessness is often described as a “wicked problem” because it is difficult to define clearly, involves multiple causes, and has no simple or permanent solution. This means that traditional linear approaches to problem-solving are often ineffective. Instead, </w:t>
      </w:r>
      <w:r w:rsidR="00967071" w:rsidRPr="00EF7FF7">
        <w:rPr>
          <w:rFonts w:ascii="UICTFontTextStyleBody" w:hAnsi="UICTFontTextStyleBody" w:cs="Times New Roman"/>
          <w:kern w:val="0"/>
          <w:sz w:val="26"/>
          <w:szCs w:val="26"/>
          <w14:ligatures w14:val="none"/>
        </w:rPr>
        <w:t>adaptive,</w:t>
      </w:r>
      <w:r w:rsidRPr="00EF7FF7">
        <w:rPr>
          <w:rFonts w:ascii="UICTFontTextStyleBody" w:hAnsi="UICTFontTextStyleBody" w:cs="Times New Roman"/>
          <w:kern w:val="0"/>
          <w:sz w:val="26"/>
          <w:szCs w:val="26"/>
          <w14:ligatures w14:val="none"/>
        </w:rPr>
        <w:t xml:space="preserve"> and collaborative approaches are </w:t>
      </w:r>
      <w:r w:rsidR="00967071" w:rsidRPr="00EF7FF7">
        <w:rPr>
          <w:rFonts w:ascii="UICTFontTextStyleBody" w:hAnsi="UICTFontTextStyleBody" w:cs="Times New Roman"/>
          <w:kern w:val="0"/>
          <w:sz w:val="26"/>
          <w:szCs w:val="26"/>
          <w14:ligatures w14:val="none"/>
        </w:rPr>
        <w:t>needed</w:t>
      </w:r>
      <w:r w:rsidRPr="00EF7FF7">
        <w:rPr>
          <w:rFonts w:ascii="UICTFontTextStyleBody" w:hAnsi="UICTFontTextStyleBody" w:cs="Times New Roman"/>
          <w:kern w:val="0"/>
          <w:sz w:val="26"/>
          <w:szCs w:val="26"/>
          <w14:ligatures w14:val="none"/>
        </w:rPr>
        <w:t xml:space="preserve">, where stakeholders work together to address </w:t>
      </w:r>
      <w:r w:rsidR="00967071" w:rsidRPr="00EF7FF7">
        <w:rPr>
          <w:rFonts w:ascii="UICTFontTextStyleBody" w:hAnsi="UICTFontTextStyleBody" w:cs="Times New Roman"/>
          <w:kern w:val="0"/>
          <w:sz w:val="26"/>
          <w:szCs w:val="26"/>
          <w14:ligatures w14:val="none"/>
        </w:rPr>
        <w:t>various aspects</w:t>
      </w:r>
      <w:r w:rsidRPr="00EF7FF7">
        <w:rPr>
          <w:rFonts w:ascii="UICTFontTextStyleBody" w:hAnsi="UICTFontTextStyleBody" w:cs="Times New Roman"/>
          <w:kern w:val="0"/>
          <w:sz w:val="26"/>
          <w:szCs w:val="26"/>
          <w14:ligatures w14:val="none"/>
        </w:rPr>
        <w:t xml:space="preserve"> of the issue.</w:t>
      </w:r>
    </w:p>
    <w:p w14:paraId="0450DC35"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D1C96B0" w14:textId="4AEF964A"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A key strength of stakeholder analysis is that it goes beyond formal authority and considers factors such as influence, legitimacy, and urgency. For example, individuals experiencing homelessness may have little formal power but </w:t>
      </w:r>
      <w:r w:rsidR="00967071" w:rsidRPr="00EF7FF7">
        <w:rPr>
          <w:rFonts w:ascii="UICTFontTextStyleBody" w:hAnsi="UICTFontTextStyleBody" w:cs="Times New Roman"/>
          <w:kern w:val="0"/>
          <w:sz w:val="26"/>
          <w:szCs w:val="26"/>
          <w14:ligatures w14:val="none"/>
        </w:rPr>
        <w:t>own</w:t>
      </w:r>
      <w:r w:rsidRPr="00EF7FF7">
        <w:rPr>
          <w:rFonts w:ascii="UICTFontTextStyleBody" w:hAnsi="UICTFontTextStyleBody" w:cs="Times New Roman"/>
          <w:kern w:val="0"/>
          <w:sz w:val="26"/>
          <w:szCs w:val="26"/>
          <w14:ligatures w14:val="none"/>
        </w:rPr>
        <w:t xml:space="preserve"> high legitimacy because they are directly affected by decisions, and high urgency because their needs are immediate. Ignoring such stakeholders can result in ineffective or even harmful service delivery.</w:t>
      </w:r>
    </w:p>
    <w:p w14:paraId="3CCDAD5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97F2102"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However, stakeholder analysis also has limitations. It can oversimplify complex relationships and may not fully capture informal power dynamics or hidden influences. Additionally, stakeholder priorities can change over time, meaning that analysis must be continuously updated to remain relevant.</w:t>
      </w:r>
    </w:p>
    <w:p w14:paraId="5D220F6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EB60622"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Despite these limitations, stakeholder analysis remains a valuable tool for improving decision-making, aligning stakeholder interests, and ensuring that resources are used effectively.</w:t>
      </w:r>
    </w:p>
    <w:p w14:paraId="2816422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8F3EEE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12060D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122F106A"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Key Stakeholders in Homelessness Support Services</w:t>
      </w:r>
    </w:p>
    <w:p w14:paraId="329567DC"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8BE22FD"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1. Individuals Experiencing Homelessness</w:t>
      </w:r>
    </w:p>
    <w:p w14:paraId="2151030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BECEE9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Individuals experiencing homelessness are the most important stakeholders, as they are directly affected by services and policies. Their needs are often complex and may include access to safe housing, healthcare, employment opportunities, and emotional support.</w:t>
      </w:r>
    </w:p>
    <w:p w14:paraId="0B89FDA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7D4F7F6" w14:textId="79CB5F88"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Despite their </w:t>
      </w:r>
      <w:r w:rsidR="008F1838" w:rsidRPr="00EF7FF7">
        <w:rPr>
          <w:rFonts w:ascii="UICTFontTextStyleBody" w:hAnsi="UICTFontTextStyleBody" w:cs="Times New Roman"/>
          <w:kern w:val="0"/>
          <w:sz w:val="26"/>
          <w:szCs w:val="26"/>
          <w14:ligatures w14:val="none"/>
        </w:rPr>
        <w:t>vital importance</w:t>
      </w:r>
      <w:r w:rsidRPr="00EF7FF7">
        <w:rPr>
          <w:rFonts w:ascii="UICTFontTextStyleBody" w:hAnsi="UICTFontTextStyleBody" w:cs="Times New Roman"/>
          <w:kern w:val="0"/>
          <w:sz w:val="26"/>
          <w:szCs w:val="26"/>
          <w14:ligatures w14:val="none"/>
        </w:rPr>
        <w:t>, they often have limited formal power in decision-making processes. This creates a significant imbalance that can lead to services being designed without fully considering their lived experiences.</w:t>
      </w:r>
    </w:p>
    <w:p w14:paraId="503981B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932322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Engaging this group effectively requires participatory approaches such as interviews, focus groups, and co-production models. These approaches enable individuals to contribute to service design and delivery, ensuring that services are more relevant and effective.</w:t>
      </w:r>
    </w:p>
    <w:p w14:paraId="25BAF8DB"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10E9B89C" w14:textId="0FA45949"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However, meaningful engagement can be challenging. Barriers such as mistrust, stigma, trauma, and communication difficulties can prevent individuals from fully </w:t>
      </w:r>
      <w:r w:rsidR="008F1838" w:rsidRPr="00EF7FF7">
        <w:rPr>
          <w:rFonts w:ascii="UICTFontTextStyleBody" w:hAnsi="UICTFontTextStyleBody" w:cs="Times New Roman"/>
          <w:kern w:val="0"/>
          <w:sz w:val="26"/>
          <w:szCs w:val="26"/>
          <w14:ligatures w14:val="none"/>
        </w:rPr>
        <w:t>taking part</w:t>
      </w:r>
      <w:r w:rsidRPr="00EF7FF7">
        <w:rPr>
          <w:rFonts w:ascii="UICTFontTextStyleBody" w:hAnsi="UICTFontTextStyleBody" w:cs="Times New Roman"/>
          <w:kern w:val="0"/>
          <w:sz w:val="26"/>
          <w:szCs w:val="26"/>
          <w14:ligatures w14:val="none"/>
        </w:rPr>
        <w:t>. Additionally, some individuals may prioritise immediate survival needs over engagement in structured processes.</w:t>
      </w:r>
    </w:p>
    <w:p w14:paraId="715C045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21FB5B4" w14:textId="54D37484"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Critically, while participatory approaches are highly beneficial, they can be resource-intensive and time-consuming. Organisations must therefore balance inclusivity with practicality, ensuring that engagement is meaningful rather than </w:t>
      </w:r>
      <w:r w:rsidR="008F1838">
        <w:rPr>
          <w:rFonts w:ascii="UICTFontTextStyleBody" w:hAnsi="UICTFontTextStyleBody" w:cs="Times New Roman"/>
          <w:kern w:val="0"/>
          <w:sz w:val="26"/>
          <w:szCs w:val="26"/>
          <w14:ligatures w14:val="none"/>
        </w:rPr>
        <w:t>tokenism.</w:t>
      </w:r>
    </w:p>
    <w:p w14:paraId="458A9F7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21499C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1B5C69AC"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34EA10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2. Local Government Authorities</w:t>
      </w:r>
    </w:p>
    <w:p w14:paraId="3A85916B"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1288EF6" w14:textId="38057045"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Local authorities play </w:t>
      </w:r>
      <w:r w:rsidR="00702C34" w:rsidRPr="00EF7FF7">
        <w:rPr>
          <w:rFonts w:ascii="UICTFontTextStyleBody" w:hAnsi="UICTFontTextStyleBody" w:cs="Times New Roman"/>
          <w:kern w:val="0"/>
          <w:sz w:val="26"/>
          <w:szCs w:val="26"/>
          <w14:ligatures w14:val="none"/>
        </w:rPr>
        <w:t>a significant role</w:t>
      </w:r>
      <w:r w:rsidRPr="00EF7FF7">
        <w:rPr>
          <w:rFonts w:ascii="UICTFontTextStyleBody" w:hAnsi="UICTFontTextStyleBody" w:cs="Times New Roman"/>
          <w:kern w:val="0"/>
          <w:sz w:val="26"/>
          <w:szCs w:val="26"/>
          <w14:ligatures w14:val="none"/>
        </w:rPr>
        <w:t xml:space="preserve"> in homelessness support due to their statutory responsibilities. They </w:t>
      </w:r>
      <w:r w:rsidR="00702C34" w:rsidRPr="00EF7FF7">
        <w:rPr>
          <w:rFonts w:ascii="UICTFontTextStyleBody" w:hAnsi="UICTFontTextStyleBody" w:cs="Times New Roman"/>
          <w:kern w:val="0"/>
          <w:sz w:val="26"/>
          <w:szCs w:val="26"/>
          <w14:ligatures w14:val="none"/>
        </w:rPr>
        <w:t>handle</w:t>
      </w:r>
      <w:r w:rsidRPr="00EF7FF7">
        <w:rPr>
          <w:rFonts w:ascii="UICTFontTextStyleBody" w:hAnsi="UICTFontTextStyleBody" w:cs="Times New Roman"/>
          <w:kern w:val="0"/>
          <w:sz w:val="26"/>
          <w:szCs w:val="26"/>
          <w14:ligatures w14:val="none"/>
        </w:rPr>
        <w:t xml:space="preserve"> assessing homelessness applications, providing temporary accommodation, and coordinating local services.</w:t>
      </w:r>
    </w:p>
    <w:p w14:paraId="7C014C14"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8D09DDD"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They hold significant power within the stakeholder network, particularly due to their control over funding and policy implementation. However, their effectiveness is often constrained by limited budgets and increasing demand for services.</w:t>
      </w:r>
    </w:p>
    <w:p w14:paraId="5645183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3BE5277" w14:textId="10FEB55B"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This creates tension between legal obligations and practical capacity. Local authorities must prioritise resources carefully, which can sometimes lead to </w:t>
      </w:r>
      <w:r w:rsidR="00702C34" w:rsidRPr="00EF7FF7">
        <w:rPr>
          <w:rFonts w:ascii="UICTFontTextStyleBody" w:hAnsi="UICTFontTextStyleBody" w:cs="Times New Roman"/>
          <w:kern w:val="0"/>
          <w:sz w:val="26"/>
          <w:szCs w:val="26"/>
          <w14:ligatures w14:val="none"/>
        </w:rPr>
        <w:t>problematic decisions</w:t>
      </w:r>
      <w:r w:rsidRPr="00EF7FF7">
        <w:rPr>
          <w:rFonts w:ascii="UICTFontTextStyleBody" w:hAnsi="UICTFontTextStyleBody" w:cs="Times New Roman"/>
          <w:kern w:val="0"/>
          <w:sz w:val="26"/>
          <w:szCs w:val="26"/>
          <w14:ligatures w14:val="none"/>
        </w:rPr>
        <w:t xml:space="preserve"> about who receives support.</w:t>
      </w:r>
    </w:p>
    <w:p w14:paraId="276E755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397BFAD"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Collaboration is essential to overcoming these challenges. By working with charities, healthcare providers, and community organisations, local authorities can extend their reach and deliver more integrated services.</w:t>
      </w:r>
    </w:p>
    <w:p w14:paraId="7FA1377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66D9FED0" w14:textId="4CBFA28F"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However, collaboration is not always straightforward. Differences in organisational culture, priorities, and working methods can create barriers to effective partnership working. Strong leadership and clear communication are </w:t>
      </w:r>
      <w:r w:rsidR="00702C34" w:rsidRPr="00EF7FF7">
        <w:rPr>
          <w:rFonts w:ascii="UICTFontTextStyleBody" w:hAnsi="UICTFontTextStyleBody" w:cs="Times New Roman"/>
          <w:kern w:val="0"/>
          <w:sz w:val="26"/>
          <w:szCs w:val="26"/>
          <w14:ligatures w14:val="none"/>
        </w:rPr>
        <w:t>needed</w:t>
      </w:r>
      <w:r w:rsidRPr="00EF7FF7">
        <w:rPr>
          <w:rFonts w:ascii="UICTFontTextStyleBody" w:hAnsi="UICTFontTextStyleBody" w:cs="Times New Roman"/>
          <w:kern w:val="0"/>
          <w:sz w:val="26"/>
          <w:szCs w:val="26"/>
          <w14:ligatures w14:val="none"/>
        </w:rPr>
        <w:t xml:space="preserve"> to overcome these challenges.</w:t>
      </w:r>
    </w:p>
    <w:p w14:paraId="541153F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7CE315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C47F34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3. Charities and Non-Profit Organisations</w:t>
      </w:r>
    </w:p>
    <w:p w14:paraId="6F4CE3BA"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3C936DA" w14:textId="57869859"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Charities play a crucial role in homelessness support by filling gaps left by government services. They </w:t>
      </w:r>
      <w:r w:rsidR="007F3558" w:rsidRPr="00EF7FF7">
        <w:rPr>
          <w:rFonts w:ascii="UICTFontTextStyleBody" w:hAnsi="UICTFontTextStyleBody" w:cs="Times New Roman"/>
          <w:kern w:val="0"/>
          <w:sz w:val="26"/>
          <w:szCs w:val="26"/>
          <w14:ligatures w14:val="none"/>
        </w:rPr>
        <w:t>offer</w:t>
      </w:r>
      <w:r w:rsidRPr="00EF7FF7">
        <w:rPr>
          <w:rFonts w:ascii="UICTFontTextStyleBody" w:hAnsi="UICTFontTextStyleBody" w:cs="Times New Roman"/>
          <w:kern w:val="0"/>
          <w:sz w:val="26"/>
          <w:szCs w:val="26"/>
          <w14:ligatures w14:val="none"/>
        </w:rPr>
        <w:t xml:space="preserve"> a wide range of services, including emergency accommodation, advocacy, legal advice, and employment support.</w:t>
      </w:r>
    </w:p>
    <w:p w14:paraId="094A32C6"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E8A86DB" w14:textId="0D920EA0"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Their flexibility allows them to respond quickly to </w:t>
      </w:r>
      <w:r w:rsidR="007F3558" w:rsidRPr="00EF7FF7">
        <w:rPr>
          <w:rFonts w:ascii="UICTFontTextStyleBody" w:hAnsi="UICTFontTextStyleBody" w:cs="Times New Roman"/>
          <w:kern w:val="0"/>
          <w:sz w:val="26"/>
          <w:szCs w:val="26"/>
          <w14:ligatures w14:val="none"/>
        </w:rPr>
        <w:t>appearing</w:t>
      </w:r>
      <w:r w:rsidRPr="00EF7FF7">
        <w:rPr>
          <w:rFonts w:ascii="UICTFontTextStyleBody" w:hAnsi="UICTFontTextStyleBody" w:cs="Times New Roman"/>
          <w:kern w:val="0"/>
          <w:sz w:val="26"/>
          <w:szCs w:val="26"/>
          <w14:ligatures w14:val="none"/>
        </w:rPr>
        <w:t xml:space="preserve"> needs, making them highly effective in crisis situations. They also play an important advocacy role, raising awareness and influencing policy changes.</w:t>
      </w:r>
    </w:p>
    <w:p w14:paraId="236470DA"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F4A273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However, charities often rely on donations, grants, and funding cycles, which can create financial instability. This limits their ability to plan long-term services and may reduce sustainability.</w:t>
      </w:r>
    </w:p>
    <w:p w14:paraId="3AD083BD"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6C5ABA0E"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Despite these challenges, charities are essential for ensuring that the voices of marginalised individuals are heard. They often act as intermediaries between service users and policymakers, helping to bridge gaps in understanding.</w:t>
      </w:r>
    </w:p>
    <w:p w14:paraId="6FA0A77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01456E2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F9F93A0"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4. Healthcare Providers</w:t>
      </w:r>
    </w:p>
    <w:p w14:paraId="07EF4994"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01E679A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Healthcare providers are key stakeholders due to the strong link between homelessness and poor health outcomes. Individuals experiencing homelessness often face higher rates of physical illness, mental health conditions, and substance misuse.</w:t>
      </w:r>
    </w:p>
    <w:p w14:paraId="01D5A8B4"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CB5BB3C"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Accessing healthcare can be difficult due to barriers such as lack of identification, stigma, and mobility issues. As a result, many individuals rely on emergency services rather than preventative care.</w:t>
      </w:r>
    </w:p>
    <w:p w14:paraId="62DCE65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F7CE82D"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Integrated care models, where healthcare providers work alongside homelessness services, can significantly improve outcomes. These approaches reduce pressure on emergency services and provide more holistic support.</w:t>
      </w:r>
    </w:p>
    <w:p w14:paraId="05E3E104"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123C01B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However, healthcare systems also face resource constraints, which can limit their ability to engage fully with homelessness services. Coordination between health and social care remains a significant challenge.</w:t>
      </w:r>
    </w:p>
    <w:p w14:paraId="23198F5C"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69D8EC5"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057AE6F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5. Volunteers and Community Groups</w:t>
      </w:r>
    </w:p>
    <w:p w14:paraId="56FAA16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680F2EA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Volunteers and community organisations play a valuable role in supporting individuals experiencing homelessness. Their activities include providing food, shelter, emotional support, and community-based services.</w:t>
      </w:r>
    </w:p>
    <w:p w14:paraId="297CCF80"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4312264"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Although they have limited formal power, their contribution is significant due to their local knowledge, commitment, and accessibility. They often build trust more easily than formal organisations.</w:t>
      </w:r>
    </w:p>
    <w:p w14:paraId="5C01155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09CA198" w14:textId="24243274"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However, reliance on volunteers can create sustainability issues. Volunteer availability may be inconsistent, and they may lack formal training. This can </w:t>
      </w:r>
      <w:r w:rsidR="007F3558" w:rsidRPr="00EF7FF7">
        <w:rPr>
          <w:rFonts w:ascii="UICTFontTextStyleBody" w:hAnsi="UICTFontTextStyleBody" w:cs="Times New Roman"/>
          <w:kern w:val="0"/>
          <w:sz w:val="26"/>
          <w:szCs w:val="26"/>
          <w14:ligatures w14:val="none"/>
        </w:rPr>
        <w:t>affect</w:t>
      </w:r>
      <w:r w:rsidRPr="00EF7FF7">
        <w:rPr>
          <w:rFonts w:ascii="UICTFontTextStyleBody" w:hAnsi="UICTFontTextStyleBody" w:cs="Times New Roman"/>
          <w:kern w:val="0"/>
          <w:sz w:val="26"/>
          <w:szCs w:val="26"/>
          <w14:ligatures w14:val="none"/>
        </w:rPr>
        <w:t xml:space="preserve"> the quality and consistency of services.</w:t>
      </w:r>
    </w:p>
    <w:p w14:paraId="03F008C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A8D9BDA"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Proper training, coordination, and support are essential to maximise the effectiveness of volunteer contributions.</w:t>
      </w:r>
    </w:p>
    <w:p w14:paraId="15A0C0B5"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30D904E"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A65F526"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47A9376"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6. Private Sector Organisations</w:t>
      </w:r>
    </w:p>
    <w:p w14:paraId="2D77FBD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6F056F7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Private sector organisations contribute through corporate social responsibility (CSR) initiatives, funding, and employment opportunities.</w:t>
      </w:r>
    </w:p>
    <w:p w14:paraId="3E926546"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11441310" w14:textId="20EEC9BB"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Their involvement can enhance resources and create opportunities for individuals transitioning out of homelessness. However, </w:t>
      </w:r>
      <w:r w:rsidR="007F3558" w:rsidRPr="00EF7FF7">
        <w:rPr>
          <w:rFonts w:ascii="UICTFontTextStyleBody" w:hAnsi="UICTFontTextStyleBody" w:cs="Times New Roman"/>
          <w:kern w:val="0"/>
          <w:sz w:val="26"/>
          <w:szCs w:val="26"/>
          <w14:ligatures w14:val="none"/>
        </w:rPr>
        <w:t>reputational or commercial interests may influence their motivations</w:t>
      </w:r>
      <w:r w:rsidRPr="00EF7FF7">
        <w:rPr>
          <w:rFonts w:ascii="UICTFontTextStyleBody" w:hAnsi="UICTFontTextStyleBody" w:cs="Times New Roman"/>
          <w:kern w:val="0"/>
          <w:sz w:val="26"/>
          <w:szCs w:val="26"/>
          <w14:ligatures w14:val="none"/>
        </w:rPr>
        <w:t>.</w:t>
      </w:r>
    </w:p>
    <w:p w14:paraId="7B9BFE1D"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A708C4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This raises important questions about the sustainability and authenticity of their involvement. While private sector engagement can be beneficial, it must be carefully managed to ensure that it aligns with social goals rather than purely corporate interests.</w:t>
      </w:r>
    </w:p>
    <w:p w14:paraId="3AC36A3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5CED70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1B1C554E"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9014D8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Stakeholder Power–Interest Grid Analysis</w:t>
      </w:r>
    </w:p>
    <w:p w14:paraId="3207223C"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56B91F8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The power–interest grid categorises stakeholders based on their level of influence and interest. This helps organisations prioritise engagement strategies.</w:t>
      </w:r>
    </w:p>
    <w:p w14:paraId="16FA6B30"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High power, high interest: Local authorities and major charities</w:t>
      </w:r>
    </w:p>
    <w:p w14:paraId="1FEEC351"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High power, low interest: Government bodies</w:t>
      </w:r>
    </w:p>
    <w:p w14:paraId="25C7BAB7"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Low power, high interest: Individuals experiencing homelessness, volunteers</w:t>
      </w:r>
    </w:p>
    <w:p w14:paraId="7A52D279"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Low power, low interest: General public</w:t>
      </w:r>
    </w:p>
    <w:p w14:paraId="56615D8C"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p>
    <w:p w14:paraId="704EABC8"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While useful, this model has limitations. It provides a static view of stakeholders and may not reflect changing dynamics. Stakeholders can move between categories depending on context, highlighting the need for ongoing analysis.</w:t>
      </w:r>
    </w:p>
    <w:p w14:paraId="15211564"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13E48DD"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D7E0E3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7F43C35"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Stakeholder Engagement Strategies</w:t>
      </w:r>
    </w:p>
    <w:p w14:paraId="5FB68A2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8DDFBC3"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Effective engagement strategies include community outreach, consultation, collaboration, digital engagement, and partnership working.</w:t>
      </w:r>
    </w:p>
    <w:p w14:paraId="771057A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8FEBBFD"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Each of these strategies plays a role in ensuring that stakeholders are involved appropriately. However, organisations must adapt their approach to suit different stakeholder groups and contexts.</w:t>
      </w:r>
    </w:p>
    <w:p w14:paraId="6F7EC68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6D931F4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023D8C2"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A3F6EF5"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Challenges in Stakeholder Engagement</w:t>
      </w:r>
    </w:p>
    <w:p w14:paraId="2E9076BC"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727D9F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Stakeholder engagement faces several challenges, including conflicting priorities, limited resources, trust issues, and communication barriers.</w:t>
      </w:r>
    </w:p>
    <w:p w14:paraId="4EE0F5F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749423A"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These challenges can reduce the effectiveness of services and create tension between stakeholders. Addressing them requires strong leadership, clear communication, and a shared commitment to common goals.</w:t>
      </w:r>
    </w:p>
    <w:p w14:paraId="407E6CB5"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D1D3A1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54A522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3F3DAAA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Ethical Considerations and Reflective Insight</w:t>
      </w:r>
    </w:p>
    <w:p w14:paraId="3BC8D3C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27291CE"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Ethical considerations are central to stakeholder engagement. Services must be fair, transparent, and accountable.</w:t>
      </w:r>
    </w:p>
    <w:p w14:paraId="20504B0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435A1D8F"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Key ethical issues include equality, access to services, and the fair allocation of limited resources. Organisations must balance efficiency with fairness, ensuring that vulnerable individuals are not excluded.</w:t>
      </w:r>
    </w:p>
    <w:p w14:paraId="732CD9A1"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1AA5D7CC" w14:textId="2C3EF2CA"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Reflectively, stakeholder engagement highlights the importance of inclusivity and collaboration. It </w:t>
      </w:r>
      <w:r w:rsidR="007F3558" w:rsidRPr="00EF7FF7">
        <w:rPr>
          <w:rFonts w:ascii="UICTFontTextStyleBody" w:hAnsi="UICTFontTextStyleBody" w:cs="Times New Roman"/>
          <w:kern w:val="0"/>
          <w:sz w:val="26"/>
          <w:szCs w:val="26"/>
          <w14:ligatures w14:val="none"/>
        </w:rPr>
        <w:t>proves</w:t>
      </w:r>
      <w:r w:rsidRPr="00EF7FF7">
        <w:rPr>
          <w:rFonts w:ascii="UICTFontTextStyleBody" w:hAnsi="UICTFontTextStyleBody" w:cs="Times New Roman"/>
          <w:kern w:val="0"/>
          <w:sz w:val="26"/>
          <w:szCs w:val="26"/>
          <w14:ligatures w14:val="none"/>
        </w:rPr>
        <w:t xml:space="preserve"> that effective solutions require shared responsibility and a commitment to addressing inequality.</w:t>
      </w:r>
    </w:p>
    <w:p w14:paraId="67546C92"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CD6177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2C4F4F2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99C6EF8"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Conclusion and Recommendations</w:t>
      </w:r>
    </w:p>
    <w:p w14:paraId="015A1E34"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94558F9"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Stakeholder engagement is essential for addressing homelessness effectively. The complexity of the issue requires coordinated action between multiple stakeholders.</w:t>
      </w:r>
    </w:p>
    <w:p w14:paraId="74734F7A"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06BCECD7" w14:textId="38F4221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 xml:space="preserve">This analysis </w:t>
      </w:r>
      <w:r w:rsidR="007F3558" w:rsidRPr="00EF7FF7">
        <w:rPr>
          <w:rFonts w:ascii="UICTFontTextStyleBody" w:hAnsi="UICTFontTextStyleBody" w:cs="Times New Roman"/>
          <w:kern w:val="0"/>
          <w:sz w:val="26"/>
          <w:szCs w:val="26"/>
          <w14:ligatures w14:val="none"/>
        </w:rPr>
        <w:t>proves</w:t>
      </w:r>
      <w:r w:rsidRPr="00EF7FF7">
        <w:rPr>
          <w:rFonts w:ascii="UICTFontTextStyleBody" w:hAnsi="UICTFontTextStyleBody" w:cs="Times New Roman"/>
          <w:kern w:val="0"/>
          <w:sz w:val="26"/>
          <w:szCs w:val="26"/>
          <w14:ligatures w14:val="none"/>
        </w:rPr>
        <w:t xml:space="preserve"> that stakeholder theory and engagement frameworks can improve understanding and decision-making. However, challenges such as resource constraints and conflicting priorities must be addressed.</w:t>
      </w:r>
    </w:p>
    <w:p w14:paraId="18D6AEC7"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p>
    <w:p w14:paraId="7EFBC462" w14:textId="77777777" w:rsidR="00EF7FF7" w:rsidRPr="00EF7FF7" w:rsidRDefault="00EF7FF7" w:rsidP="00EF7FF7">
      <w:pPr>
        <w:spacing w:after="0" w:line="240" w:lineRule="auto"/>
        <w:rPr>
          <w:rFonts w:ascii=".AppleSystemUIFont" w:hAnsi=".AppleSystemUIFont" w:cs="Times New Roman"/>
          <w:kern w:val="0"/>
          <w:sz w:val="26"/>
          <w:szCs w:val="26"/>
          <w14:ligatures w14:val="none"/>
        </w:rPr>
      </w:pPr>
      <w:r w:rsidRPr="00EF7FF7">
        <w:rPr>
          <w:rFonts w:ascii="UICTFontTextStyleEmphasizedBody" w:hAnsi="UICTFontTextStyleEmphasizedBody" w:cs="Times New Roman"/>
          <w:b/>
          <w:bCs/>
          <w:kern w:val="0"/>
          <w:sz w:val="26"/>
          <w:szCs w:val="26"/>
          <w14:ligatures w14:val="none"/>
        </w:rPr>
        <w:t>Recommendations</w:t>
      </w:r>
    </w:p>
    <w:p w14:paraId="1BA9D75E"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Increase participatory approaches to involve individuals experiencing homelessness in decision-making</w:t>
      </w:r>
    </w:p>
    <w:p w14:paraId="5DB7FD0D"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Develop integrated service models combining housing, healthcare, and employment support</w:t>
      </w:r>
    </w:p>
    <w:p w14:paraId="7673B5A2"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Strengthen CSR partnerships to increase resources and opportunities</w:t>
      </w:r>
    </w:p>
    <w:p w14:paraId="500C06DB"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Improve communication and collaboration between stakeholders</w:t>
      </w:r>
    </w:p>
    <w:p w14:paraId="786FD4E6" w14:textId="77777777" w:rsidR="00EF7FF7" w:rsidRPr="00EF7FF7" w:rsidRDefault="00EF7FF7" w:rsidP="00EF7FF7">
      <w:pPr>
        <w:spacing w:after="0" w:line="240" w:lineRule="auto"/>
        <w:ind w:left="540"/>
        <w:rPr>
          <w:rFonts w:ascii=".AppleSystemUIFont" w:hAnsi=".AppleSystemUIFont" w:cs="Times New Roman"/>
          <w:kern w:val="0"/>
          <w:sz w:val="26"/>
          <w:szCs w:val="26"/>
          <w14:ligatures w14:val="none"/>
        </w:rPr>
      </w:pPr>
      <w:r w:rsidRPr="00EF7FF7">
        <w:rPr>
          <w:rFonts w:ascii="UICTFontTextStyleBody" w:hAnsi="UICTFontTextStyleBody" w:cs="Times New Roman"/>
          <w:kern w:val="0"/>
          <w:sz w:val="26"/>
          <w:szCs w:val="26"/>
          <w14:ligatures w14:val="none"/>
        </w:rPr>
        <w:tab/>
        <w:t>•</w:t>
      </w:r>
      <w:r w:rsidRPr="00EF7FF7">
        <w:rPr>
          <w:rFonts w:ascii="UICTFontTextStyleBody" w:hAnsi="UICTFontTextStyleBody" w:cs="Times New Roman"/>
          <w:kern w:val="0"/>
          <w:sz w:val="26"/>
          <w:szCs w:val="26"/>
          <w14:ligatures w14:val="none"/>
        </w:rPr>
        <w:tab/>
        <w:t>Focus on long-term, sustainable </w:t>
      </w:r>
    </w:p>
    <w:p w14:paraId="61F8523D" w14:textId="77777777" w:rsidR="009F22B3" w:rsidRPr="009F22B3" w:rsidRDefault="009F22B3" w:rsidP="009F22B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9F22B3">
        <w:rPr>
          <w:rFonts w:ascii="Times New Roman" w:eastAsia="Times New Roman" w:hAnsi="Times New Roman" w:cs="Times New Roman"/>
          <w:b/>
          <w:bCs/>
          <w:kern w:val="0"/>
          <w:sz w:val="36"/>
          <w:szCs w:val="36"/>
          <w14:ligatures w14:val="none"/>
        </w:rPr>
        <w:t>References</w:t>
      </w:r>
    </w:p>
    <w:p w14:paraId="0E77E958"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293FA020" w14:textId="2781D2EB"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 xml:space="preserve">Bryson, J.M. (2018) Strategic Planning for Public and Nonprofit </w:t>
      </w:r>
      <w:r w:rsidR="00763F1E" w:rsidRPr="009F22B3">
        <w:rPr>
          <w:rFonts w:ascii="Times New Roman" w:hAnsi="Times New Roman" w:cs="Times New Roman"/>
          <w:kern w:val="0"/>
          <w14:ligatures w14:val="none"/>
        </w:rPr>
        <w:t>Organisations</w:t>
      </w:r>
      <w:r w:rsidRPr="009F22B3">
        <w:rPr>
          <w:rFonts w:ascii="Times New Roman" w:hAnsi="Times New Roman" w:cs="Times New Roman"/>
          <w:kern w:val="0"/>
          <w14:ligatures w14:val="none"/>
        </w:rPr>
        <w:t xml:space="preserve">: A Guide to Strengthening and Sustaining </w:t>
      </w:r>
      <w:r w:rsidR="00763F1E" w:rsidRPr="009F22B3">
        <w:rPr>
          <w:rFonts w:ascii="Times New Roman" w:hAnsi="Times New Roman" w:cs="Times New Roman"/>
          <w:kern w:val="0"/>
          <w14:ligatures w14:val="none"/>
        </w:rPr>
        <w:t>Organisational</w:t>
      </w:r>
      <w:r w:rsidRPr="009F22B3">
        <w:rPr>
          <w:rFonts w:ascii="Times New Roman" w:hAnsi="Times New Roman" w:cs="Times New Roman"/>
          <w:kern w:val="0"/>
          <w14:ligatures w14:val="none"/>
        </w:rPr>
        <w:t xml:space="preserve"> Achievement. 5th </w:t>
      </w:r>
      <w:r w:rsidR="00763F1E" w:rsidRPr="009F22B3">
        <w:rPr>
          <w:rFonts w:ascii="Times New Roman" w:hAnsi="Times New Roman" w:cs="Times New Roman"/>
          <w:kern w:val="0"/>
          <w14:ligatures w14:val="none"/>
        </w:rPr>
        <w:t>end</w:t>
      </w:r>
      <w:r w:rsidRPr="009F22B3">
        <w:rPr>
          <w:rFonts w:ascii="Times New Roman" w:hAnsi="Times New Roman" w:cs="Times New Roman"/>
          <w:kern w:val="0"/>
          <w14:ligatures w14:val="none"/>
        </w:rPr>
        <w:t>. Hoboken: Wiley.</w:t>
      </w:r>
    </w:p>
    <w:p w14:paraId="08EEA639"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466B8DD5"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Freeman, R.E. (1984) Strategic Management: A Stakeholder Approach. Boston: Pitman.</w:t>
      </w:r>
    </w:p>
    <w:p w14:paraId="272CF5E7"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02E26A60"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roofErr w:type="spellStart"/>
      <w:r w:rsidRPr="009F22B3">
        <w:rPr>
          <w:rFonts w:ascii="Times New Roman" w:hAnsi="Times New Roman" w:cs="Times New Roman"/>
          <w:kern w:val="0"/>
          <w14:ligatures w14:val="none"/>
        </w:rPr>
        <w:t>Mendelow</w:t>
      </w:r>
      <w:proofErr w:type="spellEnd"/>
      <w:r w:rsidRPr="009F22B3">
        <w:rPr>
          <w:rFonts w:ascii="Times New Roman" w:hAnsi="Times New Roman" w:cs="Times New Roman"/>
          <w:kern w:val="0"/>
          <w14:ligatures w14:val="none"/>
        </w:rPr>
        <w:t>, A.L. (1991) ‘Environmental scanning: The impact of the stakeholder concept’, in Proceedings of the International Conference on Information Systems, Cambridge, Massachusetts.</w:t>
      </w:r>
    </w:p>
    <w:p w14:paraId="431794FB"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7ABB2C30" w14:textId="0DC82A44"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 xml:space="preserve">Mitchell, R.K., </w:t>
      </w:r>
      <w:r w:rsidR="00763F1E" w:rsidRPr="009F22B3">
        <w:rPr>
          <w:rFonts w:ascii="Times New Roman" w:hAnsi="Times New Roman" w:cs="Times New Roman"/>
          <w:kern w:val="0"/>
          <w14:ligatures w14:val="none"/>
        </w:rPr>
        <w:t>Gale</w:t>
      </w:r>
      <w:r w:rsidRPr="009F22B3">
        <w:rPr>
          <w:rFonts w:ascii="Times New Roman" w:hAnsi="Times New Roman" w:cs="Times New Roman"/>
          <w:kern w:val="0"/>
          <w14:ligatures w14:val="none"/>
        </w:rPr>
        <w:t>, B.R. and Wood, D.J. (1997) ‘Toward a theory of stakeholder identification and salience: Defining the principle of who and what really counts’, Academy of Management Review, 22(4), pp. 853–886.</w:t>
      </w:r>
    </w:p>
    <w:p w14:paraId="799B1775"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4DDFE49B" w14:textId="02927B7D" w:rsidR="009F22B3" w:rsidRPr="009F22B3" w:rsidRDefault="00763F1E"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Prefer</w:t>
      </w:r>
      <w:r w:rsidR="009F22B3" w:rsidRPr="009F22B3">
        <w:rPr>
          <w:rFonts w:ascii="Times New Roman" w:hAnsi="Times New Roman" w:cs="Times New Roman"/>
          <w:kern w:val="0"/>
          <w14:ligatures w14:val="none"/>
        </w:rPr>
        <w:t xml:space="preserve">, J. and </w:t>
      </w:r>
      <w:proofErr w:type="spellStart"/>
      <w:r w:rsidR="009F22B3" w:rsidRPr="009F22B3">
        <w:rPr>
          <w:rFonts w:ascii="Times New Roman" w:hAnsi="Times New Roman" w:cs="Times New Roman"/>
          <w:kern w:val="0"/>
          <w14:ligatures w14:val="none"/>
        </w:rPr>
        <w:t>Salancik</w:t>
      </w:r>
      <w:proofErr w:type="spellEnd"/>
      <w:r w:rsidR="009F22B3" w:rsidRPr="009F22B3">
        <w:rPr>
          <w:rFonts w:ascii="Times New Roman" w:hAnsi="Times New Roman" w:cs="Times New Roman"/>
          <w:kern w:val="0"/>
          <w14:ligatures w14:val="none"/>
        </w:rPr>
        <w:t xml:space="preserve">, G.R. (1978) The External Control of </w:t>
      </w:r>
      <w:r w:rsidRPr="009F22B3">
        <w:rPr>
          <w:rFonts w:ascii="Times New Roman" w:hAnsi="Times New Roman" w:cs="Times New Roman"/>
          <w:kern w:val="0"/>
          <w14:ligatures w14:val="none"/>
        </w:rPr>
        <w:t>Organisations</w:t>
      </w:r>
      <w:r w:rsidR="009F22B3" w:rsidRPr="009F22B3">
        <w:rPr>
          <w:rFonts w:ascii="Times New Roman" w:hAnsi="Times New Roman" w:cs="Times New Roman"/>
          <w:kern w:val="0"/>
          <w14:ligatures w14:val="none"/>
        </w:rPr>
        <w:t>: A Resource Dependence Perspective. New York: Harper &amp; Row.</w:t>
      </w:r>
    </w:p>
    <w:p w14:paraId="2151E6F3"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5E15CD8B"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Porter, M.E. and Kramer, M.R. (2006) ‘Strategy and society: The link between competitive advantage and corporate social responsibility’, Harvard Business Review, 84(12), pp. 78–92.</w:t>
      </w:r>
    </w:p>
    <w:p w14:paraId="057B4277"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64B17119"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Office for National Statistics (ONS) (2023) Homelessness in the UK: Statistical overview. Available at: https://www.ons.gov.uk (Accessed: 28 March 2026).</w:t>
      </w:r>
    </w:p>
    <w:p w14:paraId="064CA9D2"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461B99AE"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Department for Levelling Up, Housing and Communities (DLUHC) (2022) Ending Rough Sleeping for Good. London: UK Government.</w:t>
      </w:r>
    </w:p>
    <w:p w14:paraId="2BE3917D"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545123C1"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Shelter (2023) Homelessness in England. Available at: https://www.shelter.org.uk (Accessed: 28 March 2026).</w:t>
      </w:r>
    </w:p>
    <w:p w14:paraId="47D5778F"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6358779F"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Crisis (2023) Ending Homelessness Together. Available at: https://www.crisis.org.uk (Accessed: 28 March 2026).</w:t>
      </w:r>
    </w:p>
    <w:p w14:paraId="53F20453" w14:textId="77777777" w:rsidR="009F22B3" w:rsidRPr="009F22B3" w:rsidRDefault="009F22B3" w:rsidP="009F22B3">
      <w:pPr>
        <w:spacing w:before="100" w:beforeAutospacing="1" w:after="100" w:afterAutospacing="1" w:line="240" w:lineRule="auto"/>
        <w:rPr>
          <w:rFonts w:ascii="Times New Roman" w:hAnsi="Times New Roman" w:cs="Times New Roman"/>
          <w:kern w:val="0"/>
          <w14:ligatures w14:val="none"/>
        </w:rPr>
      </w:pPr>
    </w:p>
    <w:p w14:paraId="0ED60B9E" w14:textId="2D558935" w:rsidR="002A26FF" w:rsidRDefault="009F22B3" w:rsidP="009F22B3">
      <w:pPr>
        <w:spacing w:before="100" w:beforeAutospacing="1" w:after="100" w:afterAutospacing="1" w:line="240" w:lineRule="auto"/>
        <w:rPr>
          <w:rFonts w:ascii="Times New Roman" w:hAnsi="Times New Roman" w:cs="Times New Roman"/>
          <w:kern w:val="0"/>
          <w14:ligatures w14:val="none"/>
        </w:rPr>
      </w:pPr>
      <w:r w:rsidRPr="009F22B3">
        <w:rPr>
          <w:rFonts w:ascii="Times New Roman" w:hAnsi="Times New Roman" w:cs="Times New Roman"/>
          <w:kern w:val="0"/>
          <w14:ligatures w14:val="none"/>
        </w:rPr>
        <w:t xml:space="preserve">World Health </w:t>
      </w:r>
      <w:r w:rsidR="00875C5A" w:rsidRPr="009F22B3">
        <w:rPr>
          <w:rFonts w:ascii="Times New Roman" w:hAnsi="Times New Roman" w:cs="Times New Roman"/>
          <w:kern w:val="0"/>
          <w14:ligatures w14:val="none"/>
        </w:rPr>
        <w:t>Organisation</w:t>
      </w:r>
      <w:r w:rsidRPr="009F22B3">
        <w:rPr>
          <w:rFonts w:ascii="Times New Roman" w:hAnsi="Times New Roman" w:cs="Times New Roman"/>
          <w:kern w:val="0"/>
          <w14:ligatures w14:val="none"/>
        </w:rPr>
        <w:t xml:space="preserve"> (WHO) (2019) Health and Homelessness. Available at: https://www.who.int (Accessed: 28 March 2026)</w:t>
      </w:r>
    </w:p>
    <w:p w14:paraId="7B58CE0B" w14:textId="77777777" w:rsidR="002A26FF" w:rsidRDefault="002A26FF" w:rsidP="009F22B3">
      <w:pPr>
        <w:spacing w:before="100" w:beforeAutospacing="1" w:after="100" w:afterAutospacing="1" w:line="240" w:lineRule="auto"/>
        <w:rPr>
          <w:rFonts w:ascii="Times New Roman" w:hAnsi="Times New Roman" w:cs="Times New Roman"/>
          <w:kern w:val="0"/>
          <w14:ligatures w14:val="none"/>
        </w:rPr>
      </w:pPr>
    </w:p>
    <w:p w14:paraId="38AC2D53" w14:textId="77777777" w:rsidR="002A26FF" w:rsidRDefault="002A26FF" w:rsidP="009F22B3">
      <w:pPr>
        <w:spacing w:before="100" w:beforeAutospacing="1" w:after="100" w:afterAutospacing="1" w:line="240" w:lineRule="auto"/>
        <w:rPr>
          <w:rFonts w:ascii="Times New Roman" w:hAnsi="Times New Roman" w:cs="Times New Roman"/>
          <w:kern w:val="0"/>
          <w14:ligatures w14:val="none"/>
        </w:rPr>
      </w:pPr>
    </w:p>
    <w:tbl>
      <w:tblPr>
        <w:tblW w:w="140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4"/>
        <w:gridCol w:w="5078"/>
        <w:gridCol w:w="4532"/>
      </w:tblGrid>
      <w:tr w:rsidR="002A26FF" w:rsidRPr="002A26FF" w14:paraId="0D49C43A" w14:textId="77777777" w:rsidTr="002E2094">
        <w:trPr>
          <w:trHeight w:val="819"/>
        </w:trPr>
        <w:tc>
          <w:tcPr>
            <w:tcW w:w="4424" w:type="dxa"/>
          </w:tcPr>
          <w:p w14:paraId="652C7527" w14:textId="77777777" w:rsidR="002A26FF" w:rsidRPr="002A26FF" w:rsidRDefault="002A26FF" w:rsidP="002A26FF">
            <w:pPr>
              <w:spacing w:after="60" w:line="240" w:lineRule="auto"/>
              <w:rPr>
                <w:rFonts w:ascii="Tahoma" w:eastAsia="Calibri" w:hAnsi="Tahoma" w:cs="Times New Roman"/>
                <w:b/>
                <w:kern w:val="0"/>
                <w:szCs w:val="22"/>
                <w:lang w:eastAsia="en-US"/>
                <w14:ligatures w14:val="none"/>
              </w:rPr>
            </w:pPr>
            <w:r w:rsidRPr="002A26FF">
              <w:rPr>
                <w:rFonts w:ascii="Tahoma" w:eastAsia="Calibri" w:hAnsi="Tahoma" w:cs="Times New Roman"/>
                <w:b/>
                <w:kern w:val="0"/>
                <w:szCs w:val="22"/>
                <w:lang w:eastAsia="en-US"/>
                <w14:ligatures w14:val="none"/>
              </w:rPr>
              <w:t xml:space="preserve">Name: </w:t>
            </w:r>
            <w:r w:rsidRPr="002A26FF">
              <w:rPr>
                <w:rFonts w:ascii="Tahoma" w:eastAsia="Calibri" w:hAnsi="Tahoma" w:cs="Times New Roman"/>
                <w:bCs/>
                <w:kern w:val="0"/>
                <w:szCs w:val="22"/>
                <w:lang w:eastAsia="en-US"/>
                <w14:ligatures w14:val="none"/>
              </w:rPr>
              <w:t xml:space="preserve">Sukhwinder kaur </w:t>
            </w:r>
          </w:p>
        </w:tc>
        <w:tc>
          <w:tcPr>
            <w:tcW w:w="5078" w:type="dxa"/>
          </w:tcPr>
          <w:p w14:paraId="75974849" w14:textId="77777777" w:rsidR="002A26FF" w:rsidRPr="002A26FF" w:rsidRDefault="002A26FF" w:rsidP="002A26FF">
            <w:pPr>
              <w:spacing w:after="60" w:line="240" w:lineRule="auto"/>
              <w:rPr>
                <w:rFonts w:ascii="Constantia" w:eastAsia="Calibri" w:hAnsi="Constantia" w:cs="Times New Roman"/>
                <w:i/>
                <w:kern w:val="0"/>
                <w:szCs w:val="22"/>
                <w:lang w:eastAsia="en-US"/>
                <w14:ligatures w14:val="none"/>
              </w:rPr>
            </w:pPr>
            <w:r w:rsidRPr="002A26FF">
              <w:rPr>
                <w:rFonts w:ascii="Constantia" w:eastAsia="Calibri" w:hAnsi="Constantia" w:cs="Times New Roman"/>
                <w:i/>
                <w:kern w:val="0"/>
                <w:szCs w:val="22"/>
                <w:lang w:eastAsia="en-US"/>
                <w14:ligatures w14:val="none"/>
              </w:rPr>
              <w:t>LCBB4013 – Stakeholder Engagement reflection log</w:t>
            </w:r>
          </w:p>
        </w:tc>
        <w:tc>
          <w:tcPr>
            <w:tcW w:w="4532" w:type="dxa"/>
          </w:tcPr>
          <w:p w14:paraId="47BD00AB" w14:textId="77777777" w:rsidR="002A26FF" w:rsidRPr="002A26FF" w:rsidRDefault="002A26FF" w:rsidP="002A26FF">
            <w:pPr>
              <w:spacing w:after="60" w:line="240" w:lineRule="auto"/>
              <w:rPr>
                <w:rFonts w:ascii="Tahoma" w:eastAsia="Calibri" w:hAnsi="Tahoma" w:cs="Times New Roman"/>
                <w:b/>
                <w:kern w:val="0"/>
                <w:szCs w:val="22"/>
                <w:lang w:eastAsia="en-US"/>
                <w14:ligatures w14:val="none"/>
              </w:rPr>
            </w:pPr>
            <w:r w:rsidRPr="002A26FF">
              <w:rPr>
                <w:rFonts w:ascii="Tahoma" w:eastAsia="Calibri" w:hAnsi="Tahoma" w:cs="Times New Roman"/>
                <w:b/>
                <w:kern w:val="0"/>
                <w:szCs w:val="22"/>
                <w:lang w:eastAsia="en-US"/>
                <w14:ligatures w14:val="none"/>
              </w:rPr>
              <w:t>Covering the period from:</w:t>
            </w:r>
          </w:p>
          <w:p w14:paraId="38CF8C65" w14:textId="77777777" w:rsidR="002A26FF" w:rsidRPr="002A26FF" w:rsidRDefault="002A26FF" w:rsidP="002A26FF">
            <w:pPr>
              <w:spacing w:after="60" w:line="240" w:lineRule="auto"/>
              <w:rPr>
                <w:rFonts w:ascii="Tahoma" w:eastAsia="Calibri" w:hAnsi="Tahoma" w:cs="Times New Roman"/>
                <w:kern w:val="0"/>
                <w:szCs w:val="22"/>
                <w:lang w:eastAsia="en-US"/>
                <w14:ligatures w14:val="none"/>
              </w:rPr>
            </w:pPr>
            <w:r w:rsidRPr="002A26FF">
              <w:rPr>
                <w:rFonts w:ascii="Tahoma" w:eastAsia="Calibri" w:hAnsi="Tahoma" w:cs="Times New Roman"/>
                <w:b/>
                <w:kern w:val="0"/>
                <w:szCs w:val="22"/>
                <w:lang w:eastAsia="en-US"/>
                <w14:ligatures w14:val="none"/>
              </w:rPr>
              <w:t xml:space="preserve">To: </w:t>
            </w:r>
            <w:r w:rsidRPr="002A26FF">
              <w:rPr>
                <w:rFonts w:ascii="Tahoma" w:eastAsia="Calibri" w:hAnsi="Tahoma" w:cs="Times New Roman"/>
                <w:bCs/>
                <w:kern w:val="0"/>
                <w:szCs w:val="22"/>
                <w:lang w:eastAsia="en-US"/>
                <w14:ligatures w14:val="none"/>
              </w:rPr>
              <w:t>January 2026 to March 2026</w:t>
            </w:r>
            <w:r w:rsidRPr="002A26FF">
              <w:rPr>
                <w:rFonts w:ascii="Tahoma" w:eastAsia="Calibri" w:hAnsi="Tahoma" w:cs="Times New Roman"/>
                <w:b/>
                <w:kern w:val="0"/>
                <w:szCs w:val="22"/>
                <w:lang w:eastAsia="en-US"/>
                <w14:ligatures w14:val="none"/>
              </w:rPr>
              <w:t xml:space="preserve"> </w:t>
            </w:r>
          </w:p>
        </w:tc>
      </w:tr>
    </w:tbl>
    <w:p w14:paraId="61F9AE20" w14:textId="77777777" w:rsidR="002A26FF" w:rsidRPr="002A26FF" w:rsidRDefault="002A26FF" w:rsidP="002A26FF">
      <w:pPr>
        <w:spacing w:after="60" w:line="240" w:lineRule="auto"/>
        <w:rPr>
          <w:rFonts w:ascii="Verdana" w:eastAsia="Calibri" w:hAnsi="Verdana" w:cs="Times New Roman"/>
          <w:kern w:val="0"/>
          <w:sz w:val="20"/>
          <w:szCs w:val="22"/>
          <w:lang w:eastAsia="en-US"/>
          <w14:ligatures w14:val="none"/>
        </w:rPr>
      </w:pPr>
    </w:p>
    <w:tbl>
      <w:tblPr>
        <w:tblW w:w="1406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5"/>
        <w:gridCol w:w="1853"/>
        <w:gridCol w:w="3917"/>
        <w:gridCol w:w="3402"/>
        <w:gridCol w:w="3686"/>
      </w:tblGrid>
      <w:tr w:rsidR="002A26FF" w:rsidRPr="002A26FF" w14:paraId="0D1F6EBF" w14:textId="77777777" w:rsidTr="002E2094">
        <w:trPr>
          <w:trHeight w:val="578"/>
        </w:trPr>
        <w:tc>
          <w:tcPr>
            <w:tcW w:w="1205" w:type="dxa"/>
            <w:tcBorders>
              <w:bottom w:val="single" w:sz="4" w:space="0" w:color="auto"/>
            </w:tcBorders>
          </w:tcPr>
          <w:p w14:paraId="4299DF49" w14:textId="77777777" w:rsidR="002A26FF" w:rsidRPr="002A26FF" w:rsidRDefault="002A26FF" w:rsidP="002A26FF">
            <w:pPr>
              <w:tabs>
                <w:tab w:val="center" w:pos="719"/>
              </w:tabs>
              <w:spacing w:after="60" w:line="240" w:lineRule="auto"/>
              <w:rPr>
                <w:rFonts w:ascii="Verdana" w:eastAsia="Calibri" w:hAnsi="Verdana" w:cs="Times New Roman"/>
                <w:b/>
                <w:kern w:val="0"/>
                <w:sz w:val="18"/>
                <w:szCs w:val="18"/>
                <w:lang w:eastAsia="en-US"/>
                <w14:ligatures w14:val="none"/>
              </w:rPr>
            </w:pPr>
            <w:r w:rsidRPr="002A26FF">
              <w:rPr>
                <w:rFonts w:ascii="Verdana" w:eastAsia="Calibri" w:hAnsi="Verdana" w:cs="Times New Roman"/>
                <w:b/>
                <w:kern w:val="0"/>
                <w:sz w:val="18"/>
                <w:szCs w:val="18"/>
                <w:lang w:eastAsia="en-US"/>
                <w14:ligatures w14:val="none"/>
              </w:rPr>
              <w:t>Date of lesson</w:t>
            </w:r>
          </w:p>
        </w:tc>
        <w:tc>
          <w:tcPr>
            <w:tcW w:w="1853" w:type="dxa"/>
            <w:tcBorders>
              <w:bottom w:val="single" w:sz="4" w:space="0" w:color="auto"/>
            </w:tcBorders>
          </w:tcPr>
          <w:p w14:paraId="2417CF4F" w14:textId="77777777" w:rsidR="002A26FF" w:rsidRPr="002A26FF" w:rsidRDefault="002A26FF" w:rsidP="002A26FF">
            <w:pPr>
              <w:spacing w:after="60" w:line="240" w:lineRule="auto"/>
              <w:jc w:val="center"/>
              <w:rPr>
                <w:rFonts w:ascii="Verdana" w:eastAsia="Calibri" w:hAnsi="Verdana" w:cs="Times New Roman"/>
                <w:b/>
                <w:kern w:val="0"/>
                <w:sz w:val="18"/>
                <w:szCs w:val="18"/>
                <w:lang w:eastAsia="en-US"/>
                <w14:ligatures w14:val="none"/>
              </w:rPr>
            </w:pPr>
            <w:r w:rsidRPr="002A26FF">
              <w:rPr>
                <w:rFonts w:ascii="Verdana" w:eastAsia="Calibri" w:hAnsi="Verdana" w:cs="Times New Roman"/>
                <w:b/>
                <w:kern w:val="0"/>
                <w:sz w:val="18"/>
                <w:szCs w:val="18"/>
                <w:lang w:eastAsia="en-US"/>
                <w14:ligatures w14:val="none"/>
              </w:rPr>
              <w:t>What did you do in the lesson?</w:t>
            </w:r>
          </w:p>
        </w:tc>
        <w:tc>
          <w:tcPr>
            <w:tcW w:w="3917" w:type="dxa"/>
            <w:tcBorders>
              <w:bottom w:val="single" w:sz="4" w:space="0" w:color="auto"/>
            </w:tcBorders>
          </w:tcPr>
          <w:p w14:paraId="4078D0BB" w14:textId="77777777" w:rsidR="002A26FF" w:rsidRPr="002A26FF" w:rsidRDefault="002A26FF" w:rsidP="002A26FF">
            <w:pPr>
              <w:spacing w:after="60" w:line="240" w:lineRule="auto"/>
              <w:jc w:val="center"/>
              <w:rPr>
                <w:rFonts w:ascii="Verdana" w:eastAsia="Calibri" w:hAnsi="Verdana" w:cs="Times New Roman"/>
                <w:b/>
                <w:kern w:val="0"/>
                <w:sz w:val="18"/>
                <w:szCs w:val="18"/>
                <w:lang w:eastAsia="en-US"/>
                <w14:ligatures w14:val="none"/>
              </w:rPr>
            </w:pPr>
            <w:r w:rsidRPr="002A26FF">
              <w:rPr>
                <w:rFonts w:ascii="Verdana" w:eastAsia="Calibri" w:hAnsi="Verdana" w:cs="Times New Roman"/>
                <w:b/>
                <w:kern w:val="0"/>
                <w:sz w:val="18"/>
                <w:szCs w:val="18"/>
                <w:lang w:eastAsia="en-US"/>
                <w14:ligatures w14:val="none"/>
              </w:rPr>
              <w:t>What did you learn from this?</w:t>
            </w:r>
          </w:p>
        </w:tc>
        <w:tc>
          <w:tcPr>
            <w:tcW w:w="3402" w:type="dxa"/>
            <w:tcBorders>
              <w:bottom w:val="single" w:sz="4" w:space="0" w:color="auto"/>
            </w:tcBorders>
          </w:tcPr>
          <w:p w14:paraId="75EC7743" w14:textId="77777777" w:rsidR="002A26FF" w:rsidRPr="002A26FF" w:rsidRDefault="002A26FF" w:rsidP="002A26FF">
            <w:pPr>
              <w:spacing w:after="60" w:line="240" w:lineRule="auto"/>
              <w:jc w:val="center"/>
              <w:rPr>
                <w:rFonts w:ascii="Verdana" w:eastAsia="Calibri" w:hAnsi="Verdana" w:cs="Times New Roman"/>
                <w:b/>
                <w:kern w:val="0"/>
                <w:sz w:val="18"/>
                <w:szCs w:val="18"/>
                <w:lang w:eastAsia="en-US"/>
                <w14:ligatures w14:val="none"/>
              </w:rPr>
            </w:pPr>
            <w:r w:rsidRPr="002A26FF">
              <w:rPr>
                <w:rFonts w:ascii="Verdana" w:eastAsia="Calibri" w:hAnsi="Verdana" w:cs="Times New Roman"/>
                <w:b/>
                <w:kern w:val="0"/>
                <w:sz w:val="18"/>
                <w:szCs w:val="18"/>
                <w:lang w:eastAsia="en-US"/>
                <w14:ligatures w14:val="none"/>
              </w:rPr>
              <w:t>How will you use this in future?</w:t>
            </w:r>
          </w:p>
          <w:p w14:paraId="0BA843AC" w14:textId="77777777" w:rsidR="002A26FF" w:rsidRPr="002A26FF" w:rsidRDefault="002A26FF" w:rsidP="002A26FF">
            <w:pPr>
              <w:spacing w:after="60" w:line="240" w:lineRule="auto"/>
              <w:rPr>
                <w:rFonts w:ascii="Verdana" w:eastAsia="Calibri" w:hAnsi="Verdana" w:cs="Times New Roman"/>
                <w:b/>
                <w:kern w:val="0"/>
                <w:sz w:val="18"/>
                <w:szCs w:val="18"/>
                <w:lang w:eastAsia="en-US"/>
                <w14:ligatures w14:val="none"/>
              </w:rPr>
            </w:pPr>
          </w:p>
        </w:tc>
        <w:tc>
          <w:tcPr>
            <w:tcW w:w="3686" w:type="dxa"/>
            <w:tcBorders>
              <w:bottom w:val="single" w:sz="4" w:space="0" w:color="auto"/>
            </w:tcBorders>
          </w:tcPr>
          <w:p w14:paraId="5138DA66" w14:textId="77777777" w:rsidR="002A26FF" w:rsidRPr="002A26FF" w:rsidRDefault="002A26FF" w:rsidP="002A26FF">
            <w:pPr>
              <w:spacing w:after="60" w:line="240" w:lineRule="auto"/>
              <w:jc w:val="center"/>
              <w:rPr>
                <w:rFonts w:ascii="Verdana" w:eastAsia="Calibri" w:hAnsi="Verdana" w:cs="Times New Roman"/>
                <w:b/>
                <w:kern w:val="0"/>
                <w:sz w:val="18"/>
                <w:szCs w:val="18"/>
                <w:lang w:eastAsia="en-US"/>
                <w14:ligatures w14:val="none"/>
              </w:rPr>
            </w:pPr>
            <w:r w:rsidRPr="002A26FF">
              <w:rPr>
                <w:rFonts w:ascii="Verdana" w:eastAsia="Calibri" w:hAnsi="Verdana" w:cs="Times New Roman"/>
                <w:b/>
                <w:kern w:val="0"/>
                <w:sz w:val="18"/>
                <w:szCs w:val="18"/>
                <w:lang w:eastAsia="en-US"/>
                <w14:ligatures w14:val="none"/>
              </w:rPr>
              <w:t>What actions (outside of lesson) will you take to improve this skill/knowledge further?</w:t>
            </w:r>
          </w:p>
        </w:tc>
      </w:tr>
      <w:tr w:rsidR="002A26FF" w:rsidRPr="002A26FF" w14:paraId="322F10B2" w14:textId="77777777" w:rsidTr="002E2094">
        <w:trPr>
          <w:trHeight w:val="1757"/>
        </w:trPr>
        <w:tc>
          <w:tcPr>
            <w:tcW w:w="1205" w:type="dxa"/>
            <w:tcBorders>
              <w:top w:val="single" w:sz="4" w:space="0" w:color="auto"/>
              <w:left w:val="single" w:sz="4" w:space="0" w:color="auto"/>
              <w:bottom w:val="single" w:sz="4" w:space="0" w:color="auto"/>
              <w:right w:val="single" w:sz="4" w:space="0" w:color="auto"/>
            </w:tcBorders>
            <w:shd w:val="clear" w:color="auto" w:fill="D9D9D9"/>
          </w:tcPr>
          <w:p w14:paraId="09E85A40" w14:textId="77777777" w:rsidR="002A26FF" w:rsidRPr="002A26FF" w:rsidRDefault="002A26FF" w:rsidP="002A26FF">
            <w:pPr>
              <w:spacing w:after="60" w:line="240" w:lineRule="auto"/>
              <w:rPr>
                <w:rFonts w:ascii="Constantia" w:eastAsia="Calibri" w:hAnsi="Constantia" w:cs="Times New Roman"/>
                <w:i/>
                <w:kern w:val="0"/>
                <w:sz w:val="20"/>
                <w:szCs w:val="22"/>
                <w:lang w:eastAsia="en-US"/>
                <w14:ligatures w14:val="none"/>
              </w:rPr>
            </w:pPr>
            <w:r w:rsidRPr="002A26FF">
              <w:rPr>
                <w:rFonts w:ascii="Constantia" w:eastAsia="Calibri" w:hAnsi="Constantia" w:cs="Times New Roman"/>
                <w:i/>
                <w:kern w:val="0"/>
                <w:sz w:val="20"/>
                <w:szCs w:val="22"/>
                <w:lang w:eastAsia="en-US"/>
                <w14:ligatures w14:val="none"/>
              </w:rPr>
              <w:t xml:space="preserve"> </w:t>
            </w:r>
          </w:p>
        </w:tc>
        <w:tc>
          <w:tcPr>
            <w:tcW w:w="1853" w:type="dxa"/>
            <w:tcBorders>
              <w:top w:val="single" w:sz="4" w:space="0" w:color="auto"/>
              <w:left w:val="single" w:sz="4" w:space="0" w:color="auto"/>
              <w:bottom w:val="single" w:sz="4" w:space="0" w:color="auto"/>
              <w:right w:val="single" w:sz="4" w:space="0" w:color="auto"/>
            </w:tcBorders>
            <w:shd w:val="clear" w:color="auto" w:fill="D9D9D9"/>
          </w:tcPr>
          <w:p w14:paraId="31DAF9F4" w14:textId="77777777" w:rsidR="002A26FF" w:rsidRPr="002A26FF" w:rsidRDefault="002A26FF" w:rsidP="002A26FF">
            <w:pPr>
              <w:spacing w:after="60" w:line="240" w:lineRule="auto"/>
              <w:rPr>
                <w:rFonts w:ascii="Constantia" w:eastAsia="Calibri" w:hAnsi="Constantia" w:cs="Times New Roman"/>
                <w:i/>
                <w:kern w:val="0"/>
                <w:sz w:val="20"/>
                <w:szCs w:val="22"/>
                <w:lang w:eastAsia="en-US"/>
                <w14:ligatures w14:val="none"/>
              </w:rPr>
            </w:pPr>
            <w:r w:rsidRPr="002A26FF">
              <w:rPr>
                <w:rFonts w:ascii="Constantia" w:eastAsia="Calibri" w:hAnsi="Constantia" w:cs="Times New Roman"/>
                <w:i/>
                <w:kern w:val="0"/>
                <w:sz w:val="20"/>
                <w:szCs w:val="22"/>
                <w:lang w:eastAsia="en-US"/>
                <w14:ligatures w14:val="none"/>
              </w:rPr>
              <w:t xml:space="preserve"> </w:t>
            </w:r>
            <w:r w:rsidRPr="002A26FF">
              <w:rPr>
                <w:rFonts w:ascii="Constantia" w:eastAsia="Calibri" w:hAnsi="Constantia" w:cs="Futura BT"/>
                <w:i/>
                <w:color w:val="000000"/>
                <w:kern w:val="0"/>
                <w:sz w:val="20"/>
                <w:szCs w:val="22"/>
                <w:lang w:eastAsia="en-US"/>
                <w14:ligatures w14:val="none"/>
              </w:rPr>
              <w:t xml:space="preserve">Discussed the Eisenhower box (Important/Not – Urgent/Not) to prioritise different tasks. Applied this to my own example. </w:t>
            </w:r>
          </w:p>
        </w:tc>
        <w:tc>
          <w:tcPr>
            <w:tcW w:w="3917" w:type="dxa"/>
            <w:tcBorders>
              <w:top w:val="single" w:sz="4" w:space="0" w:color="auto"/>
              <w:left w:val="single" w:sz="4" w:space="0" w:color="auto"/>
              <w:bottom w:val="single" w:sz="4" w:space="0" w:color="auto"/>
              <w:right w:val="single" w:sz="4" w:space="0" w:color="auto"/>
            </w:tcBorders>
            <w:shd w:val="clear" w:color="auto" w:fill="D9D9D9"/>
          </w:tcPr>
          <w:p w14:paraId="38B3E207" w14:textId="77777777" w:rsidR="002A26FF" w:rsidRPr="002A26FF" w:rsidRDefault="002A26FF" w:rsidP="002A26FF">
            <w:pPr>
              <w:autoSpaceDE w:val="0"/>
              <w:autoSpaceDN w:val="0"/>
              <w:adjustRightInd w:val="0"/>
              <w:spacing w:after="60" w:line="241" w:lineRule="atLeast"/>
              <w:rPr>
                <w:rFonts w:ascii="Constantia" w:eastAsia="Calibri" w:hAnsi="Constantia" w:cs="Times New Roman"/>
                <w:i/>
                <w:kern w:val="0"/>
                <w:sz w:val="20"/>
                <w:szCs w:val="22"/>
                <w14:ligatures w14:val="none"/>
              </w:rPr>
            </w:pPr>
            <w:r w:rsidRPr="002A26FF">
              <w:rPr>
                <w:rFonts w:ascii="Constantia" w:eastAsia="Calibri" w:hAnsi="Constantia" w:cs="Times New Roman"/>
                <w:i/>
                <w:kern w:val="0"/>
                <w:sz w:val="20"/>
                <w:szCs w:val="22"/>
                <w14:ligatures w14:val="none"/>
              </w:rPr>
              <w:t xml:space="preserve"> </w:t>
            </w:r>
            <w:r w:rsidRPr="002A26FF">
              <w:rPr>
                <w:rFonts w:ascii="Constantia" w:eastAsia="Calibri" w:hAnsi="Constantia" w:cs="Futura BT"/>
                <w:i/>
                <w:color w:val="000000"/>
                <w:kern w:val="0"/>
                <w:sz w:val="20"/>
                <w:szCs w:val="22"/>
                <w14:ligatures w14:val="none"/>
              </w:rPr>
              <w:t>I learned that not all tasks have the same priority and thought about what I usually do first. I have learned that it helps to organise my tasks in priority-urgency order to ensure I do most urgent and important things first.</w:t>
            </w:r>
          </w:p>
        </w:tc>
        <w:tc>
          <w:tcPr>
            <w:tcW w:w="3402" w:type="dxa"/>
            <w:tcBorders>
              <w:top w:val="single" w:sz="4" w:space="0" w:color="auto"/>
              <w:left w:val="single" w:sz="4" w:space="0" w:color="auto"/>
              <w:bottom w:val="single" w:sz="4" w:space="0" w:color="auto"/>
              <w:right w:val="single" w:sz="4" w:space="0" w:color="auto"/>
            </w:tcBorders>
            <w:shd w:val="clear" w:color="auto" w:fill="D9D9D9"/>
          </w:tcPr>
          <w:p w14:paraId="67F2FEF5" w14:textId="77777777" w:rsidR="002A26FF" w:rsidRPr="002A26FF" w:rsidRDefault="002A26FF" w:rsidP="002A26FF">
            <w:pPr>
              <w:autoSpaceDE w:val="0"/>
              <w:autoSpaceDN w:val="0"/>
              <w:adjustRightInd w:val="0"/>
              <w:spacing w:after="60" w:line="241" w:lineRule="atLeast"/>
              <w:rPr>
                <w:rFonts w:ascii="Constantia" w:eastAsia="Calibri" w:hAnsi="Constantia" w:cs="Times New Roman"/>
                <w:i/>
                <w:kern w:val="0"/>
                <w:sz w:val="20"/>
                <w:szCs w:val="22"/>
                <w14:ligatures w14:val="none"/>
              </w:rPr>
            </w:pPr>
            <w:r w:rsidRPr="002A26FF">
              <w:rPr>
                <w:rFonts w:ascii="Constantia" w:eastAsia="Calibri" w:hAnsi="Constantia" w:cs="Times New Roman"/>
                <w:i/>
                <w:kern w:val="0"/>
                <w:sz w:val="20"/>
                <w:szCs w:val="22"/>
                <w14:ligatures w14:val="none"/>
              </w:rPr>
              <w:t xml:space="preserve"> </w:t>
            </w:r>
            <w:r w:rsidRPr="002A26FF">
              <w:rPr>
                <w:rFonts w:ascii="Constantia" w:eastAsia="Calibri" w:hAnsi="Constantia" w:cs="Futura BT"/>
                <w:i/>
                <w:color w:val="000000"/>
                <w:kern w:val="0"/>
                <w:sz w:val="20"/>
                <w:szCs w:val="22"/>
                <w14:ligatures w14:val="none"/>
              </w:rPr>
              <w:t>I will move tasks on my calendar to ensure that tasks with priority get the first pick. If I manage a project in the future this skill can help me be more organised.</w:t>
            </w:r>
          </w:p>
        </w:tc>
        <w:tc>
          <w:tcPr>
            <w:tcW w:w="3686" w:type="dxa"/>
            <w:tcBorders>
              <w:top w:val="single" w:sz="4" w:space="0" w:color="auto"/>
              <w:left w:val="single" w:sz="4" w:space="0" w:color="auto"/>
              <w:bottom w:val="single" w:sz="4" w:space="0" w:color="auto"/>
              <w:right w:val="single" w:sz="4" w:space="0" w:color="auto"/>
            </w:tcBorders>
            <w:shd w:val="clear" w:color="auto" w:fill="D9D9D9"/>
          </w:tcPr>
          <w:p w14:paraId="702BE3BA" w14:textId="77777777" w:rsidR="002A26FF" w:rsidRPr="002A26FF" w:rsidRDefault="002A26FF" w:rsidP="002A26FF">
            <w:pPr>
              <w:autoSpaceDE w:val="0"/>
              <w:autoSpaceDN w:val="0"/>
              <w:adjustRightInd w:val="0"/>
              <w:spacing w:after="60" w:line="241" w:lineRule="atLeast"/>
              <w:rPr>
                <w:rFonts w:ascii="Constantia" w:eastAsia="Calibri" w:hAnsi="Constantia" w:cs="Times New Roman"/>
                <w:i/>
                <w:kern w:val="0"/>
                <w:sz w:val="20"/>
                <w:szCs w:val="22"/>
                <w14:ligatures w14:val="none"/>
              </w:rPr>
            </w:pPr>
            <w:r w:rsidRPr="002A26FF">
              <w:rPr>
                <w:rFonts w:ascii="Constantia" w:eastAsia="Calibri" w:hAnsi="Constantia" w:cs="Times New Roman"/>
                <w:i/>
                <w:kern w:val="0"/>
                <w:sz w:val="20"/>
                <w:szCs w:val="22"/>
                <w14:ligatures w14:val="none"/>
              </w:rPr>
              <w:t>In the next week I will watch 3 more YouTube videos on time management.</w:t>
            </w:r>
          </w:p>
          <w:p w14:paraId="5ECC57E5" w14:textId="77777777" w:rsidR="002A26FF" w:rsidRPr="002A26FF" w:rsidRDefault="002A26FF" w:rsidP="002A26FF">
            <w:pPr>
              <w:autoSpaceDE w:val="0"/>
              <w:autoSpaceDN w:val="0"/>
              <w:adjustRightInd w:val="0"/>
              <w:spacing w:after="60" w:line="241" w:lineRule="atLeast"/>
              <w:rPr>
                <w:rFonts w:ascii="Constantia" w:eastAsia="Calibri" w:hAnsi="Constantia" w:cs="Times New Roman"/>
                <w:i/>
                <w:kern w:val="0"/>
                <w:sz w:val="20"/>
                <w:szCs w:val="22"/>
                <w14:ligatures w14:val="none"/>
              </w:rPr>
            </w:pPr>
          </w:p>
          <w:p w14:paraId="6054D9A9" w14:textId="77777777" w:rsidR="002A26FF" w:rsidRPr="002A26FF" w:rsidRDefault="002A26FF" w:rsidP="002A26FF">
            <w:pPr>
              <w:autoSpaceDE w:val="0"/>
              <w:autoSpaceDN w:val="0"/>
              <w:adjustRightInd w:val="0"/>
              <w:spacing w:after="60" w:line="241" w:lineRule="atLeast"/>
              <w:rPr>
                <w:rFonts w:ascii="Futura BT" w:eastAsia="Calibri" w:hAnsi="Futura BT" w:cs="Times New Roman"/>
                <w:kern w:val="0"/>
                <w14:ligatures w14:val="none"/>
              </w:rPr>
            </w:pPr>
            <w:r w:rsidRPr="002A26FF">
              <w:rPr>
                <w:rFonts w:ascii="Constantia" w:eastAsia="Calibri" w:hAnsi="Constantia" w:cs="Times New Roman"/>
                <w:i/>
                <w:kern w:val="0"/>
                <w:sz w:val="20"/>
                <w:szCs w:val="22"/>
                <w14:ligatures w14:val="none"/>
              </w:rPr>
              <w:t>I will keep a record of my actions until next lesson to see if I did them in priority order.</w:t>
            </w:r>
          </w:p>
        </w:tc>
      </w:tr>
      <w:tr w:rsidR="002A26FF" w:rsidRPr="002A26FF" w14:paraId="0B1576A3"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52A05082"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17.1.2026</w:t>
            </w:r>
          </w:p>
        </w:tc>
        <w:tc>
          <w:tcPr>
            <w:tcW w:w="1853" w:type="dxa"/>
            <w:tcBorders>
              <w:top w:val="single" w:sz="4" w:space="0" w:color="auto"/>
              <w:left w:val="single" w:sz="4" w:space="0" w:color="auto"/>
              <w:bottom w:val="single" w:sz="4" w:space="0" w:color="auto"/>
              <w:right w:val="single" w:sz="4" w:space="0" w:color="auto"/>
            </w:tcBorders>
          </w:tcPr>
          <w:p w14:paraId="6B3D6EE1"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Module introduction and assessments. Concepts around Stakeholder engagement.</w:t>
            </w:r>
          </w:p>
        </w:tc>
        <w:tc>
          <w:tcPr>
            <w:tcW w:w="3917" w:type="dxa"/>
            <w:tcBorders>
              <w:top w:val="single" w:sz="4" w:space="0" w:color="auto"/>
              <w:left w:val="single" w:sz="4" w:space="0" w:color="auto"/>
              <w:bottom w:val="single" w:sz="4" w:space="0" w:color="auto"/>
              <w:right w:val="single" w:sz="4" w:space="0" w:color="auto"/>
            </w:tcBorders>
          </w:tcPr>
          <w:p w14:paraId="2ED39DE8"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 xml:space="preserve">Idea of community and community engagement. </w:t>
            </w:r>
          </w:p>
          <w:p w14:paraId="075DA3FA"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 xml:space="preserve">Definition of stakeholder engagement the benefits of stakeholder’s engagement. The different types of stakeholders the stakeholder engagements of planning </w:t>
            </w:r>
          </w:p>
          <w:p w14:paraId="2E68675E"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 xml:space="preserve">Activity: looked at stakeholder of different companies such as Tesco etc </w:t>
            </w:r>
          </w:p>
          <w:p w14:paraId="765247CE"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The importance of stakeholder’s engagement for myself.</w:t>
            </w:r>
          </w:p>
        </w:tc>
        <w:tc>
          <w:tcPr>
            <w:tcW w:w="3402" w:type="dxa"/>
            <w:tcBorders>
              <w:top w:val="single" w:sz="4" w:space="0" w:color="auto"/>
              <w:left w:val="single" w:sz="4" w:space="0" w:color="auto"/>
              <w:bottom w:val="single" w:sz="4" w:space="0" w:color="auto"/>
              <w:right w:val="single" w:sz="4" w:space="0" w:color="auto"/>
            </w:tcBorders>
          </w:tcPr>
          <w:p w14:paraId="4D998EB0"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After gaining the knowledge of stakeholder engagement. I will use it in my project that must be completed as a portfolio assessment for this module.</w:t>
            </w:r>
          </w:p>
        </w:tc>
        <w:tc>
          <w:tcPr>
            <w:tcW w:w="3686" w:type="dxa"/>
            <w:tcBorders>
              <w:top w:val="single" w:sz="4" w:space="0" w:color="auto"/>
              <w:left w:val="single" w:sz="4" w:space="0" w:color="auto"/>
              <w:bottom w:val="single" w:sz="4" w:space="0" w:color="auto"/>
              <w:right w:val="single" w:sz="4" w:space="0" w:color="auto"/>
            </w:tcBorders>
          </w:tcPr>
          <w:p w14:paraId="1703E283"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I will go to the nearest community centre where I will try to engage with people involved in different activities and community issues, I will join one of the community groups. This will help improve my stakeholder engagements.</w:t>
            </w:r>
          </w:p>
        </w:tc>
      </w:tr>
      <w:tr w:rsidR="002A26FF" w:rsidRPr="002A26FF" w14:paraId="7A2D8094"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517503C9"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24.1.2026</w:t>
            </w:r>
          </w:p>
        </w:tc>
        <w:tc>
          <w:tcPr>
            <w:tcW w:w="1853" w:type="dxa"/>
            <w:tcBorders>
              <w:top w:val="single" w:sz="4" w:space="0" w:color="auto"/>
              <w:left w:val="single" w:sz="4" w:space="0" w:color="auto"/>
              <w:bottom w:val="single" w:sz="4" w:space="0" w:color="auto"/>
              <w:right w:val="single" w:sz="4" w:space="0" w:color="auto"/>
            </w:tcBorders>
          </w:tcPr>
          <w:p w14:paraId="111F152F"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In this lesson I have learnt that stakeholder and communication with the engagement have been organised and communicates well within the decisions that have been made by involving them to make decisions.</w:t>
            </w:r>
          </w:p>
        </w:tc>
        <w:tc>
          <w:tcPr>
            <w:tcW w:w="3917" w:type="dxa"/>
            <w:tcBorders>
              <w:top w:val="single" w:sz="4" w:space="0" w:color="auto"/>
              <w:left w:val="single" w:sz="4" w:space="0" w:color="auto"/>
              <w:bottom w:val="single" w:sz="4" w:space="0" w:color="auto"/>
              <w:right w:val="single" w:sz="4" w:space="0" w:color="auto"/>
            </w:tcBorders>
          </w:tcPr>
          <w:p w14:paraId="707C5369"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 xml:space="preserve">I have learnt that by using communication &amp; engagement the importance for building the trust within the company of understanding the trust of peoples needs. This will support and listen to stakeholders to make this a better decision and will be a success in the coming up projects. </w:t>
            </w:r>
          </w:p>
        </w:tc>
        <w:tc>
          <w:tcPr>
            <w:tcW w:w="3402" w:type="dxa"/>
            <w:tcBorders>
              <w:top w:val="single" w:sz="4" w:space="0" w:color="auto"/>
              <w:left w:val="single" w:sz="4" w:space="0" w:color="auto"/>
              <w:bottom w:val="single" w:sz="4" w:space="0" w:color="auto"/>
              <w:right w:val="single" w:sz="4" w:space="0" w:color="auto"/>
            </w:tcBorders>
          </w:tcPr>
          <w:p w14:paraId="6C98CAD8"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 xml:space="preserve">In the future I will know my knowledge &amp; understanding through working with different organisations, communities I will listen to people's perspectives and their opinions which will involve stakeholders when planning projects or different a activities through the project. </w:t>
            </w:r>
          </w:p>
        </w:tc>
        <w:tc>
          <w:tcPr>
            <w:tcW w:w="3686" w:type="dxa"/>
            <w:tcBorders>
              <w:top w:val="single" w:sz="4" w:space="0" w:color="auto"/>
              <w:left w:val="single" w:sz="4" w:space="0" w:color="auto"/>
              <w:bottom w:val="single" w:sz="4" w:space="0" w:color="auto"/>
              <w:right w:val="single" w:sz="4" w:space="0" w:color="auto"/>
            </w:tcBorders>
          </w:tcPr>
          <w:p w14:paraId="3CAAA94B"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 xml:space="preserve">Outsiders the lessons I will understand and read on different articles, watch videos understand the real community projects. You can also investigate volunteers or join local community centres this will help &amp; support the engagement and development effective communication skills. </w:t>
            </w:r>
          </w:p>
        </w:tc>
      </w:tr>
      <w:tr w:rsidR="002A26FF" w:rsidRPr="002A26FF" w14:paraId="61E375AE"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3EAAA1E8"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31.1.2026</w:t>
            </w:r>
          </w:p>
        </w:tc>
        <w:tc>
          <w:tcPr>
            <w:tcW w:w="1853" w:type="dxa"/>
            <w:tcBorders>
              <w:top w:val="single" w:sz="4" w:space="0" w:color="auto"/>
              <w:left w:val="single" w:sz="4" w:space="0" w:color="auto"/>
              <w:bottom w:val="single" w:sz="4" w:space="0" w:color="auto"/>
              <w:right w:val="single" w:sz="4" w:space="0" w:color="auto"/>
            </w:tcBorders>
          </w:tcPr>
          <w:p w14:paraId="33120997"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In the lesson I have researched the </w:t>
            </w:r>
          </w:p>
          <w:p w14:paraId="5606A43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Priorities and needs of different communities. </w:t>
            </w:r>
          </w:p>
          <w:p w14:paraId="57D5F0CC"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I also learned about different tools and platforms used for the </w:t>
            </w:r>
          </w:p>
          <w:p w14:paraId="4583ABC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Engagement and </w:t>
            </w:r>
          </w:p>
          <w:p w14:paraId="67610FA9"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discussed when and how to use them.</w:t>
            </w:r>
          </w:p>
          <w:p w14:paraId="11A2AC9A"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 </w:t>
            </w:r>
          </w:p>
          <w:p w14:paraId="28C43A22" w14:textId="77777777" w:rsidR="002A26FF" w:rsidRPr="002A26FF" w:rsidRDefault="002A26FF" w:rsidP="002A26FF">
            <w:pPr>
              <w:spacing w:after="0" w:line="240" w:lineRule="auto"/>
              <w:rPr>
                <w:rFonts w:ascii="Helvetica" w:hAnsi="Helvetica" w:cs="Times New Roman"/>
                <w:kern w:val="0"/>
                <w:sz w:val="18"/>
                <w:szCs w:val="18"/>
                <w14:ligatures w14:val="none"/>
              </w:rPr>
            </w:pPr>
          </w:p>
          <w:p w14:paraId="0AF6E7F2"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917" w:type="dxa"/>
            <w:tcBorders>
              <w:top w:val="single" w:sz="4" w:space="0" w:color="auto"/>
              <w:left w:val="single" w:sz="4" w:space="0" w:color="auto"/>
              <w:bottom w:val="single" w:sz="4" w:space="0" w:color="auto"/>
              <w:right w:val="single" w:sz="4" w:space="0" w:color="auto"/>
            </w:tcBorders>
          </w:tcPr>
          <w:p w14:paraId="3D2CEE3B"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 have learned that communities have different priorities, which means that the important to research and understand their needs before designing a project.</w:t>
            </w:r>
          </w:p>
          <w:p w14:paraId="7FBC1390"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Also learned about different engagement tools and how choosing the right one at the right time which is especially important.</w:t>
            </w:r>
          </w:p>
          <w:p w14:paraId="6D477C1D"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 xml:space="preserve">To </w:t>
            </w:r>
          </w:p>
        </w:tc>
        <w:tc>
          <w:tcPr>
            <w:tcW w:w="3402" w:type="dxa"/>
            <w:tcBorders>
              <w:top w:val="single" w:sz="4" w:space="0" w:color="auto"/>
              <w:left w:val="single" w:sz="4" w:space="0" w:color="auto"/>
              <w:bottom w:val="single" w:sz="4" w:space="0" w:color="auto"/>
              <w:right w:val="single" w:sz="4" w:space="0" w:color="auto"/>
            </w:tcBorders>
          </w:tcPr>
          <w:p w14:paraId="6A7147AA"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The future which we will use trough the knowledge when planning community projects I will research community needs, choose suitable engagement tools, and manage my time better when working with stakeholders as this is importance for a new project &amp; organisations </w:t>
            </w:r>
          </w:p>
          <w:p w14:paraId="16D72A97"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686" w:type="dxa"/>
            <w:tcBorders>
              <w:top w:val="single" w:sz="4" w:space="0" w:color="auto"/>
              <w:left w:val="single" w:sz="4" w:space="0" w:color="auto"/>
              <w:bottom w:val="single" w:sz="4" w:space="0" w:color="auto"/>
              <w:right w:val="single" w:sz="4" w:space="0" w:color="auto"/>
            </w:tcBorders>
          </w:tcPr>
          <w:p w14:paraId="57899090"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 will read articles and case studies about community engagement and stakeholder</w:t>
            </w:r>
          </w:p>
          <w:p w14:paraId="537BB68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management. I can also watch online lectures or join community events to use the </w:t>
            </w:r>
          </w:p>
          <w:p w14:paraId="4C157D08"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engagement tools which are helpful and real in use.</w:t>
            </w:r>
          </w:p>
          <w:p w14:paraId="6F6A73A5"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r>
      <w:tr w:rsidR="002A26FF" w:rsidRPr="002A26FF" w14:paraId="3F3E882C"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6E266DE6"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7.2.2026</w:t>
            </w:r>
          </w:p>
        </w:tc>
        <w:tc>
          <w:tcPr>
            <w:tcW w:w="1853" w:type="dxa"/>
            <w:tcBorders>
              <w:top w:val="single" w:sz="4" w:space="0" w:color="auto"/>
              <w:left w:val="single" w:sz="4" w:space="0" w:color="auto"/>
              <w:bottom w:val="single" w:sz="4" w:space="0" w:color="auto"/>
              <w:right w:val="single" w:sz="4" w:space="0" w:color="auto"/>
            </w:tcBorders>
          </w:tcPr>
          <w:p w14:paraId="5352FAA7"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planning and designing community</w:t>
            </w:r>
          </w:p>
          <w:p w14:paraId="3166BA4D"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about challenges such as lack of resources,</w:t>
            </w:r>
          </w:p>
          <w:p w14:paraId="4D05E973"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communication problems, and the important of training and support.</w:t>
            </w:r>
          </w:p>
          <w:p w14:paraId="76D9B39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Engaged and </w:t>
            </w:r>
          </w:p>
          <w:p w14:paraId="18CADD3B"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discussed why</w:t>
            </w:r>
          </w:p>
          <w:p w14:paraId="3995D735"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Engagement </w:t>
            </w:r>
          </w:p>
          <w:p w14:paraId="446DDDA0"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important,</w:t>
            </w:r>
          </w:p>
          <w:p w14:paraId="45DC2701"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activities. </w:t>
            </w:r>
          </w:p>
          <w:p w14:paraId="29D13013"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917" w:type="dxa"/>
            <w:tcBorders>
              <w:top w:val="single" w:sz="4" w:space="0" w:color="auto"/>
              <w:left w:val="single" w:sz="4" w:space="0" w:color="auto"/>
              <w:bottom w:val="single" w:sz="4" w:space="0" w:color="auto"/>
              <w:right w:val="single" w:sz="4" w:space="0" w:color="auto"/>
            </w:tcBorders>
          </w:tcPr>
          <w:p w14:paraId="592E1328"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Look around the challenges such as lack of resources,</w:t>
            </w:r>
          </w:p>
          <w:p w14:paraId="57A1BF98"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communication problems, and the important of training and support which is needed. </w:t>
            </w:r>
          </w:p>
          <w:p w14:paraId="734010CB"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402" w:type="dxa"/>
            <w:tcBorders>
              <w:top w:val="single" w:sz="4" w:space="0" w:color="auto"/>
              <w:left w:val="single" w:sz="4" w:space="0" w:color="auto"/>
              <w:bottom w:val="single" w:sz="4" w:space="0" w:color="auto"/>
              <w:right w:val="single" w:sz="4" w:space="0" w:color="auto"/>
            </w:tcBorders>
          </w:tcPr>
          <w:p w14:paraId="7BD12F2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 This will help me communicate better and understand about the community. </w:t>
            </w:r>
          </w:p>
          <w:p w14:paraId="230A2111"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686" w:type="dxa"/>
            <w:tcBorders>
              <w:top w:val="single" w:sz="4" w:space="0" w:color="auto"/>
              <w:left w:val="single" w:sz="4" w:space="0" w:color="auto"/>
              <w:bottom w:val="single" w:sz="4" w:space="0" w:color="auto"/>
              <w:right w:val="single" w:sz="4" w:space="0" w:color="auto"/>
            </w:tcBorders>
          </w:tcPr>
          <w:p w14:paraId="56A34A70"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This will be an engagement through seeing the community projects and takes part within workshops and use this to help and support knee improvement to my skills. </w:t>
            </w:r>
          </w:p>
          <w:p w14:paraId="516B8C8B" w14:textId="77777777" w:rsidR="002A26FF" w:rsidRPr="002A26FF" w:rsidRDefault="002A26FF" w:rsidP="002A26FF">
            <w:pPr>
              <w:spacing w:after="0" w:line="240" w:lineRule="auto"/>
              <w:rPr>
                <w:rFonts w:ascii="Helvetica" w:hAnsi="Helvetica" w:cs="Times New Roman"/>
                <w:kern w:val="0"/>
                <w:sz w:val="18"/>
                <w:szCs w:val="18"/>
                <w14:ligatures w14:val="none"/>
              </w:rPr>
            </w:pPr>
          </w:p>
          <w:p w14:paraId="25FB92E1"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r>
      <w:tr w:rsidR="002A26FF" w:rsidRPr="002A26FF" w14:paraId="39310E21"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5CFACFEE"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14.2.2026</w:t>
            </w:r>
          </w:p>
        </w:tc>
        <w:tc>
          <w:tcPr>
            <w:tcW w:w="1853" w:type="dxa"/>
            <w:tcBorders>
              <w:top w:val="single" w:sz="4" w:space="0" w:color="auto"/>
              <w:left w:val="single" w:sz="4" w:space="0" w:color="auto"/>
              <w:bottom w:val="single" w:sz="4" w:space="0" w:color="auto"/>
              <w:right w:val="single" w:sz="4" w:space="0" w:color="auto"/>
            </w:tcBorders>
          </w:tcPr>
          <w:p w14:paraId="1D07D666"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Designing the community </w:t>
            </w:r>
          </w:p>
          <w:p w14:paraId="50B8C0F9"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discussed why community and </w:t>
            </w:r>
          </w:p>
          <w:p w14:paraId="5ACFF9F4"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Engagement is </w:t>
            </w:r>
          </w:p>
          <w:p w14:paraId="77B4FC40"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important, that activities involved, and the barriers that can affect planning.</w:t>
            </w:r>
          </w:p>
          <w:p w14:paraId="753E11B1"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917" w:type="dxa"/>
            <w:tcBorders>
              <w:top w:val="single" w:sz="4" w:space="0" w:color="auto"/>
              <w:left w:val="single" w:sz="4" w:space="0" w:color="auto"/>
              <w:bottom w:val="single" w:sz="4" w:space="0" w:color="auto"/>
              <w:right w:val="single" w:sz="4" w:space="0" w:color="auto"/>
            </w:tcBorders>
          </w:tcPr>
          <w:p w14:paraId="6939A976"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about challenges such as lack of resources,</w:t>
            </w:r>
          </w:p>
          <w:p w14:paraId="6426FEF0"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communication problems, and the important of training and support.</w:t>
            </w:r>
          </w:p>
          <w:p w14:paraId="470F2CAE"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402" w:type="dxa"/>
            <w:tcBorders>
              <w:top w:val="single" w:sz="4" w:space="0" w:color="auto"/>
              <w:left w:val="single" w:sz="4" w:space="0" w:color="auto"/>
              <w:bottom w:val="single" w:sz="4" w:space="0" w:color="auto"/>
              <w:right w:val="single" w:sz="4" w:space="0" w:color="auto"/>
            </w:tcBorders>
          </w:tcPr>
          <w:p w14:paraId="2C31F3D7"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The communication which is better and to understand communication from the community. </w:t>
            </w:r>
          </w:p>
          <w:p w14:paraId="136456C6"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686" w:type="dxa"/>
            <w:tcBorders>
              <w:top w:val="single" w:sz="4" w:space="0" w:color="auto"/>
              <w:left w:val="single" w:sz="4" w:space="0" w:color="auto"/>
              <w:bottom w:val="single" w:sz="4" w:space="0" w:color="auto"/>
              <w:right w:val="single" w:sz="4" w:space="0" w:color="auto"/>
            </w:tcBorders>
          </w:tcPr>
          <w:p w14:paraId="0B61B157"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I will engage and see the different </w:t>
            </w:r>
          </w:p>
          <w:p w14:paraId="3DDD0E0E"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community from different projects </w:t>
            </w:r>
          </w:p>
          <w:p w14:paraId="6470F27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and take</w:t>
            </w:r>
          </w:p>
          <w:p w14:paraId="5C11E491"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part in</w:t>
            </w:r>
          </w:p>
          <w:p w14:paraId="357A70C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workshops</w:t>
            </w:r>
          </w:p>
          <w:p w14:paraId="35449366"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or</w:t>
            </w:r>
          </w:p>
          <w:p w14:paraId="22D7907D"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training</w:t>
            </w:r>
          </w:p>
          <w:p w14:paraId="42CEDC7C"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sessions to</w:t>
            </w:r>
          </w:p>
          <w:p w14:paraId="14ED490E"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improve my skills.</w:t>
            </w:r>
          </w:p>
          <w:p w14:paraId="6E1866EA"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r>
      <w:tr w:rsidR="002A26FF" w:rsidRPr="002A26FF" w14:paraId="4FB6ADC4"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29F7C9DA"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21.2.2026</w:t>
            </w:r>
          </w:p>
        </w:tc>
        <w:tc>
          <w:tcPr>
            <w:tcW w:w="1853" w:type="dxa"/>
            <w:tcBorders>
              <w:top w:val="single" w:sz="4" w:space="0" w:color="auto"/>
              <w:left w:val="single" w:sz="4" w:space="0" w:color="auto"/>
              <w:bottom w:val="single" w:sz="4" w:space="0" w:color="auto"/>
              <w:right w:val="single" w:sz="4" w:space="0" w:color="auto"/>
            </w:tcBorders>
          </w:tcPr>
          <w:p w14:paraId="22077D13"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explored the importance of </w:t>
            </w:r>
          </w:p>
          <w:p w14:paraId="14560351"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communicate which reviewed the  communicate process, and found common barriers.</w:t>
            </w:r>
          </w:p>
          <w:p w14:paraId="42CA03DB"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917" w:type="dxa"/>
            <w:tcBorders>
              <w:top w:val="single" w:sz="4" w:space="0" w:color="auto"/>
              <w:left w:val="single" w:sz="4" w:space="0" w:color="auto"/>
              <w:bottom w:val="single" w:sz="4" w:space="0" w:color="auto"/>
              <w:right w:val="single" w:sz="4" w:space="0" w:color="auto"/>
            </w:tcBorders>
          </w:tcPr>
          <w:p w14:paraId="5B02C2B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learned how effective communication builds understanding, how barriers can interrupt messages, and how excellent communication supports trust, participation, and collaboration within communities.</w:t>
            </w:r>
          </w:p>
          <w:p w14:paraId="13F41436"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402" w:type="dxa"/>
            <w:tcBorders>
              <w:top w:val="single" w:sz="4" w:space="0" w:color="auto"/>
              <w:left w:val="single" w:sz="4" w:space="0" w:color="auto"/>
              <w:bottom w:val="single" w:sz="4" w:space="0" w:color="auto"/>
              <w:right w:val="single" w:sz="4" w:space="0" w:color="auto"/>
            </w:tcBorders>
          </w:tcPr>
          <w:p w14:paraId="15B82486"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 I will apply these </w:t>
            </w:r>
          </w:p>
          <w:p w14:paraId="545DF867"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communication skills when engaging with community groups ensuring I speak clearly, listen actively, and check for understanding to create more meaningful and inclusive interactions.</w:t>
            </w:r>
          </w:p>
          <w:p w14:paraId="340F6B73"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686" w:type="dxa"/>
            <w:tcBorders>
              <w:top w:val="single" w:sz="4" w:space="0" w:color="auto"/>
              <w:left w:val="single" w:sz="4" w:space="0" w:color="auto"/>
              <w:bottom w:val="single" w:sz="4" w:space="0" w:color="auto"/>
              <w:right w:val="single" w:sz="4" w:space="0" w:color="auto"/>
            </w:tcBorders>
          </w:tcPr>
          <w:p w14:paraId="4E99E10F"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will practice active listening in daily conversations seek feedback from different </w:t>
            </w:r>
          </w:p>
          <w:p w14:paraId="005BE4D4"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communication style, take part in group discussions or volunteering activities, and read more about community engagement strategies to strengthen, </w:t>
            </w:r>
          </w:p>
          <w:p w14:paraId="60664D77"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r>
      <w:tr w:rsidR="002A26FF" w:rsidRPr="002A26FF" w14:paraId="37421727"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2E3510C5"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28.2.2026</w:t>
            </w:r>
          </w:p>
        </w:tc>
        <w:tc>
          <w:tcPr>
            <w:tcW w:w="1853" w:type="dxa"/>
            <w:tcBorders>
              <w:top w:val="single" w:sz="4" w:space="0" w:color="auto"/>
              <w:left w:val="single" w:sz="4" w:space="0" w:color="auto"/>
              <w:bottom w:val="single" w:sz="4" w:space="0" w:color="auto"/>
              <w:right w:val="single" w:sz="4" w:space="0" w:color="auto"/>
            </w:tcBorders>
          </w:tcPr>
          <w:p w14:paraId="44D123DE"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 I will practice active listening in daily conversations seek feedback on </w:t>
            </w:r>
          </w:p>
          <w:p w14:paraId="2659CE5F"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communication style, take part in group discussions or volunteering activities, and read more about community engagement strategies to strengthen the project. </w:t>
            </w:r>
          </w:p>
          <w:p w14:paraId="5E4EDA5E"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917" w:type="dxa"/>
            <w:tcBorders>
              <w:top w:val="single" w:sz="4" w:space="0" w:color="auto"/>
              <w:left w:val="single" w:sz="4" w:space="0" w:color="auto"/>
              <w:bottom w:val="single" w:sz="4" w:space="0" w:color="auto"/>
              <w:right w:val="single" w:sz="4" w:space="0" w:color="auto"/>
            </w:tcBorders>
          </w:tcPr>
          <w:p w14:paraId="121C2969"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leaned why robust community engagement is essential for building trust,</w:t>
            </w:r>
          </w:p>
          <w:p w14:paraId="5D6D4BC7"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outcomes, and ensuring that community voices guide decision </w:t>
            </w:r>
          </w:p>
          <w:p w14:paraId="4500F8B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understanding the key</w:t>
            </w:r>
          </w:p>
          <w:p w14:paraId="5151919D"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inclusivity, transparency, collaboration, and accountability.</w:t>
            </w:r>
          </w:p>
          <w:p w14:paraId="414C22C8"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402" w:type="dxa"/>
            <w:tcBorders>
              <w:top w:val="single" w:sz="4" w:space="0" w:color="auto"/>
              <w:left w:val="single" w:sz="4" w:space="0" w:color="auto"/>
              <w:bottom w:val="single" w:sz="4" w:space="0" w:color="auto"/>
              <w:right w:val="single" w:sz="4" w:space="0" w:color="auto"/>
            </w:tcBorders>
          </w:tcPr>
          <w:p w14:paraId="20DF17F8"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The essential for building trust,</w:t>
            </w:r>
          </w:p>
          <w:p w14:paraId="29A7393F"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outcomes, and ensuring that community voices guide decision -making.</w:t>
            </w:r>
          </w:p>
          <w:p w14:paraId="0F4BE98D"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understanding of key</w:t>
            </w:r>
          </w:p>
          <w:p w14:paraId="6E4B7A85"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such as </w:t>
            </w:r>
          </w:p>
          <w:p w14:paraId="60A83846"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inclusivity, transparency, collaboration, and accountability.</w:t>
            </w:r>
          </w:p>
          <w:p w14:paraId="3083CE4A"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 will apply these principles</w:t>
            </w:r>
          </w:p>
          <w:p w14:paraId="4B8DC63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When planning of taking part in community-based projects, making sure that engagement is meaningful, consistent, and guided by the need of stakeholders. This will help me design more effective and ethical engagement</w:t>
            </w:r>
          </w:p>
          <w:p w14:paraId="18F959C9"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686" w:type="dxa"/>
            <w:tcBorders>
              <w:top w:val="single" w:sz="4" w:space="0" w:color="auto"/>
              <w:left w:val="single" w:sz="4" w:space="0" w:color="auto"/>
              <w:bottom w:val="single" w:sz="4" w:space="0" w:color="auto"/>
              <w:right w:val="single" w:sz="4" w:space="0" w:color="auto"/>
            </w:tcBorders>
          </w:tcPr>
          <w:p w14:paraId="30F643E5"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 I will read case studies of successful community engagement projects, attend workshops or websites on stakeholder engagement, and look at volunteer opportunities to gain practical services. </w:t>
            </w:r>
          </w:p>
          <w:p w14:paraId="729773CB"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r>
      <w:tr w:rsidR="002A26FF" w:rsidRPr="002A26FF" w14:paraId="67FB8F14"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7D7EF5ED"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7.3.2026</w:t>
            </w:r>
          </w:p>
        </w:tc>
        <w:tc>
          <w:tcPr>
            <w:tcW w:w="1853" w:type="dxa"/>
            <w:tcBorders>
              <w:top w:val="single" w:sz="4" w:space="0" w:color="auto"/>
              <w:left w:val="single" w:sz="4" w:space="0" w:color="auto"/>
              <w:bottom w:val="single" w:sz="4" w:space="0" w:color="auto"/>
              <w:right w:val="single" w:sz="4" w:space="0" w:color="auto"/>
            </w:tcBorders>
          </w:tcPr>
          <w:tbl>
            <w:tblPr>
              <w:tblW w:w="0" w:type="auto"/>
              <w:tblCellSpacing w:w="0" w:type="dxa"/>
              <w:tblCellMar>
                <w:left w:w="0" w:type="dxa"/>
                <w:right w:w="0" w:type="dxa"/>
              </w:tblCellMar>
              <w:tblLook w:val="04A0" w:firstRow="1" w:lastRow="0" w:firstColumn="1" w:lastColumn="0" w:noHBand="0" w:noVBand="1"/>
            </w:tblPr>
            <w:tblGrid>
              <w:gridCol w:w="480"/>
              <w:gridCol w:w="480"/>
            </w:tblGrid>
            <w:tr w:rsidR="002A26FF" w:rsidRPr="002A26FF" w14:paraId="64A78E2F" w14:textId="77777777" w:rsidTr="002E2094">
              <w:trPr>
                <w:tblCellSpacing w:w="0" w:type="dxa"/>
              </w:trPr>
              <w:tc>
                <w:tcPr>
                  <w:tcW w:w="480" w:type="dxa"/>
                  <w:hideMark/>
                </w:tcPr>
                <w:p w14:paraId="0AAD7F3C"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3CF6D71F" w14:textId="77777777" w:rsidR="002A26FF" w:rsidRPr="002A26FF" w:rsidRDefault="002A26FF" w:rsidP="002A26FF">
                  <w:pPr>
                    <w:spacing w:after="0" w:line="240" w:lineRule="auto"/>
                    <w:rPr>
                      <w:rFonts w:ascii="Helvetica" w:hAnsi="Helvetica" w:cs="Times New Roman"/>
                      <w:kern w:val="0"/>
                      <w:sz w:val="18"/>
                      <w:szCs w:val="18"/>
                      <w14:ligatures w14:val="none"/>
                    </w:rPr>
                  </w:pPr>
                </w:p>
              </w:tc>
            </w:tr>
            <w:tr w:rsidR="002A26FF" w:rsidRPr="002A26FF" w14:paraId="0304DC3B" w14:textId="77777777" w:rsidTr="002E2094">
              <w:trPr>
                <w:tblCellSpacing w:w="0" w:type="dxa"/>
              </w:trPr>
              <w:tc>
                <w:tcPr>
                  <w:tcW w:w="480" w:type="dxa"/>
                  <w:hideMark/>
                </w:tcPr>
                <w:p w14:paraId="0B069DAF"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17DBF8AD"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explored how to</w:t>
                  </w:r>
                </w:p>
                <w:p w14:paraId="6CDFBDDE"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the impact of</w:t>
                  </w:r>
                </w:p>
                <w:p w14:paraId="5E83D041"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projects learned</w:t>
                  </w:r>
                </w:p>
                <w:p w14:paraId="01D928F4"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engagement evaluation involves, examined ways to interpret evolution results, and discussed the importance or accepting</w:t>
                  </w:r>
                </w:p>
              </w:tc>
            </w:tr>
          </w:tbl>
          <w:p w14:paraId="6C8170C4"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917" w:type="dxa"/>
            <w:tcBorders>
              <w:top w:val="single" w:sz="4" w:space="0" w:color="auto"/>
              <w:left w:val="single" w:sz="4" w:space="0" w:color="auto"/>
              <w:bottom w:val="single" w:sz="4" w:space="0" w:color="auto"/>
              <w:right w:val="single" w:sz="4" w:space="0" w:color="auto"/>
            </w:tcBorders>
          </w:tcPr>
          <w:tbl>
            <w:tblPr>
              <w:tblW w:w="0" w:type="auto"/>
              <w:tblCellSpacing w:w="0" w:type="dxa"/>
              <w:tblCellMar>
                <w:left w:w="0" w:type="dxa"/>
                <w:right w:w="0" w:type="dxa"/>
              </w:tblCellMar>
              <w:tblLook w:val="04A0" w:firstRow="1" w:lastRow="0" w:firstColumn="1" w:lastColumn="0" w:noHBand="0" w:noVBand="1"/>
            </w:tblPr>
            <w:tblGrid>
              <w:gridCol w:w="480"/>
              <w:gridCol w:w="480"/>
              <w:gridCol w:w="480"/>
            </w:tblGrid>
            <w:tr w:rsidR="002A26FF" w:rsidRPr="002A26FF" w14:paraId="3CE1C4F0" w14:textId="77777777" w:rsidTr="002E2094">
              <w:trPr>
                <w:tblCellSpacing w:w="0" w:type="dxa"/>
              </w:trPr>
              <w:tc>
                <w:tcPr>
                  <w:tcW w:w="480" w:type="dxa"/>
                  <w:hideMark/>
                </w:tcPr>
                <w:p w14:paraId="3CCFFBEB"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12004E26"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30C2D13C"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learned to how assess project outcomes, understand evaluation processes, interpret findings, and recognise why accepting change supports effective stakeholders' engagement.</w:t>
                  </w:r>
                </w:p>
              </w:tc>
            </w:tr>
          </w:tbl>
          <w:p w14:paraId="3C4CF25F"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402" w:type="dxa"/>
            <w:tcBorders>
              <w:top w:val="single" w:sz="4" w:space="0" w:color="auto"/>
              <w:left w:val="single" w:sz="4" w:space="0" w:color="auto"/>
              <w:bottom w:val="single" w:sz="4" w:space="0" w:color="auto"/>
              <w:right w:val="single" w:sz="4" w:space="0" w:color="auto"/>
            </w:tcBorders>
          </w:tcPr>
          <w:p w14:paraId="6EFAEF6A"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I will apply these skills when planning and evaluating community projects, making informed decisions, and adapting to the change in the stakeholders.</w:t>
            </w:r>
          </w:p>
        </w:tc>
        <w:tc>
          <w:tcPr>
            <w:tcW w:w="3686" w:type="dxa"/>
            <w:tcBorders>
              <w:top w:val="single" w:sz="4" w:space="0" w:color="auto"/>
              <w:left w:val="single" w:sz="4" w:space="0" w:color="auto"/>
              <w:bottom w:val="single" w:sz="4" w:space="0" w:color="auto"/>
              <w:right w:val="single" w:sz="4" w:space="0" w:color="auto"/>
            </w:tcBorders>
          </w:tcPr>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tblGrid>
            <w:tr w:rsidR="002A26FF" w:rsidRPr="002A26FF" w14:paraId="7277F5AA" w14:textId="77777777" w:rsidTr="002E2094">
              <w:trPr>
                <w:tblCellSpacing w:w="0" w:type="dxa"/>
              </w:trPr>
              <w:tc>
                <w:tcPr>
                  <w:tcW w:w="480" w:type="dxa"/>
                  <w:hideMark/>
                </w:tcPr>
                <w:p w14:paraId="2BBFAB99"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7326CA3F"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3229BF89"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06A5ACC9"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1CE24F79"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will review real project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tblGrid>
                  <w:tr w:rsidR="002A26FF" w:rsidRPr="002A26FF" w14:paraId="19BCA4A9" w14:textId="77777777" w:rsidTr="002E2094">
                    <w:trPr>
                      <w:tblCellSpacing w:w="0" w:type="dxa"/>
                    </w:trPr>
                    <w:tc>
                      <w:tcPr>
                        <w:tcW w:w="480" w:type="dxa"/>
                        <w:hideMark/>
                      </w:tcPr>
                      <w:p w14:paraId="310F8E21"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3CCC522B"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05790EB8"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10366D2E" w14:textId="77777777" w:rsidR="002A26FF" w:rsidRPr="002A26FF" w:rsidRDefault="002A26FF" w:rsidP="002A26FF">
                        <w:pPr>
                          <w:spacing w:after="0" w:line="240" w:lineRule="auto"/>
                          <w:rPr>
                            <w:rFonts w:ascii="Times New Roman" w:hAnsi="Times New Roman" w:cs="Times New Roman"/>
                            <w:kern w:val="0"/>
                            <w14:ligatures w14:val="none"/>
                          </w:rPr>
                        </w:pPr>
                      </w:p>
                    </w:tc>
                    <w:tc>
                      <w:tcPr>
                        <w:tcW w:w="480" w:type="dxa"/>
                        <w:hideMark/>
                      </w:tcPr>
                      <w:p w14:paraId="13074A5E"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will review real project evaluations, seek feedback from community groups, practice using evolution tools, and see how teams manage change in</w:t>
                        </w:r>
                      </w:p>
                    </w:tc>
                  </w:tr>
                </w:tbl>
                <w:p w14:paraId="750596D2"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seek feedback from community groups, practice using evolution tools, and see how teams manage change in</w:t>
                  </w:r>
                </w:p>
              </w:tc>
            </w:tr>
          </w:tbl>
          <w:p w14:paraId="7F1872DD"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r>
      <w:tr w:rsidR="002A26FF" w:rsidRPr="002A26FF" w14:paraId="4817521F"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38ACE9C7"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14.3.2026</w:t>
            </w:r>
          </w:p>
        </w:tc>
        <w:tc>
          <w:tcPr>
            <w:tcW w:w="1853" w:type="dxa"/>
            <w:tcBorders>
              <w:top w:val="single" w:sz="4" w:space="0" w:color="auto"/>
              <w:left w:val="single" w:sz="4" w:space="0" w:color="auto"/>
              <w:bottom w:val="single" w:sz="4" w:space="0" w:color="auto"/>
              <w:right w:val="single" w:sz="4" w:space="0" w:color="auto"/>
            </w:tcBorders>
          </w:tcPr>
          <w:p w14:paraId="5C914644"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 xml:space="preserve">In the lesson I will learn about the conversations and lead to the stakeholder understanding the importance of accepting the engagement. </w:t>
            </w:r>
          </w:p>
        </w:tc>
        <w:tc>
          <w:tcPr>
            <w:tcW w:w="3917" w:type="dxa"/>
            <w:tcBorders>
              <w:top w:val="single" w:sz="4" w:space="0" w:color="auto"/>
              <w:left w:val="single" w:sz="4" w:space="0" w:color="auto"/>
              <w:bottom w:val="single" w:sz="4" w:space="0" w:color="auto"/>
              <w:right w:val="single" w:sz="4" w:space="0" w:color="auto"/>
            </w:tcBorders>
          </w:tcPr>
          <w:p w14:paraId="4C4189C6"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Verdana" w:hAnsi="Verdana" w:cs="Times New Roman"/>
                <w:kern w:val="0"/>
                <w:sz w:val="18"/>
                <w:szCs w:val="18"/>
                <w14:ligatures w14:val="none"/>
              </w:rPr>
              <w:t xml:space="preserve">I have learned that </w:t>
            </w:r>
            <w:r w:rsidRPr="002A26FF">
              <w:rPr>
                <w:rFonts w:ascii="Helvetica" w:hAnsi="Helvetica" w:cs="Times New Roman"/>
                <w:kern w:val="0"/>
                <w:sz w:val="18"/>
                <w:szCs w:val="18"/>
                <w14:ligatures w14:val="none"/>
              </w:rPr>
              <w:t>In the future, I can use reflection to improve both personally and</w:t>
            </w:r>
          </w:p>
          <w:p w14:paraId="094F606D"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 xml:space="preserve">professionally It will help me evaluate my work, understand how I respond to challenges and develop better strategies for communication, teamwork and problem-solving Making reflection a regular habit, it will allow me to lean more effectively from my experiences and continue building confidence in building relationships. </w:t>
            </w:r>
          </w:p>
          <w:p w14:paraId="4532F3DD"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c>
          <w:tcPr>
            <w:tcW w:w="3402" w:type="dxa"/>
            <w:tcBorders>
              <w:top w:val="single" w:sz="4" w:space="0" w:color="auto"/>
              <w:left w:val="single" w:sz="4" w:space="0" w:color="auto"/>
              <w:bottom w:val="single" w:sz="4" w:space="0" w:color="auto"/>
              <w:right w:val="single" w:sz="4" w:space="0" w:color="auto"/>
            </w:tcBorders>
          </w:tcPr>
          <w:p w14:paraId="4EC23CF3"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In the future, I can use reflection to improve both personally and</w:t>
            </w:r>
          </w:p>
          <w:p w14:paraId="0CA9240D"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Helvetica" w:eastAsia="Calibri" w:hAnsi="Helvetica" w:cs="Times New Roman"/>
                <w:kern w:val="0"/>
                <w:sz w:val="18"/>
                <w:szCs w:val="18"/>
                <w:lang w:eastAsia="en-US"/>
                <w14:ligatures w14:val="none"/>
              </w:rPr>
              <w:t>professionally It will help me evaluate my work, understand how I respond to challenges and develop better strategies for communication, teamwork and problem-solving Making reflection a regular habit, it will allow me to lean more effectively from my experiences and continue building confidence and</w:t>
            </w:r>
          </w:p>
        </w:tc>
        <w:tc>
          <w:tcPr>
            <w:tcW w:w="3686" w:type="dxa"/>
            <w:tcBorders>
              <w:top w:val="single" w:sz="4" w:space="0" w:color="auto"/>
              <w:left w:val="single" w:sz="4" w:space="0" w:color="auto"/>
              <w:bottom w:val="single" w:sz="4" w:space="0" w:color="auto"/>
              <w:right w:val="single" w:sz="4" w:space="0" w:color="auto"/>
            </w:tcBorders>
          </w:tcPr>
          <w:p w14:paraId="4FD8BE2B"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Verdana" w:hAnsi="Verdana" w:cs="Times New Roman"/>
                <w:kern w:val="0"/>
                <w:sz w:val="18"/>
                <w:szCs w:val="18"/>
                <w14:ligatures w14:val="none"/>
              </w:rPr>
              <w:t xml:space="preserve">In the future </w:t>
            </w:r>
            <w:r w:rsidRPr="002A26FF">
              <w:rPr>
                <w:rFonts w:ascii="Helvetica" w:hAnsi="Helvetica" w:cs="Times New Roman"/>
                <w:kern w:val="0"/>
                <w:sz w:val="18"/>
                <w:szCs w:val="18"/>
                <w14:ligatures w14:val="none"/>
              </w:rPr>
              <w:t>to further improve my skills I will use Kola’s leading cycle to direct my thinking, develop the attitudes needed for honest self-evaluation, and broaden my grasp of what reflection is unordered to strengthen my reflection abilities. I'll start journaling and reviewing my experiences every week to set up introspection as a</w:t>
            </w:r>
          </w:p>
          <w:p w14:paraId="49046158"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p>
        </w:tc>
      </w:tr>
      <w:tr w:rsidR="002A26FF" w:rsidRPr="002A26FF" w14:paraId="66D4779C" w14:textId="77777777" w:rsidTr="002E2094">
        <w:trPr>
          <w:trHeight w:val="481"/>
        </w:trPr>
        <w:tc>
          <w:tcPr>
            <w:tcW w:w="1205" w:type="dxa"/>
            <w:tcBorders>
              <w:top w:val="single" w:sz="4" w:space="0" w:color="auto"/>
              <w:left w:val="single" w:sz="4" w:space="0" w:color="auto"/>
              <w:bottom w:val="single" w:sz="4" w:space="0" w:color="auto"/>
              <w:right w:val="single" w:sz="4" w:space="0" w:color="auto"/>
            </w:tcBorders>
          </w:tcPr>
          <w:p w14:paraId="41B65158"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21.3.2026</w:t>
            </w:r>
          </w:p>
        </w:tc>
        <w:tc>
          <w:tcPr>
            <w:tcW w:w="1853" w:type="dxa"/>
            <w:tcBorders>
              <w:top w:val="single" w:sz="4" w:space="0" w:color="auto"/>
              <w:left w:val="single" w:sz="4" w:space="0" w:color="auto"/>
              <w:bottom w:val="single" w:sz="4" w:space="0" w:color="auto"/>
              <w:right w:val="single" w:sz="4" w:space="0" w:color="auto"/>
            </w:tcBorders>
          </w:tcPr>
          <w:p w14:paraId="0A5B6DE5"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In the lesson I have learned that the strengths of the community and stakeholders are both have parts which are importance to the company. They must be engaged.</w:t>
            </w:r>
          </w:p>
        </w:tc>
        <w:tc>
          <w:tcPr>
            <w:tcW w:w="3917" w:type="dxa"/>
            <w:tcBorders>
              <w:top w:val="single" w:sz="4" w:space="0" w:color="auto"/>
              <w:left w:val="single" w:sz="4" w:space="0" w:color="auto"/>
              <w:bottom w:val="single" w:sz="4" w:space="0" w:color="auto"/>
              <w:right w:val="single" w:sz="4" w:space="0" w:color="auto"/>
            </w:tcBorders>
          </w:tcPr>
          <w:p w14:paraId="7093A442"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Verdana" w:eastAsia="Calibri" w:hAnsi="Verdana" w:cs="Times New Roman"/>
                <w:kern w:val="0"/>
                <w:sz w:val="18"/>
                <w:szCs w:val="18"/>
                <w:lang w:eastAsia="en-US"/>
                <w14:ligatures w14:val="none"/>
              </w:rPr>
              <w:t>I have learned that</w:t>
            </w:r>
          </w:p>
          <w:p w14:paraId="6B116F69" w14:textId="77777777" w:rsidR="002A26FF" w:rsidRPr="002A26FF" w:rsidRDefault="002A26FF" w:rsidP="002A26FF">
            <w:pPr>
              <w:spacing w:after="0" w:line="240" w:lineRule="auto"/>
              <w:rPr>
                <w:rFonts w:ascii="Helvetica" w:hAnsi="Helvetica" w:cs="Times New Roman"/>
                <w:kern w:val="0"/>
                <w:sz w:val="18"/>
                <w14:ligatures w14:val="none"/>
              </w:rPr>
            </w:pPr>
          </w:p>
          <w:p w14:paraId="16EBFD84" w14:textId="77777777" w:rsidR="002A26FF" w:rsidRPr="002A26FF" w:rsidRDefault="002A26FF" w:rsidP="002A26FF">
            <w:pPr>
              <w:spacing w:after="0" w:line="240" w:lineRule="auto"/>
              <w:rPr>
                <w:rFonts w:ascii="Helvetica" w:hAnsi="Helvetica" w:cs="Times New Roman"/>
                <w:kern w:val="0"/>
                <w:sz w:val="18"/>
                <w:szCs w:val="18"/>
                <w14:ligatures w14:val="none"/>
              </w:rPr>
            </w:pPr>
          </w:p>
          <w:p w14:paraId="766979DB"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means to plan and design community engagement, why is it done, how the scope is defined and the range of activities that are carried out</w:t>
            </w:r>
          </w:p>
          <w:p w14:paraId="4774BCA5"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Helvetica" w:eastAsia="Calibri" w:hAnsi="Helvetica" w:cs="Times New Roman"/>
                <w:kern w:val="0"/>
                <w:sz w:val="18"/>
                <w:szCs w:val="18"/>
                <w:lang w:eastAsia="en-US"/>
                <w14:ligatures w14:val="none"/>
              </w:rPr>
              <w:t xml:space="preserve">Understanding the training and support that is required </w:t>
            </w:r>
            <w:proofErr w:type="spellStart"/>
            <w:r w:rsidRPr="002A26FF">
              <w:rPr>
                <w:rFonts w:ascii="Helvetica" w:eastAsia="Calibri" w:hAnsi="Helvetica" w:cs="Times New Roman"/>
                <w:kern w:val="0"/>
                <w:sz w:val="18"/>
                <w:szCs w:val="18"/>
                <w:lang w:eastAsia="en-US"/>
                <w14:ligatures w14:val="none"/>
              </w:rPr>
              <w:t>dunng</w:t>
            </w:r>
            <w:proofErr w:type="spellEnd"/>
            <w:r w:rsidRPr="002A26FF">
              <w:rPr>
                <w:rFonts w:ascii="Helvetica" w:eastAsia="Calibri" w:hAnsi="Helvetica" w:cs="Times New Roman"/>
                <w:kern w:val="0"/>
                <w:sz w:val="18"/>
                <w:szCs w:val="18"/>
                <w:lang w:eastAsia="en-US"/>
                <w14:ligatures w14:val="none"/>
              </w:rPr>
              <w:t xml:space="preserve"> the planning and designing</w:t>
            </w:r>
          </w:p>
        </w:tc>
        <w:tc>
          <w:tcPr>
            <w:tcW w:w="3402" w:type="dxa"/>
            <w:tcBorders>
              <w:top w:val="single" w:sz="4" w:space="0" w:color="auto"/>
              <w:left w:val="single" w:sz="4" w:space="0" w:color="auto"/>
              <w:bottom w:val="single" w:sz="4" w:space="0" w:color="auto"/>
              <w:right w:val="single" w:sz="4" w:space="0" w:color="auto"/>
            </w:tcBorders>
          </w:tcPr>
          <w:p w14:paraId="6475E9F8" w14:textId="77777777" w:rsidR="002A26FF" w:rsidRPr="002A26FF" w:rsidRDefault="002A26FF" w:rsidP="002A26FF">
            <w:pPr>
              <w:spacing w:after="0" w:line="240" w:lineRule="auto"/>
              <w:rPr>
                <w:rFonts w:ascii="Helvetica" w:hAnsi="Helvetica" w:cs="Times New Roman"/>
                <w:kern w:val="0"/>
                <w:sz w:val="18"/>
                <w14:ligatures w14:val="none"/>
              </w:rPr>
            </w:pPr>
          </w:p>
          <w:p w14:paraId="1A9DBBBE" w14:textId="77777777" w:rsidR="002A26FF" w:rsidRPr="002A26FF" w:rsidRDefault="002A26FF" w:rsidP="002A26FF">
            <w:pPr>
              <w:spacing w:after="0" w:line="240" w:lineRule="auto"/>
              <w:rPr>
                <w:rFonts w:ascii="Helvetica" w:hAnsi="Helvetica" w:cs="Times New Roman"/>
                <w:kern w:val="0"/>
                <w:sz w:val="18"/>
                <w:szCs w:val="18"/>
                <w14:ligatures w14:val="none"/>
              </w:rPr>
            </w:pPr>
          </w:p>
          <w:p w14:paraId="30382A09" w14:textId="77777777" w:rsidR="002A26FF" w:rsidRPr="002A26FF" w:rsidRDefault="002A26FF" w:rsidP="002A26FF">
            <w:pPr>
              <w:spacing w:after="0" w:line="240" w:lineRule="auto"/>
              <w:rPr>
                <w:rFonts w:ascii="Helvetica" w:hAnsi="Helvetica" w:cs="Times New Roman"/>
                <w:kern w:val="0"/>
                <w:sz w:val="18"/>
                <w:szCs w:val="18"/>
                <w14:ligatures w14:val="none"/>
              </w:rPr>
            </w:pPr>
          </w:p>
          <w:p w14:paraId="75B17614"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Helvetica" w:eastAsia="Calibri" w:hAnsi="Helvetica" w:cs="Times New Roman"/>
                <w:kern w:val="0"/>
                <w:sz w:val="18"/>
                <w:szCs w:val="18"/>
                <w:lang w:eastAsia="en-US"/>
                <w14:ligatures w14:val="none"/>
              </w:rPr>
              <w:t>In the future, these skills will help me approach community projects with confidence and structure I'll be able to plan more thoughtfully, communicate more clearly and involve people in ways which make them to feel valued Understanding how to define scope. choose the right activities and access the right support will make my work more organised and impactful Whether I'm working in community development, project management or any role which involves people, this knowledge will help me create projects that are meaningful, inclusive and well-</w:t>
            </w:r>
          </w:p>
        </w:tc>
        <w:tc>
          <w:tcPr>
            <w:tcW w:w="3686" w:type="dxa"/>
            <w:tcBorders>
              <w:top w:val="single" w:sz="4" w:space="0" w:color="auto"/>
              <w:left w:val="single" w:sz="4" w:space="0" w:color="auto"/>
              <w:bottom w:val="single" w:sz="4" w:space="0" w:color="auto"/>
              <w:right w:val="single" w:sz="4" w:space="0" w:color="auto"/>
            </w:tcBorders>
          </w:tcPr>
          <w:p w14:paraId="340BE32A" w14:textId="77777777" w:rsidR="002A26FF" w:rsidRPr="002A26FF" w:rsidRDefault="002A26FF" w:rsidP="002A26FF">
            <w:pPr>
              <w:spacing w:after="0" w:line="240" w:lineRule="auto"/>
              <w:rPr>
                <w:rFonts w:ascii="Helvetica" w:hAnsi="Helvetica" w:cs="Times New Roman"/>
                <w:kern w:val="0"/>
                <w:sz w:val="18"/>
                <w14:ligatures w14:val="none"/>
              </w:rPr>
            </w:pPr>
          </w:p>
          <w:p w14:paraId="47168C83" w14:textId="77777777" w:rsidR="002A26FF" w:rsidRPr="002A26FF" w:rsidRDefault="002A26FF" w:rsidP="002A26FF">
            <w:pPr>
              <w:spacing w:after="0" w:line="240" w:lineRule="auto"/>
              <w:rPr>
                <w:rFonts w:ascii="Helvetica" w:hAnsi="Helvetica" w:cs="Times New Roman"/>
                <w:kern w:val="0"/>
                <w:sz w:val="18"/>
                <w:szCs w:val="18"/>
                <w14:ligatures w14:val="none"/>
              </w:rPr>
            </w:pPr>
          </w:p>
          <w:p w14:paraId="471957A7" w14:textId="77777777" w:rsidR="002A26FF" w:rsidRPr="002A26FF" w:rsidRDefault="002A26FF" w:rsidP="002A26FF">
            <w:pPr>
              <w:spacing w:after="0" w:line="240" w:lineRule="auto"/>
              <w:rPr>
                <w:rFonts w:ascii="Helvetica" w:hAnsi="Helvetica" w:cs="Times New Roman"/>
                <w:kern w:val="0"/>
                <w:sz w:val="18"/>
                <w:szCs w:val="18"/>
                <w14:ligatures w14:val="none"/>
              </w:rPr>
            </w:pPr>
          </w:p>
          <w:p w14:paraId="3244883F" w14:textId="77777777" w:rsidR="002A26FF" w:rsidRPr="002A26FF" w:rsidRDefault="002A26FF" w:rsidP="002A26FF">
            <w:pPr>
              <w:spacing w:after="0" w:line="240" w:lineRule="auto"/>
              <w:rPr>
                <w:rFonts w:ascii="Helvetica" w:hAnsi="Helvetica" w:cs="Times New Roman"/>
                <w:kern w:val="0"/>
                <w:sz w:val="18"/>
                <w:szCs w:val="18"/>
                <w14:ligatures w14:val="none"/>
              </w:rPr>
            </w:pPr>
          </w:p>
          <w:p w14:paraId="0A2BA5EB" w14:textId="77777777" w:rsidR="002A26FF" w:rsidRPr="002A26FF" w:rsidRDefault="002A26FF" w:rsidP="002A26FF">
            <w:pPr>
              <w:spacing w:after="0" w:line="240" w:lineRule="auto"/>
              <w:rPr>
                <w:rFonts w:ascii="Helvetica" w:hAnsi="Helvetica" w:cs="Times New Roman"/>
                <w:kern w:val="0"/>
                <w:sz w:val="18"/>
                <w:szCs w:val="18"/>
                <w14:ligatures w14:val="none"/>
              </w:rPr>
            </w:pPr>
            <w:r w:rsidRPr="002A26FF">
              <w:rPr>
                <w:rFonts w:ascii="Helvetica" w:hAnsi="Helvetica" w:cs="Times New Roman"/>
                <w:kern w:val="0"/>
                <w:sz w:val="18"/>
                <w:szCs w:val="18"/>
                <w14:ligatures w14:val="none"/>
              </w:rPr>
              <w:t>To improve my skills in planning and designing community engagement, I will lean more about why engagement is earned out how the scope is defined and what activities are involved Tel practice creating small</w:t>
            </w:r>
          </w:p>
          <w:p w14:paraId="4788D15B" w14:textId="77777777" w:rsidR="002A26FF" w:rsidRPr="002A26FF" w:rsidRDefault="002A26FF" w:rsidP="002A26FF">
            <w:pPr>
              <w:spacing w:after="60" w:line="240" w:lineRule="auto"/>
              <w:rPr>
                <w:rFonts w:ascii="Verdana" w:eastAsia="Calibri" w:hAnsi="Verdana" w:cs="Times New Roman"/>
                <w:kern w:val="0"/>
                <w:sz w:val="18"/>
                <w:szCs w:val="18"/>
                <w:lang w:eastAsia="en-US"/>
                <w14:ligatures w14:val="none"/>
              </w:rPr>
            </w:pPr>
            <w:r w:rsidRPr="002A26FF">
              <w:rPr>
                <w:rFonts w:ascii="Helvetica" w:eastAsia="Calibri" w:hAnsi="Helvetica" w:cs="Times New Roman"/>
                <w:kern w:val="0"/>
                <w:sz w:val="18"/>
                <w:szCs w:val="18"/>
                <w:lang w:eastAsia="en-US"/>
                <w14:ligatures w14:val="none"/>
              </w:rPr>
              <w:t>engagement plans, work on my time- management and explore the types of training and support needed dung the planning phase. By taking part in real community activities and reflecting on my experiences, I can build confidence and</w:t>
            </w:r>
          </w:p>
        </w:tc>
      </w:tr>
    </w:tbl>
    <w:p w14:paraId="624AAB55" w14:textId="77777777" w:rsidR="002A26FF" w:rsidRDefault="002A26FF" w:rsidP="009F22B3">
      <w:pPr>
        <w:spacing w:before="100" w:beforeAutospacing="1" w:after="100" w:afterAutospacing="1" w:line="240" w:lineRule="auto"/>
        <w:rPr>
          <w:rFonts w:ascii="Times New Roman" w:hAnsi="Times New Roman" w:cs="Times New Roman"/>
          <w:kern w:val="0"/>
          <w14:ligatures w14:val="none"/>
        </w:rPr>
      </w:pPr>
    </w:p>
    <w:p w14:paraId="2606926F" w14:textId="77777777" w:rsidR="002A26FF" w:rsidRPr="009F22B3" w:rsidRDefault="002A26FF" w:rsidP="009F22B3">
      <w:pPr>
        <w:spacing w:before="100" w:beforeAutospacing="1" w:after="100" w:afterAutospacing="1" w:line="240" w:lineRule="auto"/>
        <w:rPr>
          <w:rFonts w:ascii="Times New Roman" w:hAnsi="Times New Roman" w:cs="Times New Roman"/>
          <w:kern w:val="0"/>
          <w14:ligatures w14:val="none"/>
        </w:rPr>
      </w:pPr>
    </w:p>
    <w:p w14:paraId="37658561" w14:textId="77777777" w:rsidR="00525D83" w:rsidRDefault="00525D83"/>
    <w:sectPr w:rsidR="00525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Futura BT">
    <w:altName w:val="Calibri"/>
    <w:panose1 w:val="020B0604020202020204"/>
    <w:charset w:val="00"/>
    <w:family w:val="swiss"/>
    <w:pitch w:val="default"/>
    <w:sig w:usb0="00000003" w:usb1="00000000" w:usb2="00000000" w:usb3="00000000" w:csb0="00000001"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83"/>
    <w:rsid w:val="000632B5"/>
    <w:rsid w:val="000778FB"/>
    <w:rsid w:val="002A26FF"/>
    <w:rsid w:val="004C3AB4"/>
    <w:rsid w:val="00525D83"/>
    <w:rsid w:val="00702C34"/>
    <w:rsid w:val="00763F1E"/>
    <w:rsid w:val="007D7FC7"/>
    <w:rsid w:val="007F3558"/>
    <w:rsid w:val="00875C5A"/>
    <w:rsid w:val="008F1838"/>
    <w:rsid w:val="00967071"/>
    <w:rsid w:val="009F22B3"/>
    <w:rsid w:val="00A84743"/>
    <w:rsid w:val="00C513B4"/>
    <w:rsid w:val="00D75712"/>
    <w:rsid w:val="00EF7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0AD577"/>
  <w15:chartTrackingRefBased/>
  <w15:docId w15:val="{0F507005-F875-5849-B354-C1FEFEB8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5D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5D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25D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D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D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D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D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D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D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5D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5D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D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D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D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D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D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D83"/>
    <w:rPr>
      <w:rFonts w:eastAsiaTheme="majorEastAsia" w:cstheme="majorBidi"/>
      <w:color w:val="272727" w:themeColor="text1" w:themeTint="D8"/>
    </w:rPr>
  </w:style>
  <w:style w:type="paragraph" w:styleId="Title">
    <w:name w:val="Title"/>
    <w:basedOn w:val="Normal"/>
    <w:next w:val="Normal"/>
    <w:link w:val="TitleChar"/>
    <w:uiPriority w:val="10"/>
    <w:qFormat/>
    <w:rsid w:val="00525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D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D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D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D83"/>
    <w:pPr>
      <w:spacing w:before="160"/>
      <w:jc w:val="center"/>
    </w:pPr>
    <w:rPr>
      <w:i/>
      <w:iCs/>
      <w:color w:val="404040" w:themeColor="text1" w:themeTint="BF"/>
    </w:rPr>
  </w:style>
  <w:style w:type="character" w:customStyle="1" w:styleId="QuoteChar">
    <w:name w:val="Quote Char"/>
    <w:basedOn w:val="DefaultParagraphFont"/>
    <w:link w:val="Quote"/>
    <w:uiPriority w:val="29"/>
    <w:rsid w:val="00525D83"/>
    <w:rPr>
      <w:i/>
      <w:iCs/>
      <w:color w:val="404040" w:themeColor="text1" w:themeTint="BF"/>
    </w:rPr>
  </w:style>
  <w:style w:type="paragraph" w:styleId="ListParagraph">
    <w:name w:val="List Paragraph"/>
    <w:basedOn w:val="Normal"/>
    <w:uiPriority w:val="34"/>
    <w:qFormat/>
    <w:rsid w:val="00525D83"/>
    <w:pPr>
      <w:ind w:left="720"/>
      <w:contextualSpacing/>
    </w:pPr>
  </w:style>
  <w:style w:type="character" w:styleId="IntenseEmphasis">
    <w:name w:val="Intense Emphasis"/>
    <w:basedOn w:val="DefaultParagraphFont"/>
    <w:uiPriority w:val="21"/>
    <w:qFormat/>
    <w:rsid w:val="00525D83"/>
    <w:rPr>
      <w:i/>
      <w:iCs/>
      <w:color w:val="0F4761" w:themeColor="accent1" w:themeShade="BF"/>
    </w:rPr>
  </w:style>
  <w:style w:type="paragraph" w:styleId="IntenseQuote">
    <w:name w:val="Intense Quote"/>
    <w:basedOn w:val="Normal"/>
    <w:next w:val="Normal"/>
    <w:link w:val="IntenseQuoteChar"/>
    <w:uiPriority w:val="30"/>
    <w:qFormat/>
    <w:rsid w:val="00525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D83"/>
    <w:rPr>
      <w:i/>
      <w:iCs/>
      <w:color w:val="0F4761" w:themeColor="accent1" w:themeShade="BF"/>
    </w:rPr>
  </w:style>
  <w:style w:type="character" w:styleId="IntenseReference">
    <w:name w:val="Intense Reference"/>
    <w:basedOn w:val="DefaultParagraphFont"/>
    <w:uiPriority w:val="32"/>
    <w:qFormat/>
    <w:rsid w:val="00525D83"/>
    <w:rPr>
      <w:b/>
      <w:bCs/>
      <w:smallCaps/>
      <w:color w:val="0F4761" w:themeColor="accent1" w:themeShade="BF"/>
      <w:spacing w:val="5"/>
    </w:rPr>
  </w:style>
  <w:style w:type="paragraph" w:customStyle="1" w:styleId="p1">
    <w:name w:val="p1"/>
    <w:basedOn w:val="Normal"/>
    <w:rsid w:val="00525D83"/>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525D83"/>
    <w:pPr>
      <w:spacing w:after="0" w:line="240" w:lineRule="auto"/>
    </w:pPr>
    <w:rPr>
      <w:rFonts w:ascii=".AppleSystemUIFont" w:hAnsi=".AppleSystemUIFont" w:cs="Times New Roman"/>
      <w:kern w:val="0"/>
      <w:sz w:val="26"/>
      <w:szCs w:val="26"/>
      <w14:ligatures w14:val="none"/>
    </w:rPr>
  </w:style>
  <w:style w:type="paragraph" w:customStyle="1" w:styleId="p3">
    <w:name w:val="p3"/>
    <w:basedOn w:val="Normal"/>
    <w:rsid w:val="00525D83"/>
    <w:pPr>
      <w:spacing w:after="0" w:line="240" w:lineRule="auto"/>
      <w:ind w:left="540"/>
    </w:pPr>
    <w:rPr>
      <w:rFonts w:ascii=".AppleSystemUIFont" w:hAnsi=".AppleSystemUIFont" w:cs="Times New Roman"/>
      <w:kern w:val="0"/>
      <w:sz w:val="26"/>
      <w:szCs w:val="26"/>
      <w14:ligatures w14:val="none"/>
    </w:rPr>
  </w:style>
  <w:style w:type="paragraph" w:customStyle="1" w:styleId="p4">
    <w:name w:val="p4"/>
    <w:basedOn w:val="Normal"/>
    <w:rsid w:val="00525D83"/>
    <w:pPr>
      <w:spacing w:after="0" w:line="240" w:lineRule="auto"/>
      <w:ind w:left="540"/>
    </w:pPr>
    <w:rPr>
      <w:rFonts w:ascii=".AppleSystemUIFont" w:hAnsi=".AppleSystemUIFont" w:cs="Times New Roman"/>
      <w:kern w:val="0"/>
      <w:sz w:val="26"/>
      <w:szCs w:val="26"/>
      <w14:ligatures w14:val="none"/>
    </w:rPr>
  </w:style>
  <w:style w:type="character" w:customStyle="1" w:styleId="s1">
    <w:name w:val="s1"/>
    <w:basedOn w:val="DefaultParagraphFont"/>
    <w:rsid w:val="00525D83"/>
    <w:rPr>
      <w:rFonts w:ascii="UICTFontTextStyleBody" w:hAnsi="UICTFontTextStyleBody" w:hint="default"/>
      <w:b w:val="0"/>
      <w:bCs w:val="0"/>
      <w:i w:val="0"/>
      <w:iCs w:val="0"/>
      <w:sz w:val="26"/>
      <w:szCs w:val="26"/>
    </w:rPr>
  </w:style>
  <w:style w:type="character" w:customStyle="1" w:styleId="s2">
    <w:name w:val="s2"/>
    <w:basedOn w:val="DefaultParagraphFont"/>
    <w:rsid w:val="00525D83"/>
    <w:rPr>
      <w:rFonts w:ascii="UICTFontTextStyleEmphasizedBody" w:hAnsi="UICTFontTextStyleEmphasizedBody" w:hint="default"/>
      <w:b/>
      <w:bCs/>
      <w:i w:val="0"/>
      <w:iCs w:val="0"/>
      <w:sz w:val="26"/>
      <w:szCs w:val="26"/>
    </w:rPr>
  </w:style>
  <w:style w:type="character" w:customStyle="1" w:styleId="apple-tab-span">
    <w:name w:val="apple-tab-span"/>
    <w:basedOn w:val="DefaultParagraphFont"/>
    <w:rsid w:val="00525D83"/>
  </w:style>
  <w:style w:type="character" w:customStyle="1" w:styleId="apple-converted-space">
    <w:name w:val="apple-converted-space"/>
    <w:basedOn w:val="DefaultParagraphFont"/>
    <w:rsid w:val="00EF7FF7"/>
  </w:style>
  <w:style w:type="character" w:customStyle="1" w:styleId="s3">
    <w:name w:val="s3"/>
    <w:basedOn w:val="DefaultParagraphFont"/>
    <w:rsid w:val="009F22B3"/>
  </w:style>
  <w:style w:type="character" w:customStyle="1" w:styleId="A1">
    <w:name w:val="A1"/>
    <w:uiPriority w:val="99"/>
    <w:rsid w:val="002A26FF"/>
    <w:rPr>
      <w:rFonts w:cs="Futura BT"/>
      <w:color w:val="000000"/>
      <w:sz w:val="22"/>
      <w:szCs w:val="22"/>
    </w:rPr>
  </w:style>
  <w:style w:type="paragraph" w:customStyle="1" w:styleId="Pa1">
    <w:name w:val="Pa1"/>
    <w:basedOn w:val="Normal"/>
    <w:next w:val="Normal"/>
    <w:uiPriority w:val="99"/>
    <w:rsid w:val="002A26FF"/>
    <w:pPr>
      <w:autoSpaceDE w:val="0"/>
      <w:autoSpaceDN w:val="0"/>
      <w:adjustRightInd w:val="0"/>
      <w:spacing w:after="0" w:line="241" w:lineRule="atLeast"/>
    </w:pPr>
    <w:rPr>
      <w:rFonts w:ascii="Futura BT" w:eastAsia="Calibri" w:hAnsi="Futura BT"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3659</Words>
  <Characters>20858</Characters>
  <Application>Microsoft Office Word</Application>
  <DocSecurity>0</DocSecurity>
  <Lines>173</Lines>
  <Paragraphs>48</Paragraphs>
  <ScaleCrop>false</ScaleCrop>
  <Company/>
  <LinksUpToDate>false</LinksUpToDate>
  <CharactersWithSpaces>24469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Sukhwinder Kaur (2328205)</dc:creator>
  <cp:keywords/>
  <dc:description/>
  <cp:lastModifiedBy>Sukhwinder Kaur (2328205)</cp:lastModifiedBy>
  <cp:revision>2</cp:revision>
  <dcterms:created xsi:type="dcterms:W3CDTF">2026-03-28T21:39:00Z</dcterms:created>
  <dcterms:modified xsi:type="dcterms:W3CDTF">2026-03-28T21:39:00Z</dcterms:modified>
</cp:coreProperties>
</file>