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11602" w:rsidRPr="002C4FB8" w:rsidRDefault="00A2639D" w:rsidP="002C4FB8">
      <w:pPr>
        <w:spacing w:line="360" w:lineRule="auto"/>
        <w:rPr>
          <w:rFonts w:cstheme="minorHAnsi"/>
          <w:sz w:val="24"/>
          <w:szCs w:val="24"/>
          <w:u w:val="single"/>
        </w:rPr>
      </w:pPr>
      <w:r w:rsidRPr="002C4FB8">
        <w:rPr>
          <w:rFonts w:cstheme="minorHAnsi"/>
          <w:sz w:val="24"/>
          <w:szCs w:val="24"/>
          <w:u w:val="single"/>
        </w:rPr>
        <w:t>Herodotus 5.51 gobbet</w:t>
      </w:r>
    </w:p>
    <w:p w:rsidR="00A2639D" w:rsidRPr="002C4FB8" w:rsidRDefault="00A2639D" w:rsidP="002C4FB8">
      <w:pPr>
        <w:spacing w:line="360" w:lineRule="auto"/>
        <w:rPr>
          <w:rFonts w:cstheme="minorHAnsi"/>
          <w:sz w:val="24"/>
          <w:szCs w:val="24"/>
        </w:rPr>
      </w:pPr>
    </w:p>
    <w:p w:rsidR="009E5A6E" w:rsidRPr="002C4FB8" w:rsidRDefault="009E5A6E" w:rsidP="002C4FB8">
      <w:pPr>
        <w:spacing w:line="360" w:lineRule="auto"/>
        <w:rPr>
          <w:rFonts w:cstheme="minorHAnsi"/>
          <w:sz w:val="24"/>
          <w:szCs w:val="24"/>
        </w:rPr>
      </w:pPr>
      <w:r w:rsidRPr="002C4FB8">
        <w:rPr>
          <w:rFonts w:cstheme="minorHAnsi"/>
          <w:sz w:val="24"/>
          <w:szCs w:val="24"/>
        </w:rPr>
        <w:t>Aristagoras’ appeal in book 5 is part of Herodotus’ section on the weakening Greeks</w:t>
      </w:r>
      <w:r w:rsidR="00665996" w:rsidRPr="002C4FB8">
        <w:rPr>
          <w:rFonts w:cstheme="minorHAnsi"/>
          <w:sz w:val="24"/>
          <w:szCs w:val="24"/>
        </w:rPr>
        <w:t xml:space="preserve"> before Xerxes’ invasion</w:t>
      </w:r>
      <w:r w:rsidRPr="002C4FB8">
        <w:rPr>
          <w:rFonts w:cstheme="minorHAnsi"/>
          <w:sz w:val="24"/>
          <w:szCs w:val="24"/>
        </w:rPr>
        <w:t>.</w:t>
      </w:r>
      <w:r w:rsidRPr="002C4FB8">
        <w:rPr>
          <w:rStyle w:val="FootnoteReference"/>
          <w:rFonts w:cstheme="minorHAnsi"/>
          <w:sz w:val="24"/>
          <w:szCs w:val="24"/>
        </w:rPr>
        <w:footnoteReference w:id="1"/>
      </w:r>
      <w:r w:rsidRPr="002C4FB8">
        <w:rPr>
          <w:rFonts w:cstheme="minorHAnsi"/>
          <w:sz w:val="24"/>
          <w:szCs w:val="24"/>
        </w:rPr>
        <w:t xml:space="preserve"> </w:t>
      </w:r>
      <w:r w:rsidR="00A04CFA" w:rsidRPr="002C4FB8">
        <w:rPr>
          <w:rFonts w:cstheme="minorHAnsi"/>
          <w:sz w:val="24"/>
          <w:szCs w:val="24"/>
        </w:rPr>
        <w:t xml:space="preserve">This </w:t>
      </w:r>
      <w:r w:rsidR="00813676" w:rsidRPr="002C4FB8">
        <w:rPr>
          <w:rFonts w:cstheme="minorHAnsi"/>
          <w:sz w:val="24"/>
          <w:szCs w:val="24"/>
        </w:rPr>
        <w:t>significant</w:t>
      </w:r>
      <w:r w:rsidR="00A04CFA" w:rsidRPr="002C4FB8">
        <w:rPr>
          <w:rFonts w:cstheme="minorHAnsi"/>
          <w:sz w:val="24"/>
          <w:szCs w:val="24"/>
        </w:rPr>
        <w:t xml:space="preserve"> passage discusses </w:t>
      </w:r>
      <w:proofErr w:type="spellStart"/>
      <w:r w:rsidR="00A04CFA" w:rsidRPr="002C4FB8">
        <w:rPr>
          <w:rFonts w:cstheme="minorHAnsi"/>
          <w:sz w:val="24"/>
          <w:szCs w:val="24"/>
        </w:rPr>
        <w:t>Gorgo’s</w:t>
      </w:r>
      <w:proofErr w:type="spellEnd"/>
      <w:r w:rsidR="00A04CFA" w:rsidRPr="002C4FB8">
        <w:rPr>
          <w:rFonts w:cstheme="minorHAnsi"/>
          <w:sz w:val="24"/>
          <w:szCs w:val="24"/>
        </w:rPr>
        <w:t xml:space="preserve"> wit, and Sparta refusing to aid in an Ionian revolt, while Herodotus reveals some views on Sparta, and positive attitudes towards Persia.</w:t>
      </w:r>
      <w:r w:rsidR="00A04CFA" w:rsidRPr="002C4FB8">
        <w:rPr>
          <w:rStyle w:val="FootnoteReference"/>
          <w:rFonts w:cstheme="minorHAnsi"/>
          <w:sz w:val="24"/>
          <w:szCs w:val="24"/>
        </w:rPr>
        <w:footnoteReference w:id="2"/>
      </w:r>
      <w:r w:rsidR="00A04CFA" w:rsidRPr="002C4FB8">
        <w:rPr>
          <w:rFonts w:cstheme="minorHAnsi"/>
          <w:sz w:val="24"/>
          <w:szCs w:val="24"/>
        </w:rPr>
        <w:t xml:space="preserve"> </w:t>
      </w:r>
      <w:r w:rsidR="00445CEA" w:rsidRPr="002C4FB8">
        <w:rPr>
          <w:rFonts w:cstheme="minorHAnsi"/>
          <w:sz w:val="24"/>
          <w:szCs w:val="24"/>
        </w:rPr>
        <w:t xml:space="preserve">This piece discusses the context of </w:t>
      </w:r>
      <w:r w:rsidR="00531864">
        <w:rPr>
          <w:rFonts w:cstheme="minorHAnsi"/>
          <w:sz w:val="24"/>
          <w:szCs w:val="24"/>
        </w:rPr>
        <w:t>Herodotus’</w:t>
      </w:r>
      <w:r w:rsidR="00445CEA" w:rsidRPr="002C4FB8">
        <w:rPr>
          <w:rFonts w:cstheme="minorHAnsi"/>
          <w:sz w:val="24"/>
          <w:szCs w:val="24"/>
        </w:rPr>
        <w:t xml:space="preserve"> passage, </w:t>
      </w:r>
      <w:r w:rsidR="00531864">
        <w:rPr>
          <w:rFonts w:cstheme="minorHAnsi"/>
          <w:sz w:val="24"/>
          <w:szCs w:val="24"/>
        </w:rPr>
        <w:t>his</w:t>
      </w:r>
      <w:r w:rsidR="00A04CFA" w:rsidRPr="002C4FB8">
        <w:rPr>
          <w:rFonts w:cstheme="minorHAnsi"/>
          <w:sz w:val="24"/>
          <w:szCs w:val="24"/>
        </w:rPr>
        <w:t xml:space="preserve"> biases in the character portrayals, and influences to the Spartan mirage with Plutarch.</w:t>
      </w:r>
      <w:r w:rsidR="00813676" w:rsidRPr="002C4FB8">
        <w:rPr>
          <w:rStyle w:val="FootnoteReference"/>
          <w:rFonts w:cstheme="minorHAnsi"/>
          <w:sz w:val="24"/>
          <w:szCs w:val="24"/>
        </w:rPr>
        <w:footnoteReference w:id="3"/>
      </w:r>
    </w:p>
    <w:p w:rsidR="00107AE4" w:rsidRPr="002C4FB8" w:rsidRDefault="00574B39" w:rsidP="002C4FB8">
      <w:pPr>
        <w:spacing w:line="360" w:lineRule="auto"/>
        <w:rPr>
          <w:rFonts w:cstheme="minorHAnsi"/>
          <w:sz w:val="24"/>
          <w:szCs w:val="24"/>
        </w:rPr>
      </w:pPr>
      <w:r w:rsidRPr="002C4FB8">
        <w:rPr>
          <w:rFonts w:cstheme="minorHAnsi"/>
          <w:sz w:val="24"/>
          <w:szCs w:val="24"/>
        </w:rPr>
        <w:t>The date of Herodotus’ publication is debate</w:t>
      </w:r>
      <w:r w:rsidR="009E5A6E" w:rsidRPr="002C4FB8">
        <w:rPr>
          <w:rFonts w:cstheme="minorHAnsi"/>
          <w:sz w:val="24"/>
          <w:szCs w:val="24"/>
        </w:rPr>
        <w:t xml:space="preserve">d, some </w:t>
      </w:r>
      <w:r w:rsidR="00432135" w:rsidRPr="002C4FB8">
        <w:rPr>
          <w:rFonts w:cstheme="minorHAnsi"/>
          <w:sz w:val="24"/>
          <w:szCs w:val="24"/>
        </w:rPr>
        <w:t>dates varying between 427BCE and 414BCE</w:t>
      </w:r>
      <w:r w:rsidRPr="002C4FB8">
        <w:rPr>
          <w:rFonts w:cstheme="minorHAnsi"/>
          <w:sz w:val="24"/>
          <w:szCs w:val="24"/>
        </w:rPr>
        <w:t>, but is generally accepted to be during the Peloponnesian War.</w:t>
      </w:r>
      <w:r w:rsidRPr="002C4FB8">
        <w:rPr>
          <w:rStyle w:val="FootnoteReference"/>
          <w:rFonts w:cstheme="minorHAnsi"/>
          <w:sz w:val="24"/>
          <w:szCs w:val="24"/>
        </w:rPr>
        <w:footnoteReference w:id="4"/>
      </w:r>
      <w:r w:rsidRPr="002C4FB8">
        <w:rPr>
          <w:rFonts w:cstheme="minorHAnsi"/>
          <w:sz w:val="24"/>
          <w:szCs w:val="24"/>
        </w:rPr>
        <w:t xml:space="preserve"> Herodotus wrote it to preserve stories of the Greeks and Persians in prose, using </w:t>
      </w:r>
      <w:r w:rsidR="00EC7F4C" w:rsidRPr="002C4FB8">
        <w:rPr>
          <w:rFonts w:cstheme="minorHAnsi"/>
          <w:sz w:val="24"/>
          <w:szCs w:val="24"/>
        </w:rPr>
        <w:t>diverse sources to conclude what he believed accurate.</w:t>
      </w:r>
      <w:r w:rsidR="00EC7F4C" w:rsidRPr="002C4FB8">
        <w:rPr>
          <w:rStyle w:val="FootnoteReference"/>
          <w:rFonts w:cstheme="minorHAnsi"/>
          <w:sz w:val="24"/>
          <w:szCs w:val="24"/>
        </w:rPr>
        <w:footnoteReference w:id="5"/>
      </w:r>
      <w:r w:rsidR="00EC7F4C" w:rsidRPr="002C4FB8">
        <w:rPr>
          <w:rFonts w:cstheme="minorHAnsi"/>
          <w:sz w:val="24"/>
          <w:szCs w:val="24"/>
        </w:rPr>
        <w:t xml:space="preserve"> Unlike </w:t>
      </w:r>
      <w:proofErr w:type="spellStart"/>
      <w:r w:rsidR="00EC7F4C" w:rsidRPr="002C4FB8">
        <w:rPr>
          <w:rFonts w:cstheme="minorHAnsi"/>
          <w:sz w:val="24"/>
          <w:szCs w:val="24"/>
        </w:rPr>
        <w:t>Hecataeus</w:t>
      </w:r>
      <w:proofErr w:type="spellEnd"/>
      <w:r w:rsidR="00EC7F4C" w:rsidRPr="002C4FB8">
        <w:rPr>
          <w:rFonts w:cstheme="minorHAnsi"/>
          <w:sz w:val="24"/>
          <w:szCs w:val="24"/>
        </w:rPr>
        <w:t xml:space="preserve">, Herodotus writes about both Greeks and Persians, </w:t>
      </w:r>
      <w:r w:rsidR="001B6E60" w:rsidRPr="002C4FB8">
        <w:rPr>
          <w:rFonts w:cstheme="minorHAnsi"/>
          <w:sz w:val="24"/>
          <w:szCs w:val="24"/>
        </w:rPr>
        <w:t xml:space="preserve">meaning that </w:t>
      </w:r>
      <w:r w:rsidR="00432135" w:rsidRPr="002C4FB8">
        <w:rPr>
          <w:rFonts w:cstheme="minorHAnsi"/>
          <w:i/>
          <w:sz w:val="24"/>
          <w:szCs w:val="24"/>
        </w:rPr>
        <w:t>The H</w:t>
      </w:r>
      <w:r w:rsidR="001B6E60" w:rsidRPr="002C4FB8">
        <w:rPr>
          <w:rFonts w:cstheme="minorHAnsi"/>
          <w:i/>
          <w:sz w:val="24"/>
          <w:szCs w:val="24"/>
        </w:rPr>
        <w:t>istories</w:t>
      </w:r>
      <w:r w:rsidR="00531864">
        <w:rPr>
          <w:rFonts w:cstheme="minorHAnsi"/>
          <w:i/>
          <w:sz w:val="24"/>
          <w:szCs w:val="24"/>
        </w:rPr>
        <w:t>’</w:t>
      </w:r>
      <w:r w:rsidR="001B6E60" w:rsidRPr="002C4FB8">
        <w:rPr>
          <w:rFonts w:cstheme="minorHAnsi"/>
          <w:i/>
          <w:sz w:val="24"/>
          <w:szCs w:val="24"/>
        </w:rPr>
        <w:t xml:space="preserve"> </w:t>
      </w:r>
      <w:r w:rsidR="00432135" w:rsidRPr="002C4FB8">
        <w:rPr>
          <w:rFonts w:cstheme="minorHAnsi"/>
          <w:sz w:val="24"/>
          <w:szCs w:val="24"/>
        </w:rPr>
        <w:t>audience was both Greek and Persian</w:t>
      </w:r>
      <w:r w:rsidR="00D22AC0" w:rsidRPr="002C4FB8">
        <w:rPr>
          <w:rFonts w:cstheme="minorHAnsi"/>
          <w:sz w:val="24"/>
          <w:szCs w:val="24"/>
        </w:rPr>
        <w:t>.</w:t>
      </w:r>
      <w:r w:rsidR="00D22AC0" w:rsidRPr="002C4FB8">
        <w:rPr>
          <w:rStyle w:val="FootnoteReference"/>
          <w:rFonts w:cstheme="minorHAnsi"/>
          <w:sz w:val="24"/>
          <w:szCs w:val="24"/>
        </w:rPr>
        <w:footnoteReference w:id="6"/>
      </w:r>
      <w:r w:rsidR="00D22AC0" w:rsidRPr="002C4FB8">
        <w:rPr>
          <w:rFonts w:cstheme="minorHAnsi"/>
          <w:sz w:val="24"/>
          <w:szCs w:val="24"/>
        </w:rPr>
        <w:t xml:space="preserve"> Due to this passage </w:t>
      </w:r>
      <w:r w:rsidR="00A143C1" w:rsidRPr="002C4FB8">
        <w:rPr>
          <w:rFonts w:cstheme="minorHAnsi"/>
          <w:sz w:val="24"/>
          <w:szCs w:val="24"/>
        </w:rPr>
        <w:t>t</w:t>
      </w:r>
      <w:r w:rsidR="00531864">
        <w:rPr>
          <w:rFonts w:cstheme="minorHAnsi"/>
          <w:sz w:val="24"/>
          <w:szCs w:val="24"/>
        </w:rPr>
        <w:t xml:space="preserve">alking about Sparta however, </w:t>
      </w:r>
      <w:r w:rsidR="00D22AC0" w:rsidRPr="002C4FB8">
        <w:rPr>
          <w:rFonts w:cstheme="minorHAnsi"/>
          <w:sz w:val="24"/>
          <w:szCs w:val="24"/>
        </w:rPr>
        <w:t>Herodotus</w:t>
      </w:r>
      <w:r w:rsidR="00531864">
        <w:rPr>
          <w:rFonts w:cstheme="minorHAnsi"/>
          <w:sz w:val="24"/>
          <w:szCs w:val="24"/>
        </w:rPr>
        <w:t>’</w:t>
      </w:r>
      <w:r w:rsidR="00D22AC0" w:rsidRPr="002C4FB8">
        <w:rPr>
          <w:rFonts w:cstheme="minorHAnsi"/>
          <w:sz w:val="24"/>
          <w:szCs w:val="24"/>
        </w:rPr>
        <w:t xml:space="preserve"> residing in—and </w:t>
      </w:r>
      <w:r w:rsidR="00432135" w:rsidRPr="002C4FB8">
        <w:rPr>
          <w:rFonts w:cstheme="minorHAnsi"/>
          <w:sz w:val="24"/>
          <w:szCs w:val="24"/>
        </w:rPr>
        <w:t xml:space="preserve">allegedly </w:t>
      </w:r>
      <w:r w:rsidR="00D22AC0" w:rsidRPr="002C4FB8">
        <w:rPr>
          <w:rFonts w:cstheme="minorHAnsi"/>
          <w:sz w:val="24"/>
          <w:szCs w:val="24"/>
        </w:rPr>
        <w:t xml:space="preserve">favouring—Athens, </w:t>
      </w:r>
      <w:r w:rsidR="00531864">
        <w:rPr>
          <w:rFonts w:cstheme="minorHAnsi"/>
          <w:sz w:val="24"/>
          <w:szCs w:val="24"/>
        </w:rPr>
        <w:t>may have affected the credibility of his perspective</w:t>
      </w:r>
      <w:r w:rsidR="00D22AC0" w:rsidRPr="002C4FB8">
        <w:rPr>
          <w:rFonts w:cstheme="minorHAnsi"/>
          <w:sz w:val="24"/>
          <w:szCs w:val="24"/>
        </w:rPr>
        <w:t>.</w:t>
      </w:r>
      <w:r w:rsidR="00D22AC0" w:rsidRPr="002C4FB8">
        <w:rPr>
          <w:rStyle w:val="FootnoteReference"/>
          <w:rFonts w:cstheme="minorHAnsi"/>
          <w:sz w:val="24"/>
          <w:szCs w:val="24"/>
        </w:rPr>
        <w:footnoteReference w:id="7"/>
      </w:r>
      <w:r w:rsidR="00E2582D" w:rsidRPr="002C4FB8">
        <w:rPr>
          <w:rFonts w:cstheme="minorHAnsi"/>
          <w:sz w:val="24"/>
          <w:szCs w:val="24"/>
        </w:rPr>
        <w:t xml:space="preserve"> </w:t>
      </w:r>
      <w:r w:rsidR="00531864" w:rsidRPr="002C4FB8">
        <w:rPr>
          <w:rFonts w:cstheme="minorHAnsi"/>
          <w:sz w:val="24"/>
          <w:szCs w:val="24"/>
        </w:rPr>
        <w:t>While Herodotus’ Spartan disapproval may derive from his popularly perceived pro-Athenian stance, this is strongly discredited by Wells.</w:t>
      </w:r>
      <w:r w:rsidR="00531864" w:rsidRPr="002C4FB8">
        <w:rPr>
          <w:rStyle w:val="FootnoteReference"/>
          <w:rFonts w:cstheme="minorHAnsi"/>
          <w:sz w:val="24"/>
          <w:szCs w:val="24"/>
        </w:rPr>
        <w:footnoteReference w:id="8"/>
      </w:r>
      <w:r w:rsidR="00531864" w:rsidRPr="002C4FB8">
        <w:rPr>
          <w:rFonts w:cstheme="minorHAnsi"/>
          <w:sz w:val="24"/>
          <w:szCs w:val="24"/>
        </w:rPr>
        <w:t xml:space="preserve"> </w:t>
      </w:r>
      <w:r w:rsidR="00531864">
        <w:rPr>
          <w:rFonts w:cstheme="minorHAnsi"/>
          <w:sz w:val="24"/>
          <w:szCs w:val="24"/>
        </w:rPr>
        <w:t xml:space="preserve">Also, </w:t>
      </w:r>
      <w:r w:rsidR="00E2582D" w:rsidRPr="002C4FB8">
        <w:rPr>
          <w:rFonts w:cstheme="minorHAnsi"/>
          <w:sz w:val="24"/>
          <w:szCs w:val="24"/>
        </w:rPr>
        <w:t xml:space="preserve">Herodotus did visit Sparta, </w:t>
      </w:r>
      <w:r w:rsidR="009E5A6E" w:rsidRPr="002C4FB8">
        <w:rPr>
          <w:rFonts w:cstheme="minorHAnsi"/>
          <w:sz w:val="24"/>
          <w:szCs w:val="24"/>
        </w:rPr>
        <w:t>so</w:t>
      </w:r>
      <w:r w:rsidR="00E2582D" w:rsidRPr="002C4FB8">
        <w:rPr>
          <w:rFonts w:cstheme="minorHAnsi"/>
          <w:sz w:val="24"/>
          <w:szCs w:val="24"/>
        </w:rPr>
        <w:t xml:space="preserve"> information </w:t>
      </w:r>
      <w:r w:rsidR="009E5A6E" w:rsidRPr="002C4FB8">
        <w:rPr>
          <w:rFonts w:cstheme="minorHAnsi"/>
          <w:sz w:val="24"/>
          <w:szCs w:val="24"/>
        </w:rPr>
        <w:t>for this passage may be fro</w:t>
      </w:r>
      <w:r w:rsidR="00E2582D" w:rsidRPr="002C4FB8">
        <w:rPr>
          <w:rFonts w:cstheme="minorHAnsi"/>
          <w:sz w:val="24"/>
          <w:szCs w:val="24"/>
        </w:rPr>
        <w:t>m Sparta</w:t>
      </w:r>
      <w:r w:rsidR="009E5A6E" w:rsidRPr="002C4FB8">
        <w:rPr>
          <w:rFonts w:cstheme="minorHAnsi"/>
          <w:sz w:val="24"/>
          <w:szCs w:val="24"/>
        </w:rPr>
        <w:t>n sources</w:t>
      </w:r>
      <w:r w:rsidR="00E2582D" w:rsidRPr="002C4FB8">
        <w:rPr>
          <w:rFonts w:cstheme="minorHAnsi"/>
          <w:sz w:val="24"/>
          <w:szCs w:val="24"/>
        </w:rPr>
        <w:t>.</w:t>
      </w:r>
      <w:r w:rsidR="00E2582D" w:rsidRPr="002C4FB8">
        <w:rPr>
          <w:rStyle w:val="FootnoteReference"/>
          <w:rFonts w:cstheme="minorHAnsi"/>
          <w:sz w:val="24"/>
          <w:szCs w:val="24"/>
        </w:rPr>
        <w:footnoteReference w:id="9"/>
      </w:r>
    </w:p>
    <w:p w:rsidR="00A0778D" w:rsidRPr="002C4FB8" w:rsidRDefault="00107AE4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2C4FB8">
        <w:rPr>
          <w:rFonts w:cstheme="minorHAnsi"/>
          <w:sz w:val="24"/>
          <w:szCs w:val="24"/>
        </w:rPr>
        <w:t xml:space="preserve">Waters argues that </w:t>
      </w:r>
      <w:proofErr w:type="spellStart"/>
      <w:r w:rsidRPr="002C4FB8">
        <w:rPr>
          <w:rFonts w:cstheme="minorHAnsi"/>
          <w:sz w:val="24"/>
          <w:szCs w:val="24"/>
        </w:rPr>
        <w:t>Gorgo’s</w:t>
      </w:r>
      <w:proofErr w:type="spellEnd"/>
      <w:r w:rsidRPr="002C4FB8">
        <w:rPr>
          <w:rFonts w:cstheme="minorHAnsi"/>
          <w:sz w:val="24"/>
          <w:szCs w:val="24"/>
        </w:rPr>
        <w:t xml:space="preserve"> intelligence in Herodotus</w:t>
      </w:r>
      <w:r w:rsidR="00B054BA" w:rsidRPr="002C4FB8">
        <w:rPr>
          <w:rFonts w:cstheme="minorHAnsi"/>
          <w:sz w:val="24"/>
          <w:szCs w:val="24"/>
        </w:rPr>
        <w:t xml:space="preserve"> </w:t>
      </w:r>
      <w:r w:rsidRPr="002C4FB8">
        <w:rPr>
          <w:rFonts w:cstheme="minorHAnsi"/>
          <w:sz w:val="24"/>
          <w:szCs w:val="24"/>
        </w:rPr>
        <w:t>could be</w:t>
      </w:r>
      <w:r w:rsidR="00A143C1" w:rsidRPr="002C4FB8">
        <w:rPr>
          <w:rFonts w:cstheme="minorHAnsi"/>
          <w:sz w:val="24"/>
          <w:szCs w:val="24"/>
        </w:rPr>
        <w:t xml:space="preserve"> a jeer at Sparta</w:t>
      </w:r>
      <w:r w:rsidR="00BE2430" w:rsidRPr="002C4FB8">
        <w:rPr>
          <w:rFonts w:cstheme="minorHAnsi"/>
          <w:sz w:val="24"/>
          <w:szCs w:val="24"/>
        </w:rPr>
        <w:t>.</w:t>
      </w:r>
      <w:r w:rsidR="00BE2430" w:rsidRPr="002C4FB8">
        <w:rPr>
          <w:rStyle w:val="FootnoteReference"/>
          <w:rFonts w:cstheme="minorHAnsi"/>
          <w:sz w:val="24"/>
          <w:szCs w:val="24"/>
        </w:rPr>
        <w:footnoteReference w:id="10"/>
      </w:r>
      <w:r w:rsidRPr="002C4FB8">
        <w:rPr>
          <w:rFonts w:cstheme="minorHAnsi"/>
          <w:sz w:val="24"/>
          <w:szCs w:val="24"/>
        </w:rPr>
        <w:t xml:space="preserve"> </w:t>
      </w:r>
      <w:r w:rsidR="00BE2430" w:rsidRPr="002C4FB8">
        <w:rPr>
          <w:rFonts w:cstheme="minorHAnsi"/>
          <w:sz w:val="24"/>
          <w:szCs w:val="24"/>
        </w:rPr>
        <w:t>This</w:t>
      </w:r>
      <w:r w:rsidRPr="002C4FB8">
        <w:rPr>
          <w:rFonts w:cstheme="minorHAnsi"/>
          <w:sz w:val="24"/>
          <w:szCs w:val="24"/>
        </w:rPr>
        <w:t xml:space="preserve"> is supported by </w:t>
      </w:r>
      <w:proofErr w:type="spellStart"/>
      <w:r w:rsidRPr="002C4FB8">
        <w:rPr>
          <w:rFonts w:cstheme="minorHAnsi"/>
          <w:sz w:val="24"/>
          <w:szCs w:val="24"/>
        </w:rPr>
        <w:t>Cartledge</w:t>
      </w:r>
      <w:proofErr w:type="spellEnd"/>
      <w:r w:rsidR="00BE2430" w:rsidRPr="002C4FB8">
        <w:rPr>
          <w:rFonts w:cstheme="minorHAnsi"/>
          <w:sz w:val="24"/>
          <w:szCs w:val="24"/>
        </w:rPr>
        <w:t>,</w:t>
      </w:r>
      <w:r w:rsidRPr="002C4FB8">
        <w:rPr>
          <w:rFonts w:cstheme="minorHAnsi"/>
          <w:sz w:val="24"/>
          <w:szCs w:val="24"/>
        </w:rPr>
        <w:t xml:space="preserve"> who believes </w:t>
      </w:r>
      <w:proofErr w:type="spellStart"/>
      <w:r w:rsidRPr="002C4FB8">
        <w:rPr>
          <w:rFonts w:cstheme="minorHAnsi"/>
          <w:sz w:val="24"/>
          <w:szCs w:val="24"/>
        </w:rPr>
        <w:t>Gorgo</w:t>
      </w:r>
      <w:proofErr w:type="spellEnd"/>
      <w:r w:rsidRPr="002C4FB8">
        <w:rPr>
          <w:rFonts w:cstheme="minorHAnsi"/>
          <w:sz w:val="24"/>
          <w:szCs w:val="24"/>
        </w:rPr>
        <w:t xml:space="preserve"> merely serves to make her father look weaker.</w:t>
      </w:r>
      <w:r w:rsidRPr="002C4FB8">
        <w:rPr>
          <w:rStyle w:val="FootnoteReference"/>
          <w:rFonts w:cstheme="minorHAnsi"/>
          <w:sz w:val="24"/>
          <w:szCs w:val="24"/>
        </w:rPr>
        <w:footnoteReference w:id="11"/>
      </w:r>
      <w:r w:rsidR="00B054BA" w:rsidRPr="002C4FB8">
        <w:rPr>
          <w:rFonts w:cstheme="minorHAnsi"/>
          <w:sz w:val="24"/>
          <w:szCs w:val="24"/>
        </w:rPr>
        <w:t xml:space="preserve"> </w:t>
      </w:r>
      <w:proofErr w:type="spellStart"/>
      <w:r w:rsidR="003C31FB" w:rsidRPr="002C4FB8">
        <w:rPr>
          <w:rFonts w:cstheme="minorHAnsi"/>
          <w:sz w:val="24"/>
          <w:szCs w:val="24"/>
        </w:rPr>
        <w:t>Gorgo’s</w:t>
      </w:r>
      <w:proofErr w:type="spellEnd"/>
      <w:r w:rsidR="003C31FB" w:rsidRPr="002C4FB8">
        <w:rPr>
          <w:rFonts w:cstheme="minorHAnsi"/>
          <w:sz w:val="24"/>
          <w:szCs w:val="24"/>
        </w:rPr>
        <w:t xml:space="preserve"> statement infers</w:t>
      </w:r>
      <w:r w:rsidRPr="002C4FB8">
        <w:rPr>
          <w:rFonts w:cstheme="minorHAnsi"/>
          <w:sz w:val="24"/>
          <w:szCs w:val="24"/>
        </w:rPr>
        <w:t xml:space="preserve"> </w:t>
      </w:r>
      <w:r w:rsidR="003C31FB" w:rsidRPr="002C4FB8">
        <w:rPr>
          <w:rFonts w:cstheme="minorHAnsi"/>
          <w:sz w:val="24"/>
          <w:szCs w:val="24"/>
        </w:rPr>
        <w:t>that the bribery tactics used by Aristagoras may eventually work</w:t>
      </w:r>
      <w:r w:rsidR="00432135" w:rsidRPr="002C4FB8">
        <w:rPr>
          <w:rFonts w:cstheme="minorHAnsi"/>
          <w:sz w:val="24"/>
          <w:szCs w:val="24"/>
        </w:rPr>
        <w:t>, and</w:t>
      </w:r>
      <w:r w:rsidR="003C31FB" w:rsidRPr="002C4FB8">
        <w:rPr>
          <w:rFonts w:cstheme="minorHAnsi"/>
          <w:sz w:val="24"/>
          <w:szCs w:val="24"/>
        </w:rPr>
        <w:t xml:space="preserve"> she actually prevents </w:t>
      </w:r>
      <w:proofErr w:type="spellStart"/>
      <w:r w:rsidR="003C31FB" w:rsidRPr="002C4FB8">
        <w:rPr>
          <w:rFonts w:cstheme="minorHAnsi"/>
          <w:sz w:val="24"/>
          <w:szCs w:val="24"/>
        </w:rPr>
        <w:t>Cleomenes</w:t>
      </w:r>
      <w:proofErr w:type="spellEnd"/>
      <w:r w:rsidR="003C31FB" w:rsidRPr="002C4FB8">
        <w:rPr>
          <w:rFonts w:cstheme="minorHAnsi"/>
          <w:sz w:val="24"/>
          <w:szCs w:val="24"/>
        </w:rPr>
        <w:t xml:space="preserve"> from being persuaded.</w:t>
      </w:r>
      <w:r w:rsidR="003C31FB" w:rsidRPr="002C4FB8">
        <w:rPr>
          <w:rStyle w:val="FootnoteReference"/>
          <w:rFonts w:cstheme="minorHAnsi"/>
          <w:sz w:val="24"/>
          <w:szCs w:val="24"/>
        </w:rPr>
        <w:footnoteReference w:id="12"/>
      </w:r>
      <w:r w:rsidR="00A143C1" w:rsidRPr="002C4FB8">
        <w:rPr>
          <w:rFonts w:cstheme="minorHAnsi"/>
          <w:sz w:val="24"/>
          <w:szCs w:val="24"/>
        </w:rPr>
        <w:t xml:space="preserve"> </w:t>
      </w:r>
      <w:proofErr w:type="spellStart"/>
      <w:r w:rsidR="00432135" w:rsidRPr="002C4FB8">
        <w:rPr>
          <w:rFonts w:cstheme="minorHAnsi"/>
          <w:sz w:val="24"/>
          <w:szCs w:val="24"/>
        </w:rPr>
        <w:t>Gorgo</w:t>
      </w:r>
      <w:proofErr w:type="spellEnd"/>
      <w:r w:rsidR="00432135" w:rsidRPr="002C4FB8">
        <w:rPr>
          <w:rFonts w:cstheme="minorHAnsi"/>
          <w:sz w:val="24"/>
          <w:szCs w:val="24"/>
        </w:rPr>
        <w:t xml:space="preserve"> is implied to either be respecte</w:t>
      </w:r>
      <w:r w:rsidR="00BE2430" w:rsidRPr="002C4FB8">
        <w:rPr>
          <w:rFonts w:cstheme="minorHAnsi"/>
          <w:sz w:val="24"/>
          <w:szCs w:val="24"/>
        </w:rPr>
        <w:t xml:space="preserve">d enough for </w:t>
      </w:r>
      <w:proofErr w:type="spellStart"/>
      <w:r w:rsidR="00BE2430" w:rsidRPr="002C4FB8">
        <w:rPr>
          <w:rFonts w:cstheme="minorHAnsi"/>
          <w:sz w:val="24"/>
          <w:szCs w:val="24"/>
        </w:rPr>
        <w:t>Cleomenes</w:t>
      </w:r>
      <w:proofErr w:type="spellEnd"/>
      <w:r w:rsidR="00BE2430" w:rsidRPr="002C4FB8">
        <w:rPr>
          <w:rFonts w:cstheme="minorHAnsi"/>
          <w:sz w:val="24"/>
          <w:szCs w:val="24"/>
        </w:rPr>
        <w:t xml:space="preserve"> to want her there, or simply as unimportant to affairs: </w:t>
      </w:r>
      <w:r w:rsidR="00A143C1" w:rsidRPr="002C4FB8">
        <w:rPr>
          <w:rFonts w:cstheme="minorHAnsi"/>
          <w:sz w:val="24"/>
          <w:szCs w:val="24"/>
        </w:rPr>
        <w:lastRenderedPageBreak/>
        <w:t>‘</w:t>
      </w:r>
      <w:hyperlink r:id="rId7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Κλεομένης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8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δὲ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9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λέγειν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0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μιν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1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ἐκέλευε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2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τὰ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3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βούλεται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4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μηδὲ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5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ἐπισχεῖν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6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τοῦ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7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παιδίου</w:t>
        </w:r>
      </w:hyperlink>
      <w:r w:rsidR="00A143C1" w:rsidRPr="002C4FB8">
        <w:rPr>
          <w:rFonts w:cstheme="minorHAnsi"/>
          <w:i/>
          <w:color w:val="000000"/>
          <w:sz w:val="24"/>
          <w:szCs w:val="24"/>
        </w:rPr>
        <w:t> </w:t>
      </w:r>
      <w:hyperlink r:id="rId18" w:tgtFrame="morph" w:history="1">
        <w:r w:rsidR="00A143C1" w:rsidRPr="002C4FB8">
          <w:rPr>
            <w:rStyle w:val="Hyperlink"/>
            <w:rFonts w:cstheme="minorHAnsi"/>
            <w:i/>
            <w:color w:val="000000"/>
            <w:sz w:val="24"/>
            <w:szCs w:val="24"/>
            <w:u w:val="none"/>
          </w:rPr>
          <w:t>εἵνεκα</w:t>
        </w:r>
      </w:hyperlink>
      <w:r w:rsidR="00A143C1" w:rsidRPr="002C4FB8">
        <w:rPr>
          <w:rFonts w:cstheme="minorHAnsi"/>
          <w:color w:val="000000"/>
          <w:sz w:val="24"/>
          <w:szCs w:val="24"/>
        </w:rPr>
        <w:t>’</w:t>
      </w:r>
      <w:r w:rsidR="00A2639D" w:rsidRPr="002C4FB8">
        <w:rPr>
          <w:rFonts w:cstheme="minorHAnsi"/>
          <w:color w:val="000000"/>
          <w:sz w:val="24"/>
          <w:szCs w:val="24"/>
        </w:rPr>
        <w:t>.</w:t>
      </w:r>
      <w:r w:rsidR="00A2639D" w:rsidRPr="002C4FB8">
        <w:rPr>
          <w:rStyle w:val="FootnoteReference"/>
          <w:rFonts w:cstheme="minorHAnsi"/>
          <w:color w:val="000000"/>
          <w:sz w:val="24"/>
          <w:szCs w:val="24"/>
        </w:rPr>
        <w:footnoteReference w:id="13"/>
      </w:r>
      <w:r w:rsidR="00A2639D" w:rsidRPr="002C4FB8">
        <w:rPr>
          <w:rFonts w:cstheme="minorHAnsi"/>
          <w:color w:val="000000"/>
          <w:sz w:val="24"/>
          <w:szCs w:val="24"/>
        </w:rPr>
        <w:t xml:space="preserve"> </w:t>
      </w:r>
      <w:proofErr w:type="spellStart"/>
      <w:r w:rsidR="003C6C6C" w:rsidRPr="002C4FB8">
        <w:rPr>
          <w:rFonts w:cstheme="minorHAnsi"/>
          <w:color w:val="000000"/>
          <w:sz w:val="24"/>
          <w:szCs w:val="24"/>
        </w:rPr>
        <w:t>Gorgo’s</w:t>
      </w:r>
      <w:proofErr w:type="spellEnd"/>
      <w:r w:rsidR="003C6C6C" w:rsidRPr="002C4FB8">
        <w:rPr>
          <w:rFonts w:cstheme="minorHAnsi"/>
          <w:color w:val="000000"/>
          <w:sz w:val="24"/>
          <w:szCs w:val="24"/>
        </w:rPr>
        <w:t xml:space="preserve"> intelligence and influence is emphasised again in Herodotus, and this </w:t>
      </w:r>
      <w:r w:rsidR="001E58D2" w:rsidRPr="002C4FB8">
        <w:rPr>
          <w:rFonts w:cstheme="minorHAnsi"/>
          <w:color w:val="000000"/>
          <w:sz w:val="24"/>
          <w:szCs w:val="24"/>
        </w:rPr>
        <w:t>correlates with scholarly opinions of noble women’s influence in Sparta</w:t>
      </w:r>
      <w:r w:rsidR="003C6C6C" w:rsidRPr="002C4FB8">
        <w:rPr>
          <w:rFonts w:cstheme="minorHAnsi"/>
          <w:color w:val="000000"/>
          <w:sz w:val="24"/>
          <w:szCs w:val="24"/>
        </w:rPr>
        <w:t xml:space="preserve">, </w:t>
      </w:r>
      <w:r w:rsidR="00322EEF" w:rsidRPr="002C4FB8">
        <w:rPr>
          <w:rFonts w:cstheme="minorHAnsi"/>
          <w:color w:val="000000"/>
          <w:sz w:val="24"/>
          <w:szCs w:val="24"/>
        </w:rPr>
        <w:t>convincing Cleomenes to send Aristagoras away</w:t>
      </w:r>
      <w:r w:rsidR="00A2639D" w:rsidRPr="002C4FB8">
        <w:rPr>
          <w:rFonts w:cstheme="minorHAnsi"/>
          <w:color w:val="000000"/>
          <w:sz w:val="24"/>
          <w:szCs w:val="24"/>
        </w:rPr>
        <w:t>.</w:t>
      </w:r>
      <w:r w:rsidR="00A2639D" w:rsidRPr="002C4FB8">
        <w:rPr>
          <w:rStyle w:val="FootnoteReference"/>
          <w:rFonts w:cstheme="minorHAnsi"/>
          <w:color w:val="000000"/>
          <w:sz w:val="24"/>
          <w:szCs w:val="24"/>
        </w:rPr>
        <w:footnoteReference w:id="14"/>
      </w:r>
      <w:r w:rsidRPr="002C4FB8">
        <w:rPr>
          <w:rFonts w:cstheme="minorHAnsi"/>
          <w:sz w:val="24"/>
          <w:szCs w:val="24"/>
        </w:rPr>
        <w:t xml:space="preserve"> </w:t>
      </w:r>
      <w:r w:rsidR="00D22AC0" w:rsidRPr="002C4FB8">
        <w:rPr>
          <w:rFonts w:cstheme="minorHAnsi"/>
          <w:sz w:val="24"/>
          <w:szCs w:val="24"/>
        </w:rPr>
        <w:t xml:space="preserve">This may be accidental, as it seems </w:t>
      </w:r>
      <w:proofErr w:type="spellStart"/>
      <w:r w:rsidR="00D22AC0" w:rsidRPr="002C4FB8">
        <w:rPr>
          <w:rFonts w:cstheme="minorHAnsi"/>
          <w:sz w:val="24"/>
          <w:szCs w:val="24"/>
        </w:rPr>
        <w:t>Gorgo</w:t>
      </w:r>
      <w:proofErr w:type="spellEnd"/>
      <w:r w:rsidR="00D22AC0" w:rsidRPr="002C4FB8">
        <w:rPr>
          <w:rFonts w:cstheme="minorHAnsi"/>
          <w:sz w:val="24"/>
          <w:szCs w:val="24"/>
        </w:rPr>
        <w:t xml:space="preserve"> is </w:t>
      </w:r>
      <w:r w:rsidR="00465D9A" w:rsidRPr="002C4FB8">
        <w:rPr>
          <w:rFonts w:cstheme="minorHAnsi"/>
          <w:sz w:val="24"/>
          <w:szCs w:val="24"/>
        </w:rPr>
        <w:t>a</w:t>
      </w:r>
      <w:r w:rsidR="00D22AC0" w:rsidRPr="002C4FB8">
        <w:rPr>
          <w:rFonts w:cstheme="minorHAnsi"/>
          <w:sz w:val="24"/>
          <w:szCs w:val="24"/>
        </w:rPr>
        <w:t xml:space="preserve"> device to weaken Cleomenes</w:t>
      </w:r>
      <w:r w:rsidR="00465D9A" w:rsidRPr="002C4FB8">
        <w:rPr>
          <w:rFonts w:cstheme="minorHAnsi"/>
          <w:sz w:val="24"/>
          <w:szCs w:val="24"/>
        </w:rPr>
        <w:t>’</w:t>
      </w:r>
      <w:r w:rsidR="00D22AC0" w:rsidRPr="002C4FB8">
        <w:rPr>
          <w:rFonts w:cstheme="minorHAnsi"/>
          <w:sz w:val="24"/>
          <w:szCs w:val="24"/>
        </w:rPr>
        <w:t xml:space="preserve"> character, and not</w:t>
      </w:r>
      <w:r w:rsidR="00465D9A" w:rsidRPr="002C4FB8">
        <w:rPr>
          <w:rFonts w:cstheme="minorHAnsi"/>
          <w:sz w:val="24"/>
          <w:szCs w:val="24"/>
        </w:rPr>
        <w:t xml:space="preserve"> intended</w:t>
      </w:r>
      <w:r w:rsidR="00D22AC0" w:rsidRPr="002C4FB8">
        <w:rPr>
          <w:rFonts w:cstheme="minorHAnsi"/>
          <w:sz w:val="24"/>
          <w:szCs w:val="24"/>
        </w:rPr>
        <w:t xml:space="preserve"> to make a </w:t>
      </w:r>
      <w:r w:rsidR="00465D9A" w:rsidRPr="002C4FB8">
        <w:rPr>
          <w:rFonts w:cstheme="minorHAnsi"/>
          <w:sz w:val="24"/>
          <w:szCs w:val="24"/>
        </w:rPr>
        <w:t xml:space="preserve">positive </w:t>
      </w:r>
      <w:r w:rsidR="00D22AC0" w:rsidRPr="002C4FB8">
        <w:rPr>
          <w:rFonts w:cstheme="minorHAnsi"/>
          <w:sz w:val="24"/>
          <w:szCs w:val="24"/>
        </w:rPr>
        <w:t>statement about women</w:t>
      </w:r>
      <w:r w:rsidR="00465D9A" w:rsidRPr="002C4FB8">
        <w:rPr>
          <w:rFonts w:cstheme="minorHAnsi"/>
          <w:sz w:val="24"/>
          <w:szCs w:val="24"/>
        </w:rPr>
        <w:t>, as Herodotus seems to be in favour of their dehumanisation in general</w:t>
      </w:r>
      <w:r w:rsidR="007818BF" w:rsidRPr="002C4FB8">
        <w:rPr>
          <w:rFonts w:cstheme="minorHAnsi"/>
          <w:sz w:val="24"/>
          <w:szCs w:val="24"/>
        </w:rPr>
        <w:t>, avoiding naming many of them</w:t>
      </w:r>
      <w:r w:rsidR="00465D9A" w:rsidRPr="002C4FB8">
        <w:rPr>
          <w:rFonts w:cstheme="minorHAnsi"/>
          <w:sz w:val="24"/>
          <w:szCs w:val="24"/>
        </w:rPr>
        <w:t>.</w:t>
      </w:r>
      <w:r w:rsidR="00465D9A" w:rsidRPr="002C4FB8">
        <w:rPr>
          <w:rStyle w:val="FootnoteReference"/>
          <w:rFonts w:cstheme="minorHAnsi"/>
          <w:sz w:val="24"/>
          <w:szCs w:val="24"/>
        </w:rPr>
        <w:footnoteReference w:id="15"/>
      </w:r>
      <w:bookmarkStart w:id="0" w:name="_GoBack"/>
      <w:bookmarkEnd w:id="0"/>
    </w:p>
    <w:p w:rsidR="00A0778D" w:rsidRPr="002C4FB8" w:rsidRDefault="009209EC" w:rsidP="002C4FB8">
      <w:pPr>
        <w:spacing w:line="360" w:lineRule="auto"/>
        <w:rPr>
          <w:rFonts w:cstheme="minorHAnsi"/>
          <w:sz w:val="24"/>
          <w:szCs w:val="24"/>
        </w:rPr>
      </w:pPr>
      <w:r w:rsidRPr="002C4FB8">
        <w:rPr>
          <w:rFonts w:cstheme="minorHAnsi"/>
          <w:sz w:val="24"/>
          <w:szCs w:val="24"/>
        </w:rPr>
        <w:t>After having failed to persuade Cleomenes</w:t>
      </w:r>
      <w:r w:rsidR="003C31FB" w:rsidRPr="002C4FB8">
        <w:rPr>
          <w:rFonts w:cstheme="minorHAnsi"/>
          <w:sz w:val="24"/>
          <w:szCs w:val="24"/>
        </w:rPr>
        <w:t xml:space="preserve"> initially</w:t>
      </w:r>
      <w:r w:rsidRPr="002C4FB8">
        <w:rPr>
          <w:rFonts w:cstheme="minorHAnsi"/>
          <w:sz w:val="24"/>
          <w:szCs w:val="24"/>
        </w:rPr>
        <w:t>, Herodotus portrays Aristagoras wearing the clothing of a poor suppliant: ‘</w:t>
      </w:r>
      <w:hyperlink r:id="rId19" w:tgtFrame="morph" w:history="1">
        <w:r w:rsidRPr="002C4FB8">
          <w:rPr>
            <w:sz w:val="24"/>
            <w:szCs w:val="24"/>
          </w:rPr>
          <w:t>ἱκετηρίην</w:t>
        </w:r>
      </w:hyperlink>
      <w:r w:rsidRPr="002C4FB8">
        <w:rPr>
          <w:sz w:val="24"/>
          <w:szCs w:val="24"/>
        </w:rPr>
        <w:t>’</w:t>
      </w:r>
      <w:r w:rsidRPr="002C4FB8">
        <w:rPr>
          <w:rFonts w:cstheme="minorHAnsi"/>
          <w:sz w:val="24"/>
          <w:szCs w:val="24"/>
        </w:rPr>
        <w:t>.</w:t>
      </w:r>
      <w:r w:rsidRPr="002C4FB8">
        <w:rPr>
          <w:rStyle w:val="FootnoteReference"/>
          <w:rFonts w:cstheme="minorHAnsi"/>
          <w:sz w:val="24"/>
          <w:szCs w:val="24"/>
        </w:rPr>
        <w:footnoteReference w:id="16"/>
      </w:r>
      <w:r w:rsidRPr="002C4FB8">
        <w:rPr>
          <w:rFonts w:cstheme="minorHAnsi"/>
          <w:sz w:val="24"/>
          <w:szCs w:val="24"/>
        </w:rPr>
        <w:t xml:space="preserve"> Herodotus </w:t>
      </w:r>
      <w:r w:rsidR="00A143C1" w:rsidRPr="002C4FB8">
        <w:rPr>
          <w:rFonts w:cstheme="minorHAnsi"/>
          <w:sz w:val="24"/>
          <w:szCs w:val="24"/>
        </w:rPr>
        <w:t>shows pro-Spartan sentiments, portraying Aristagoras subservient to Cleomenes</w:t>
      </w:r>
      <w:r w:rsidRPr="002C4FB8">
        <w:rPr>
          <w:rFonts w:cstheme="minorHAnsi"/>
          <w:sz w:val="24"/>
          <w:szCs w:val="24"/>
        </w:rPr>
        <w:t>.</w:t>
      </w:r>
      <w:r w:rsidRPr="002C4FB8">
        <w:rPr>
          <w:rStyle w:val="FootnoteReference"/>
          <w:rFonts w:cstheme="minorHAnsi"/>
          <w:sz w:val="24"/>
          <w:szCs w:val="24"/>
        </w:rPr>
        <w:footnoteReference w:id="17"/>
      </w:r>
      <w:r w:rsidRPr="002C4FB8">
        <w:rPr>
          <w:rFonts w:cstheme="minorHAnsi"/>
          <w:sz w:val="24"/>
          <w:szCs w:val="24"/>
        </w:rPr>
        <w:t xml:space="preserve"> </w:t>
      </w:r>
      <w:r w:rsidR="00566950" w:rsidRPr="002C4FB8">
        <w:rPr>
          <w:rFonts w:cstheme="minorHAnsi"/>
          <w:sz w:val="24"/>
          <w:szCs w:val="24"/>
        </w:rPr>
        <w:t>It may</w:t>
      </w:r>
      <w:r w:rsidR="00A143C1" w:rsidRPr="002C4FB8">
        <w:rPr>
          <w:rFonts w:cstheme="minorHAnsi"/>
          <w:sz w:val="24"/>
          <w:szCs w:val="24"/>
        </w:rPr>
        <w:t xml:space="preserve"> be that</w:t>
      </w:r>
      <w:r w:rsidR="00566950" w:rsidRPr="002C4FB8">
        <w:rPr>
          <w:rFonts w:cstheme="minorHAnsi"/>
          <w:sz w:val="24"/>
          <w:szCs w:val="24"/>
        </w:rPr>
        <w:t xml:space="preserve"> Herodotus in this passage is showing favouritism to the Persians, presenting the one trying to instigate a revolt was scheming, weak, and lacking authority.</w:t>
      </w:r>
      <w:r w:rsidR="00566950" w:rsidRPr="002C4FB8">
        <w:rPr>
          <w:rStyle w:val="FootnoteReference"/>
          <w:rFonts w:cstheme="minorHAnsi"/>
          <w:sz w:val="24"/>
          <w:szCs w:val="24"/>
        </w:rPr>
        <w:footnoteReference w:id="18"/>
      </w:r>
      <w:r w:rsidR="00566950" w:rsidRPr="002C4FB8">
        <w:rPr>
          <w:rFonts w:cstheme="minorHAnsi"/>
          <w:sz w:val="24"/>
          <w:szCs w:val="24"/>
        </w:rPr>
        <w:t xml:space="preserve"> Herodotus was often keen to focus on Persian events and praise the deeds of Persians.</w:t>
      </w:r>
      <w:r w:rsidR="00566950" w:rsidRPr="002C4FB8">
        <w:rPr>
          <w:rStyle w:val="FootnoteReference"/>
          <w:rFonts w:cstheme="minorHAnsi"/>
          <w:sz w:val="24"/>
          <w:szCs w:val="24"/>
        </w:rPr>
        <w:footnoteReference w:id="19"/>
      </w:r>
      <w:r w:rsidR="00566950" w:rsidRPr="002C4FB8">
        <w:rPr>
          <w:rFonts w:cstheme="minorHAnsi"/>
          <w:sz w:val="24"/>
          <w:szCs w:val="24"/>
        </w:rPr>
        <w:t xml:space="preserve"> </w:t>
      </w:r>
      <w:r w:rsidR="00A0778D" w:rsidRPr="002C4FB8">
        <w:rPr>
          <w:rFonts w:cstheme="minorHAnsi"/>
          <w:sz w:val="24"/>
          <w:szCs w:val="24"/>
        </w:rPr>
        <w:t>Yet, Herodotus seems often to be milder in</w:t>
      </w:r>
      <w:r w:rsidR="00813676" w:rsidRPr="002C4FB8">
        <w:rPr>
          <w:rFonts w:cstheme="minorHAnsi"/>
          <w:sz w:val="24"/>
          <w:szCs w:val="24"/>
        </w:rPr>
        <w:t xml:space="preserve"> terms of</w:t>
      </w:r>
      <w:r w:rsidR="00A0778D" w:rsidRPr="002C4FB8">
        <w:rPr>
          <w:rFonts w:cstheme="minorHAnsi"/>
          <w:sz w:val="24"/>
          <w:szCs w:val="24"/>
        </w:rPr>
        <w:t xml:space="preserve"> favouritism, as Waters argues that </w:t>
      </w:r>
      <w:r w:rsidR="00566950" w:rsidRPr="002C4FB8">
        <w:rPr>
          <w:rFonts w:cstheme="minorHAnsi"/>
          <w:sz w:val="24"/>
          <w:szCs w:val="24"/>
        </w:rPr>
        <w:t xml:space="preserve">Herodotus considered </w:t>
      </w:r>
      <w:r w:rsidR="00665996" w:rsidRPr="002C4FB8">
        <w:rPr>
          <w:rFonts w:cstheme="minorHAnsi"/>
          <w:sz w:val="24"/>
          <w:szCs w:val="24"/>
        </w:rPr>
        <w:t>people</w:t>
      </w:r>
      <w:r w:rsidR="00813676" w:rsidRPr="002C4FB8">
        <w:rPr>
          <w:rFonts w:cstheme="minorHAnsi"/>
          <w:sz w:val="24"/>
          <w:szCs w:val="24"/>
        </w:rPr>
        <w:t xml:space="preserve"> are </w:t>
      </w:r>
      <w:r w:rsidR="00A0778D" w:rsidRPr="002C4FB8">
        <w:rPr>
          <w:rFonts w:cstheme="minorHAnsi"/>
          <w:sz w:val="24"/>
          <w:szCs w:val="24"/>
        </w:rPr>
        <w:t>different because of</w:t>
      </w:r>
      <w:r w:rsidR="00665996" w:rsidRPr="002C4FB8">
        <w:rPr>
          <w:rFonts w:cstheme="minorHAnsi"/>
          <w:sz w:val="24"/>
          <w:szCs w:val="24"/>
        </w:rPr>
        <w:t xml:space="preserve"> their different locations, </w:t>
      </w:r>
      <w:r w:rsidR="00A0778D" w:rsidRPr="002C4FB8">
        <w:rPr>
          <w:rFonts w:cstheme="minorHAnsi"/>
          <w:sz w:val="24"/>
          <w:szCs w:val="24"/>
        </w:rPr>
        <w:t>us</w:t>
      </w:r>
      <w:r w:rsidR="00665996" w:rsidRPr="002C4FB8">
        <w:rPr>
          <w:rFonts w:cstheme="minorHAnsi"/>
          <w:sz w:val="24"/>
          <w:szCs w:val="24"/>
        </w:rPr>
        <w:t>ing</w:t>
      </w:r>
      <w:r w:rsidR="00A0778D" w:rsidRPr="002C4FB8">
        <w:rPr>
          <w:rFonts w:cstheme="minorHAnsi"/>
          <w:sz w:val="24"/>
          <w:szCs w:val="24"/>
        </w:rPr>
        <w:t xml:space="preserve"> the Nile’s behaviour as an example.</w:t>
      </w:r>
      <w:r w:rsidR="00A0778D" w:rsidRPr="002C4FB8">
        <w:rPr>
          <w:rStyle w:val="FootnoteReference"/>
          <w:rFonts w:cstheme="minorHAnsi"/>
          <w:sz w:val="24"/>
          <w:szCs w:val="24"/>
        </w:rPr>
        <w:footnoteReference w:id="20"/>
      </w:r>
      <w:r w:rsidR="00A0778D" w:rsidRPr="002C4FB8">
        <w:rPr>
          <w:rFonts w:cstheme="minorHAnsi"/>
          <w:sz w:val="24"/>
          <w:szCs w:val="24"/>
        </w:rPr>
        <w:t xml:space="preserve"> Waters dismisses the claim of</w:t>
      </w:r>
      <w:r w:rsidRPr="002C4FB8">
        <w:rPr>
          <w:rFonts w:cstheme="minorHAnsi"/>
          <w:sz w:val="24"/>
          <w:szCs w:val="24"/>
        </w:rPr>
        <w:t xml:space="preserve"> favouritism towards barbarians</w:t>
      </w:r>
      <w:r w:rsidR="00A0778D" w:rsidRPr="002C4FB8">
        <w:rPr>
          <w:rFonts w:cstheme="minorHAnsi"/>
          <w:sz w:val="24"/>
          <w:szCs w:val="24"/>
        </w:rPr>
        <w:t xml:space="preserve"> successfully, pointing out the evidence for Herodotus’ moderately impartial methodology.</w:t>
      </w:r>
      <w:r w:rsidR="00A0778D" w:rsidRPr="002C4FB8">
        <w:rPr>
          <w:rStyle w:val="FootnoteReference"/>
          <w:rFonts w:cstheme="minorHAnsi"/>
          <w:sz w:val="24"/>
          <w:szCs w:val="24"/>
        </w:rPr>
        <w:footnoteReference w:id="21"/>
      </w:r>
      <w:r w:rsidR="00A0778D" w:rsidRPr="002C4FB8">
        <w:rPr>
          <w:rFonts w:cstheme="minorHAnsi"/>
          <w:sz w:val="24"/>
          <w:szCs w:val="24"/>
        </w:rPr>
        <w:t xml:space="preserve"> </w:t>
      </w:r>
      <w:r w:rsidRPr="002C4FB8">
        <w:rPr>
          <w:rFonts w:cstheme="minorHAnsi"/>
          <w:sz w:val="24"/>
          <w:szCs w:val="24"/>
        </w:rPr>
        <w:t>However, Waters’ apologies for Herodotus’ anti-Ionian biases seem miscalculated considering this passage about Aristagoras in Sparta, who is made out to be almost a beggar to Sparta’s king, making mistakes, and even being dismissed at the behest of an 8-9 year-old girl</w:t>
      </w:r>
      <w:r w:rsidR="003C31FB" w:rsidRPr="002C4FB8">
        <w:rPr>
          <w:rFonts w:cstheme="minorHAnsi"/>
          <w:sz w:val="24"/>
          <w:szCs w:val="24"/>
        </w:rPr>
        <w:t xml:space="preserve"> who he appears unnerved by from the start</w:t>
      </w:r>
      <w:r w:rsidRPr="002C4FB8">
        <w:rPr>
          <w:rFonts w:cstheme="minorHAnsi"/>
          <w:sz w:val="24"/>
          <w:szCs w:val="24"/>
        </w:rPr>
        <w:t>.</w:t>
      </w:r>
      <w:r w:rsidRPr="002C4FB8">
        <w:rPr>
          <w:rStyle w:val="FootnoteReference"/>
          <w:rFonts w:cstheme="minorHAnsi"/>
          <w:sz w:val="24"/>
          <w:szCs w:val="24"/>
        </w:rPr>
        <w:footnoteReference w:id="22"/>
      </w:r>
      <w:r w:rsidRPr="002C4FB8">
        <w:rPr>
          <w:rFonts w:cstheme="minorHAnsi"/>
          <w:sz w:val="24"/>
          <w:szCs w:val="24"/>
        </w:rPr>
        <w:t xml:space="preserve"> </w:t>
      </w:r>
      <w:proofErr w:type="spellStart"/>
      <w:r w:rsidR="003C31FB" w:rsidRPr="002C4FB8">
        <w:rPr>
          <w:rFonts w:cstheme="minorHAnsi"/>
          <w:sz w:val="24"/>
          <w:szCs w:val="24"/>
        </w:rPr>
        <w:t>Gorgo</w:t>
      </w:r>
      <w:proofErr w:type="spellEnd"/>
      <w:r w:rsidR="003C31FB" w:rsidRPr="002C4FB8">
        <w:rPr>
          <w:rFonts w:cstheme="minorHAnsi"/>
          <w:sz w:val="24"/>
          <w:szCs w:val="24"/>
        </w:rPr>
        <w:t xml:space="preserve"> is also seen as resisting strongly Aristagoras’ bribery attempts, with Herodotus showing this child to be a better person than the tyrant of Miletus, which is why Plutarch also mentions this event.</w:t>
      </w:r>
      <w:r w:rsidR="003C31FB" w:rsidRPr="002C4FB8">
        <w:rPr>
          <w:rStyle w:val="FootnoteReference"/>
          <w:rFonts w:cstheme="minorHAnsi"/>
          <w:sz w:val="24"/>
          <w:szCs w:val="24"/>
        </w:rPr>
        <w:footnoteReference w:id="23"/>
      </w:r>
    </w:p>
    <w:p w:rsidR="00465D9A" w:rsidRPr="002C4FB8" w:rsidRDefault="00566950" w:rsidP="002C4FB8">
      <w:pPr>
        <w:spacing w:line="360" w:lineRule="auto"/>
        <w:rPr>
          <w:rFonts w:cstheme="minorHAnsi"/>
          <w:sz w:val="24"/>
          <w:szCs w:val="24"/>
        </w:rPr>
      </w:pPr>
      <w:r w:rsidRPr="002C4FB8">
        <w:rPr>
          <w:rFonts w:cstheme="minorHAnsi"/>
          <w:sz w:val="24"/>
          <w:szCs w:val="24"/>
        </w:rPr>
        <w:lastRenderedPageBreak/>
        <w:t xml:space="preserve">A parallel text, Plutarch’s </w:t>
      </w:r>
      <w:proofErr w:type="spellStart"/>
      <w:r w:rsidRPr="002C4FB8">
        <w:rPr>
          <w:rFonts w:cstheme="minorHAnsi"/>
          <w:i/>
          <w:sz w:val="24"/>
          <w:szCs w:val="24"/>
        </w:rPr>
        <w:t>Lacaenarum</w:t>
      </w:r>
      <w:proofErr w:type="spellEnd"/>
      <w:r w:rsidRPr="002C4FB8">
        <w:rPr>
          <w:rFonts w:cstheme="minorHAnsi"/>
          <w:i/>
          <w:sz w:val="24"/>
          <w:szCs w:val="24"/>
        </w:rPr>
        <w:t xml:space="preserve"> </w:t>
      </w:r>
      <w:proofErr w:type="spellStart"/>
      <w:r w:rsidRPr="002C4FB8">
        <w:rPr>
          <w:rFonts w:cstheme="minorHAnsi"/>
          <w:i/>
          <w:sz w:val="24"/>
          <w:szCs w:val="24"/>
        </w:rPr>
        <w:t>Apophthegmata</w:t>
      </w:r>
      <w:proofErr w:type="spellEnd"/>
      <w:r w:rsidRPr="002C4FB8">
        <w:rPr>
          <w:rFonts w:cstheme="minorHAnsi"/>
          <w:sz w:val="24"/>
          <w:szCs w:val="24"/>
        </w:rPr>
        <w:t>, seems to be using Herodotus as a source, as the account is almost identical to Herodotus’.</w:t>
      </w:r>
      <w:r w:rsidRPr="002C4FB8">
        <w:rPr>
          <w:rStyle w:val="FootnoteReference"/>
          <w:rFonts w:cstheme="minorHAnsi"/>
          <w:sz w:val="24"/>
          <w:szCs w:val="24"/>
        </w:rPr>
        <w:footnoteReference w:id="24"/>
      </w:r>
      <w:r w:rsidR="002375CF" w:rsidRPr="002C4FB8">
        <w:rPr>
          <w:rFonts w:cstheme="minorHAnsi"/>
          <w:sz w:val="24"/>
          <w:szCs w:val="24"/>
        </w:rPr>
        <w:t xml:space="preserve"> </w:t>
      </w:r>
      <w:r w:rsidRPr="002C4FB8">
        <w:rPr>
          <w:rFonts w:cstheme="minorHAnsi"/>
          <w:i/>
          <w:sz w:val="24"/>
          <w:szCs w:val="24"/>
        </w:rPr>
        <w:t xml:space="preserve"> </w:t>
      </w:r>
      <w:r w:rsidR="002375CF" w:rsidRPr="002C4FB8">
        <w:rPr>
          <w:rFonts w:cstheme="minorHAnsi"/>
          <w:sz w:val="24"/>
          <w:szCs w:val="24"/>
        </w:rPr>
        <w:t xml:space="preserve">The text does focus slightly on different elements, with Plutarch focussing on </w:t>
      </w:r>
      <w:proofErr w:type="spellStart"/>
      <w:r w:rsidR="002375CF" w:rsidRPr="002C4FB8">
        <w:rPr>
          <w:rFonts w:cstheme="minorHAnsi"/>
          <w:sz w:val="24"/>
          <w:szCs w:val="24"/>
        </w:rPr>
        <w:t>Gorgo</w:t>
      </w:r>
      <w:proofErr w:type="spellEnd"/>
      <w:r w:rsidR="002375CF" w:rsidRPr="002C4FB8">
        <w:rPr>
          <w:rFonts w:cstheme="minorHAnsi"/>
          <w:sz w:val="24"/>
          <w:szCs w:val="24"/>
        </w:rPr>
        <w:t>, whereas Herodotus is more Aristagoras centric at this point.</w:t>
      </w:r>
      <w:r w:rsidR="002375CF" w:rsidRPr="002C4FB8">
        <w:rPr>
          <w:rStyle w:val="FootnoteReference"/>
          <w:rFonts w:cstheme="minorHAnsi"/>
          <w:sz w:val="24"/>
          <w:szCs w:val="24"/>
        </w:rPr>
        <w:footnoteReference w:id="25"/>
      </w:r>
      <w:r w:rsidR="002375CF" w:rsidRPr="002C4FB8">
        <w:rPr>
          <w:rFonts w:cstheme="minorHAnsi"/>
          <w:sz w:val="24"/>
          <w:szCs w:val="24"/>
        </w:rPr>
        <w:t xml:space="preserve"> Also, in Plutarch’s work, it is very clear that he is trying to highlight the wit and positive features of </w:t>
      </w:r>
      <w:proofErr w:type="spellStart"/>
      <w:r w:rsidR="002375CF" w:rsidRPr="002C4FB8">
        <w:rPr>
          <w:rFonts w:cstheme="minorHAnsi"/>
          <w:sz w:val="24"/>
          <w:szCs w:val="24"/>
        </w:rPr>
        <w:t>Gorgo</w:t>
      </w:r>
      <w:proofErr w:type="spellEnd"/>
      <w:r w:rsidR="002375CF" w:rsidRPr="002C4FB8">
        <w:rPr>
          <w:rFonts w:cstheme="minorHAnsi"/>
          <w:sz w:val="24"/>
          <w:szCs w:val="24"/>
        </w:rPr>
        <w:t>, which is why it has contributed significantly to the Spartan mirage.</w:t>
      </w:r>
      <w:r w:rsidR="002375CF" w:rsidRPr="002C4FB8">
        <w:rPr>
          <w:rStyle w:val="FootnoteReference"/>
          <w:rFonts w:cstheme="minorHAnsi"/>
          <w:sz w:val="24"/>
          <w:szCs w:val="24"/>
        </w:rPr>
        <w:footnoteReference w:id="26"/>
      </w:r>
      <w:r w:rsidR="002375CF" w:rsidRPr="002C4FB8">
        <w:rPr>
          <w:rFonts w:cstheme="minorHAnsi"/>
          <w:sz w:val="24"/>
          <w:szCs w:val="24"/>
        </w:rPr>
        <w:t xml:space="preserve"> Whereas Herodotus uses her as a literary device for his own messages towards Cleomenes and Aristagoras.</w:t>
      </w:r>
      <w:r w:rsidR="002375CF" w:rsidRPr="002C4FB8">
        <w:rPr>
          <w:rStyle w:val="FootnoteReference"/>
          <w:rFonts w:cstheme="minorHAnsi"/>
          <w:sz w:val="24"/>
          <w:szCs w:val="24"/>
        </w:rPr>
        <w:footnoteReference w:id="27"/>
      </w:r>
    </w:p>
    <w:p w:rsidR="003C31FB" w:rsidRPr="002C4FB8" w:rsidRDefault="003C31FB" w:rsidP="002C4FB8">
      <w:pPr>
        <w:spacing w:line="360" w:lineRule="auto"/>
        <w:rPr>
          <w:rFonts w:cstheme="minorHAnsi"/>
          <w:sz w:val="24"/>
          <w:szCs w:val="24"/>
        </w:rPr>
      </w:pPr>
      <w:r w:rsidRPr="002C4FB8">
        <w:rPr>
          <w:rFonts w:cstheme="minorHAnsi"/>
          <w:sz w:val="24"/>
          <w:szCs w:val="24"/>
        </w:rPr>
        <w:t xml:space="preserve">To conclude, in this text Herodotus both attempts to highlight the </w:t>
      </w:r>
      <w:r w:rsidR="00F04D8B" w:rsidRPr="002C4FB8">
        <w:rPr>
          <w:rFonts w:cstheme="minorHAnsi"/>
          <w:sz w:val="24"/>
          <w:szCs w:val="24"/>
        </w:rPr>
        <w:t>corruptible</w:t>
      </w:r>
      <w:r w:rsidRPr="002C4FB8">
        <w:rPr>
          <w:rFonts w:cstheme="minorHAnsi"/>
          <w:sz w:val="24"/>
          <w:szCs w:val="24"/>
        </w:rPr>
        <w:t>, and somewhat weak character of Cleomenes, while simultaneously making the would-be revolting tyrant look desperate, fragile, and devious.</w:t>
      </w:r>
      <w:r w:rsidRPr="002C4FB8">
        <w:rPr>
          <w:rStyle w:val="FootnoteReference"/>
          <w:rFonts w:cstheme="minorHAnsi"/>
          <w:sz w:val="24"/>
          <w:szCs w:val="24"/>
        </w:rPr>
        <w:footnoteReference w:id="28"/>
      </w:r>
      <w:r w:rsidRPr="002C4FB8">
        <w:rPr>
          <w:rFonts w:cstheme="minorHAnsi"/>
          <w:sz w:val="24"/>
          <w:szCs w:val="24"/>
        </w:rPr>
        <w:t xml:space="preserve"> However, </w:t>
      </w:r>
      <w:r w:rsidR="00E96D4F" w:rsidRPr="002C4FB8">
        <w:rPr>
          <w:rFonts w:cstheme="minorHAnsi"/>
          <w:sz w:val="24"/>
          <w:szCs w:val="24"/>
        </w:rPr>
        <w:t>perhaps</w:t>
      </w:r>
      <w:r w:rsidRPr="002C4FB8">
        <w:rPr>
          <w:rFonts w:cstheme="minorHAnsi"/>
          <w:sz w:val="24"/>
          <w:szCs w:val="24"/>
        </w:rPr>
        <w:t xml:space="preserve"> </w:t>
      </w:r>
      <w:r w:rsidR="00445CEA" w:rsidRPr="002C4FB8">
        <w:rPr>
          <w:rFonts w:cstheme="minorHAnsi"/>
          <w:sz w:val="24"/>
          <w:szCs w:val="24"/>
        </w:rPr>
        <w:t>accidentally</w:t>
      </w:r>
      <w:r w:rsidRPr="002C4FB8">
        <w:rPr>
          <w:rFonts w:cstheme="minorHAnsi"/>
          <w:sz w:val="24"/>
          <w:szCs w:val="24"/>
        </w:rPr>
        <w:t>, Herodotus also creates a</w:t>
      </w:r>
      <w:r w:rsidR="00445CEA" w:rsidRPr="002C4FB8">
        <w:rPr>
          <w:rFonts w:cstheme="minorHAnsi"/>
          <w:sz w:val="24"/>
          <w:szCs w:val="24"/>
        </w:rPr>
        <w:t xml:space="preserve"> narrative where</w:t>
      </w:r>
      <w:r w:rsidRPr="002C4FB8">
        <w:rPr>
          <w:rFonts w:cstheme="minorHAnsi"/>
          <w:sz w:val="24"/>
          <w:szCs w:val="24"/>
        </w:rPr>
        <w:t xml:space="preserve"> the young </w:t>
      </w:r>
      <w:proofErr w:type="spellStart"/>
      <w:r w:rsidRPr="002C4FB8">
        <w:rPr>
          <w:rFonts w:cstheme="minorHAnsi"/>
          <w:sz w:val="24"/>
          <w:szCs w:val="24"/>
        </w:rPr>
        <w:t>Gorgo</w:t>
      </w:r>
      <w:proofErr w:type="spellEnd"/>
      <w:r w:rsidRPr="002C4FB8">
        <w:rPr>
          <w:rFonts w:cstheme="minorHAnsi"/>
          <w:sz w:val="24"/>
          <w:szCs w:val="24"/>
        </w:rPr>
        <w:t xml:space="preserve"> to </w:t>
      </w:r>
      <w:r w:rsidR="00E96D4F" w:rsidRPr="002C4FB8">
        <w:rPr>
          <w:rFonts w:cstheme="minorHAnsi"/>
          <w:sz w:val="24"/>
          <w:szCs w:val="24"/>
        </w:rPr>
        <w:t>seem</w:t>
      </w:r>
      <w:r w:rsidR="00445CEA" w:rsidRPr="002C4FB8">
        <w:rPr>
          <w:rFonts w:cstheme="minorHAnsi"/>
          <w:sz w:val="24"/>
          <w:szCs w:val="24"/>
        </w:rPr>
        <w:t>s</w:t>
      </w:r>
      <w:r w:rsidR="00E96D4F" w:rsidRPr="002C4FB8">
        <w:rPr>
          <w:rFonts w:cstheme="minorHAnsi"/>
          <w:sz w:val="24"/>
          <w:szCs w:val="24"/>
        </w:rPr>
        <w:t xml:space="preserve"> witty, intelligent, and powerful in this scenario, which Plutarch expands upon in his later works, seeding and influencing the element of the Spartan mirage concerning the women of Sparta.</w:t>
      </w:r>
      <w:r w:rsidR="00E96D4F" w:rsidRPr="002C4FB8">
        <w:rPr>
          <w:rStyle w:val="FootnoteReference"/>
          <w:rFonts w:cstheme="minorHAnsi"/>
          <w:sz w:val="24"/>
          <w:szCs w:val="24"/>
        </w:rPr>
        <w:footnoteReference w:id="29"/>
      </w:r>
      <w:r w:rsidR="000D3DFB" w:rsidRPr="002C4FB8">
        <w:rPr>
          <w:rFonts w:cstheme="minorHAnsi"/>
          <w:sz w:val="24"/>
          <w:szCs w:val="24"/>
        </w:rPr>
        <w:t xml:space="preserve"> This spread of the Spartan mirage in part may be due to Herodotus’ sources in Sparta, as the Spartans themselves influenced the mirage greatly.</w:t>
      </w:r>
      <w:r w:rsidR="000D3DFB" w:rsidRPr="002C4FB8">
        <w:rPr>
          <w:rStyle w:val="FootnoteReference"/>
          <w:rFonts w:cstheme="minorHAnsi"/>
          <w:sz w:val="24"/>
          <w:szCs w:val="24"/>
        </w:rPr>
        <w:footnoteReference w:id="30"/>
      </w:r>
      <w:r w:rsidR="00E96D4F" w:rsidRPr="002C4FB8">
        <w:rPr>
          <w:rFonts w:cstheme="minorHAnsi"/>
          <w:sz w:val="24"/>
          <w:szCs w:val="24"/>
        </w:rPr>
        <w:t xml:space="preserve">  </w:t>
      </w:r>
    </w:p>
    <w:p w:rsidR="002375CF" w:rsidRPr="002C4FB8" w:rsidRDefault="002375CF" w:rsidP="002C4FB8">
      <w:pPr>
        <w:spacing w:line="360" w:lineRule="auto"/>
        <w:rPr>
          <w:rFonts w:cstheme="minorHAnsi"/>
          <w:sz w:val="24"/>
          <w:szCs w:val="24"/>
        </w:rPr>
      </w:pPr>
    </w:p>
    <w:p w:rsidR="00465D9A" w:rsidRPr="002C4FB8" w:rsidRDefault="00465D9A" w:rsidP="002C4FB8">
      <w:pPr>
        <w:spacing w:line="360" w:lineRule="auto"/>
        <w:rPr>
          <w:rFonts w:cstheme="minorHAnsi"/>
          <w:sz w:val="24"/>
          <w:szCs w:val="24"/>
        </w:rPr>
      </w:pPr>
    </w:p>
    <w:p w:rsidR="00465D9A" w:rsidRPr="002C4FB8" w:rsidRDefault="00465D9A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</w:p>
    <w:p w:rsidR="001E58D2" w:rsidRPr="002C4FB8" w:rsidRDefault="001E58D2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</w:p>
    <w:p w:rsidR="00C20018" w:rsidRPr="002C4FB8" w:rsidRDefault="00C20018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</w:p>
    <w:p w:rsidR="001E58D2" w:rsidRPr="002C4FB8" w:rsidRDefault="002375CF" w:rsidP="002C4FB8">
      <w:pPr>
        <w:spacing w:line="360" w:lineRule="auto"/>
        <w:rPr>
          <w:rFonts w:cstheme="minorHAnsi"/>
          <w:color w:val="000000"/>
          <w:sz w:val="24"/>
          <w:szCs w:val="24"/>
          <w:u w:val="single"/>
        </w:rPr>
      </w:pPr>
      <w:r w:rsidRPr="002C4FB8">
        <w:rPr>
          <w:rFonts w:cstheme="minorHAnsi"/>
          <w:color w:val="000000"/>
          <w:sz w:val="24"/>
          <w:szCs w:val="24"/>
          <w:u w:val="single"/>
        </w:rPr>
        <w:t>Bibliography</w:t>
      </w:r>
    </w:p>
    <w:p w:rsidR="001E58D2" w:rsidRPr="002C4FB8" w:rsidRDefault="002375CF" w:rsidP="002C4FB8">
      <w:pPr>
        <w:spacing w:line="360" w:lineRule="auto"/>
        <w:rPr>
          <w:rFonts w:cstheme="minorHAnsi"/>
          <w:color w:val="000000"/>
          <w:sz w:val="24"/>
          <w:szCs w:val="24"/>
          <w:u w:val="single"/>
        </w:rPr>
      </w:pPr>
      <w:r w:rsidRPr="002C4FB8">
        <w:rPr>
          <w:rFonts w:cstheme="minorHAnsi"/>
          <w:color w:val="000000"/>
          <w:sz w:val="24"/>
          <w:szCs w:val="24"/>
          <w:u w:val="single"/>
        </w:rPr>
        <w:t>Ancient sources</w:t>
      </w:r>
    </w:p>
    <w:p w:rsidR="001E58D2" w:rsidRPr="002C4FB8" w:rsidRDefault="00566950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proofErr w:type="spellStart"/>
      <w:r w:rsidRPr="002C4FB8">
        <w:rPr>
          <w:rFonts w:cstheme="minorHAnsi"/>
          <w:color w:val="000000"/>
          <w:sz w:val="24"/>
          <w:szCs w:val="24"/>
        </w:rPr>
        <w:t>FGrH</w:t>
      </w:r>
      <w:proofErr w:type="spellEnd"/>
      <w:r w:rsidRPr="002C4FB8">
        <w:rPr>
          <w:rFonts w:cstheme="minorHAnsi"/>
          <w:color w:val="000000"/>
          <w:sz w:val="24"/>
          <w:szCs w:val="24"/>
        </w:rPr>
        <w:t xml:space="preserve"> 1.1</w:t>
      </w:r>
    </w:p>
    <w:p w:rsidR="001E58D2" w:rsidRPr="002C4FB8" w:rsidRDefault="001E58D2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2C4FB8">
        <w:rPr>
          <w:rFonts w:cstheme="minorHAnsi"/>
          <w:color w:val="000000"/>
          <w:sz w:val="24"/>
          <w:szCs w:val="24"/>
        </w:rPr>
        <w:lastRenderedPageBreak/>
        <w:t>Herodotus,</w:t>
      </w:r>
      <w:r w:rsidRPr="002C4FB8">
        <w:rPr>
          <w:rFonts w:cstheme="minorHAnsi"/>
          <w:i/>
          <w:color w:val="000000"/>
          <w:sz w:val="24"/>
          <w:szCs w:val="24"/>
        </w:rPr>
        <w:t xml:space="preserve"> Histories</w:t>
      </w:r>
      <w:r w:rsidRPr="002C4FB8">
        <w:rPr>
          <w:rFonts w:cstheme="minorHAnsi"/>
          <w:color w:val="000000"/>
          <w:sz w:val="24"/>
          <w:szCs w:val="24"/>
        </w:rPr>
        <w:t xml:space="preserve">. </w:t>
      </w:r>
      <w:r w:rsidR="006436CE" w:rsidRPr="002C4FB8">
        <w:rPr>
          <w:rFonts w:cstheme="minorHAnsi"/>
          <w:color w:val="000000"/>
          <w:sz w:val="24"/>
          <w:szCs w:val="24"/>
        </w:rPr>
        <w:t>A.D. Godley (</w:t>
      </w:r>
      <w:proofErr w:type="gramStart"/>
      <w:r w:rsidR="006436CE" w:rsidRPr="002C4FB8">
        <w:rPr>
          <w:rFonts w:cstheme="minorHAnsi"/>
          <w:color w:val="000000"/>
          <w:sz w:val="24"/>
          <w:szCs w:val="24"/>
        </w:rPr>
        <w:t>trans</w:t>
      </w:r>
      <w:proofErr w:type="gramEnd"/>
      <w:r w:rsidR="006436CE" w:rsidRPr="002C4FB8">
        <w:rPr>
          <w:rFonts w:cstheme="minorHAnsi"/>
          <w:color w:val="000000"/>
          <w:sz w:val="24"/>
          <w:szCs w:val="24"/>
        </w:rPr>
        <w:t xml:space="preserve">.). </w:t>
      </w:r>
      <w:r w:rsidRPr="002C4FB8">
        <w:rPr>
          <w:rFonts w:cstheme="minorHAnsi"/>
          <w:color w:val="000000"/>
          <w:sz w:val="24"/>
          <w:szCs w:val="24"/>
        </w:rPr>
        <w:t>1920. London: William Heinemann</w:t>
      </w:r>
      <w:r w:rsidR="002375CF" w:rsidRPr="002C4FB8">
        <w:rPr>
          <w:rFonts w:cstheme="minorHAnsi"/>
          <w:color w:val="000000"/>
          <w:sz w:val="24"/>
          <w:szCs w:val="24"/>
        </w:rPr>
        <w:t xml:space="preserve"> Ltd</w:t>
      </w:r>
      <w:r w:rsidRPr="002C4FB8">
        <w:rPr>
          <w:rFonts w:cstheme="minorHAnsi"/>
          <w:color w:val="000000"/>
          <w:sz w:val="24"/>
          <w:szCs w:val="24"/>
        </w:rPr>
        <w:t>.</w:t>
      </w:r>
    </w:p>
    <w:p w:rsidR="002375CF" w:rsidRPr="002C4FB8" w:rsidRDefault="002375CF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2C4FB8">
        <w:rPr>
          <w:rFonts w:cstheme="minorHAnsi"/>
          <w:color w:val="000000"/>
          <w:sz w:val="24"/>
          <w:szCs w:val="24"/>
        </w:rPr>
        <w:t xml:space="preserve">Plutarch, </w:t>
      </w:r>
      <w:proofErr w:type="spellStart"/>
      <w:r w:rsidRPr="002C4FB8">
        <w:rPr>
          <w:rFonts w:cstheme="minorHAnsi"/>
          <w:i/>
          <w:color w:val="000000"/>
          <w:sz w:val="24"/>
          <w:szCs w:val="24"/>
        </w:rPr>
        <w:t>Moralia</w:t>
      </w:r>
      <w:proofErr w:type="spellEnd"/>
      <w:r w:rsidRPr="002C4FB8">
        <w:rPr>
          <w:rFonts w:cstheme="minorHAnsi"/>
          <w:i/>
          <w:color w:val="000000"/>
          <w:sz w:val="24"/>
          <w:szCs w:val="24"/>
        </w:rPr>
        <w:t xml:space="preserve">. </w:t>
      </w:r>
      <w:r w:rsidRPr="002C4FB8">
        <w:rPr>
          <w:rFonts w:cstheme="minorHAnsi"/>
          <w:color w:val="000000"/>
          <w:sz w:val="24"/>
          <w:szCs w:val="24"/>
        </w:rPr>
        <w:t>F.C. Babbitt (</w:t>
      </w:r>
      <w:proofErr w:type="gramStart"/>
      <w:r w:rsidRPr="002C4FB8">
        <w:rPr>
          <w:rFonts w:cstheme="minorHAnsi"/>
          <w:color w:val="000000"/>
          <w:sz w:val="24"/>
          <w:szCs w:val="24"/>
        </w:rPr>
        <w:t>trans</w:t>
      </w:r>
      <w:proofErr w:type="gramEnd"/>
      <w:r w:rsidRPr="002C4FB8">
        <w:rPr>
          <w:rFonts w:cstheme="minorHAnsi"/>
          <w:color w:val="000000"/>
          <w:sz w:val="24"/>
          <w:szCs w:val="24"/>
        </w:rPr>
        <w:t>.). 1931. London: William Heinemann Ltd.</w:t>
      </w:r>
    </w:p>
    <w:p w:rsidR="00107AE4" w:rsidRPr="002C4FB8" w:rsidRDefault="00107AE4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</w:p>
    <w:p w:rsidR="002375CF" w:rsidRPr="002C4FB8" w:rsidRDefault="002375CF" w:rsidP="002C4FB8">
      <w:pPr>
        <w:spacing w:line="360" w:lineRule="auto"/>
        <w:rPr>
          <w:rFonts w:cstheme="minorHAnsi"/>
          <w:color w:val="000000"/>
          <w:sz w:val="24"/>
          <w:szCs w:val="24"/>
          <w:u w:val="single"/>
        </w:rPr>
      </w:pPr>
      <w:r w:rsidRPr="002C4FB8">
        <w:rPr>
          <w:rFonts w:cstheme="minorHAnsi"/>
          <w:color w:val="000000"/>
          <w:sz w:val="24"/>
          <w:szCs w:val="24"/>
          <w:u w:val="single"/>
        </w:rPr>
        <w:t>Modern Scholarship</w:t>
      </w:r>
    </w:p>
    <w:p w:rsidR="00E96D4F" w:rsidRPr="002C4FB8" w:rsidRDefault="00E96D4F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proofErr w:type="spellStart"/>
      <w:r w:rsidRPr="002C4FB8">
        <w:rPr>
          <w:rFonts w:cstheme="minorHAnsi"/>
          <w:color w:val="000000"/>
          <w:sz w:val="24"/>
          <w:szCs w:val="24"/>
        </w:rPr>
        <w:t>Cartledge</w:t>
      </w:r>
      <w:proofErr w:type="spellEnd"/>
      <w:r w:rsidRPr="002C4FB8">
        <w:rPr>
          <w:rFonts w:cstheme="minorHAnsi"/>
          <w:color w:val="000000"/>
          <w:sz w:val="24"/>
          <w:szCs w:val="24"/>
        </w:rPr>
        <w:t xml:space="preserve">, P. 2001. </w:t>
      </w:r>
      <w:r w:rsidRPr="002C4FB8">
        <w:rPr>
          <w:rFonts w:cstheme="minorHAnsi"/>
          <w:i/>
          <w:color w:val="000000"/>
          <w:sz w:val="24"/>
          <w:szCs w:val="24"/>
        </w:rPr>
        <w:t>Spartan Reflections</w:t>
      </w:r>
      <w:r w:rsidRPr="002C4FB8">
        <w:rPr>
          <w:rFonts w:cstheme="minorHAnsi"/>
          <w:color w:val="000000"/>
          <w:sz w:val="24"/>
          <w:szCs w:val="24"/>
        </w:rPr>
        <w:t xml:space="preserve">. </w:t>
      </w:r>
      <w:r w:rsidR="000D3DFB" w:rsidRPr="002C4FB8">
        <w:rPr>
          <w:rFonts w:cstheme="minorHAnsi"/>
          <w:color w:val="000000"/>
          <w:sz w:val="24"/>
          <w:szCs w:val="24"/>
        </w:rPr>
        <w:t xml:space="preserve">London: Gerald Duckworth &amp; Co. Ltd. </w:t>
      </w:r>
    </w:p>
    <w:p w:rsidR="001E58D2" w:rsidRPr="002C4FB8" w:rsidRDefault="00107AE4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proofErr w:type="spellStart"/>
      <w:r w:rsidRPr="002C4FB8">
        <w:rPr>
          <w:rFonts w:cstheme="minorHAnsi"/>
          <w:color w:val="000000"/>
          <w:sz w:val="24"/>
          <w:szCs w:val="24"/>
        </w:rPr>
        <w:t>Cartledge</w:t>
      </w:r>
      <w:proofErr w:type="spellEnd"/>
      <w:r w:rsidRPr="002C4FB8">
        <w:rPr>
          <w:rFonts w:cstheme="minorHAnsi"/>
          <w:color w:val="000000"/>
          <w:sz w:val="24"/>
          <w:szCs w:val="24"/>
        </w:rPr>
        <w:t xml:space="preserve">, P. 2002. </w:t>
      </w:r>
      <w:r w:rsidRPr="002C4FB8">
        <w:rPr>
          <w:rFonts w:cstheme="minorHAnsi"/>
          <w:i/>
          <w:color w:val="000000"/>
          <w:sz w:val="24"/>
          <w:szCs w:val="24"/>
        </w:rPr>
        <w:t xml:space="preserve">Sparta and </w:t>
      </w:r>
      <w:proofErr w:type="spellStart"/>
      <w:r w:rsidRPr="002C4FB8">
        <w:rPr>
          <w:rFonts w:cstheme="minorHAnsi"/>
          <w:i/>
          <w:color w:val="000000"/>
          <w:sz w:val="24"/>
          <w:szCs w:val="24"/>
        </w:rPr>
        <w:t>Lakonia</w:t>
      </w:r>
      <w:proofErr w:type="spellEnd"/>
      <w:r w:rsidRPr="002C4FB8">
        <w:rPr>
          <w:rFonts w:cstheme="minorHAnsi"/>
          <w:i/>
          <w:color w:val="000000"/>
          <w:sz w:val="24"/>
          <w:szCs w:val="24"/>
        </w:rPr>
        <w:t xml:space="preserve">. </w:t>
      </w:r>
      <w:r w:rsidRPr="002C4FB8">
        <w:rPr>
          <w:rFonts w:cstheme="minorHAnsi"/>
          <w:color w:val="000000"/>
          <w:sz w:val="24"/>
          <w:szCs w:val="24"/>
        </w:rPr>
        <w:t xml:space="preserve">London: Routledge. </w:t>
      </w:r>
    </w:p>
    <w:p w:rsidR="006F0359" w:rsidRPr="002C4FB8" w:rsidRDefault="006F0359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2C4FB8">
        <w:rPr>
          <w:rFonts w:cstheme="minorHAnsi"/>
          <w:color w:val="000000"/>
          <w:sz w:val="24"/>
          <w:szCs w:val="24"/>
        </w:rPr>
        <w:t xml:space="preserve">Evans, J.A.S. 1987. ‘Herodotus 9. 73. 3 and the Publication Date of the Histories’, </w:t>
      </w:r>
      <w:r w:rsidRPr="002C4FB8">
        <w:rPr>
          <w:rFonts w:cstheme="minorHAnsi"/>
          <w:i/>
          <w:color w:val="000000"/>
          <w:sz w:val="24"/>
          <w:szCs w:val="24"/>
        </w:rPr>
        <w:t xml:space="preserve">Classical Philology. </w:t>
      </w:r>
      <w:r w:rsidRPr="002C4FB8">
        <w:rPr>
          <w:rFonts w:cstheme="minorHAnsi"/>
          <w:color w:val="000000"/>
          <w:sz w:val="24"/>
          <w:szCs w:val="24"/>
        </w:rPr>
        <w:t>82. 3, 226-228.</w:t>
      </w:r>
    </w:p>
    <w:p w:rsidR="00FB2A62" w:rsidRPr="002C4FB8" w:rsidRDefault="00FB2A62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proofErr w:type="spellStart"/>
      <w:r w:rsidRPr="002C4FB8">
        <w:rPr>
          <w:rFonts w:cstheme="minorHAnsi"/>
          <w:color w:val="000000"/>
          <w:sz w:val="24"/>
          <w:szCs w:val="24"/>
        </w:rPr>
        <w:t>Fornara</w:t>
      </w:r>
      <w:proofErr w:type="spellEnd"/>
      <w:r w:rsidRPr="002C4FB8">
        <w:rPr>
          <w:rFonts w:cstheme="minorHAnsi"/>
          <w:color w:val="000000"/>
          <w:sz w:val="24"/>
          <w:szCs w:val="24"/>
        </w:rPr>
        <w:t>, C.W.</w:t>
      </w:r>
      <w:r w:rsidR="00574B39" w:rsidRPr="002C4FB8">
        <w:rPr>
          <w:rFonts w:cstheme="minorHAnsi"/>
          <w:color w:val="000000"/>
          <w:sz w:val="24"/>
          <w:szCs w:val="24"/>
        </w:rPr>
        <w:t xml:space="preserve"> 1971.</w:t>
      </w:r>
      <w:r w:rsidRPr="002C4FB8">
        <w:rPr>
          <w:rFonts w:cstheme="minorHAnsi"/>
          <w:color w:val="000000"/>
          <w:sz w:val="24"/>
          <w:szCs w:val="24"/>
        </w:rPr>
        <w:t xml:space="preserve"> ‘Evidence for the Date of Herodotus’ Publication’, </w:t>
      </w:r>
      <w:proofErr w:type="gramStart"/>
      <w:r w:rsidRPr="002C4FB8">
        <w:rPr>
          <w:rFonts w:cstheme="minorHAnsi"/>
          <w:i/>
          <w:color w:val="000000"/>
          <w:sz w:val="24"/>
          <w:szCs w:val="24"/>
        </w:rPr>
        <w:t>The</w:t>
      </w:r>
      <w:proofErr w:type="gramEnd"/>
      <w:r w:rsidRPr="002C4FB8">
        <w:rPr>
          <w:rFonts w:cstheme="minorHAnsi"/>
          <w:i/>
          <w:color w:val="000000"/>
          <w:sz w:val="24"/>
          <w:szCs w:val="24"/>
        </w:rPr>
        <w:t xml:space="preserve"> Journal of Hellenistic Studies. </w:t>
      </w:r>
      <w:r w:rsidRPr="002C4FB8">
        <w:rPr>
          <w:rFonts w:cstheme="minorHAnsi"/>
          <w:color w:val="000000"/>
          <w:sz w:val="24"/>
          <w:szCs w:val="24"/>
        </w:rPr>
        <w:t>91. 25-34.</w:t>
      </w:r>
    </w:p>
    <w:p w:rsidR="003C6C6C" w:rsidRPr="002C4FB8" w:rsidRDefault="003C6C6C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2C4FB8">
        <w:rPr>
          <w:rFonts w:cstheme="minorHAnsi"/>
          <w:color w:val="000000"/>
          <w:sz w:val="24"/>
          <w:szCs w:val="24"/>
        </w:rPr>
        <w:t xml:space="preserve">Forrest, W.G. 1995. </w:t>
      </w:r>
      <w:r w:rsidRPr="002C4FB8">
        <w:rPr>
          <w:rFonts w:cstheme="minorHAnsi"/>
          <w:i/>
          <w:color w:val="000000"/>
          <w:sz w:val="24"/>
          <w:szCs w:val="24"/>
        </w:rPr>
        <w:t xml:space="preserve">A History of Sparta. </w:t>
      </w:r>
      <w:r w:rsidRPr="002C4FB8">
        <w:rPr>
          <w:rFonts w:cstheme="minorHAnsi"/>
          <w:color w:val="000000"/>
          <w:sz w:val="24"/>
          <w:szCs w:val="24"/>
        </w:rPr>
        <w:t xml:space="preserve">London: Bristol Classical Press. </w:t>
      </w:r>
    </w:p>
    <w:p w:rsidR="00FB2A62" w:rsidRPr="002C4FB8" w:rsidRDefault="00FB2A62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2C4FB8">
        <w:rPr>
          <w:rFonts w:cstheme="minorHAnsi"/>
          <w:color w:val="000000"/>
          <w:sz w:val="24"/>
          <w:szCs w:val="24"/>
        </w:rPr>
        <w:t>Hodkinson, S. 2002. ‘</w:t>
      </w:r>
      <w:proofErr w:type="spellStart"/>
      <w:r w:rsidRPr="002C4FB8">
        <w:rPr>
          <w:rFonts w:cstheme="minorHAnsi"/>
          <w:color w:val="000000"/>
          <w:sz w:val="24"/>
          <w:szCs w:val="24"/>
        </w:rPr>
        <w:t>Spartiate</w:t>
      </w:r>
      <w:proofErr w:type="spellEnd"/>
      <w:r w:rsidRPr="002C4FB8">
        <w:rPr>
          <w:rFonts w:cstheme="minorHAnsi"/>
          <w:color w:val="000000"/>
          <w:sz w:val="24"/>
          <w:szCs w:val="24"/>
        </w:rPr>
        <w:t xml:space="preserve"> Landownership and inheritance’, in M. Whitby (</w:t>
      </w:r>
      <w:proofErr w:type="gramStart"/>
      <w:r w:rsidRPr="002C4FB8">
        <w:rPr>
          <w:rFonts w:cstheme="minorHAnsi"/>
          <w:color w:val="000000"/>
          <w:sz w:val="24"/>
          <w:szCs w:val="24"/>
        </w:rPr>
        <w:t>ed</w:t>
      </w:r>
      <w:proofErr w:type="gramEnd"/>
      <w:r w:rsidRPr="002C4FB8">
        <w:rPr>
          <w:rFonts w:cstheme="minorHAnsi"/>
          <w:color w:val="000000"/>
          <w:sz w:val="24"/>
          <w:szCs w:val="24"/>
        </w:rPr>
        <w:t xml:space="preserve">.). </w:t>
      </w:r>
      <w:r w:rsidRPr="002C4FB8">
        <w:rPr>
          <w:rFonts w:cstheme="minorHAnsi"/>
          <w:i/>
          <w:color w:val="000000"/>
          <w:sz w:val="24"/>
          <w:szCs w:val="24"/>
        </w:rPr>
        <w:t xml:space="preserve">Sparta. </w:t>
      </w:r>
      <w:r w:rsidRPr="002C4FB8">
        <w:rPr>
          <w:rFonts w:cstheme="minorHAnsi"/>
          <w:color w:val="000000"/>
          <w:sz w:val="24"/>
          <w:szCs w:val="24"/>
        </w:rPr>
        <w:t>86-89</w:t>
      </w:r>
      <w:r w:rsidR="00445CEA" w:rsidRPr="002C4FB8">
        <w:rPr>
          <w:rFonts w:cstheme="minorHAnsi"/>
          <w:color w:val="000000"/>
          <w:sz w:val="24"/>
          <w:szCs w:val="24"/>
        </w:rPr>
        <w:t>.</w:t>
      </w:r>
    </w:p>
    <w:p w:rsidR="007818BF" w:rsidRPr="002C4FB8" w:rsidRDefault="007818BF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2C4FB8">
        <w:rPr>
          <w:rFonts w:cstheme="minorHAnsi"/>
          <w:color w:val="000000"/>
          <w:sz w:val="24"/>
          <w:szCs w:val="24"/>
        </w:rPr>
        <w:t>Larson, S. 2006. ‘</w:t>
      </w:r>
      <w:proofErr w:type="spellStart"/>
      <w:r w:rsidRPr="002C4FB8">
        <w:rPr>
          <w:rFonts w:cstheme="minorHAnsi"/>
          <w:color w:val="000000"/>
          <w:sz w:val="24"/>
          <w:szCs w:val="24"/>
        </w:rPr>
        <w:t>Kandaules</w:t>
      </w:r>
      <w:proofErr w:type="spellEnd"/>
      <w:r w:rsidRPr="002C4FB8">
        <w:rPr>
          <w:rFonts w:cstheme="minorHAnsi"/>
          <w:color w:val="000000"/>
          <w:sz w:val="24"/>
          <w:szCs w:val="24"/>
        </w:rPr>
        <w:t xml:space="preserve">’ Wife, </w:t>
      </w:r>
      <w:proofErr w:type="spellStart"/>
      <w:r w:rsidRPr="002C4FB8">
        <w:rPr>
          <w:rFonts w:cstheme="minorHAnsi"/>
          <w:color w:val="000000"/>
          <w:sz w:val="24"/>
          <w:szCs w:val="24"/>
        </w:rPr>
        <w:t>Masistes</w:t>
      </w:r>
      <w:proofErr w:type="spellEnd"/>
      <w:r w:rsidRPr="002C4FB8">
        <w:rPr>
          <w:rFonts w:cstheme="minorHAnsi"/>
          <w:color w:val="000000"/>
          <w:sz w:val="24"/>
          <w:szCs w:val="24"/>
        </w:rPr>
        <w:t>’ Wife: Herodotus’ Narrative Strategy in Suppressing Names of Women (</w:t>
      </w:r>
      <w:proofErr w:type="spellStart"/>
      <w:r w:rsidRPr="002C4FB8">
        <w:rPr>
          <w:rFonts w:cstheme="minorHAnsi"/>
          <w:color w:val="000000"/>
          <w:sz w:val="24"/>
          <w:szCs w:val="24"/>
        </w:rPr>
        <w:t>Hdt</w:t>
      </w:r>
      <w:proofErr w:type="spellEnd"/>
      <w:r w:rsidRPr="002C4FB8">
        <w:rPr>
          <w:rFonts w:cstheme="minorHAnsi"/>
          <w:color w:val="000000"/>
          <w:sz w:val="24"/>
          <w:szCs w:val="24"/>
        </w:rPr>
        <w:t>. 1.8-12 and 9.108-13)’</w:t>
      </w:r>
      <w:r w:rsidR="007A3306" w:rsidRPr="002C4FB8">
        <w:rPr>
          <w:rFonts w:cstheme="minorHAnsi"/>
          <w:color w:val="000000"/>
          <w:sz w:val="24"/>
          <w:szCs w:val="24"/>
        </w:rPr>
        <w:t>,</w:t>
      </w:r>
      <w:r w:rsidRPr="002C4FB8">
        <w:rPr>
          <w:rFonts w:cstheme="minorHAnsi"/>
          <w:color w:val="000000"/>
          <w:sz w:val="24"/>
          <w:szCs w:val="24"/>
        </w:rPr>
        <w:t xml:space="preserve"> </w:t>
      </w:r>
      <w:r w:rsidRPr="002C4FB8">
        <w:rPr>
          <w:rFonts w:cstheme="minorHAnsi"/>
          <w:i/>
          <w:color w:val="000000"/>
          <w:sz w:val="24"/>
          <w:szCs w:val="24"/>
        </w:rPr>
        <w:t xml:space="preserve">Classical Association of the Middle West &amp; South Inc. </w:t>
      </w:r>
      <w:r w:rsidRPr="002C4FB8">
        <w:rPr>
          <w:rFonts w:cstheme="minorHAnsi"/>
          <w:color w:val="000000"/>
          <w:sz w:val="24"/>
          <w:szCs w:val="24"/>
        </w:rPr>
        <w:t xml:space="preserve">101. 3, 225-245. </w:t>
      </w:r>
    </w:p>
    <w:p w:rsidR="00E0594D" w:rsidRPr="002C4FB8" w:rsidRDefault="00E0594D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proofErr w:type="spellStart"/>
      <w:r w:rsidRPr="002C4FB8">
        <w:rPr>
          <w:rFonts w:cstheme="minorHAnsi"/>
          <w:color w:val="000000"/>
          <w:sz w:val="24"/>
          <w:szCs w:val="24"/>
        </w:rPr>
        <w:t>Myres</w:t>
      </w:r>
      <w:proofErr w:type="spellEnd"/>
      <w:r w:rsidRPr="002C4FB8">
        <w:rPr>
          <w:rFonts w:cstheme="minorHAnsi"/>
          <w:color w:val="000000"/>
          <w:sz w:val="24"/>
          <w:szCs w:val="24"/>
        </w:rPr>
        <w:t xml:space="preserve">, J.L. 1966. </w:t>
      </w:r>
      <w:r w:rsidRPr="002C4FB8">
        <w:rPr>
          <w:rFonts w:cstheme="minorHAnsi"/>
          <w:i/>
          <w:color w:val="000000"/>
          <w:sz w:val="24"/>
          <w:szCs w:val="24"/>
        </w:rPr>
        <w:t xml:space="preserve">Herodotus: Father of History. </w:t>
      </w:r>
      <w:r w:rsidRPr="002C4FB8">
        <w:rPr>
          <w:rFonts w:cstheme="minorHAnsi"/>
          <w:color w:val="000000"/>
          <w:sz w:val="24"/>
          <w:szCs w:val="24"/>
        </w:rPr>
        <w:t xml:space="preserve">London: Oxford University Press. </w:t>
      </w:r>
    </w:p>
    <w:p w:rsidR="00AD4025" w:rsidRPr="002C4FB8" w:rsidRDefault="00AD4025" w:rsidP="002C4FB8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2C4FB8">
        <w:rPr>
          <w:rFonts w:cstheme="minorHAnsi"/>
          <w:color w:val="000000"/>
          <w:sz w:val="24"/>
          <w:szCs w:val="24"/>
        </w:rPr>
        <w:t xml:space="preserve">Waters, K.H. 1985. </w:t>
      </w:r>
      <w:r w:rsidR="006C0E14" w:rsidRPr="002C4FB8">
        <w:rPr>
          <w:rFonts w:cstheme="minorHAnsi"/>
          <w:i/>
          <w:color w:val="000000"/>
          <w:sz w:val="24"/>
          <w:szCs w:val="24"/>
        </w:rPr>
        <w:t>Herodotus the Historian: His problems, methods and originality.</w:t>
      </w:r>
      <w:r w:rsidRPr="002C4FB8">
        <w:rPr>
          <w:rFonts w:cstheme="minorHAnsi"/>
          <w:i/>
          <w:color w:val="000000"/>
          <w:sz w:val="24"/>
          <w:szCs w:val="24"/>
        </w:rPr>
        <w:t xml:space="preserve"> </w:t>
      </w:r>
      <w:r w:rsidRPr="002C4FB8">
        <w:rPr>
          <w:rFonts w:cstheme="minorHAnsi"/>
          <w:color w:val="000000"/>
          <w:sz w:val="24"/>
          <w:szCs w:val="24"/>
        </w:rPr>
        <w:t xml:space="preserve">London: </w:t>
      </w:r>
      <w:proofErr w:type="spellStart"/>
      <w:r w:rsidRPr="002C4FB8">
        <w:rPr>
          <w:rFonts w:cstheme="minorHAnsi"/>
          <w:color w:val="000000"/>
          <w:sz w:val="24"/>
          <w:szCs w:val="24"/>
        </w:rPr>
        <w:t>Croom</w:t>
      </w:r>
      <w:proofErr w:type="spellEnd"/>
      <w:r w:rsidRPr="002C4FB8">
        <w:rPr>
          <w:rFonts w:cstheme="minorHAnsi"/>
          <w:color w:val="000000"/>
          <w:sz w:val="24"/>
          <w:szCs w:val="24"/>
        </w:rPr>
        <w:t xml:space="preserve"> Helm.</w:t>
      </w:r>
    </w:p>
    <w:p w:rsidR="008C5A4B" w:rsidRPr="002C4FB8" w:rsidRDefault="008C5A4B" w:rsidP="002C4FB8">
      <w:pPr>
        <w:spacing w:line="360" w:lineRule="auto"/>
        <w:rPr>
          <w:rFonts w:cstheme="minorHAnsi"/>
          <w:sz w:val="24"/>
          <w:szCs w:val="24"/>
        </w:rPr>
      </w:pPr>
      <w:r w:rsidRPr="002C4FB8">
        <w:rPr>
          <w:rFonts w:cstheme="minorHAnsi"/>
          <w:color w:val="000000"/>
          <w:sz w:val="24"/>
          <w:szCs w:val="24"/>
        </w:rPr>
        <w:t xml:space="preserve">Wells, J. 1928. </w:t>
      </w:r>
      <w:r w:rsidR="007A3306" w:rsidRPr="002C4FB8">
        <w:rPr>
          <w:rFonts w:cstheme="minorHAnsi"/>
          <w:color w:val="000000"/>
          <w:sz w:val="24"/>
          <w:szCs w:val="24"/>
        </w:rPr>
        <w:t>‘</w:t>
      </w:r>
      <w:r w:rsidRPr="002C4FB8">
        <w:rPr>
          <w:rFonts w:cstheme="minorHAnsi"/>
          <w:color w:val="000000"/>
          <w:sz w:val="24"/>
          <w:szCs w:val="24"/>
        </w:rPr>
        <w:t>Herodotus and Athens</w:t>
      </w:r>
      <w:r w:rsidR="007A3306" w:rsidRPr="002C4FB8">
        <w:rPr>
          <w:rFonts w:cstheme="minorHAnsi"/>
          <w:color w:val="000000"/>
          <w:sz w:val="24"/>
          <w:szCs w:val="24"/>
        </w:rPr>
        <w:t>’,</w:t>
      </w:r>
      <w:r w:rsidRPr="002C4FB8">
        <w:rPr>
          <w:rFonts w:cstheme="minorHAnsi"/>
          <w:i/>
          <w:color w:val="000000"/>
          <w:sz w:val="24"/>
          <w:szCs w:val="24"/>
        </w:rPr>
        <w:t xml:space="preserve"> Classical Philology. </w:t>
      </w:r>
      <w:r w:rsidRPr="002C4FB8">
        <w:rPr>
          <w:rFonts w:cstheme="minorHAnsi"/>
          <w:color w:val="000000"/>
          <w:sz w:val="24"/>
          <w:szCs w:val="24"/>
        </w:rPr>
        <w:t xml:space="preserve">23. 317-332. </w:t>
      </w:r>
    </w:p>
    <w:sectPr w:rsidR="008C5A4B" w:rsidRPr="002C4F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96C42" w:rsidRDefault="00F96C42" w:rsidP="00A2639D">
      <w:pPr>
        <w:spacing w:after="0" w:line="240" w:lineRule="auto"/>
      </w:pPr>
      <w:r>
        <w:separator/>
      </w:r>
    </w:p>
  </w:endnote>
  <w:endnote w:type="continuationSeparator" w:id="0">
    <w:p w:rsidR="00F96C42" w:rsidRDefault="00F96C42" w:rsidP="00A263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96C42" w:rsidRDefault="00F96C42" w:rsidP="00A2639D">
      <w:pPr>
        <w:spacing w:after="0" w:line="240" w:lineRule="auto"/>
      </w:pPr>
      <w:r>
        <w:separator/>
      </w:r>
    </w:p>
  </w:footnote>
  <w:footnote w:type="continuationSeparator" w:id="0">
    <w:p w:rsidR="00F96C42" w:rsidRDefault="00F96C42" w:rsidP="00A2639D">
      <w:pPr>
        <w:spacing w:after="0" w:line="240" w:lineRule="auto"/>
      </w:pPr>
      <w:r>
        <w:continuationSeparator/>
      </w:r>
    </w:p>
  </w:footnote>
  <w:footnote w:id="1">
    <w:p w:rsidR="009E5A6E" w:rsidRDefault="009E5A6E" w:rsidP="009E5A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Myres</w:t>
      </w:r>
      <w:proofErr w:type="spellEnd"/>
      <w:r>
        <w:t xml:space="preserve"> 1966: 174-176; Waters 1985: 125</w:t>
      </w:r>
    </w:p>
  </w:footnote>
  <w:footnote w:id="2">
    <w:p w:rsidR="00A04CFA" w:rsidRDefault="00A04CFA" w:rsidP="00A04C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5.48-52</w:t>
      </w:r>
    </w:p>
  </w:footnote>
  <w:footnote w:id="3">
    <w:p w:rsidR="00813676" w:rsidRDefault="008136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5.51</w:t>
      </w:r>
    </w:p>
  </w:footnote>
  <w:footnote w:id="4">
    <w:p w:rsidR="00574B39" w:rsidRDefault="00574B39">
      <w:pPr>
        <w:pStyle w:val="FootnoteText"/>
      </w:pPr>
      <w:r>
        <w:rPr>
          <w:rStyle w:val="FootnoteReference"/>
        </w:rPr>
        <w:footnoteRef/>
      </w:r>
      <w:r>
        <w:t xml:space="preserve"> Evans 1987: 228; </w:t>
      </w:r>
      <w:proofErr w:type="spellStart"/>
      <w:r>
        <w:t>Fornora</w:t>
      </w:r>
      <w:proofErr w:type="spellEnd"/>
      <w:r>
        <w:t xml:space="preserve"> 1971: 25</w:t>
      </w:r>
    </w:p>
  </w:footnote>
  <w:footnote w:id="5">
    <w:p w:rsidR="00EC7F4C" w:rsidRDefault="00EC7F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 xml:space="preserve">. 1.1; </w:t>
      </w:r>
      <w:proofErr w:type="spellStart"/>
      <w:r w:rsidR="00EE0443">
        <w:t>Myres</w:t>
      </w:r>
      <w:proofErr w:type="spellEnd"/>
      <w:r w:rsidR="00EE0443">
        <w:t xml:space="preserve"> 1966: 4; </w:t>
      </w:r>
      <w:r>
        <w:t>Waters 1985: 1, 34-45</w:t>
      </w:r>
      <w:r w:rsidR="00EE0443">
        <w:t>, 76</w:t>
      </w:r>
    </w:p>
  </w:footnote>
  <w:footnote w:id="6">
    <w:p w:rsidR="00D22AC0" w:rsidRDefault="00D22A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566950">
        <w:t>FGrH</w:t>
      </w:r>
      <w:proofErr w:type="spellEnd"/>
      <w:r w:rsidR="00566950">
        <w:t xml:space="preserve"> 1.1; </w:t>
      </w:r>
      <w:proofErr w:type="spellStart"/>
      <w:r w:rsidR="00566950">
        <w:t>Hdt</w:t>
      </w:r>
      <w:proofErr w:type="spellEnd"/>
      <w:r w:rsidR="00566950">
        <w:t xml:space="preserve">. 1.1; </w:t>
      </w:r>
      <w:r>
        <w:t>Waters 1985: 34-36</w:t>
      </w:r>
    </w:p>
  </w:footnote>
  <w:footnote w:id="7">
    <w:p w:rsidR="00D22AC0" w:rsidRDefault="00D22A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Myres</w:t>
      </w:r>
      <w:proofErr w:type="spellEnd"/>
      <w:r>
        <w:t xml:space="preserve"> 1966: 11</w:t>
      </w:r>
      <w:r w:rsidR="00A0778D">
        <w:t>; Waters 1985: 123</w:t>
      </w:r>
      <w:r w:rsidR="00432135">
        <w:t>;</w:t>
      </w:r>
      <w:r w:rsidR="00432135" w:rsidRPr="00432135">
        <w:t xml:space="preserve"> </w:t>
      </w:r>
      <w:r w:rsidR="00432135">
        <w:t>Wells 1928: 320-331</w:t>
      </w:r>
    </w:p>
  </w:footnote>
  <w:footnote w:id="8">
    <w:p w:rsidR="00531864" w:rsidRDefault="00531864" w:rsidP="00531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 xml:space="preserve">. 5.97, 7.139; </w:t>
      </w:r>
      <w:proofErr w:type="spellStart"/>
      <w:r>
        <w:t>Cartledge</w:t>
      </w:r>
      <w:proofErr w:type="spellEnd"/>
      <w:r>
        <w:t xml:space="preserve"> 2002: 124; Waters 1985: 130-131; Wells 1928: 320-331.</w:t>
      </w:r>
    </w:p>
  </w:footnote>
  <w:footnote w:id="9">
    <w:p w:rsidR="00E2582D" w:rsidRDefault="00E2582D">
      <w:pPr>
        <w:pStyle w:val="FootnoteText"/>
      </w:pPr>
      <w:r>
        <w:rPr>
          <w:rStyle w:val="FootnoteReference"/>
        </w:rPr>
        <w:footnoteRef/>
      </w:r>
      <w:r>
        <w:t xml:space="preserve"> Waters 1985: 131</w:t>
      </w:r>
    </w:p>
  </w:footnote>
  <w:footnote w:id="10">
    <w:p w:rsidR="00BE2430" w:rsidRDefault="00BE24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5.51; Waters 1985: 130-131</w:t>
      </w:r>
    </w:p>
  </w:footnote>
  <w:footnote w:id="11">
    <w:p w:rsidR="00107AE4" w:rsidRDefault="00107AE4" w:rsidP="00107A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 xml:space="preserve">. 5.51; </w:t>
      </w:r>
      <w:proofErr w:type="spellStart"/>
      <w:r>
        <w:t>Cartledge</w:t>
      </w:r>
      <w:proofErr w:type="spellEnd"/>
      <w:r>
        <w:t xml:space="preserve"> 2002: 124; Waters 1985: 130-131</w:t>
      </w:r>
    </w:p>
  </w:footnote>
  <w:footnote w:id="12">
    <w:p w:rsidR="003C31FB" w:rsidRDefault="003C31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5.51.2</w:t>
      </w:r>
    </w:p>
  </w:footnote>
  <w:footnote w:id="13">
    <w:p w:rsidR="00A2639D" w:rsidRDefault="00A263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5.51</w:t>
      </w:r>
    </w:p>
  </w:footnote>
  <w:footnote w:id="14">
    <w:p w:rsidR="00A2639D" w:rsidRDefault="00A263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</w:t>
      </w:r>
      <w:r w:rsidR="001E58D2">
        <w:t xml:space="preserve"> 7.239; Hodkinson </w:t>
      </w:r>
      <w:r w:rsidR="003C6C6C">
        <w:t xml:space="preserve">2002: </w:t>
      </w:r>
      <w:r w:rsidR="001E58D2">
        <w:t xml:space="preserve">88-89; </w:t>
      </w:r>
      <w:r w:rsidR="003C6C6C">
        <w:t>Forrest 1995: 89</w:t>
      </w:r>
    </w:p>
  </w:footnote>
  <w:footnote w:id="15">
    <w:p w:rsidR="00465D9A" w:rsidRDefault="00465D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1.196</w:t>
      </w:r>
      <w:r w:rsidR="007818BF">
        <w:t>; Larson 2006: 225-226</w:t>
      </w:r>
    </w:p>
  </w:footnote>
  <w:footnote w:id="16">
    <w:p w:rsidR="009209EC" w:rsidRDefault="009209EC" w:rsidP="009209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5.51.1</w:t>
      </w:r>
    </w:p>
  </w:footnote>
  <w:footnote w:id="17">
    <w:p w:rsidR="009209EC" w:rsidRDefault="009209EC" w:rsidP="009209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5.51.1</w:t>
      </w:r>
    </w:p>
  </w:footnote>
  <w:footnote w:id="18">
    <w:p w:rsidR="00566950" w:rsidRDefault="00566950" w:rsidP="005669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1.51</w:t>
      </w:r>
    </w:p>
  </w:footnote>
  <w:footnote w:id="19">
    <w:p w:rsidR="00566950" w:rsidRDefault="005669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1.1</w:t>
      </w:r>
    </w:p>
  </w:footnote>
  <w:footnote w:id="20">
    <w:p w:rsidR="00A0778D" w:rsidRDefault="00A0778D">
      <w:pPr>
        <w:pStyle w:val="FootnoteText"/>
      </w:pPr>
      <w:r>
        <w:rPr>
          <w:rStyle w:val="FootnoteReference"/>
        </w:rPr>
        <w:footnoteRef/>
      </w:r>
      <w:r>
        <w:t xml:space="preserve"> Waters 1985: 120</w:t>
      </w:r>
    </w:p>
  </w:footnote>
  <w:footnote w:id="21">
    <w:p w:rsidR="00A0778D" w:rsidRDefault="00A0778D">
      <w:pPr>
        <w:pStyle w:val="FootnoteText"/>
      </w:pPr>
      <w:r>
        <w:rPr>
          <w:rStyle w:val="FootnoteReference"/>
        </w:rPr>
        <w:footnoteRef/>
      </w:r>
      <w:r>
        <w:t xml:space="preserve"> Waters 1985: 119-122</w:t>
      </w:r>
    </w:p>
  </w:footnote>
  <w:footnote w:id="22">
    <w:p w:rsidR="009209EC" w:rsidRDefault="009209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>. 1.48-1.52; Waters 1985: 125-126</w:t>
      </w:r>
    </w:p>
  </w:footnote>
  <w:footnote w:id="23">
    <w:p w:rsidR="003C31FB" w:rsidRDefault="003C31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 xml:space="preserve">. 1.51; </w:t>
      </w:r>
      <w:proofErr w:type="spellStart"/>
      <w:r>
        <w:t>Plut</w:t>
      </w:r>
      <w:proofErr w:type="spellEnd"/>
      <w:r>
        <w:t xml:space="preserve">. </w:t>
      </w:r>
      <w:proofErr w:type="spellStart"/>
      <w:r w:rsidRPr="003C31FB">
        <w:rPr>
          <w:i/>
        </w:rPr>
        <w:t>Lacae</w:t>
      </w:r>
      <w:proofErr w:type="spellEnd"/>
      <w:r>
        <w:t>. 3</w:t>
      </w:r>
    </w:p>
  </w:footnote>
  <w:footnote w:id="24">
    <w:p w:rsidR="00566950" w:rsidRDefault="005669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Plut</w:t>
      </w:r>
      <w:proofErr w:type="spellEnd"/>
      <w:r>
        <w:t xml:space="preserve">. </w:t>
      </w:r>
      <w:proofErr w:type="spellStart"/>
      <w:r w:rsidRPr="002375CF">
        <w:rPr>
          <w:i/>
        </w:rPr>
        <w:t>Lacae</w:t>
      </w:r>
      <w:proofErr w:type="spellEnd"/>
      <w:r w:rsidRPr="002375CF">
        <w:rPr>
          <w:i/>
        </w:rPr>
        <w:t>.</w:t>
      </w:r>
      <w:r>
        <w:t xml:space="preserve"> 3</w:t>
      </w:r>
    </w:p>
  </w:footnote>
  <w:footnote w:id="25">
    <w:p w:rsidR="002375CF" w:rsidRDefault="002375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 xml:space="preserve">. 1.48-1.52; </w:t>
      </w:r>
      <w:proofErr w:type="spellStart"/>
      <w:r>
        <w:t>Plut</w:t>
      </w:r>
      <w:proofErr w:type="spellEnd"/>
      <w:r>
        <w:t xml:space="preserve">. </w:t>
      </w:r>
      <w:proofErr w:type="spellStart"/>
      <w:r w:rsidRPr="002375CF">
        <w:rPr>
          <w:i/>
        </w:rPr>
        <w:t>Lacae</w:t>
      </w:r>
      <w:proofErr w:type="spellEnd"/>
      <w:r>
        <w:t>. 3</w:t>
      </w:r>
    </w:p>
  </w:footnote>
  <w:footnote w:id="26">
    <w:p w:rsidR="002375CF" w:rsidRDefault="002375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Plut</w:t>
      </w:r>
      <w:proofErr w:type="spellEnd"/>
      <w:r>
        <w:t xml:space="preserve">. </w:t>
      </w:r>
      <w:proofErr w:type="spellStart"/>
      <w:r w:rsidRPr="002375CF">
        <w:rPr>
          <w:i/>
        </w:rPr>
        <w:t>Lacae</w:t>
      </w:r>
      <w:proofErr w:type="spellEnd"/>
      <w:r>
        <w:t>. 3</w:t>
      </w:r>
    </w:p>
  </w:footnote>
  <w:footnote w:id="27">
    <w:p w:rsidR="002375CF" w:rsidRDefault="002375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 xml:space="preserve">. 1.51; </w:t>
      </w:r>
      <w:proofErr w:type="spellStart"/>
      <w:r>
        <w:t>Cartledge</w:t>
      </w:r>
      <w:proofErr w:type="spellEnd"/>
      <w:r>
        <w:t xml:space="preserve"> 2002: 124</w:t>
      </w:r>
    </w:p>
  </w:footnote>
  <w:footnote w:id="28">
    <w:p w:rsidR="003C31FB" w:rsidRDefault="003C31FB">
      <w:pPr>
        <w:pStyle w:val="FootnoteText"/>
      </w:pPr>
      <w:r>
        <w:rPr>
          <w:rStyle w:val="FootnoteReference"/>
        </w:rPr>
        <w:footnoteRef/>
      </w:r>
      <w:r w:rsidR="00E96D4F">
        <w:t xml:space="preserve"> </w:t>
      </w:r>
      <w:proofErr w:type="spellStart"/>
      <w:r w:rsidR="00E96D4F">
        <w:t>Hdt</w:t>
      </w:r>
      <w:proofErr w:type="spellEnd"/>
      <w:r w:rsidR="00E96D4F">
        <w:t>. 1.48-52</w:t>
      </w:r>
    </w:p>
  </w:footnote>
  <w:footnote w:id="29">
    <w:p w:rsidR="00E96D4F" w:rsidRDefault="00E96D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 xml:space="preserve">. 1.51; </w:t>
      </w:r>
      <w:proofErr w:type="spellStart"/>
      <w:r>
        <w:t>Plut</w:t>
      </w:r>
      <w:proofErr w:type="spellEnd"/>
      <w:r>
        <w:t>.</w:t>
      </w:r>
      <w:r w:rsidRPr="00E96D4F">
        <w:rPr>
          <w:i/>
        </w:rPr>
        <w:t xml:space="preserve"> </w:t>
      </w:r>
      <w:proofErr w:type="spellStart"/>
      <w:r w:rsidRPr="00E96D4F">
        <w:rPr>
          <w:i/>
        </w:rPr>
        <w:t>Lacae</w:t>
      </w:r>
      <w:proofErr w:type="spellEnd"/>
      <w:r>
        <w:t xml:space="preserve">. 3; </w:t>
      </w:r>
      <w:proofErr w:type="spellStart"/>
      <w:r>
        <w:t>Cartledge</w:t>
      </w:r>
      <w:proofErr w:type="spellEnd"/>
      <w:r>
        <w:t xml:space="preserve"> 2001: </w:t>
      </w:r>
      <w:r w:rsidR="000D3DFB">
        <w:t xml:space="preserve">3, 150, </w:t>
      </w:r>
      <w:r>
        <w:t>106-114</w:t>
      </w:r>
    </w:p>
  </w:footnote>
  <w:footnote w:id="30">
    <w:p w:rsidR="000D3DFB" w:rsidRDefault="000D3D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Hdt</w:t>
      </w:r>
      <w:proofErr w:type="spellEnd"/>
      <w:r>
        <w:t xml:space="preserve">. 1.51; </w:t>
      </w:r>
      <w:proofErr w:type="spellStart"/>
      <w:r>
        <w:t>Plut</w:t>
      </w:r>
      <w:proofErr w:type="spellEnd"/>
      <w:r>
        <w:t>.</w:t>
      </w:r>
      <w:r w:rsidRPr="00E96D4F">
        <w:rPr>
          <w:i/>
        </w:rPr>
        <w:t xml:space="preserve"> </w:t>
      </w:r>
      <w:proofErr w:type="spellStart"/>
      <w:r w:rsidRPr="00E96D4F">
        <w:rPr>
          <w:i/>
        </w:rPr>
        <w:t>Lacae</w:t>
      </w:r>
      <w:proofErr w:type="spellEnd"/>
      <w:r>
        <w:t xml:space="preserve">. 3; </w:t>
      </w:r>
      <w:proofErr w:type="spellStart"/>
      <w:r>
        <w:t>Cartledge</w:t>
      </w:r>
      <w:proofErr w:type="spellEnd"/>
      <w:r>
        <w:t xml:space="preserve"> 2001: 150;</w:t>
      </w:r>
      <w:r w:rsidRPr="000D3DFB">
        <w:t xml:space="preserve"> </w:t>
      </w:r>
      <w:r>
        <w:t>Waters 1985: 131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639D"/>
    <w:rsid w:val="000D3DFB"/>
    <w:rsid w:val="00107AE4"/>
    <w:rsid w:val="001A403B"/>
    <w:rsid w:val="001B6E60"/>
    <w:rsid w:val="001D1BE2"/>
    <w:rsid w:val="001E2253"/>
    <w:rsid w:val="001E58D2"/>
    <w:rsid w:val="001F781B"/>
    <w:rsid w:val="00211602"/>
    <w:rsid w:val="002375CF"/>
    <w:rsid w:val="002C4FB8"/>
    <w:rsid w:val="00322EEF"/>
    <w:rsid w:val="003C31FB"/>
    <w:rsid w:val="003C6C6C"/>
    <w:rsid w:val="00432135"/>
    <w:rsid w:val="00445CEA"/>
    <w:rsid w:val="00465D9A"/>
    <w:rsid w:val="00473F5D"/>
    <w:rsid w:val="00523CE3"/>
    <w:rsid w:val="00531864"/>
    <w:rsid w:val="00545134"/>
    <w:rsid w:val="00566950"/>
    <w:rsid w:val="00574B39"/>
    <w:rsid w:val="00584010"/>
    <w:rsid w:val="005F0460"/>
    <w:rsid w:val="006436CE"/>
    <w:rsid w:val="00665996"/>
    <w:rsid w:val="006C0E14"/>
    <w:rsid w:val="006F0359"/>
    <w:rsid w:val="0076578B"/>
    <w:rsid w:val="007818BF"/>
    <w:rsid w:val="007A3306"/>
    <w:rsid w:val="00813676"/>
    <w:rsid w:val="008509C3"/>
    <w:rsid w:val="008638E1"/>
    <w:rsid w:val="008C5A4B"/>
    <w:rsid w:val="009209EC"/>
    <w:rsid w:val="009E5A6E"/>
    <w:rsid w:val="00A04CFA"/>
    <w:rsid w:val="00A0778D"/>
    <w:rsid w:val="00A143C1"/>
    <w:rsid w:val="00A2639D"/>
    <w:rsid w:val="00AD4025"/>
    <w:rsid w:val="00B054BA"/>
    <w:rsid w:val="00BE2430"/>
    <w:rsid w:val="00BF7A87"/>
    <w:rsid w:val="00C20018"/>
    <w:rsid w:val="00CF4F9B"/>
    <w:rsid w:val="00D22AC0"/>
    <w:rsid w:val="00DD3C39"/>
    <w:rsid w:val="00DE54C4"/>
    <w:rsid w:val="00E0594D"/>
    <w:rsid w:val="00E2582D"/>
    <w:rsid w:val="00E612AC"/>
    <w:rsid w:val="00E96D4F"/>
    <w:rsid w:val="00EC7F4C"/>
    <w:rsid w:val="00EE0443"/>
    <w:rsid w:val="00F04D8B"/>
    <w:rsid w:val="00F96C42"/>
    <w:rsid w:val="00FB2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39869"/>
  <w15:chartTrackingRefBased/>
  <w15:docId w15:val="{58EA8B92-64D8-4CB0-8FEF-1CC2C46F9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2639D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2639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2639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2639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erseus.tufts.edu/hopper/morph?l=de%5C&amp;la=greek&amp;can=de%5C2&amp;prior=*kleome/nhs" TargetMode="External"/><Relationship Id="rId13" Type="http://schemas.openxmlformats.org/officeDocument/2006/relationships/hyperlink" Target="http://www.perseus.tufts.edu/hopper/morph?l=bou%2Fletai&amp;la=greek&amp;can=bou%2Fletai0&amp;prior=ta\" TargetMode="External"/><Relationship Id="rId18" Type="http://schemas.openxmlformats.org/officeDocument/2006/relationships/hyperlink" Target="http://www.perseus.tufts.edu/hopper/morph?l=ei%28%2Fneka&amp;la=greek&amp;can=ei%28%2Fneka0&amp;prior=paidi/ou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www.perseus.tufts.edu/hopper/morph?l=*kleome%2Fnhs&amp;la=greek&amp;can=*kleome%2Fnhs1&amp;prior=h(liki/hn" TargetMode="External"/><Relationship Id="rId12" Type="http://schemas.openxmlformats.org/officeDocument/2006/relationships/hyperlink" Target="http://www.perseus.tufts.edu/hopper/morph?l=ta%5C&amp;la=greek&amp;can=ta%5C1&amp;prior=e)ke/leue" TargetMode="External"/><Relationship Id="rId17" Type="http://schemas.openxmlformats.org/officeDocument/2006/relationships/hyperlink" Target="http://www.perseus.tufts.edu/hopper/morph?l=paidi%2Fou&amp;la=greek&amp;can=paidi%2Fou0&amp;prior=tou=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perseus.tufts.edu/hopper/morph?l=tou%3D&amp;la=greek&amp;can=tou%3D1&amp;prior=e)pisxei=n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perseus.tufts.edu/hopper/morph?l=e%29ke%2Fleue&amp;la=greek&amp;can=e%29ke%2Fleue1&amp;prior=mi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perseus.tufts.edu/hopper/morph?l=e%29pisxei%3Dn&amp;la=greek&amp;can=e%29pisxei%3Dn0&amp;prior=mhde\" TargetMode="External"/><Relationship Id="rId10" Type="http://schemas.openxmlformats.org/officeDocument/2006/relationships/hyperlink" Target="http://www.perseus.tufts.edu/hopper/morph?l=min&amp;la=greek&amp;can=min0&amp;prior=le/gein" TargetMode="External"/><Relationship Id="rId19" Type="http://schemas.openxmlformats.org/officeDocument/2006/relationships/hyperlink" Target="http://www.perseus.tufts.edu/hopper/morph?l=i%28kethri%2Fhn&amp;la=greek&amp;can=i%28kethri%2Fhn0&amp;prior=labw\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perseus.tufts.edu/hopper/morph?l=le%2Fgein&amp;la=greek&amp;can=le%2Fgein0&amp;prior=de\" TargetMode="External"/><Relationship Id="rId14" Type="http://schemas.openxmlformats.org/officeDocument/2006/relationships/hyperlink" Target="http://www.perseus.tufts.edu/hopper/morph?l=mhde%5C&amp;la=greek&amp;can=mhde%5C0&amp;prior=bou/leta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6D90A1-C11E-4C7A-A0BD-970B196621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495</TotalTime>
  <Pages>4</Pages>
  <Words>1144</Words>
  <Characters>6525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Childs (1601053)</dc:creator>
  <cp:keywords/>
  <dc:description/>
  <cp:lastModifiedBy>Callum Childs (1601053)</cp:lastModifiedBy>
  <cp:revision>18</cp:revision>
  <dcterms:created xsi:type="dcterms:W3CDTF">2019-02-19T16:21:00Z</dcterms:created>
  <dcterms:modified xsi:type="dcterms:W3CDTF">2019-02-25T15:04:00Z</dcterms:modified>
</cp:coreProperties>
</file>