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00B9A6F" wp14:paraId="528923B0" wp14:textId="5E5EEB8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Module Name:</w:t>
      </w:r>
    </w:p>
    <w:p xmlns:wp14="http://schemas.microsoft.com/office/word/2010/wordml" w:rsidP="000B9A6F" wp14:paraId="58DEAEF4" wp14:textId="19D98D2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Module Code: BMHP6030</w:t>
      </w:r>
    </w:p>
    <w:p xmlns:wp14="http://schemas.microsoft.com/office/word/2010/wordml" w:rsidP="000B9A6F" wp14:paraId="29C72FF9" wp14:textId="41664D7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Student Name: Sabina Aslam</w:t>
      </w:r>
    </w:p>
    <w:p xmlns:wp14="http://schemas.microsoft.com/office/word/2010/wordml" w:rsidP="000B9A6F" wp14:paraId="27D55ED1" wp14:textId="27575EC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Student Number: 2220574</w:t>
      </w:r>
    </w:p>
    <w:p xmlns:wp14="http://schemas.microsoft.com/office/word/2010/wordml" w:rsidP="000B9A6F" wp14:paraId="76EF968D" wp14:textId="213B395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Lecturer Name: Parese Ahmed</w:t>
      </w:r>
    </w:p>
    <w:p xmlns:wp14="http://schemas.microsoft.com/office/word/2010/wordml" w:rsidP="000B9A6F" wp14:paraId="25F3DF21" wp14:textId="659FBC2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4D8ABF1" wp14:textId="7657D0C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0096CE38" wp14:textId="52F76E9C">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E553592" wp14:textId="07A930A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A26FA8" wp14:textId="3A1BFD0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DDFEF4A" wp14:textId="13EBDC4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E4B66E0" wp14:textId="349D1CF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5B0FEDA" wp14:textId="7B5BF33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BBB2A22" wp14:textId="471266F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453084A" wp14:textId="0740E672">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42ECD8F" wp14:textId="37A01D1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BCCA1EB" wp14:textId="11572242">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4157047" wp14:textId="7CE4DF51">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0171C6D" wp14:textId="1FD0D39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30F8433" wp14:textId="7CD8338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7594EC4" wp14:textId="1450FEBE">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3EC0D8F" wp14:textId="421ED99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223F341" wp14:textId="793CB16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2CB8D37" wp14:textId="4E1ABA79">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517AAA" wp14:textId="2DB83B8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7EB5D57" wp14:textId="22FCBED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D74EC53" wp14:textId="0B63CE1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0D45ABA3" wp14:textId="662E9E71">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C036AC5" wp14:textId="662F1F7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5D16BA0" wp14:textId="51F1A783">
      <w:pPr>
        <w:pStyle w:val="Normal"/>
        <w:shd w:val="clear" w:color="auto" w:fill="FFFFFF" w:themeFill="background1"/>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376EE282">
        <w:rPr>
          <w:rFonts w:ascii="Arial" w:hAnsi="Arial" w:eastAsia="Arial" w:cs="Arial"/>
          <w:b w:val="1"/>
          <w:bCs w:val="1"/>
          <w:i w:val="0"/>
          <w:iCs w:val="0"/>
          <w:caps w:val="0"/>
          <w:smallCaps w:val="0"/>
          <w:noProof w:val="0"/>
          <w:color w:val="000000" w:themeColor="text1" w:themeTint="FF" w:themeShade="FF"/>
          <w:sz w:val="28"/>
          <w:szCs w:val="28"/>
          <w:lang w:val="en-GB"/>
        </w:rPr>
        <w:t>Contents Page</w:t>
      </w:r>
    </w:p>
    <w:p xmlns:wp14="http://schemas.microsoft.com/office/word/2010/wordml" w:rsidP="000B9A6F" wp14:paraId="6D387483" wp14:textId="0BE9DB6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B241FC8" wp14:textId="516F5CFC">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Introduction..............................................................................................Page</w:t>
      </w:r>
      <w:r w:rsidRPr="000B9A6F" w:rsidR="1071AC46">
        <w:rPr>
          <w:rFonts w:ascii="Arial" w:hAnsi="Arial" w:eastAsia="Arial" w:cs="Arial"/>
          <w:b w:val="0"/>
          <w:bCs w:val="0"/>
          <w:i w:val="0"/>
          <w:iCs w:val="0"/>
          <w:caps w:val="0"/>
          <w:smallCaps w:val="0"/>
          <w:noProof w:val="0"/>
          <w:color w:val="000000" w:themeColor="text1" w:themeTint="FF" w:themeShade="FF"/>
          <w:sz w:val="24"/>
          <w:szCs w:val="24"/>
          <w:lang w:val="en-GB"/>
        </w:rPr>
        <w:t xml:space="preserve"> 3</w:t>
      </w:r>
    </w:p>
    <w:p xmlns:wp14="http://schemas.microsoft.com/office/word/2010/wordml" w:rsidP="000B9A6F" wp14:paraId="792525E8" wp14:textId="461F81D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654D2812" wp14:textId="71B80ED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 xml:space="preserve">Section 1 SDG3 – Health, </w:t>
      </w: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 xml:space="preserve"> and Sustainability</w:t>
      </w:r>
    </w:p>
    <w:p xmlns:wp14="http://schemas.microsoft.com/office/word/2010/wordml" w:rsidP="000B9A6F" wp14:paraId="653F6C0E" wp14:textId="0070A94B">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Overview of SDG3..................................................</w:t>
      </w:r>
      <w:r w:rsidRPr="000B9A6F" w:rsidR="05AE4EA8">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5B46203">
        <w:rPr>
          <w:rFonts w:ascii="Arial" w:hAnsi="Arial" w:eastAsia="Arial" w:cs="Arial"/>
          <w:b w:val="0"/>
          <w:bCs w:val="0"/>
          <w:i w:val="0"/>
          <w:iCs w:val="0"/>
          <w:caps w:val="0"/>
          <w:smallCaps w:val="0"/>
          <w:noProof w:val="0"/>
          <w:color w:val="000000" w:themeColor="text1" w:themeTint="FF" w:themeShade="FF"/>
          <w:sz w:val="24"/>
          <w:szCs w:val="24"/>
          <w:lang w:val="en-GB"/>
        </w:rPr>
        <w:t xml:space="preserve"> 3-4</w:t>
      </w:r>
    </w:p>
    <w:p xmlns:wp14="http://schemas.microsoft.com/office/word/2010/wordml" w:rsidP="000B9A6F" wp14:paraId="2406FEE7" wp14:textId="2A3379B2">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Global Policies and Initiatives</w:t>
      </w:r>
      <w:r w:rsidRPr="000B9A6F" w:rsidR="394EC29F">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B02FA98">
        <w:rPr>
          <w:rFonts w:ascii="Arial" w:hAnsi="Arial" w:eastAsia="Arial" w:cs="Arial"/>
          <w:b w:val="0"/>
          <w:bCs w:val="0"/>
          <w:i w:val="0"/>
          <w:iCs w:val="0"/>
          <w:caps w:val="0"/>
          <w:smallCaps w:val="0"/>
          <w:noProof w:val="0"/>
          <w:color w:val="000000" w:themeColor="text1" w:themeTint="FF" w:themeShade="FF"/>
          <w:sz w:val="24"/>
          <w:szCs w:val="24"/>
          <w:lang w:val="en-GB"/>
        </w:rPr>
        <w:t xml:space="preserve"> 4</w:t>
      </w:r>
    </w:p>
    <w:p xmlns:wp14="http://schemas.microsoft.com/office/word/2010/wordml" w:rsidP="000B9A6F" wp14:paraId="69A0DBF9" wp14:textId="32795B50">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UK</w:t>
      </w:r>
      <w:r w:rsidRPr="000B9A6F" w:rsidR="3516F376">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31EB1718">
        <w:rPr>
          <w:rFonts w:ascii="Arial" w:hAnsi="Arial" w:eastAsia="Arial" w:cs="Arial"/>
          <w:b w:val="0"/>
          <w:bCs w:val="0"/>
          <w:i w:val="0"/>
          <w:iCs w:val="0"/>
          <w:caps w:val="0"/>
          <w:smallCaps w:val="0"/>
          <w:noProof w:val="0"/>
          <w:color w:val="000000" w:themeColor="text1" w:themeTint="FF" w:themeShade="FF"/>
          <w:sz w:val="24"/>
          <w:szCs w:val="24"/>
          <w:lang w:val="en-GB"/>
        </w:rPr>
        <w:t xml:space="preserve"> 4-5</w:t>
      </w:r>
    </w:p>
    <w:p xmlns:wp14="http://schemas.microsoft.com/office/word/2010/wordml" w:rsidP="000B9A6F" wp14:paraId="2C1F1F12" wp14:textId="6358F6AA">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USA</w:t>
      </w:r>
      <w:r w:rsidRPr="000B9A6F" w:rsidR="3DA037C2">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608D260">
        <w:rPr>
          <w:rFonts w:ascii="Arial" w:hAnsi="Arial" w:eastAsia="Arial" w:cs="Arial"/>
          <w:b w:val="0"/>
          <w:bCs w:val="0"/>
          <w:i w:val="0"/>
          <w:iCs w:val="0"/>
          <w:caps w:val="0"/>
          <w:smallCaps w:val="0"/>
          <w:noProof w:val="0"/>
          <w:color w:val="000000" w:themeColor="text1" w:themeTint="FF" w:themeShade="FF"/>
          <w:sz w:val="24"/>
          <w:szCs w:val="24"/>
          <w:lang w:val="en-GB"/>
        </w:rPr>
        <w:t xml:space="preserve"> 5-6</w:t>
      </w:r>
    </w:p>
    <w:p xmlns:wp14="http://schemas.microsoft.com/office/word/2010/wordml" w:rsidP="000B9A6F" wp14:paraId="31B13569" wp14:textId="4B23A0DF">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Theoretical Frameworks</w:t>
      </w:r>
      <w:r w:rsidRPr="000B9A6F" w:rsidR="249AECAA">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F3062DC">
        <w:rPr>
          <w:rFonts w:ascii="Arial" w:hAnsi="Arial" w:eastAsia="Arial" w:cs="Arial"/>
          <w:b w:val="0"/>
          <w:bCs w:val="0"/>
          <w:i w:val="0"/>
          <w:iCs w:val="0"/>
          <w:caps w:val="0"/>
          <w:smallCaps w:val="0"/>
          <w:noProof w:val="0"/>
          <w:color w:val="000000" w:themeColor="text1" w:themeTint="FF" w:themeShade="FF"/>
          <w:sz w:val="24"/>
          <w:szCs w:val="24"/>
          <w:lang w:val="en-GB"/>
        </w:rPr>
        <w:t xml:space="preserve"> 6</w:t>
      </w:r>
    </w:p>
    <w:p xmlns:wp14="http://schemas.microsoft.com/office/word/2010/wordml" w:rsidP="000B9A6F" wp14:paraId="3331BD2B" wp14:textId="4EA1E226">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Evaluation and Recommendations</w:t>
      </w:r>
      <w:r w:rsidRPr="000B9A6F" w:rsidR="339E4CFD">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0813B46F">
        <w:rPr>
          <w:rFonts w:ascii="Arial" w:hAnsi="Arial" w:eastAsia="Arial" w:cs="Arial"/>
          <w:b w:val="0"/>
          <w:bCs w:val="0"/>
          <w:i w:val="0"/>
          <w:iCs w:val="0"/>
          <w:caps w:val="0"/>
          <w:smallCaps w:val="0"/>
          <w:noProof w:val="0"/>
          <w:color w:val="000000" w:themeColor="text1" w:themeTint="FF" w:themeShade="FF"/>
          <w:sz w:val="24"/>
          <w:szCs w:val="24"/>
          <w:lang w:val="en-GB"/>
        </w:rPr>
        <w:t xml:space="preserve"> 7</w:t>
      </w:r>
    </w:p>
    <w:p xmlns:wp14="http://schemas.microsoft.com/office/word/2010/wordml" w:rsidP="000B9A6F" wp14:paraId="3BEDCAFE" wp14:textId="4D0B2DD8">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2CB611AD" wp14:textId="2A7EEFB9">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Section 2 SDG2 – Zero Hunger</w:t>
      </w:r>
    </w:p>
    <w:p xmlns:wp14="http://schemas.microsoft.com/office/word/2010/wordml" w:rsidP="000B9A6F" wp14:paraId="4E40B3E3" wp14:textId="6A62B544">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Overview of SDG2</w:t>
      </w:r>
      <w:r w:rsidRPr="000B9A6F" w:rsidR="492ABBCC">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3C11D59">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492ABBCC">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756293A3">
        <w:rPr>
          <w:rFonts w:ascii="Arial" w:hAnsi="Arial" w:eastAsia="Arial" w:cs="Arial"/>
          <w:b w:val="0"/>
          <w:bCs w:val="0"/>
          <w:i w:val="0"/>
          <w:iCs w:val="0"/>
          <w:caps w:val="0"/>
          <w:smallCaps w:val="0"/>
          <w:noProof w:val="0"/>
          <w:color w:val="000000" w:themeColor="text1" w:themeTint="FF" w:themeShade="FF"/>
          <w:sz w:val="24"/>
          <w:szCs w:val="24"/>
          <w:lang w:val="en-GB"/>
        </w:rPr>
        <w:t xml:space="preserve"> 7-8</w:t>
      </w:r>
    </w:p>
    <w:p xmlns:wp14="http://schemas.microsoft.com/office/word/2010/wordml" w:rsidP="000B9A6F" wp14:paraId="6B8D8593" wp14:textId="5FBA84CA">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Global Policies and Initiatives</w:t>
      </w:r>
      <w:r w:rsidRPr="000B9A6F" w:rsidR="3C17E902">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7FE1404B">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3C17E902">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2EF27F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0B9A6F" w:rsidR="7776C32E">
        <w:rPr>
          <w:rFonts w:ascii="Arial" w:hAnsi="Arial" w:eastAsia="Arial" w:cs="Arial"/>
          <w:b w:val="0"/>
          <w:bCs w:val="0"/>
          <w:i w:val="0"/>
          <w:iCs w:val="0"/>
          <w:caps w:val="0"/>
          <w:smallCaps w:val="0"/>
          <w:noProof w:val="0"/>
          <w:color w:val="000000" w:themeColor="text1" w:themeTint="FF" w:themeShade="FF"/>
          <w:sz w:val="24"/>
          <w:szCs w:val="24"/>
          <w:lang w:val="en-GB"/>
        </w:rPr>
        <w:t>8</w:t>
      </w:r>
    </w:p>
    <w:p xmlns:wp14="http://schemas.microsoft.com/office/word/2010/wordml" w:rsidP="000B9A6F" wp14:paraId="6A97FFF3" wp14:textId="6011CD32">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UK</w:t>
      </w:r>
      <w:r w:rsidRPr="000B9A6F" w:rsidR="6CEAB71B">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4EEE74DA">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F69F9AB">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CEAB71B">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7D0E54D">
        <w:rPr>
          <w:rFonts w:ascii="Arial" w:hAnsi="Arial" w:eastAsia="Arial" w:cs="Arial"/>
          <w:b w:val="0"/>
          <w:bCs w:val="0"/>
          <w:i w:val="0"/>
          <w:iCs w:val="0"/>
          <w:caps w:val="0"/>
          <w:smallCaps w:val="0"/>
          <w:noProof w:val="0"/>
          <w:color w:val="000000" w:themeColor="text1" w:themeTint="FF" w:themeShade="FF"/>
          <w:sz w:val="24"/>
          <w:szCs w:val="24"/>
          <w:lang w:val="en-GB"/>
        </w:rPr>
        <w:t xml:space="preserve"> 8-9</w:t>
      </w:r>
    </w:p>
    <w:p xmlns:wp14="http://schemas.microsoft.com/office/word/2010/wordml" w:rsidP="000B9A6F" wp14:paraId="4AEDE310" wp14:textId="761828CF">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USA</w:t>
      </w:r>
      <w:r w:rsidRPr="000B9A6F" w:rsidR="06CA480A">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559E9D28">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06CA480A">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986DE0D">
        <w:rPr>
          <w:rFonts w:ascii="Arial" w:hAnsi="Arial" w:eastAsia="Arial" w:cs="Arial"/>
          <w:b w:val="0"/>
          <w:bCs w:val="0"/>
          <w:i w:val="0"/>
          <w:iCs w:val="0"/>
          <w:caps w:val="0"/>
          <w:smallCaps w:val="0"/>
          <w:noProof w:val="0"/>
          <w:color w:val="000000" w:themeColor="text1" w:themeTint="FF" w:themeShade="FF"/>
          <w:sz w:val="24"/>
          <w:szCs w:val="24"/>
          <w:lang w:val="en-GB"/>
        </w:rPr>
        <w:t xml:space="preserve"> 9-10</w:t>
      </w:r>
    </w:p>
    <w:p xmlns:wp14="http://schemas.microsoft.com/office/word/2010/wordml" w:rsidP="000B9A6F" wp14:paraId="4FF40568" wp14:textId="2872DA58">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Theoretical Frameworks</w:t>
      </w:r>
      <w:r w:rsidRPr="000B9A6F" w:rsidR="64488C56">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73491D57">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4488C56">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3476D3C6">
        <w:rPr>
          <w:rFonts w:ascii="Arial" w:hAnsi="Arial" w:eastAsia="Arial" w:cs="Arial"/>
          <w:b w:val="0"/>
          <w:bCs w:val="0"/>
          <w:i w:val="0"/>
          <w:iCs w:val="0"/>
          <w:caps w:val="0"/>
          <w:smallCaps w:val="0"/>
          <w:noProof w:val="0"/>
          <w:color w:val="000000" w:themeColor="text1" w:themeTint="FF" w:themeShade="FF"/>
          <w:sz w:val="24"/>
          <w:szCs w:val="24"/>
          <w:lang w:val="en-GB"/>
        </w:rPr>
        <w:t xml:space="preserve"> 10-11</w:t>
      </w:r>
    </w:p>
    <w:p xmlns:wp14="http://schemas.microsoft.com/office/word/2010/wordml" w:rsidP="000B9A6F" wp14:paraId="6E7B2512" wp14:textId="5A3F1272">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Evaluation and Recommendations</w:t>
      </w:r>
      <w:r w:rsidRPr="000B9A6F" w:rsidR="02504984">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581F4908">
        <w:rPr>
          <w:rFonts w:ascii="Arial" w:hAnsi="Arial" w:eastAsia="Arial" w:cs="Arial"/>
          <w:b w:val="0"/>
          <w:bCs w:val="0"/>
          <w:i w:val="0"/>
          <w:iCs w:val="0"/>
          <w:caps w:val="0"/>
          <w:smallCaps w:val="0"/>
          <w:noProof w:val="0"/>
          <w:color w:val="000000" w:themeColor="text1" w:themeTint="FF" w:themeShade="FF"/>
          <w:sz w:val="24"/>
          <w:szCs w:val="24"/>
          <w:lang w:val="en-GB"/>
        </w:rPr>
        <w:t xml:space="preserve"> 11</w:t>
      </w:r>
    </w:p>
    <w:p xmlns:wp14="http://schemas.microsoft.com/office/word/2010/wordml" w:rsidP="000B9A6F" wp14:paraId="09A4769E" wp14:textId="14F189E7">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30716D4F" wp14:textId="5A11EAB2">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000B9A6F" w:rsidR="6AEF0240">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52A0AF50">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AEF0240">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B1D80BF">
        <w:rPr>
          <w:rFonts w:ascii="Arial" w:hAnsi="Arial" w:eastAsia="Arial" w:cs="Arial"/>
          <w:b w:val="0"/>
          <w:bCs w:val="0"/>
          <w:i w:val="0"/>
          <w:iCs w:val="0"/>
          <w:caps w:val="0"/>
          <w:smallCaps w:val="0"/>
          <w:noProof w:val="0"/>
          <w:color w:val="000000" w:themeColor="text1" w:themeTint="FF" w:themeShade="FF"/>
          <w:sz w:val="24"/>
          <w:szCs w:val="24"/>
          <w:lang w:val="en-GB"/>
        </w:rPr>
        <w:t xml:space="preserve"> 11-12</w:t>
      </w:r>
    </w:p>
    <w:p xmlns:wp14="http://schemas.microsoft.com/office/word/2010/wordml" w:rsidP="000B9A6F" wp14:paraId="672A42DF" wp14:textId="36D5720B">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1A8B6B5C" wp14:textId="2CE4D56E">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A5F43BD">
        <w:rPr>
          <w:rFonts w:ascii="Arial" w:hAnsi="Arial" w:eastAsia="Arial" w:cs="Arial"/>
          <w:b w:val="0"/>
          <w:bCs w:val="0"/>
          <w:i w:val="0"/>
          <w:iCs w:val="0"/>
          <w:caps w:val="0"/>
          <w:smallCaps w:val="0"/>
          <w:noProof w:val="0"/>
          <w:color w:val="000000" w:themeColor="text1" w:themeTint="FF" w:themeShade="FF"/>
          <w:sz w:val="24"/>
          <w:szCs w:val="24"/>
          <w:lang w:val="en-GB"/>
        </w:rPr>
        <w:t>References</w:t>
      </w:r>
      <w:r w:rsidRPr="000B9A6F" w:rsidR="0A0C80AE">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20708D45">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0A0C80AE">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CDAF4A9">
        <w:rPr>
          <w:rFonts w:ascii="Arial" w:hAnsi="Arial" w:eastAsia="Arial" w:cs="Arial"/>
          <w:b w:val="0"/>
          <w:bCs w:val="0"/>
          <w:i w:val="0"/>
          <w:iCs w:val="0"/>
          <w:caps w:val="0"/>
          <w:smallCaps w:val="0"/>
          <w:noProof w:val="0"/>
          <w:color w:val="000000" w:themeColor="text1" w:themeTint="FF" w:themeShade="FF"/>
          <w:sz w:val="24"/>
          <w:szCs w:val="24"/>
          <w:lang w:val="en-GB"/>
        </w:rPr>
        <w:t xml:space="preserve"> 13-14</w:t>
      </w:r>
    </w:p>
    <w:p xmlns:wp14="http://schemas.microsoft.com/office/word/2010/wordml" w:rsidP="000B9A6F" wp14:paraId="3CD5FE91" wp14:textId="158A070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16113F" wp14:textId="2ADAC1AD">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5B4451E" wp14:textId="56AED2E9">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A1FC1FF" wp14:textId="0EF167B9">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451552C" wp14:textId="34DE8D9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C710B1F" wp14:textId="51E07A3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5C9FF20" wp14:textId="34059750">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FC5EC3A" wp14:textId="208185A1">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8BC564A" wp14:textId="7FA97B95">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Introduction</w:t>
      </w:r>
    </w:p>
    <w:p xmlns:wp14="http://schemas.microsoft.com/office/word/2010/wordml" w:rsidP="000B9A6F" wp14:paraId="40F609C4" wp14:textId="7A200D1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10AF449" wp14:textId="29F3462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Sustainable Development Goals (SDGs), introduced by the United Nations in 2015, outline a shared global framework to achieve social, economic, and environmental sustainability by 2030 (United Nations, 2015). Among the 17 SDGs, SDG 3 (Good Health and Well-Being) and SDG 2 (Zero Hunger) are central to human development, as both aim to enhance quality of life and reduce inequalities in access to essential services. SDG 3 focuses on ensuring healthy lives and promoting well-being for all ages, addressing issues such as mortality, disease prevention, and healthcare access (World Health Organization [WHO], 2023). SDG 2 seeks to end hunger, achieve food security, improve nutrition, and promote sustainable agriculture (Food and Agriculture Organization [FAO], 2022). These two goals are strongly interconnected; good nutrition directly influences physical and mental health outcomes, while poor health can contribute to malnutrition and food insecurity.</w:t>
      </w:r>
    </w:p>
    <w:p xmlns:wp14="http://schemas.microsoft.com/office/word/2010/wordml" w:rsidP="000B9A6F" wp14:paraId="53AAE91B" wp14:textId="50422F5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619397DF" wp14:paraId="3B66B2EE" wp14:textId="1CCEDF5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 xml:space="preserve">This report critically examines how health, well-being, and sustainability policies related to SDG 3 and SDG 2 are implemented at global, national, and local levels in the United Kingdom (UK). It explores the policies, initiatives, and partnerships driving progress, analyses theoretical perspectives, and highlights challenges and opportunities for achieving these goals by 2030. The analysis aims to show how the integration of both SDGs can support </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 xml:space="preserve"> and sustainable development outcomes.</w:t>
      </w:r>
    </w:p>
    <w:p xmlns:wp14="http://schemas.microsoft.com/office/word/2010/wordml" w:rsidP="000B9A6F" wp14:paraId="5D7D4F61" wp14:textId="021F05C0">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5EF0675" wp14:textId="6BAAA29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Section 1: SDG 3 – Good Health and Well-Being</w:t>
      </w:r>
    </w:p>
    <w:p xmlns:wp14="http://schemas.microsoft.com/office/word/2010/wordml" w:rsidP="000B9A6F" wp14:paraId="0A13D5EE" wp14:textId="7C29924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0BBC3C6" wp14:textId="2E523E9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Overview of SDG 3</w:t>
      </w:r>
    </w:p>
    <w:p xmlns:wp14="http://schemas.microsoft.com/office/word/2010/wordml" w:rsidP="000B9A6F" wp14:paraId="5A7D97FE" wp14:textId="1AA5784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28AE8C42" wp14:textId="763E89A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Development Goal 3 aims to “ensure healthy lives and promote well-being for all at all ages” (United Nations, 2015). This goal includes targets on reducing maternal and child mortality, ending epidemics of communicable diseases, and addressing non-communicable diseases (NCDs) through prevention and treatment. SDG 3 also emphasises universal health coverage (UHC), access to safe and affordable medicines, and promoting mental health and well-being (WHO, 2023). The achievement of SDG 3 depends on effective health systems,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service delivery, and integration with other SDGs such as SDG 2 (Zero Hunger), SDG 6 (Clean Water and Sanitation), and SDG 10 (Reduced Inequalities) (UNDP, 2021)</w:t>
      </w:r>
      <w:r w:rsidRPr="000B9A6F" w:rsidR="1774A8C0">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4EBC4A42" wp14:textId="6B638B92">
      <w:pPr>
        <w:shd w:val="clear" w:color="auto" w:fill="FFFFFF" w:themeFill="background1"/>
        <w:spacing w:before="0" w:beforeAutospacing="off" w:after="0" w:afterAutospacing="off" w:line="360" w:lineRule="auto"/>
        <w:rPr>
          <w:rFonts w:ascii="Arial" w:hAnsi="Arial" w:eastAsia="Arial" w:cs="Arial"/>
          <w:b w:val="1"/>
          <w:bCs w:val="1"/>
          <w:sz w:val="28"/>
          <w:szCs w:val="28"/>
        </w:rPr>
      </w:pPr>
    </w:p>
    <w:p xmlns:wp14="http://schemas.microsoft.com/office/word/2010/wordml" w:rsidP="000B9A6F" wp14:paraId="219E87F1" wp14:textId="4165E8C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Global Policies and Initiatives</w:t>
      </w:r>
    </w:p>
    <w:p xmlns:wp14="http://schemas.microsoft.com/office/word/2010/wordml" w:rsidP="000B9A6F" wp14:paraId="41576053" wp14:textId="591817B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86448F4" wp14:textId="7BA5DEB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several frameworks guide progress toward SDG 3. The World Health Organization (WHO) leads the coordination of global health initiatives, including the Global Health Sector Strategy and the Universal Health Coverage Partnership (WHO, 2023). The Global Fund to Fight AIDS, Tuberculosis and Malaria, and the Gavi Vaccine Alliance, have contributed significantly to reducing communicable diseases, particularly in low- and middle-income countries (Global Fund, 2022; Gavi, 2023). The COVID-19 pandemic disrupted progress but also accelerated digital health transformation and renewed attention on health system resilience (OECD, 2022).</w:t>
      </w:r>
    </w:p>
    <w:p xmlns:wp14="http://schemas.microsoft.com/office/word/2010/wordml" w:rsidP="000B9A6F" wp14:paraId="46859113" wp14:textId="7001689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C27D049" wp14:textId="3EADF0D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United Nations High-Level Political Forum (HLPF) monitors progress on SDG 3 annually, highlighting key challenges such as inequities in access to healthcare and rising mental health issues (UN, 2023). Despite global advances, disparities persist, especially in access to quality health services, vaccination rates, and mental health support, reinforcing the need for stronger international collaboration</w:t>
      </w:r>
      <w:r w:rsidRPr="000B9A6F" w:rsidR="06BC9FB9">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44FF1CA0" wp14:textId="67E4B18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C4A55B9" wp14:textId="63658C2B">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and Local Context: United Kingdo</w:t>
      </w:r>
      <w:r w:rsidRPr="000B9A6F" w:rsidR="1ED6A4C2">
        <w:rPr>
          <w:rFonts w:ascii="Arial" w:hAnsi="Arial" w:eastAsia="Arial" w:cs="Arial"/>
          <w:b w:val="1"/>
          <w:bCs w:val="1"/>
          <w:i w:val="0"/>
          <w:iCs w:val="0"/>
          <w:caps w:val="0"/>
          <w:smallCaps w:val="0"/>
          <w:noProof w:val="0"/>
          <w:color w:val="000000" w:themeColor="text1" w:themeTint="FF" w:themeShade="FF"/>
          <w:sz w:val="28"/>
          <w:szCs w:val="28"/>
          <w:lang w:val="en-GB"/>
        </w:rPr>
        <w:t>m</w:t>
      </w:r>
    </w:p>
    <w:p xmlns:wp14="http://schemas.microsoft.com/office/word/2010/wordml" w:rsidP="000B9A6F" wp14:paraId="76AD6E49" wp14:textId="0B2DF20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218A23D" wp14:textId="528F486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In the UK, SDG 3 aligns closely with the National Health Service (NHS) framework and public health policies such as the NHS Long Term Plan (2019) and the Health and Care Act (2022). The NHS provides universal health coverage, making it a global model for equitable healthcare access (NHS England, 2019). Policies focus on preventing illness, supporting mental health, and reducing health inequalities across regions. The Public Health England (now part of the UK Health Security Agency) has led strategies to address obesity, smoking, and preventable diseases, directly supporting SDG 3.</w:t>
      </w:r>
    </w:p>
    <w:p xmlns:wp14="http://schemas.microsoft.com/office/word/2010/wordml" w:rsidP="000B9A6F" wp14:paraId="09AB98B7" wp14:textId="1E9CDE8C">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90D3B72" wp14:textId="7519FF5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Mental health has become a major national priority. The NHS Mental Health Implementation Plan 2019–2024 aims to expand community-based mental health services and integrate them into primary care (Department of Health and Social Care, 2022). However, challenges remain, including long waiting times, workforce shortages, and post-pandemic pressures (King’s Fund, 2023).</w:t>
      </w:r>
    </w:p>
    <w:p xmlns:wp14="http://schemas.microsoft.com/office/word/2010/wordml" w:rsidP="000B9A6F" wp14:paraId="34185458" wp14:textId="6DABEC5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619397DF" wp14:paraId="6E375A43" wp14:textId="1C7497C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At the local level, initiatives such as the Healthy Cities Programme encourage local authorities to develop integrated health and wellbeing strategies. For instance, Manchester’s Health and Wellbeing Strategy prioritises reducing child poverty, improving mental health, and increasing access to healthy lifestyles (Manchester City Council, 2021). Local councils often collaborate with voluntary organisations to tackle social determinants of health, linking SDG 3 with SDG 2 and SDG 10</w:t>
      </w:r>
      <w:r w:rsidRPr="619397DF" w:rsidR="4E060C65">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6848CF33" wp14:textId="21E44E0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AB1E9B0" wp14:textId="49CA656C">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and Local Context: United States of America</w:t>
      </w:r>
    </w:p>
    <w:p xmlns:wp14="http://schemas.microsoft.com/office/word/2010/wordml" w:rsidP="000B9A6F" wp14:paraId="30621880" wp14:textId="7716251D">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5B47834" wp14:textId="6286B5B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In the USA, SDG 3 is addressed through federal and state-level health programmes, though healthcare access remains unequal due to its mixed public-private system. The Affordable Care Act (ACA) of 2010 expanded healthcare coverage to millions of Americans and remains a key policy supporting SDG 3 (U.S. Department of Health and Human Services [HHS], 2021). Additionally, Healthy People 2030, a national framework led by the Office of Disease Prevention and Health Promotion (ODPHP), sets measurable objectives across areas such as nutrition, chronic disease, and mental health (ODPHP, 2020).</w:t>
      </w:r>
    </w:p>
    <w:p xmlns:wp14="http://schemas.microsoft.com/office/word/2010/wordml" w:rsidP="000B9A6F" wp14:paraId="7D5B9092" wp14:textId="7EE9A8C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94CFA0B" wp14:textId="3A8EAB7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Centers for Disease Control and Prevention (CDC) plays a critical role in disease prevention, vaccination programmes, and health education. The National Strategy for Suicide Prevention (2021–2025) and the Substance Abuse and Mental Health Services Administration (SAMHSA) programmes address mental health and addiction issues, which are major concerns in the USA (SAMHSA, 2022).</w:t>
      </w:r>
    </w:p>
    <w:p xmlns:wp14="http://schemas.microsoft.com/office/word/2010/wordml" w:rsidP="000B9A6F" wp14:paraId="70D77659" wp14:textId="14EA76B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7A07290" wp14:textId="5445931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local level, community health centres and non-profit organisations contribute to SDG 3 by providing affordable care and addressing social determinants of health. Initiatives such as New York City’s ThriveNYC and California’s CalAIM programme demonstrate local innovation in public health and wellbeing (New York City Government, 2021; California Department of Health Care Services, 2022).</w:t>
      </w:r>
    </w:p>
    <w:p xmlns:wp14="http://schemas.microsoft.com/office/word/2010/wordml" w:rsidP="000B9A6F" wp14:paraId="462BF9F3" wp14:textId="3976FD56">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27DACC1" wp14:textId="1216500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Despite these efforts, the USA faces challenges such as healthcare inequities, high medical costs, and disparities across racial and socioeconomic groups. Life expectancy and maternal mortality rates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lag behind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other high-income nations, reflecting ongoing systemic issues (OECD, 2022).</w:t>
      </w:r>
    </w:p>
    <w:p xmlns:wp14="http://schemas.microsoft.com/office/word/2010/wordml" w:rsidP="000B9A6F" wp14:paraId="387A40F4" wp14:textId="5427F86C">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AB8CB5B" wp14:textId="717B54D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Theoretical Frameworks</w:t>
      </w:r>
    </w:p>
    <w:p xmlns:wp14="http://schemas.microsoft.com/office/word/2010/wordml" w:rsidP="000B9A6F" wp14:paraId="35DA3A38" wp14:textId="055BB88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619397DF" wp14:paraId="3B68BBE3" wp14:textId="01F4DC7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 xml:space="preserve">The implementation of SDG 3 can be analysed using the Social Determinants of Health (SDH) framework, which highlights how socioeconomic conditions, environment, and policy shape health outcomes (Marmot, 2019). </w:t>
      </w:r>
      <w:r w:rsidRPr="619397DF" w:rsidR="32994F01">
        <w:rPr>
          <w:rFonts w:ascii="Arial" w:hAnsi="Arial" w:eastAsia="Arial" w:cs="Arial"/>
          <w:b w:val="0"/>
          <w:bCs w:val="0"/>
          <w:i w:val="0"/>
          <w:iCs w:val="0"/>
          <w:caps w:val="0"/>
          <w:smallCaps w:val="0"/>
          <w:noProof w:val="0"/>
          <w:color w:val="000000" w:themeColor="text1" w:themeTint="FF" w:themeShade="FF"/>
          <w:sz w:val="24"/>
          <w:szCs w:val="24"/>
          <w:lang w:val="en-GB"/>
        </w:rPr>
        <w:t xml:space="preserve">The UK is </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increasingly integrating SDH into public health planning, recognising that health cannot be improved solely through medical interventions. Additionally, the Health in All Policies (</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HiAP</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 promotes cross-sector collaboration, linking housing, education, and environment with health </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 xml:space="preserve"> (WHO, 2014).</w:t>
      </w:r>
    </w:p>
    <w:p xmlns:wp14="http://schemas.microsoft.com/office/word/2010/wordml" w:rsidP="000B9A6F" wp14:paraId="6FC683F1" wp14:textId="3B45261F">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6731CFC" wp14:textId="02F8ECB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In both countries, the life-course approach is also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evident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addressing health from early childhood through to older age. The NHS Healthy Child Programme and the US Maternal and Child Health Block Grant exemplify this approach (HHS, 2021; NHS England, 2019).</w:t>
      </w:r>
    </w:p>
    <w:p xmlns:wp14="http://schemas.microsoft.com/office/word/2010/wordml" w:rsidP="000B9A6F" wp14:paraId="2A9D304F" wp14:textId="5BB3A5D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8327E7B" wp14:textId="1D3D487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B9C1B1C" wp14:textId="5BA5304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06013AE6" wp14:textId="0FF5DB3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5BDAD60" wp14:textId="03DCB2C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Evaluation and Recommendations</w:t>
      </w:r>
    </w:p>
    <w:p xmlns:wp14="http://schemas.microsoft.com/office/word/2010/wordml" w:rsidP="000B9A6F" wp14:paraId="250855BD" wp14:textId="1EAADD7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47F0CC6B" wp14:textId="25BB508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While both the UK and USA have made substantial progress toward SDG 3, further work is needed to strengthen health equity and resilience.</w:t>
      </w:r>
    </w:p>
    <w:p xmlns:wp14="http://schemas.microsoft.com/office/word/2010/wordml" w:rsidP="000B9A6F" wp14:paraId="4ED3B2DF" wp14:textId="4F4CBCB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UK, addressing waiting list backlogs, improving mental health funding, and expanding workforce training are key priorities.</w:t>
      </w:r>
    </w:p>
    <w:p xmlns:wp14="http://schemas.microsoft.com/office/word/2010/wordml" w:rsidP="000B9A6F" wp14:paraId="6B05E213" wp14:textId="6B659E6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USA, policy focus should continue on affordability, Medicaid expansion, and tackling structural inequalities.</w:t>
      </w:r>
    </w:p>
    <w:p xmlns:wp14="http://schemas.microsoft.com/office/word/2010/wordml" w:rsidP="000B9A6F" wp14:paraId="0DB26FC7" wp14:textId="4DB9D05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78CF366" wp14:textId="455B8D3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partnerships between WHO, national governments, and civil society must continue to build stronger health systems. The integration of technology, such as telemedicine and data-driven public health strategies, presents a major opportunity to accelerate progress.</w:t>
      </w:r>
    </w:p>
    <w:p xmlns:wp14="http://schemas.microsoft.com/office/word/2010/wordml" w:rsidP="000B9A6F" wp14:paraId="0F78CC3D" wp14:textId="29EF18C8">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30E43B3" wp14:textId="7406D9F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Ultimately, achieving SDG 3 by 2030 requires sustained investment, inclusive governance, and alignment with other SDGs such as SDG 2, recognising that good health and adequate nutrition are mutually reinforcing.</w:t>
      </w:r>
    </w:p>
    <w:p xmlns:wp14="http://schemas.microsoft.com/office/word/2010/wordml" w:rsidP="000B9A6F" wp14:paraId="538868AB" wp14:textId="272CCA0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7E65A98" wp14:textId="32F2C1D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Section 2: SDG 2 – Zero Hunger</w:t>
      </w:r>
    </w:p>
    <w:p xmlns:wp14="http://schemas.microsoft.com/office/word/2010/wordml" w:rsidP="000B9A6F" wp14:paraId="319EAF48" wp14:textId="3EA1610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16756F0" wp14:textId="1639871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Overview of SDG 2</w:t>
      </w:r>
    </w:p>
    <w:p xmlns:wp14="http://schemas.microsoft.com/office/word/2010/wordml" w:rsidP="000B9A6F" wp14:paraId="72CD2173" wp14:textId="29D03F9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3FF289F" wp14:textId="449FECD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Development Goal 2 (SDG 2) aims to “end hunger, achieve food security and improved nutrition, and promote sustainable agriculture” (United Nations, 2015). Hunger and malnutrition remain among the world’s most urgent challenges, affecting more than 735 million people globally in 2023 (FAO, 2023). The goal focuses on ensuring that all people have access to safe, nutritious, and sufficient food throughout the year, while also supporting sustainable and resilient food systems. SDG 2 is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closely linked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to SDG 3 (Good Health and Well-Being), as nutrition is a major determinant of physical and mental health outcomes. Poor diets contribute to non-communicable diseases such as obesity, diabetes, and cardiovascular disease, as well as undernutrition, stunting, and micronutrient deficiencies (WHO, 2023).</w:t>
      </w:r>
    </w:p>
    <w:p xmlns:wp14="http://schemas.microsoft.com/office/word/2010/wordml" w:rsidP="000B9A6F" wp14:paraId="7B75080D" wp14:textId="274D4EC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7E87B3AF" wp14:textId="7DD37CD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Global Context</w:t>
      </w:r>
    </w:p>
    <w:p xmlns:wp14="http://schemas.microsoft.com/office/word/2010/wordml" w:rsidP="000B9A6F" wp14:paraId="7773CA8F" wp14:textId="0A61FA0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0E6C45B" wp14:textId="7F298AF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progress toward SDG 2 has been uneven. While undernourishment has decreased in many regions, food insecurity has worsened due to conflict, climate change, and economic instability (FAO, 2023). International organisations such as the Food and Agriculture Organization (FAO), World Food Programme (WFP), and International Fund for Agricultural Development (IFAD) lead global actions to combat hunger through agricultural investment, emergency food aid, and nutrition programmes (FAO, 2022).</w:t>
      </w:r>
    </w:p>
    <w:p xmlns:wp14="http://schemas.microsoft.com/office/word/2010/wordml" w:rsidP="000B9A6F" wp14:paraId="7FAD3809" wp14:textId="6A770AD6">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2845DF5" wp14:textId="51963F3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UN Food Systems Summit (2021) reinforced the need for systemic change, focusing on sustainable production, fair trade, and the reduction of food waste. The COVID-19 pandemic and the ongoing global cost-of-living crisis have exposed vulnerabilities in food supply chains, affecting affordability and accessibility worldwide (UNDP, 2022). Achieving SDG 2 requires integrating agricultural sustainability with health, education, and environmental policies.</w:t>
      </w:r>
    </w:p>
    <w:p xmlns:wp14="http://schemas.microsoft.com/office/word/2010/wordml" w:rsidP="000B9A6F" wp14:paraId="45EC2B19" wp14:textId="144BBC89">
      <w:pPr>
        <w:pStyle w:val="Normal"/>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EFC74A5" wp14:textId="500F1D9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Context: United Kingdom</w:t>
      </w:r>
    </w:p>
    <w:p xmlns:wp14="http://schemas.microsoft.com/office/word/2010/wordml" w:rsidP="000B9A6F" wp14:paraId="207E895F" wp14:textId="11DFC9C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A26DE95" wp14:textId="588A0DA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In the UK, hunger and food insecurity are persistent issues despite being a high-income country. The Food Foundation (2023) reports that around 9 million adults experienced food insecurity in 2023, with low-income households and children most affected. Rising food prices, welfare reforms, and regional inequalities have exacerbated the problem.</w:t>
      </w:r>
    </w:p>
    <w:p xmlns:wp14="http://schemas.microsoft.com/office/word/2010/wordml" w:rsidP="000B9A6F" wp14:paraId="711D84C5" wp14:textId="54E8C6FB">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43AD23E6" wp14:textId="6FEADB4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Government initiatives addressing SDG 2 include the National Food Strategy (2021), which aims to create a healthier, more sustainable food system through agricultural reform, nutrition education, and reduction of food waste (UK Government, 2021). The Agriculture Act 2020 also promotes sustainable farming and environmental stewardship. Additionally, local councils and charities such as FareShare and Trussell Trust play a key role in redistributing surplus food and providing emergency food support to vulnerable communities (Trussell Trust, 2023).</w:t>
      </w:r>
    </w:p>
    <w:p xmlns:wp14="http://schemas.microsoft.com/office/word/2010/wordml" w:rsidP="000B9A6F" wp14:paraId="20F009C0" wp14:textId="2F25B6C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E030F13" wp14:textId="151D825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Nutrition policies complement SDG 3 efforts. The Healthy Start Scheme provides vouchers for low-income families to buy fruit, vegetables, and milk, supporting maternal and child nutrition (NHS, 2022). The School Food Standards and Free School Meals Programme aim to improve diet quality among children (Department for Education, 2022). However, critics argue that food insecurity is a symptom of deeper social inequality and inadequate welfare provision (Joseph Rowntree Foundation, 2023).</w:t>
      </w:r>
    </w:p>
    <w:p xmlns:wp14="http://schemas.microsoft.com/office/word/2010/wordml" w:rsidP="000B9A6F" wp14:paraId="494B9B17" wp14:textId="21B62BFC">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4F3D3E5" wp14:textId="2273B3F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local level, initiatives like the London Food Strategy (2018) and Greater Manchester Food Poverty Action Plan (2021) promote community-led approaches, including urban agriculture, food co-operatives, and education on sustainable diets. These efforts align local policy with both SDG 2 and SDG 3, addressing hunger as a determinant of health.</w:t>
      </w:r>
    </w:p>
    <w:p xmlns:wp14="http://schemas.microsoft.com/office/word/2010/wordml" w:rsidP="000B9A6F" wp14:paraId="2AC33097" wp14:textId="648872D8">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AC2AD7E" wp14:textId="7D179EF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Context: United States of America</w:t>
      </w:r>
    </w:p>
    <w:p xmlns:wp14="http://schemas.microsoft.com/office/word/2010/wordml" w:rsidP="000B9A6F" wp14:paraId="1424F009" wp14:textId="3A5E564D">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4B08C43" wp14:textId="6B51C3B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USA faces a dual challenge of food insecurity and overnutrition, with millions experiencing limited access to healthy food while obesity rates continue to rise. According to the USDA (2023), about 12.8% of households were food insecure in 2022. The country’s complex food system is influenced by socioeconomic disparities, agricultural subsidies, and regional inequalities in food access.</w:t>
      </w:r>
    </w:p>
    <w:p xmlns:wp14="http://schemas.microsoft.com/office/word/2010/wordml" w:rsidP="000B9A6F" wp14:paraId="792652E4" wp14:textId="12C9230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2F35DD9" wp14:textId="18F1EB9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Federal nutrition programmes are central to the USA’s approach to SDG 2. The Supplemental Nutrition Assistance Program (SNAP) provides food benefits to over 40 million Americans, helping reduce hunger and stimulate local economies (USDA, 2023). Other key programmes include Women, Infants, and Children (WIC) and National School Lunch and Breakfast Programs, which support child nutrition and health (CDC, 2022).</w:t>
      </w:r>
    </w:p>
    <w:p xmlns:wp14="http://schemas.microsoft.com/office/word/2010/wordml" w:rsidP="000B9A6F" wp14:paraId="778D4B2E" wp14:textId="3448CAB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B8317CC" wp14:textId="010D1B9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Dietary Guidelines for Americans (2020–2025) and Healthy People 2030 initiatives set national nutrition standards and promote healthier eating behaviours (HHS &amp; USDA, 2020). However, accessibility to nutritious foods remains limited in “food deserts,” particularly in rural and low-income urban areas (Feeding America, 2023). The Biden-Harris National Strategy on Hunger, Nutrition, and Health (2022) aims to end hunger and reduce diet-related diseases by 2030 through investment in nutrition programmes, research, and cross-sector partnerships (White House, 2022).</w:t>
      </w:r>
    </w:p>
    <w:p xmlns:wp14="http://schemas.microsoft.com/office/word/2010/wordml" w:rsidP="000B9A6F" wp14:paraId="1424A88B" wp14:textId="2F156575">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6AAD088" wp14:textId="555F075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state and local levels, initiatives such as California’s Farm to School Program and New York City’s Good Food Purchasing Program promote sustainable sourcing, local farming, and equitable food systems (California Department of Food and Agriculture, 2022; NYC Mayor’s Office, 2021). Non-profit organisations and community food banks also play a crucial role in ensuring access to nutritious food, especially during crises such as the COVID-19 pandemic.</w:t>
      </w:r>
    </w:p>
    <w:p xmlns:wp14="http://schemas.microsoft.com/office/word/2010/wordml" w:rsidP="000B9A6F" wp14:paraId="1DDCEEAA" wp14:textId="41691271">
      <w:pPr>
        <w:pStyle w:val="Normal"/>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B5E561B" wp14:textId="0066977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Theoretical Frameworks</w:t>
      </w:r>
    </w:p>
    <w:p xmlns:wp14="http://schemas.microsoft.com/office/word/2010/wordml" w:rsidP="000B9A6F" wp14:paraId="4AB913C0" wp14:textId="0A451C8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EAE9E55" wp14:textId="2DE9852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Food Systems Approach offers a useful framework for understanding SDG 2, emphasising the interconnections between production, distribution, consumption, and environmental sustainability (FAO, 2021). It recognises that achieving Zero Hunger requires not only food availability but also equitable access and nutritional adequacy.</w:t>
      </w:r>
    </w:p>
    <w:p xmlns:wp14="http://schemas.microsoft.com/office/word/2010/wordml" w:rsidP="000B9A6F" wp14:paraId="7DB74BE5" wp14:textId="4CCDD03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619397DF" wp14:paraId="0C3EA5F1" wp14:textId="6AF65D1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FF0000" w:themeColor="text1" w:themeTint="FF" w:themeShade="FF"/>
          <w:sz w:val="24"/>
          <w:szCs w:val="24"/>
          <w:lang w:val="en-GB"/>
        </w:rPr>
      </w:pPr>
      <w:r w:rsidRPr="619397DF" w:rsidR="59C9D5E0">
        <w:rPr>
          <w:rFonts w:ascii="Arial" w:hAnsi="Arial" w:eastAsia="Arial" w:cs="Arial"/>
          <w:b w:val="0"/>
          <w:bCs w:val="0"/>
          <w:i w:val="0"/>
          <w:iCs w:val="0"/>
          <w:caps w:val="0"/>
          <w:smallCaps w:val="0"/>
          <w:noProof w:val="0"/>
          <w:color w:val="000000" w:themeColor="text1" w:themeTint="FF" w:themeShade="FF"/>
          <w:sz w:val="24"/>
          <w:szCs w:val="24"/>
          <w:lang w:val="en-GB"/>
        </w:rPr>
        <w:t>Additionally, Maslow’s Hierarchy of Needs can be applied, as food is a fundamental physiological requirement that underpins health and social stability (Maslow, 1943). Addressing food insecurity allows individuals to focus on higher-level needs such as education, employment, and social participation. The Social Determinants of Health (SDH) framework also applies here, linking food access and nutrition to income, education, and housing (Marmot, 2019).</w:t>
      </w:r>
      <w:r w:rsidRPr="619397DF" w:rsidR="1ADD70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19397DF" w:rsidR="1ADD7030">
        <w:rPr>
          <w:rFonts w:ascii="Arial" w:hAnsi="Arial" w:eastAsia="Arial" w:cs="Arial"/>
          <w:b w:val="0"/>
          <w:bCs w:val="0"/>
          <w:i w:val="0"/>
          <w:iCs w:val="0"/>
          <w:caps w:val="0"/>
          <w:smallCaps w:val="0"/>
          <w:noProof w:val="0"/>
          <w:color w:val="FF0000"/>
          <w:sz w:val="24"/>
          <w:szCs w:val="24"/>
          <w:lang w:val="en-GB"/>
        </w:rPr>
        <w:t>This model is applied to The Healthy Start Scheme through</w:t>
      </w:r>
    </w:p>
    <w:p xmlns:wp14="http://schemas.microsoft.com/office/word/2010/wordml" w:rsidP="000B9A6F" wp14:paraId="6D6A5EFB" wp14:textId="1868FAF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6D9F60A" wp14:textId="23C6DC3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Both the UK and USA increasingly incorporate these frameworks into national food and health policies, recognising that hunger and malnutrition are not solely agricultural problems but also social and economic ones.</w:t>
      </w:r>
    </w:p>
    <w:p xmlns:wp14="http://schemas.microsoft.com/office/word/2010/wordml" w:rsidP="000B9A6F" wp14:paraId="7D4C6D3B" wp14:textId="1EB811DD">
      <w:pPr>
        <w:pStyle w:val="Normal"/>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FFF9F8F" wp14:textId="01CCA53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Evaluation and Recommendations</w:t>
      </w:r>
    </w:p>
    <w:p xmlns:wp14="http://schemas.microsoft.com/office/word/2010/wordml" w:rsidP="000B9A6F" wp14:paraId="4782B5D8" wp14:textId="152676A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7EFF8B1" wp14:textId="7C10797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Both the UK and USA have made progress toward SDG 2 but continue to face structural and policy challenges.</w:t>
      </w:r>
    </w:p>
    <w:p xmlns:wp14="http://schemas.microsoft.com/office/word/2010/wordml" w:rsidP="000B9A6F" wp14:paraId="539B89CF" wp14:textId="42FA589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UK, stronger welfare systems, affordable healthy food policies, and national coordination are needed to reduce dependence on food banks and ensure sustainable agricultural practices.</w:t>
      </w:r>
    </w:p>
    <w:p xmlns:wp14="http://schemas.microsoft.com/office/word/2010/wordml" w:rsidP="000B9A6F" wp14:paraId="2C1E3905" wp14:textId="4BFDD46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USA, expanding nutrition assistance, reforming agricultural subsidies to promote healthy foods, and addressing racial and geographic inequities remain essential priorities.</w:t>
      </w:r>
    </w:p>
    <w:p xmlns:wp14="http://schemas.microsoft.com/office/word/2010/wordml" w:rsidP="000B9A6F" wp14:paraId="58609767" wp14:textId="10C2890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F6AF1E9" wp14:textId="2F2D900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addressing hunger requires climate-resilient agriculture, fair trade systems, and a reduction in food waste. Strengthening partnerships between governments, private sectors, and civil society will be crucial for achieving SDG 2 by 2030. Integrating SDG 2 with SDG 3 policies can produce co-benefits, as improved nutrition directly supports better health outcomes.</w:t>
      </w:r>
    </w:p>
    <w:p xmlns:wp14="http://schemas.microsoft.com/office/word/2010/wordml" w:rsidP="000B9A6F" wp14:paraId="38145229" wp14:textId="23F91C6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ED1329B" wp14:textId="576597B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Ultimately, achieving Zero Hunger in high-income nations like the UK and USA requires shifting from short-term food aid to long-term structural change—ensuring that everyone, regardless of income, has access to nutritious, affordable, and sustainable food.</w:t>
      </w:r>
    </w:p>
    <w:p xmlns:wp14="http://schemas.microsoft.com/office/word/2010/wordml" w:rsidP="000B9A6F" wp14:paraId="7A8E46B4" wp14:textId="6B054C8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4F3D038" wp14:textId="5671BC0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Conclusion</w:t>
      </w:r>
    </w:p>
    <w:p xmlns:wp14="http://schemas.microsoft.com/office/word/2010/wordml" w:rsidP="000B9A6F" wp14:paraId="46210DA4" wp14:textId="73A2F230">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4D7B716B" wp14:textId="25C51B0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analysis of SDG 3 (Good Health and Well-Being) and SDG 2 (Zero Hunger) demonstrates their strong interdependence and central role in achieving the broader 2030 Sustainable Development Agenda. Both goals are essential to ensuring equitable and sustainable human development, as good nutrition underpins health outcomes, and robust healthcare systems support nutritional well-being.</w:t>
      </w:r>
    </w:p>
    <w:p xmlns:wp14="http://schemas.microsoft.com/office/word/2010/wordml" w:rsidP="000B9A6F" wp14:paraId="6172A7BB" wp14:textId="3C6A1BF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F0706AC" wp14:textId="55747BE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initiatives led by the United Nations, WHO, and FAO have created frameworks for progress; however, persistent inequalities, conflict, and climate change continue to threaten these goals. In the UK, universal healthcare through the NHS supports SDG 3, while food policies such as the National Food Strategy contribute to SDG 2. Yet, socioeconomic disparities and food insecurity remain barriers. In the USA, significant progress has been made through programmes like the Affordable Care Act and SNAP, but healthcare costs, inequality, and inconsistent access to healthy foods hinder progress.</w:t>
      </w:r>
    </w:p>
    <w:p xmlns:wp14="http://schemas.microsoft.com/office/word/2010/wordml" w:rsidP="000B9A6F" wp14:paraId="7FBCDFEA" wp14:textId="4F438BCB">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CF23EE2" wp14:textId="359D37B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Both nations demonstrate strong local engagement, with community-based initiatives playing key roles in addressing social determinants of health and hunger. To achieve the 2030 targets, sustained investment, policy integration, and cross-sector collaboration are crucial. Aligning SDG 2 and SDG 3 within holistic national strategies can generate co-benefits, promoting health, sustainability, and resilience across societies.</w:t>
      </w:r>
    </w:p>
    <w:p xmlns:wp14="http://schemas.microsoft.com/office/word/2010/wordml" w:rsidP="000B9A6F" wp14:paraId="063AF3AE" wp14:textId="20A76826">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26CA6BE" wp14:textId="2CEAB4B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FCC703" wp14:textId="51B1E3F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9C28D00" wp14:textId="746C0EFC">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8CDC2E3" wp14:textId="6F1BDF5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1552978" wp14:textId="2745F2D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7EF4C04" wp14:textId="4E587619">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D85CFA" wp14:textId="173DA04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246F8F3" wp14:textId="1064439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DE6BC87" wp14:textId="4126B86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B191AB1" wp14:textId="0D4CD1E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D14ABDF" wp14:textId="0BF96E6E">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06DFE33" wp14:textId="70DC388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52EB615" wp14:textId="60BA077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References</w:t>
      </w:r>
    </w:p>
    <w:p xmlns:wp14="http://schemas.microsoft.com/office/word/2010/wordml" w:rsidP="000B9A6F" wp14:paraId="5DDFA8F3" wp14:textId="05A3868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2DA4381" wp14:textId="36FA84A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California Department of Food and Agriculture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Farm to School Program.</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44a71e034264e67">
        <w:r w:rsidRPr="000B9A6F" w:rsidR="54A4FC1A">
          <w:rPr>
            <w:rStyle w:val="Hyperlink"/>
            <w:rFonts w:ascii="Arial" w:hAnsi="Arial" w:eastAsia="Arial" w:cs="Arial"/>
            <w:b w:val="0"/>
            <w:bCs w:val="0"/>
            <w:i w:val="0"/>
            <w:iCs w:val="0"/>
            <w:caps w:val="0"/>
            <w:smallCaps w:val="0"/>
            <w:noProof w:val="0"/>
            <w:sz w:val="24"/>
            <w:szCs w:val="24"/>
            <w:lang w:val="en-GB"/>
          </w:rPr>
          <w:t>https://www.cdfa.ca.gov</w:t>
        </w:r>
      </w:hyperlink>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000B9A6F" w:rsidR="5D24F4B4">
        <w:rPr>
          <w:rFonts w:ascii="Arial" w:hAnsi="Arial" w:eastAsia="Arial" w:cs="Arial"/>
          <w:b w:val="0"/>
          <w:bCs w:val="0"/>
          <w:i w:val="0"/>
          <w:iCs w:val="0"/>
          <w:caps w:val="0"/>
          <w:smallCaps w:val="0"/>
          <w:noProof w:val="0"/>
          <w:color w:val="000000" w:themeColor="text1" w:themeTint="FF" w:themeShade="FF"/>
          <w:sz w:val="24"/>
          <w:szCs w:val="24"/>
          <w:lang w:val="en-GB"/>
        </w:rPr>
        <w:t>25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0B9A6F" w:rsidR="18937651">
        <w:rPr>
          <w:rFonts w:ascii="Arial" w:hAnsi="Arial" w:eastAsia="Arial" w:cs="Arial"/>
          <w:b w:val="0"/>
          <w:bCs w:val="0"/>
          <w:i w:val="0"/>
          <w:iCs w:val="0"/>
          <w:caps w:val="0"/>
          <w:smallCaps w:val="0"/>
          <w:noProof w:val="0"/>
          <w:color w:val="000000" w:themeColor="text1" w:themeTint="FF" w:themeShade="FF"/>
          <w:sz w:val="24"/>
          <w:szCs w:val="24"/>
          <w:lang w:val="en-GB"/>
        </w:rPr>
        <w:t>October</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13DBE2C6" wp14:textId="770902C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Centers</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for Disease Control and Prevention (CDC)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Nutrition, Physical Activity, and Obesity: Data, Trends, and Maps</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Atlanta: CDC.</w:t>
      </w:r>
    </w:p>
    <w:p xmlns:wp14="http://schemas.microsoft.com/office/word/2010/wordml" w:rsidP="000B9A6F" wp14:paraId="25A33069" wp14:textId="33A5992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School Food Standards. London</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UK Government</w:t>
      </w:r>
      <w:r w:rsidRPr="000B9A6F" w:rsidR="16F492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00B9A6F" wp14:paraId="74A7A6D4" wp14:textId="1B23EF0F">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Department of Health and Social Care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NHS Mental Health Implementation Plan 2019–2024</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DHSC</w:t>
      </w:r>
      <w:r w:rsidRPr="000B9A6F" w:rsidR="133727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00B9A6F" wp14:paraId="779640C7" wp14:textId="7370755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FAO (2021)</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The State of Food Security and Nutrition in the World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Rome: FAO.</w:t>
      </w:r>
    </w:p>
    <w:p xmlns:wp14="http://schemas.microsoft.com/office/word/2010/wordml" w:rsidP="000B9A6F" wp14:paraId="642D67E7" wp14:textId="7AF78B5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FAO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Sustainable Food Systems: Policy Support and Governance</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Rome: FAO.</w:t>
      </w:r>
    </w:p>
    <w:p xmlns:wp14="http://schemas.microsoft.com/office/word/2010/wordml" w:rsidP="000B9A6F" wp14:paraId="06B1F2AD" wp14:textId="478C32C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FAO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State of Food Security and Nutrition in the World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Rome: FAO.</w:t>
      </w:r>
    </w:p>
    <w:p xmlns:wp14="http://schemas.microsoft.com/office/word/2010/wordml" w:rsidP="000B9A6F" wp14:paraId="02D0D9F1" wp14:textId="3BCF1EE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Feeding America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Map the Meal Gap Report.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51a66594c9c47f4">
        <w:r w:rsidRPr="000B9A6F" w:rsidR="54A4FC1A">
          <w:rPr>
            <w:rStyle w:val="Hyperlink"/>
            <w:rFonts w:ascii="Arial" w:hAnsi="Arial" w:eastAsia="Arial" w:cs="Arial"/>
            <w:b w:val="0"/>
            <w:bCs w:val="0"/>
            <w:i w:val="0"/>
            <w:iCs w:val="0"/>
            <w:caps w:val="0"/>
            <w:smallCaps w:val="0"/>
            <w:noProof w:val="0"/>
            <w:sz w:val="24"/>
            <w:szCs w:val="24"/>
            <w:lang w:val="en-GB"/>
          </w:rPr>
          <w:t>https://www.feedingamerica.org</w:t>
        </w:r>
      </w:hyperlink>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w:t>
      </w:r>
      <w:r w:rsidRPr="000B9A6F" w:rsidR="054A41A4">
        <w:rPr>
          <w:rFonts w:ascii="Arial" w:hAnsi="Arial" w:eastAsia="Arial" w:cs="Arial"/>
          <w:b w:val="0"/>
          <w:bCs w:val="0"/>
          <w:i w:val="0"/>
          <w:iCs w:val="0"/>
          <w:caps w:val="0"/>
          <w:smallCaps w:val="0"/>
          <w:noProof w:val="0"/>
          <w:color w:val="000000" w:themeColor="text1" w:themeTint="FF" w:themeShade="FF"/>
          <w:sz w:val="24"/>
          <w:szCs w:val="24"/>
          <w:lang w:val="en-GB"/>
        </w:rPr>
        <w:t>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0B9A6F" w:rsidR="4832F505">
        <w:rPr>
          <w:rFonts w:ascii="Arial" w:hAnsi="Arial" w:eastAsia="Arial" w:cs="Arial"/>
          <w:b w:val="0"/>
          <w:bCs w:val="0"/>
          <w:i w:val="0"/>
          <w:iCs w:val="0"/>
          <w:caps w:val="0"/>
          <w:smallCaps w:val="0"/>
          <w:noProof w:val="0"/>
          <w:color w:val="000000" w:themeColor="text1" w:themeTint="FF" w:themeShade="FF"/>
          <w:sz w:val="24"/>
          <w:szCs w:val="24"/>
          <w:lang w:val="en-GB"/>
        </w:rPr>
        <w:t>October</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71FF5073" wp14:textId="2DE243A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Food Foundation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Food Insecurity Tracker</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The Food Foundation.</w:t>
      </w:r>
    </w:p>
    <w:p xmlns:wp14="http://schemas.microsoft.com/office/word/2010/wordml" w:rsidP="000B9A6F" wp14:paraId="267052FF" wp14:textId="6A490C0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Gavi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Global Vaccine Impact Report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Geneva: Gavi.</w:t>
      </w:r>
    </w:p>
    <w:p xmlns:wp14="http://schemas.microsoft.com/office/word/2010/wordml" w:rsidP="000B9A6F" wp14:paraId="17864F58" wp14:textId="4A110AB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Global Fund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Results Report 2022</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Geneva: The Global Fund.</w:t>
      </w:r>
    </w:p>
    <w:p xmlns:wp14="http://schemas.microsoft.com/office/word/2010/wordml" w:rsidP="000B9A6F" wp14:paraId="214976DC" wp14:textId="70BAA60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HHS and USDA (2020)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Dietary Guidelines for Americans, 2020–2025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Washington DC: U.S. Government Printing Office.</w:t>
      </w:r>
    </w:p>
    <w:p xmlns:wp14="http://schemas.microsoft.com/office/word/2010/wordml" w:rsidP="000B9A6F" wp14:paraId="4B89A4C9" wp14:textId="2AC6ADF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King’s Fund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NHS Workforce: Challenges and Opportunities</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The King’s Fund.</w:t>
      </w:r>
    </w:p>
    <w:p xmlns:wp14="http://schemas.microsoft.com/office/word/2010/wordml" w:rsidP="000B9A6F" wp14:paraId="3C6439CE" wp14:textId="584A85B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Joseph Rowntree Foundation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UK Poverty Report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York: JRF.</w:t>
      </w:r>
    </w:p>
    <w:p xmlns:wp14="http://schemas.microsoft.com/office/word/2010/wordml" w:rsidP="000B9A6F" wp14:paraId="2077A846" wp14:textId="274F4FE3">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Manchester City Council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Health and Wellbeing Strategy 2021–2026</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Manchester: MCC.</w:t>
      </w:r>
    </w:p>
    <w:p xmlns:wp14="http://schemas.microsoft.com/office/word/2010/wordml" w:rsidP="000B9A6F" wp14:paraId="459E6949" wp14:textId="540BDE3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Marmot, M. (2019)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Health Gap: The Challenge of an Unequal World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Bloomsbury.</w:t>
      </w:r>
    </w:p>
    <w:p xmlns:wp14="http://schemas.microsoft.com/office/word/2010/wordml" w:rsidP="000B9A6F" wp14:paraId="14AC4984" wp14:textId="0A6D56D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Maslow, A.H. (1943) ‘A theory of human motivation’,</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Psychological Review</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50(4), pp. 370–396.</w:t>
      </w:r>
    </w:p>
    <w:p xmlns:wp14="http://schemas.microsoft.com/office/word/2010/wordml" w:rsidP="000B9A6F" wp14:paraId="4C10AAF5" wp14:textId="6AF885E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(2019)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NHS Long Term Plan</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NHS England.</w:t>
      </w:r>
    </w:p>
    <w:p xmlns:wp14="http://schemas.microsoft.com/office/word/2010/wordml" w:rsidP="000B9A6F" wp14:paraId="65A82EA3" wp14:textId="40FCF1C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NHS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Healthy Start Scheme</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NHS.</w:t>
      </w:r>
    </w:p>
    <w:p xmlns:wp14="http://schemas.microsoft.com/office/word/2010/wordml" w:rsidP="000B9A6F" wp14:paraId="06FE6865" wp14:textId="4065ADC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New York City Government (2021)</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ThriveNYC</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Mental Health for All</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NYC: Office of the Mayor.</w:t>
      </w:r>
    </w:p>
    <w:p xmlns:wp14="http://schemas.microsoft.com/office/word/2010/wordml" w:rsidP="000B9A6F" wp14:paraId="593DCC8B" wp14:textId="1E3DD1F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NYC Mayor’s Office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Good Food Purchasing Program</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NYC: Government of New York.</w:t>
      </w:r>
    </w:p>
    <w:p xmlns:wp14="http://schemas.microsoft.com/office/word/2010/wordml" w:rsidP="000B9A6F" wp14:paraId="172DC456" wp14:textId="2C2688E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OECD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Health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at a Glance</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2022.</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Paris: OECD Publishing.</w:t>
      </w:r>
    </w:p>
    <w:p xmlns:wp14="http://schemas.microsoft.com/office/word/2010/wordml" w:rsidP="000B9A6F" wp14:paraId="44C32E04" wp14:textId="37B6305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Office of Disease Prevention and Health Promotion (ODPHP) (2020)</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Healthy People 2030</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Washington DC: HHS.</w:t>
      </w:r>
    </w:p>
    <w:p xmlns:wp14="http://schemas.microsoft.com/office/word/2010/wordml" w:rsidP="000B9A6F" wp14:paraId="2F85791E" wp14:textId="20BCBAE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England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Health Profile for England 2021</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PHE.</w:t>
      </w:r>
    </w:p>
    <w:p xmlns:wp14="http://schemas.microsoft.com/office/word/2010/wordml" w:rsidP="000B9A6F" wp14:paraId="7D9A374B" wp14:textId="233463D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SAMHSA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National Strategy for Suicide Prevention 2021–2025.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Washington DC: SAMHSA.</w:t>
      </w:r>
    </w:p>
    <w:p xmlns:wp14="http://schemas.microsoft.com/office/word/2010/wordml" w:rsidP="000B9A6F" wp14:paraId="3E088C73" wp14:textId="66C770A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Trussell Trust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End Hunger in the UK: Annual Report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Trussell Trust.</w:t>
      </w:r>
    </w:p>
    <w:p xmlns:wp14="http://schemas.microsoft.com/office/word/2010/wordml" w:rsidP="000B9A6F" wp14:paraId="6225AC12" wp14:textId="49AE23A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UK Government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National Food Strategy: Independent Review</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DEFRA.</w:t>
      </w:r>
    </w:p>
    <w:p xmlns:wp14="http://schemas.microsoft.com/office/word/2010/wordml" w:rsidP="000B9A6F" wp14:paraId="6C6ABABE" wp14:textId="5E2AA38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United Nations (2015)</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Transforming our World: The 2030 Agenda for Sustainable Development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New York: United Nations.</w:t>
      </w:r>
    </w:p>
    <w:p xmlns:wp14="http://schemas.microsoft.com/office/word/2010/wordml" w:rsidP="000B9A6F" wp14:paraId="37199E2B" wp14:textId="633C412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United Nations (2023)</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Sustainable Development Goals Progress Report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UN </w:t>
      </w:r>
    </w:p>
    <w:p xmlns:wp14="http://schemas.microsoft.com/office/word/2010/wordml" w:rsidP="000B9A6F" wp14:paraId="5E5787A5" wp14:textId="3A7DF8A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(WHO)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World Health Statistics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Geneva: WHO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87843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f846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E06DF3"/>
    <w:rsid w:val="000B9A6F"/>
    <w:rsid w:val="02504984"/>
    <w:rsid w:val="0282636B"/>
    <w:rsid w:val="03E8AAD8"/>
    <w:rsid w:val="054A41A4"/>
    <w:rsid w:val="05AE4EA8"/>
    <w:rsid w:val="05D4EA57"/>
    <w:rsid w:val="05DAB265"/>
    <w:rsid w:val="06BC9FB9"/>
    <w:rsid w:val="06CA480A"/>
    <w:rsid w:val="0813B46F"/>
    <w:rsid w:val="0964A64F"/>
    <w:rsid w:val="0A0C80AE"/>
    <w:rsid w:val="0E51327D"/>
    <w:rsid w:val="0EE41458"/>
    <w:rsid w:val="103BE80F"/>
    <w:rsid w:val="1071AC46"/>
    <w:rsid w:val="11DE15B5"/>
    <w:rsid w:val="13372711"/>
    <w:rsid w:val="153BE125"/>
    <w:rsid w:val="1592E752"/>
    <w:rsid w:val="16F49205"/>
    <w:rsid w:val="1774A8C0"/>
    <w:rsid w:val="17B877E9"/>
    <w:rsid w:val="17D0E54D"/>
    <w:rsid w:val="17D51C05"/>
    <w:rsid w:val="17E3636C"/>
    <w:rsid w:val="18937651"/>
    <w:rsid w:val="18CAC4E1"/>
    <w:rsid w:val="1986DE0D"/>
    <w:rsid w:val="1ADD7030"/>
    <w:rsid w:val="1B02FA98"/>
    <w:rsid w:val="1B1D80BF"/>
    <w:rsid w:val="1B24EAEE"/>
    <w:rsid w:val="1B469C2C"/>
    <w:rsid w:val="1CACE834"/>
    <w:rsid w:val="1ED6A4C2"/>
    <w:rsid w:val="20708D45"/>
    <w:rsid w:val="249AECAA"/>
    <w:rsid w:val="24E06DF3"/>
    <w:rsid w:val="2717D092"/>
    <w:rsid w:val="27ED185B"/>
    <w:rsid w:val="28FDEEC8"/>
    <w:rsid w:val="293F94BF"/>
    <w:rsid w:val="2B699B81"/>
    <w:rsid w:val="2CA0AEB4"/>
    <w:rsid w:val="2EF27FA9"/>
    <w:rsid w:val="30CAF001"/>
    <w:rsid w:val="31EB1718"/>
    <w:rsid w:val="32994F01"/>
    <w:rsid w:val="330EF8E2"/>
    <w:rsid w:val="331C7AEC"/>
    <w:rsid w:val="339E4CFD"/>
    <w:rsid w:val="3476D3C6"/>
    <w:rsid w:val="3516F376"/>
    <w:rsid w:val="353AB8D7"/>
    <w:rsid w:val="372C61E6"/>
    <w:rsid w:val="376EE282"/>
    <w:rsid w:val="378633A7"/>
    <w:rsid w:val="37C47040"/>
    <w:rsid w:val="3837E722"/>
    <w:rsid w:val="38481757"/>
    <w:rsid w:val="38F3D17E"/>
    <w:rsid w:val="394EC29F"/>
    <w:rsid w:val="3C17E902"/>
    <w:rsid w:val="3DA037C2"/>
    <w:rsid w:val="3F083A67"/>
    <w:rsid w:val="3FB876AE"/>
    <w:rsid w:val="4007AA3E"/>
    <w:rsid w:val="441B2688"/>
    <w:rsid w:val="44C2F6D0"/>
    <w:rsid w:val="45B46203"/>
    <w:rsid w:val="4608D260"/>
    <w:rsid w:val="4832F505"/>
    <w:rsid w:val="492ABBCC"/>
    <w:rsid w:val="4A7B4671"/>
    <w:rsid w:val="4CD5C372"/>
    <w:rsid w:val="4CDAF4A9"/>
    <w:rsid w:val="4E060C65"/>
    <w:rsid w:val="4EEE74DA"/>
    <w:rsid w:val="4F3062DC"/>
    <w:rsid w:val="4F99A0E6"/>
    <w:rsid w:val="50A3B6A7"/>
    <w:rsid w:val="512F8799"/>
    <w:rsid w:val="515C860E"/>
    <w:rsid w:val="52A0AF50"/>
    <w:rsid w:val="52FC5E75"/>
    <w:rsid w:val="53C45D1C"/>
    <w:rsid w:val="54A4FC1A"/>
    <w:rsid w:val="551E9134"/>
    <w:rsid w:val="55753C02"/>
    <w:rsid w:val="559E9D28"/>
    <w:rsid w:val="581F4908"/>
    <w:rsid w:val="589AFBD8"/>
    <w:rsid w:val="5935B364"/>
    <w:rsid w:val="59C9D5E0"/>
    <w:rsid w:val="5A5F43BD"/>
    <w:rsid w:val="5AC2FABC"/>
    <w:rsid w:val="5CDFA8B5"/>
    <w:rsid w:val="5D24F4B4"/>
    <w:rsid w:val="5E193D67"/>
    <w:rsid w:val="619397DF"/>
    <w:rsid w:val="63C11D59"/>
    <w:rsid w:val="64488C56"/>
    <w:rsid w:val="66F7EF5E"/>
    <w:rsid w:val="692C88CF"/>
    <w:rsid w:val="6AEF0240"/>
    <w:rsid w:val="6CEAB71B"/>
    <w:rsid w:val="6D236E63"/>
    <w:rsid w:val="6E937C65"/>
    <w:rsid w:val="6F69F9AB"/>
    <w:rsid w:val="7051F9C9"/>
    <w:rsid w:val="725A6FFB"/>
    <w:rsid w:val="73491D57"/>
    <w:rsid w:val="756293A3"/>
    <w:rsid w:val="7776C32E"/>
    <w:rsid w:val="78062106"/>
    <w:rsid w:val="79406855"/>
    <w:rsid w:val="7A2B9A8E"/>
    <w:rsid w:val="7CFBCF5B"/>
    <w:rsid w:val="7E59B024"/>
    <w:rsid w:val="7EC5FC41"/>
    <w:rsid w:val="7FE14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06DF3"/>
  <w15:chartTrackingRefBased/>
  <w15:docId w15:val="{837FB18D-719A-4475-A793-AE35795029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00B9A6F"/>
    <w:rPr>
      <w:color w:val="467886"/>
      <w:u w:val="single"/>
    </w:rPr>
  </w:style>
  <w:style w:type="paragraph" w:styleId="ListParagraph">
    <w:uiPriority w:val="34"/>
    <w:name w:val="List Paragraph"/>
    <w:basedOn w:val="Normal"/>
    <w:qFormat/>
    <w:rsid w:val="000B9A6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fa.ca.gov" TargetMode="External" Id="Rf44a71e034264e67" /><Relationship Type="http://schemas.openxmlformats.org/officeDocument/2006/relationships/hyperlink" Target="https://www.feedingamerica.org" TargetMode="External" Id="Rb51a66594c9c47f4" /><Relationship Type="http://schemas.openxmlformats.org/officeDocument/2006/relationships/numbering" Target="/word/numbering.xml" Id="R14fa23fab2c344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Aslam (2220574)</dc:creator>
  <keywords/>
  <dc:description/>
  <lastModifiedBy>Sabina Aslam (2220574)</lastModifiedBy>
  <revision>3</revision>
  <dcterms:created xsi:type="dcterms:W3CDTF">2025-11-11T17:50:21.7440831Z</dcterms:created>
  <dcterms:modified xsi:type="dcterms:W3CDTF">2025-11-12T11:27:32.7835054Z</dcterms:modified>
</coreProperties>
</file>