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7DA4AC8" w14:textId="77777777" w:rsidR="00A1049C" w:rsidRPr="00607678" w:rsidRDefault="00A1049C" w:rsidP="00AE16AD"/>
    <w:p w14:paraId="5454051B" w14:textId="77777777" w:rsidR="00A1049C" w:rsidRPr="00607678" w:rsidRDefault="00A1049C" w:rsidP="00AE16AD">
      <w:pPr>
        <w:jc w:val="center"/>
      </w:pPr>
      <w:r w:rsidRPr="00607678">
        <w:rPr>
          <w:noProof/>
          <w:lang w:val="en-US" w:eastAsia="en-US"/>
        </w:rPr>
        <w:drawing>
          <wp:inline distT="0" distB="0" distL="0" distR="0" wp14:anchorId="6D9863B7" wp14:editId="62E8CA56">
            <wp:extent cx="2305050" cy="10096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305050" cy="1009650"/>
                    </a:xfrm>
                    <a:prstGeom prst="rect">
                      <a:avLst/>
                    </a:prstGeom>
                  </pic:spPr>
                </pic:pic>
              </a:graphicData>
            </a:graphic>
          </wp:inline>
        </w:drawing>
      </w:r>
    </w:p>
    <w:p w14:paraId="3654D19F" w14:textId="77777777" w:rsidR="00A1049C" w:rsidRPr="00607678" w:rsidRDefault="00A1049C" w:rsidP="00AE16AD"/>
    <w:p w14:paraId="200F6BDA" w14:textId="77777777" w:rsidR="00A1049C" w:rsidRPr="00607678" w:rsidRDefault="00A1049C" w:rsidP="00AE16AD"/>
    <w:p w14:paraId="0AA945EB" w14:textId="77777777" w:rsidR="00A1049C" w:rsidRPr="00607678" w:rsidRDefault="00A1049C" w:rsidP="00AE16AD"/>
    <w:p w14:paraId="13384644" w14:textId="497D3CBE" w:rsidR="00A1049C" w:rsidRPr="00607678" w:rsidRDefault="00A1049C" w:rsidP="00AE16AD">
      <w:pPr>
        <w:jc w:val="center"/>
        <w:rPr>
          <w:b/>
          <w:sz w:val="32"/>
        </w:rPr>
      </w:pPr>
      <w:r w:rsidRPr="00607678">
        <w:rPr>
          <w:b/>
          <w:sz w:val="32"/>
        </w:rPr>
        <w:t>Programme</w:t>
      </w:r>
      <w:r w:rsidR="00200610" w:rsidRPr="00607678">
        <w:rPr>
          <w:b/>
          <w:sz w:val="32"/>
        </w:rPr>
        <w:t xml:space="preserve"> Name</w:t>
      </w:r>
      <w:r w:rsidRPr="00607678">
        <w:rPr>
          <w:b/>
          <w:sz w:val="32"/>
        </w:rPr>
        <w:t>: Master of Business Administration</w:t>
      </w:r>
    </w:p>
    <w:p w14:paraId="70EC66B5" w14:textId="4538C778" w:rsidR="00A1049C" w:rsidRPr="00607678" w:rsidRDefault="00A1049C" w:rsidP="00AE16AD">
      <w:pPr>
        <w:jc w:val="center"/>
        <w:rPr>
          <w:b/>
          <w:sz w:val="32"/>
        </w:rPr>
      </w:pPr>
      <w:r w:rsidRPr="00607678">
        <w:rPr>
          <w:b/>
          <w:sz w:val="32"/>
        </w:rPr>
        <w:t>Module</w:t>
      </w:r>
      <w:r w:rsidR="00200610" w:rsidRPr="00607678">
        <w:rPr>
          <w:b/>
          <w:sz w:val="32"/>
        </w:rPr>
        <w:t xml:space="preserve"> Name</w:t>
      </w:r>
      <w:r w:rsidRPr="00607678">
        <w:rPr>
          <w:b/>
          <w:sz w:val="32"/>
        </w:rPr>
        <w:t>: Marketing Management</w:t>
      </w:r>
    </w:p>
    <w:p w14:paraId="382D1CF3" w14:textId="77777777" w:rsidR="00A1049C" w:rsidRPr="00607678" w:rsidRDefault="00A1049C" w:rsidP="00AE16AD">
      <w:pPr>
        <w:jc w:val="center"/>
        <w:rPr>
          <w:b/>
          <w:sz w:val="32"/>
        </w:rPr>
      </w:pPr>
      <w:r w:rsidRPr="00607678">
        <w:rPr>
          <w:b/>
          <w:sz w:val="32"/>
        </w:rPr>
        <w:t>Module code: LCMB7024</w:t>
      </w:r>
    </w:p>
    <w:p w14:paraId="78EC82F6" w14:textId="2173A626" w:rsidR="00D81C0E" w:rsidRPr="00607678" w:rsidRDefault="00D81C0E" w:rsidP="00AE16AD">
      <w:pPr>
        <w:jc w:val="center"/>
        <w:rPr>
          <w:b/>
          <w:sz w:val="44"/>
          <w:szCs w:val="44"/>
        </w:rPr>
      </w:pPr>
      <w:r w:rsidRPr="00607678">
        <w:rPr>
          <w:b/>
          <w:sz w:val="44"/>
          <w:szCs w:val="44"/>
        </w:rPr>
        <w:t>Assessment Title: Portfolio</w:t>
      </w:r>
      <w:r w:rsidR="00C70336" w:rsidRPr="00607678">
        <w:rPr>
          <w:b/>
          <w:sz w:val="44"/>
          <w:szCs w:val="44"/>
        </w:rPr>
        <w:t xml:space="preserve"> (</w:t>
      </w:r>
      <w:r w:rsidRPr="00607678">
        <w:rPr>
          <w:b/>
          <w:sz w:val="44"/>
          <w:szCs w:val="44"/>
        </w:rPr>
        <w:t>Presentation</w:t>
      </w:r>
      <w:r w:rsidR="00C70336" w:rsidRPr="00607678">
        <w:rPr>
          <w:b/>
          <w:sz w:val="44"/>
          <w:szCs w:val="44"/>
        </w:rPr>
        <w:t xml:space="preserve">, </w:t>
      </w:r>
      <w:r w:rsidRPr="00607678">
        <w:rPr>
          <w:b/>
          <w:sz w:val="44"/>
          <w:szCs w:val="44"/>
        </w:rPr>
        <w:t>Report</w:t>
      </w:r>
      <w:r w:rsidR="00C70336" w:rsidRPr="00607678">
        <w:rPr>
          <w:b/>
          <w:sz w:val="44"/>
          <w:szCs w:val="44"/>
        </w:rPr>
        <w:t xml:space="preserve"> &amp; </w:t>
      </w:r>
      <w:r w:rsidRPr="00607678">
        <w:rPr>
          <w:b/>
          <w:sz w:val="44"/>
          <w:szCs w:val="44"/>
        </w:rPr>
        <w:t>Reflection</w:t>
      </w:r>
      <w:r w:rsidR="00C70336" w:rsidRPr="00607678">
        <w:rPr>
          <w:b/>
          <w:sz w:val="44"/>
          <w:szCs w:val="44"/>
        </w:rPr>
        <w:t>)</w:t>
      </w:r>
      <w:r w:rsidRPr="00607678">
        <w:rPr>
          <w:b/>
          <w:sz w:val="44"/>
          <w:szCs w:val="44"/>
        </w:rPr>
        <w:t xml:space="preserve"> </w:t>
      </w:r>
    </w:p>
    <w:p w14:paraId="11C9B7D0" w14:textId="77777777" w:rsidR="00D54F9E" w:rsidRPr="00607678" w:rsidRDefault="00D54F9E" w:rsidP="00AE16AD">
      <w:pPr>
        <w:jc w:val="center"/>
        <w:rPr>
          <w:b/>
          <w:sz w:val="44"/>
          <w:szCs w:val="44"/>
        </w:rPr>
      </w:pPr>
    </w:p>
    <w:p w14:paraId="026D0B30" w14:textId="38EA3998" w:rsidR="00200610" w:rsidRPr="00607678" w:rsidRDefault="00200610" w:rsidP="00AE16AD">
      <w:pPr>
        <w:jc w:val="center"/>
        <w:rPr>
          <w:b/>
          <w:sz w:val="32"/>
        </w:rPr>
      </w:pPr>
      <w:r w:rsidRPr="00607678">
        <w:rPr>
          <w:b/>
          <w:sz w:val="32"/>
        </w:rPr>
        <w:t>Lecturer’s Name:</w:t>
      </w:r>
      <w:r w:rsidR="007932AD">
        <w:rPr>
          <w:b/>
          <w:sz w:val="32"/>
        </w:rPr>
        <w:t xml:space="preserve"> </w:t>
      </w:r>
      <w:proofErr w:type="spellStart"/>
      <w:r w:rsidR="007932AD">
        <w:rPr>
          <w:b/>
          <w:sz w:val="32"/>
        </w:rPr>
        <w:t>Tushara</w:t>
      </w:r>
      <w:proofErr w:type="spellEnd"/>
      <w:r w:rsidR="007932AD">
        <w:rPr>
          <w:b/>
          <w:sz w:val="32"/>
        </w:rPr>
        <w:t xml:space="preserve"> </w:t>
      </w:r>
      <w:proofErr w:type="spellStart"/>
      <w:r w:rsidR="007932AD">
        <w:rPr>
          <w:b/>
          <w:sz w:val="32"/>
        </w:rPr>
        <w:t>Balendran</w:t>
      </w:r>
      <w:proofErr w:type="spellEnd"/>
    </w:p>
    <w:p w14:paraId="608424C9" w14:textId="77777777" w:rsidR="003A2D79" w:rsidRPr="00607678" w:rsidRDefault="003A2D79" w:rsidP="00AE16AD">
      <w:pPr>
        <w:jc w:val="center"/>
        <w:rPr>
          <w:b/>
          <w:sz w:val="32"/>
        </w:rPr>
      </w:pPr>
    </w:p>
    <w:p w14:paraId="4D97B088" w14:textId="77777777" w:rsidR="0053074A" w:rsidRPr="00607678" w:rsidRDefault="0053074A" w:rsidP="00AE16AD">
      <w:pPr>
        <w:jc w:val="center"/>
        <w:rPr>
          <w:b/>
          <w:sz w:val="32"/>
        </w:rPr>
      </w:pPr>
      <w:r w:rsidRPr="00607678">
        <w:rPr>
          <w:b/>
          <w:sz w:val="32"/>
        </w:rPr>
        <w:t>Student Name:  Ahmed Rain</w:t>
      </w:r>
      <w:r w:rsidRPr="00607678">
        <w:rPr>
          <w:b/>
          <w:sz w:val="32"/>
        </w:rPr>
        <w:br/>
        <w:t>Student ID: 2535781</w:t>
      </w:r>
    </w:p>
    <w:p w14:paraId="16EAEFC1" w14:textId="678EB426" w:rsidR="00102450" w:rsidRPr="00607678" w:rsidRDefault="00102450" w:rsidP="00AE16AD">
      <w:pPr>
        <w:jc w:val="center"/>
        <w:rPr>
          <w:b/>
          <w:sz w:val="32"/>
        </w:rPr>
      </w:pPr>
      <w:proofErr w:type="spellStart"/>
      <w:r w:rsidRPr="00607678">
        <w:rPr>
          <w:b/>
          <w:sz w:val="32"/>
        </w:rPr>
        <w:t>WordCount</w:t>
      </w:r>
      <w:proofErr w:type="spellEnd"/>
      <w:r w:rsidRPr="00607678">
        <w:rPr>
          <w:b/>
          <w:sz w:val="32"/>
        </w:rPr>
        <w:t>:</w:t>
      </w:r>
      <w:r w:rsidR="00E21712" w:rsidRPr="00607678">
        <w:rPr>
          <w:b/>
          <w:sz w:val="32"/>
        </w:rPr>
        <w:t xml:space="preserve"> 25</w:t>
      </w:r>
      <w:r w:rsidR="008465E6" w:rsidRPr="00607678">
        <w:rPr>
          <w:b/>
          <w:sz w:val="32"/>
        </w:rPr>
        <w:t>25</w:t>
      </w:r>
    </w:p>
    <w:p w14:paraId="0089275C" w14:textId="7EA3E2DC" w:rsidR="00102450" w:rsidRPr="00607678" w:rsidRDefault="00102450" w:rsidP="00AE16AD">
      <w:pPr>
        <w:jc w:val="center"/>
        <w:rPr>
          <w:b/>
          <w:sz w:val="32"/>
        </w:rPr>
      </w:pPr>
      <w:bookmarkStart w:id="0" w:name="_GoBack"/>
      <w:bookmarkEnd w:id="0"/>
    </w:p>
    <w:p w14:paraId="35BC5F09" w14:textId="1432E401" w:rsidR="00A1049C" w:rsidRPr="00607678" w:rsidRDefault="00A1049C" w:rsidP="00AE16AD">
      <w:pPr>
        <w:jc w:val="center"/>
        <w:rPr>
          <w:b/>
          <w:bCs/>
          <w:sz w:val="28"/>
          <w:szCs w:val="28"/>
        </w:rPr>
      </w:pPr>
      <w:r w:rsidRPr="00607678">
        <w:br w:type="page"/>
      </w:r>
    </w:p>
    <w:sdt>
      <w:sdtPr>
        <w:rPr>
          <w:rFonts w:ascii="Arial" w:eastAsia="Arial" w:hAnsi="Arial" w:cs="Arial"/>
          <w:color w:val="auto"/>
          <w:sz w:val="24"/>
          <w:szCs w:val="24"/>
          <w:lang w:val="en-GB" w:eastAsia="en-IN"/>
        </w:rPr>
        <w:id w:val="2083484569"/>
        <w:docPartObj>
          <w:docPartGallery w:val="Table of Contents"/>
          <w:docPartUnique/>
        </w:docPartObj>
      </w:sdtPr>
      <w:sdtEndPr>
        <w:rPr>
          <w:b/>
          <w:bCs/>
          <w:noProof/>
        </w:rPr>
      </w:sdtEndPr>
      <w:sdtContent>
        <w:p w14:paraId="16969E0F" w14:textId="77777777" w:rsidR="00D21EC1" w:rsidRPr="00607678" w:rsidRDefault="00D21EC1" w:rsidP="00AE16AD">
          <w:pPr>
            <w:pStyle w:val="TOCHeading"/>
            <w:spacing w:line="360" w:lineRule="auto"/>
            <w:jc w:val="center"/>
            <w:rPr>
              <w:rFonts w:ascii="Arial" w:hAnsi="Arial" w:cs="Arial"/>
              <w:b/>
              <w:color w:val="000000" w:themeColor="text1"/>
              <w:sz w:val="28"/>
              <w:lang w:val="en-GB"/>
            </w:rPr>
          </w:pPr>
          <w:r w:rsidRPr="00607678">
            <w:rPr>
              <w:rFonts w:ascii="Arial" w:hAnsi="Arial" w:cs="Arial"/>
              <w:b/>
              <w:color w:val="000000" w:themeColor="text1"/>
              <w:sz w:val="28"/>
              <w:lang w:val="en-GB"/>
            </w:rPr>
            <w:t>Table of Contents</w:t>
          </w:r>
        </w:p>
        <w:p w14:paraId="3295E8FB" w14:textId="4B51C875" w:rsidR="00B10E34" w:rsidRPr="00607678" w:rsidRDefault="00D21EC1">
          <w:pPr>
            <w:pStyle w:val="TOC1"/>
            <w:tabs>
              <w:tab w:val="right" w:leader="dot" w:pos="9350"/>
            </w:tabs>
            <w:rPr>
              <w:rFonts w:asciiTheme="minorHAnsi" w:eastAsiaTheme="minorEastAsia" w:hAnsiTheme="minorHAnsi" w:cstheme="minorBidi"/>
              <w:noProof/>
              <w:kern w:val="2"/>
              <w14:ligatures w14:val="standardContextual"/>
            </w:rPr>
          </w:pPr>
          <w:r w:rsidRPr="00607678">
            <w:fldChar w:fldCharType="begin"/>
          </w:r>
          <w:r w:rsidRPr="00607678">
            <w:instrText xml:space="preserve"> TOC \o "1-3" \h \z \u </w:instrText>
          </w:r>
          <w:r w:rsidRPr="00607678">
            <w:fldChar w:fldCharType="separate"/>
          </w:r>
          <w:hyperlink w:anchor="_Toc236866865" w:history="1">
            <w:r w:rsidR="00B10E34" w:rsidRPr="00607678">
              <w:rPr>
                <w:rStyle w:val="Hyperlink"/>
                <w:noProof/>
              </w:rPr>
              <w:t>Introduction</w:t>
            </w:r>
            <w:r w:rsidR="00B10E34" w:rsidRPr="00607678">
              <w:rPr>
                <w:noProof/>
                <w:webHidden/>
              </w:rPr>
              <w:tab/>
            </w:r>
            <w:r w:rsidR="00B10E34" w:rsidRPr="00607678">
              <w:rPr>
                <w:noProof/>
                <w:webHidden/>
              </w:rPr>
              <w:fldChar w:fldCharType="begin"/>
            </w:r>
            <w:r w:rsidR="00B10E34" w:rsidRPr="00607678">
              <w:rPr>
                <w:noProof/>
                <w:webHidden/>
              </w:rPr>
              <w:instrText xml:space="preserve"> PAGEREF _Toc236866865 \h </w:instrText>
            </w:r>
            <w:r w:rsidR="00B10E34" w:rsidRPr="00607678">
              <w:rPr>
                <w:noProof/>
                <w:webHidden/>
              </w:rPr>
            </w:r>
            <w:r w:rsidR="00B10E34" w:rsidRPr="00607678">
              <w:rPr>
                <w:noProof/>
                <w:webHidden/>
              </w:rPr>
              <w:fldChar w:fldCharType="separate"/>
            </w:r>
            <w:r w:rsidR="00B10E34" w:rsidRPr="00607678">
              <w:rPr>
                <w:noProof/>
                <w:webHidden/>
              </w:rPr>
              <w:t>3</w:t>
            </w:r>
            <w:r w:rsidR="00B10E34" w:rsidRPr="00607678">
              <w:rPr>
                <w:noProof/>
                <w:webHidden/>
              </w:rPr>
              <w:fldChar w:fldCharType="end"/>
            </w:r>
          </w:hyperlink>
        </w:p>
        <w:p w14:paraId="3C17A5D9" w14:textId="33E6BFA2" w:rsidR="00B10E34" w:rsidRPr="00607678" w:rsidRDefault="00941C99">
          <w:pPr>
            <w:pStyle w:val="TOC1"/>
            <w:tabs>
              <w:tab w:val="right" w:leader="dot" w:pos="9350"/>
            </w:tabs>
            <w:rPr>
              <w:rFonts w:asciiTheme="minorHAnsi" w:eastAsiaTheme="minorEastAsia" w:hAnsiTheme="minorHAnsi" w:cstheme="minorBidi"/>
              <w:noProof/>
              <w:kern w:val="2"/>
              <w14:ligatures w14:val="standardContextual"/>
            </w:rPr>
          </w:pPr>
          <w:hyperlink w:anchor="_Toc236866866" w:history="1">
            <w:r w:rsidR="00B10E34" w:rsidRPr="00607678">
              <w:rPr>
                <w:rStyle w:val="Hyperlink"/>
                <w:noProof/>
              </w:rPr>
              <w:t>Element 1: Poster Presentation</w:t>
            </w:r>
            <w:r w:rsidR="00B10E34" w:rsidRPr="00607678">
              <w:rPr>
                <w:noProof/>
                <w:webHidden/>
              </w:rPr>
              <w:tab/>
            </w:r>
            <w:r w:rsidR="00B10E34" w:rsidRPr="00607678">
              <w:rPr>
                <w:noProof/>
                <w:webHidden/>
              </w:rPr>
              <w:fldChar w:fldCharType="begin"/>
            </w:r>
            <w:r w:rsidR="00B10E34" w:rsidRPr="00607678">
              <w:rPr>
                <w:noProof/>
                <w:webHidden/>
              </w:rPr>
              <w:instrText xml:space="preserve"> PAGEREF _Toc236866866 \h </w:instrText>
            </w:r>
            <w:r w:rsidR="00B10E34" w:rsidRPr="00607678">
              <w:rPr>
                <w:noProof/>
                <w:webHidden/>
              </w:rPr>
            </w:r>
            <w:r w:rsidR="00B10E34" w:rsidRPr="00607678">
              <w:rPr>
                <w:noProof/>
                <w:webHidden/>
              </w:rPr>
              <w:fldChar w:fldCharType="separate"/>
            </w:r>
            <w:r w:rsidR="00B10E34" w:rsidRPr="00607678">
              <w:rPr>
                <w:noProof/>
                <w:webHidden/>
              </w:rPr>
              <w:t>3</w:t>
            </w:r>
            <w:r w:rsidR="00B10E34" w:rsidRPr="00607678">
              <w:rPr>
                <w:noProof/>
                <w:webHidden/>
              </w:rPr>
              <w:fldChar w:fldCharType="end"/>
            </w:r>
          </w:hyperlink>
        </w:p>
        <w:p w14:paraId="7242464D" w14:textId="149BE59C" w:rsidR="00B10E34" w:rsidRPr="00607678" w:rsidRDefault="00941C99">
          <w:pPr>
            <w:pStyle w:val="TOC1"/>
            <w:tabs>
              <w:tab w:val="right" w:leader="dot" w:pos="9350"/>
            </w:tabs>
            <w:rPr>
              <w:rFonts w:asciiTheme="minorHAnsi" w:eastAsiaTheme="minorEastAsia" w:hAnsiTheme="minorHAnsi" w:cstheme="minorBidi"/>
              <w:noProof/>
              <w:kern w:val="2"/>
              <w14:ligatures w14:val="standardContextual"/>
            </w:rPr>
          </w:pPr>
          <w:hyperlink w:anchor="_Toc236866867" w:history="1">
            <w:r w:rsidR="00B10E34" w:rsidRPr="00607678">
              <w:rPr>
                <w:rStyle w:val="Hyperlink"/>
                <w:noProof/>
              </w:rPr>
              <w:t>Element 2: Develop a Segmentation, Targeting, Differentiation, and Positioning (STDP) Analysis for the brand extension</w:t>
            </w:r>
            <w:r w:rsidR="00B10E34" w:rsidRPr="00607678">
              <w:rPr>
                <w:noProof/>
                <w:webHidden/>
              </w:rPr>
              <w:tab/>
            </w:r>
            <w:r w:rsidR="00B10E34" w:rsidRPr="00607678">
              <w:rPr>
                <w:noProof/>
                <w:webHidden/>
              </w:rPr>
              <w:fldChar w:fldCharType="begin"/>
            </w:r>
            <w:r w:rsidR="00B10E34" w:rsidRPr="00607678">
              <w:rPr>
                <w:noProof/>
                <w:webHidden/>
              </w:rPr>
              <w:instrText xml:space="preserve"> PAGEREF _Toc236866867 \h </w:instrText>
            </w:r>
            <w:r w:rsidR="00B10E34" w:rsidRPr="00607678">
              <w:rPr>
                <w:noProof/>
                <w:webHidden/>
              </w:rPr>
            </w:r>
            <w:r w:rsidR="00B10E34" w:rsidRPr="00607678">
              <w:rPr>
                <w:noProof/>
                <w:webHidden/>
              </w:rPr>
              <w:fldChar w:fldCharType="separate"/>
            </w:r>
            <w:r w:rsidR="00B10E34" w:rsidRPr="00607678">
              <w:rPr>
                <w:noProof/>
                <w:webHidden/>
              </w:rPr>
              <w:t>4</w:t>
            </w:r>
            <w:r w:rsidR="00B10E34" w:rsidRPr="00607678">
              <w:rPr>
                <w:noProof/>
                <w:webHidden/>
              </w:rPr>
              <w:fldChar w:fldCharType="end"/>
            </w:r>
          </w:hyperlink>
        </w:p>
        <w:p w14:paraId="738FFB52" w14:textId="72644292" w:rsidR="00B10E34" w:rsidRPr="00607678" w:rsidRDefault="00941C99">
          <w:pPr>
            <w:pStyle w:val="TOC1"/>
            <w:tabs>
              <w:tab w:val="right" w:leader="dot" w:pos="9350"/>
            </w:tabs>
            <w:rPr>
              <w:rFonts w:asciiTheme="minorHAnsi" w:eastAsiaTheme="minorEastAsia" w:hAnsiTheme="minorHAnsi" w:cstheme="minorBidi"/>
              <w:noProof/>
              <w:kern w:val="2"/>
              <w14:ligatures w14:val="standardContextual"/>
            </w:rPr>
          </w:pPr>
          <w:hyperlink w:anchor="_Toc236866868" w:history="1">
            <w:r w:rsidR="00B10E34" w:rsidRPr="00607678">
              <w:rPr>
                <w:rStyle w:val="Hyperlink"/>
                <w:noProof/>
              </w:rPr>
              <w:t>Element 3: Marketing Mix: 4Ps</w:t>
            </w:r>
            <w:r w:rsidR="00B10E34" w:rsidRPr="00607678">
              <w:rPr>
                <w:noProof/>
                <w:webHidden/>
              </w:rPr>
              <w:tab/>
            </w:r>
            <w:r w:rsidR="00B10E34" w:rsidRPr="00607678">
              <w:rPr>
                <w:noProof/>
                <w:webHidden/>
              </w:rPr>
              <w:fldChar w:fldCharType="begin"/>
            </w:r>
            <w:r w:rsidR="00B10E34" w:rsidRPr="00607678">
              <w:rPr>
                <w:noProof/>
                <w:webHidden/>
              </w:rPr>
              <w:instrText xml:space="preserve"> PAGEREF _Toc236866868 \h </w:instrText>
            </w:r>
            <w:r w:rsidR="00B10E34" w:rsidRPr="00607678">
              <w:rPr>
                <w:noProof/>
                <w:webHidden/>
              </w:rPr>
            </w:r>
            <w:r w:rsidR="00B10E34" w:rsidRPr="00607678">
              <w:rPr>
                <w:noProof/>
                <w:webHidden/>
              </w:rPr>
              <w:fldChar w:fldCharType="separate"/>
            </w:r>
            <w:r w:rsidR="00B10E34" w:rsidRPr="00607678">
              <w:rPr>
                <w:noProof/>
                <w:webHidden/>
              </w:rPr>
              <w:t>8</w:t>
            </w:r>
            <w:r w:rsidR="00B10E34" w:rsidRPr="00607678">
              <w:rPr>
                <w:noProof/>
                <w:webHidden/>
              </w:rPr>
              <w:fldChar w:fldCharType="end"/>
            </w:r>
          </w:hyperlink>
        </w:p>
        <w:p w14:paraId="75A962A9" w14:textId="35DC1F3E" w:rsidR="00B10E34" w:rsidRPr="00607678" w:rsidRDefault="00941C99">
          <w:pPr>
            <w:pStyle w:val="TOC1"/>
            <w:tabs>
              <w:tab w:val="right" w:leader="dot" w:pos="9350"/>
            </w:tabs>
            <w:rPr>
              <w:rFonts w:asciiTheme="minorHAnsi" w:eastAsiaTheme="minorEastAsia" w:hAnsiTheme="minorHAnsi" w:cstheme="minorBidi"/>
              <w:noProof/>
              <w:kern w:val="2"/>
              <w14:ligatures w14:val="standardContextual"/>
            </w:rPr>
          </w:pPr>
          <w:hyperlink w:anchor="_Toc236866869" w:history="1">
            <w:r w:rsidR="00B10E34" w:rsidRPr="00607678">
              <w:rPr>
                <w:rStyle w:val="Hyperlink"/>
                <w:noProof/>
              </w:rPr>
              <w:t>Element 4: Reflection</w:t>
            </w:r>
            <w:r w:rsidR="00B10E34" w:rsidRPr="00607678">
              <w:rPr>
                <w:noProof/>
                <w:webHidden/>
              </w:rPr>
              <w:tab/>
            </w:r>
            <w:r w:rsidR="00B10E34" w:rsidRPr="00607678">
              <w:rPr>
                <w:noProof/>
                <w:webHidden/>
              </w:rPr>
              <w:fldChar w:fldCharType="begin"/>
            </w:r>
            <w:r w:rsidR="00B10E34" w:rsidRPr="00607678">
              <w:rPr>
                <w:noProof/>
                <w:webHidden/>
              </w:rPr>
              <w:instrText xml:space="preserve"> PAGEREF _Toc236866869 \h </w:instrText>
            </w:r>
            <w:r w:rsidR="00B10E34" w:rsidRPr="00607678">
              <w:rPr>
                <w:noProof/>
                <w:webHidden/>
              </w:rPr>
            </w:r>
            <w:r w:rsidR="00B10E34" w:rsidRPr="00607678">
              <w:rPr>
                <w:noProof/>
                <w:webHidden/>
              </w:rPr>
              <w:fldChar w:fldCharType="separate"/>
            </w:r>
            <w:r w:rsidR="00B10E34" w:rsidRPr="00607678">
              <w:rPr>
                <w:noProof/>
                <w:webHidden/>
              </w:rPr>
              <w:t>13</w:t>
            </w:r>
            <w:r w:rsidR="00B10E34" w:rsidRPr="00607678">
              <w:rPr>
                <w:noProof/>
                <w:webHidden/>
              </w:rPr>
              <w:fldChar w:fldCharType="end"/>
            </w:r>
          </w:hyperlink>
        </w:p>
        <w:p w14:paraId="7E3AE08E" w14:textId="27216462" w:rsidR="00B10E34" w:rsidRPr="00607678" w:rsidRDefault="00941C99">
          <w:pPr>
            <w:pStyle w:val="TOC1"/>
            <w:tabs>
              <w:tab w:val="right" w:leader="dot" w:pos="9350"/>
            </w:tabs>
            <w:rPr>
              <w:rFonts w:asciiTheme="minorHAnsi" w:eastAsiaTheme="minorEastAsia" w:hAnsiTheme="minorHAnsi" w:cstheme="minorBidi"/>
              <w:noProof/>
              <w:kern w:val="2"/>
              <w14:ligatures w14:val="standardContextual"/>
            </w:rPr>
          </w:pPr>
          <w:hyperlink w:anchor="_Toc236866870" w:history="1">
            <w:r w:rsidR="00B10E34" w:rsidRPr="00607678">
              <w:rPr>
                <w:rStyle w:val="Hyperlink"/>
                <w:noProof/>
              </w:rPr>
              <w:t>Conclusion</w:t>
            </w:r>
            <w:r w:rsidR="00B10E34" w:rsidRPr="00607678">
              <w:rPr>
                <w:noProof/>
                <w:webHidden/>
              </w:rPr>
              <w:tab/>
            </w:r>
            <w:r w:rsidR="00B10E34" w:rsidRPr="00607678">
              <w:rPr>
                <w:noProof/>
                <w:webHidden/>
              </w:rPr>
              <w:fldChar w:fldCharType="begin"/>
            </w:r>
            <w:r w:rsidR="00B10E34" w:rsidRPr="00607678">
              <w:rPr>
                <w:noProof/>
                <w:webHidden/>
              </w:rPr>
              <w:instrText xml:space="preserve"> PAGEREF _Toc236866870 \h </w:instrText>
            </w:r>
            <w:r w:rsidR="00B10E34" w:rsidRPr="00607678">
              <w:rPr>
                <w:noProof/>
                <w:webHidden/>
              </w:rPr>
            </w:r>
            <w:r w:rsidR="00B10E34" w:rsidRPr="00607678">
              <w:rPr>
                <w:noProof/>
                <w:webHidden/>
              </w:rPr>
              <w:fldChar w:fldCharType="separate"/>
            </w:r>
            <w:r w:rsidR="00B10E34" w:rsidRPr="00607678">
              <w:rPr>
                <w:noProof/>
                <w:webHidden/>
              </w:rPr>
              <w:t>14</w:t>
            </w:r>
            <w:r w:rsidR="00B10E34" w:rsidRPr="00607678">
              <w:rPr>
                <w:noProof/>
                <w:webHidden/>
              </w:rPr>
              <w:fldChar w:fldCharType="end"/>
            </w:r>
          </w:hyperlink>
        </w:p>
        <w:p w14:paraId="33C5AED5" w14:textId="05B3F2E9" w:rsidR="00B10E34" w:rsidRPr="00607678" w:rsidRDefault="00941C99">
          <w:pPr>
            <w:pStyle w:val="TOC1"/>
            <w:tabs>
              <w:tab w:val="right" w:leader="dot" w:pos="9350"/>
            </w:tabs>
            <w:rPr>
              <w:rFonts w:asciiTheme="minorHAnsi" w:eastAsiaTheme="minorEastAsia" w:hAnsiTheme="minorHAnsi" w:cstheme="minorBidi"/>
              <w:noProof/>
              <w:kern w:val="2"/>
              <w14:ligatures w14:val="standardContextual"/>
            </w:rPr>
          </w:pPr>
          <w:hyperlink w:anchor="_Toc236866871" w:history="1">
            <w:r w:rsidR="00B10E34" w:rsidRPr="00607678">
              <w:rPr>
                <w:rStyle w:val="Hyperlink"/>
                <w:noProof/>
              </w:rPr>
              <w:t>Reference List</w:t>
            </w:r>
            <w:r w:rsidR="00B10E34" w:rsidRPr="00607678">
              <w:rPr>
                <w:noProof/>
                <w:webHidden/>
              </w:rPr>
              <w:tab/>
            </w:r>
            <w:r w:rsidR="00B10E34" w:rsidRPr="00607678">
              <w:rPr>
                <w:noProof/>
                <w:webHidden/>
              </w:rPr>
              <w:fldChar w:fldCharType="begin"/>
            </w:r>
            <w:r w:rsidR="00B10E34" w:rsidRPr="00607678">
              <w:rPr>
                <w:noProof/>
                <w:webHidden/>
              </w:rPr>
              <w:instrText xml:space="preserve"> PAGEREF _Toc236866871 \h </w:instrText>
            </w:r>
            <w:r w:rsidR="00B10E34" w:rsidRPr="00607678">
              <w:rPr>
                <w:noProof/>
                <w:webHidden/>
              </w:rPr>
            </w:r>
            <w:r w:rsidR="00B10E34" w:rsidRPr="00607678">
              <w:rPr>
                <w:noProof/>
                <w:webHidden/>
              </w:rPr>
              <w:fldChar w:fldCharType="separate"/>
            </w:r>
            <w:r w:rsidR="00B10E34" w:rsidRPr="00607678">
              <w:rPr>
                <w:noProof/>
                <w:webHidden/>
              </w:rPr>
              <w:t>15</w:t>
            </w:r>
            <w:r w:rsidR="00B10E34" w:rsidRPr="00607678">
              <w:rPr>
                <w:noProof/>
                <w:webHidden/>
              </w:rPr>
              <w:fldChar w:fldCharType="end"/>
            </w:r>
          </w:hyperlink>
        </w:p>
        <w:p w14:paraId="41D0F5F9" w14:textId="6C8E9869" w:rsidR="00B10E34" w:rsidRPr="00607678" w:rsidRDefault="00941C99">
          <w:pPr>
            <w:pStyle w:val="TOC1"/>
            <w:tabs>
              <w:tab w:val="right" w:leader="dot" w:pos="9350"/>
            </w:tabs>
            <w:rPr>
              <w:rFonts w:asciiTheme="minorHAnsi" w:eastAsiaTheme="minorEastAsia" w:hAnsiTheme="minorHAnsi" w:cstheme="minorBidi"/>
              <w:noProof/>
              <w:kern w:val="2"/>
              <w14:ligatures w14:val="standardContextual"/>
            </w:rPr>
          </w:pPr>
          <w:hyperlink w:anchor="_Toc236866872" w:history="1">
            <w:r w:rsidR="00B10E34" w:rsidRPr="00607678">
              <w:rPr>
                <w:rStyle w:val="Hyperlink"/>
                <w:noProof/>
              </w:rPr>
              <w:t>Appendix 1: Poster Presentation</w:t>
            </w:r>
            <w:r w:rsidR="00B10E34" w:rsidRPr="00607678">
              <w:rPr>
                <w:noProof/>
                <w:webHidden/>
              </w:rPr>
              <w:tab/>
            </w:r>
            <w:r w:rsidR="00B10E34" w:rsidRPr="00607678">
              <w:rPr>
                <w:noProof/>
                <w:webHidden/>
              </w:rPr>
              <w:fldChar w:fldCharType="begin"/>
            </w:r>
            <w:r w:rsidR="00B10E34" w:rsidRPr="00607678">
              <w:rPr>
                <w:noProof/>
                <w:webHidden/>
              </w:rPr>
              <w:instrText xml:space="preserve"> PAGEREF _Toc236866872 \h </w:instrText>
            </w:r>
            <w:r w:rsidR="00B10E34" w:rsidRPr="00607678">
              <w:rPr>
                <w:noProof/>
                <w:webHidden/>
              </w:rPr>
            </w:r>
            <w:r w:rsidR="00B10E34" w:rsidRPr="00607678">
              <w:rPr>
                <w:noProof/>
                <w:webHidden/>
              </w:rPr>
              <w:fldChar w:fldCharType="separate"/>
            </w:r>
            <w:r w:rsidR="00B10E34" w:rsidRPr="00607678">
              <w:rPr>
                <w:noProof/>
                <w:webHidden/>
              </w:rPr>
              <w:t>19</w:t>
            </w:r>
            <w:r w:rsidR="00B10E34" w:rsidRPr="00607678">
              <w:rPr>
                <w:noProof/>
                <w:webHidden/>
              </w:rPr>
              <w:fldChar w:fldCharType="end"/>
            </w:r>
          </w:hyperlink>
        </w:p>
        <w:p w14:paraId="5A4F094A" w14:textId="08792E12" w:rsidR="00D21EC1" w:rsidRPr="00607678" w:rsidRDefault="00D21EC1" w:rsidP="00AE16AD">
          <w:r w:rsidRPr="00607678">
            <w:rPr>
              <w:b/>
              <w:bCs/>
              <w:noProof/>
            </w:rPr>
            <w:fldChar w:fldCharType="end"/>
          </w:r>
        </w:p>
      </w:sdtContent>
    </w:sdt>
    <w:p w14:paraId="25243D97" w14:textId="77777777" w:rsidR="00D21EC1" w:rsidRPr="00607678" w:rsidRDefault="00D21EC1" w:rsidP="00AE16AD">
      <w:pPr>
        <w:rPr>
          <w:b/>
          <w:bCs/>
          <w:sz w:val="28"/>
          <w:szCs w:val="28"/>
        </w:rPr>
      </w:pPr>
      <w:r w:rsidRPr="00607678">
        <w:br w:type="page"/>
      </w:r>
    </w:p>
    <w:p w14:paraId="4F0800B3" w14:textId="753FAD91" w:rsidR="00522E92" w:rsidRPr="004F65F7" w:rsidRDefault="00522E92" w:rsidP="00AE16AD">
      <w:pPr>
        <w:pStyle w:val="Heading1"/>
      </w:pPr>
      <w:bookmarkStart w:id="1" w:name="_Toc236866865"/>
      <w:r w:rsidRPr="004F65F7">
        <w:lastRenderedPageBreak/>
        <w:t>Introduction</w:t>
      </w:r>
      <w:bookmarkEnd w:id="1"/>
    </w:p>
    <w:p w14:paraId="0FA4E3FF" w14:textId="7AFD4035" w:rsidR="004C6332" w:rsidRPr="004F65F7" w:rsidRDefault="004C6332" w:rsidP="00AE16AD">
      <w:r w:rsidRPr="004F65F7">
        <w:t xml:space="preserve">This report uses the STDP analysis and the marketing mix to develop a sustainable brand extension strategy for Dell </w:t>
      </w:r>
      <w:proofErr w:type="spellStart"/>
      <w:r w:rsidRPr="004F65F7">
        <w:t>EcoWatch</w:t>
      </w:r>
      <w:proofErr w:type="spellEnd"/>
      <w:r w:rsidRPr="004F65F7">
        <w:t>, proving that sustainability can lead to a competitive advantage while satisfying the changing needs of consumers.</w:t>
      </w:r>
    </w:p>
    <w:p w14:paraId="7FF4B510" w14:textId="7B42A256" w:rsidR="008D3D0D" w:rsidRPr="004F65F7" w:rsidRDefault="008D3D0D" w:rsidP="00AE16AD">
      <w:pPr>
        <w:pStyle w:val="Heading1"/>
      </w:pPr>
      <w:bookmarkStart w:id="2" w:name="_Toc236866866"/>
      <w:r w:rsidRPr="004F65F7">
        <w:t>Element 1: Poster Presentation</w:t>
      </w:r>
      <w:bookmarkEnd w:id="2"/>
    </w:p>
    <w:p w14:paraId="13B8EED4" w14:textId="17D155DB" w:rsidR="00C82B22" w:rsidRPr="004F65F7" w:rsidRDefault="006F200D" w:rsidP="00AE16AD">
      <w:r w:rsidRPr="004F65F7">
        <w:t>[Refer to Appendix 1]</w:t>
      </w:r>
    </w:p>
    <w:p w14:paraId="589B3415" w14:textId="58BA595D" w:rsidR="004255D3" w:rsidRPr="004F65F7" w:rsidRDefault="004255D3" w:rsidP="006F200D"/>
    <w:p w14:paraId="5B44D041" w14:textId="77777777" w:rsidR="008D3D0D" w:rsidRPr="004F65F7" w:rsidRDefault="008D3D0D" w:rsidP="00AE16AD">
      <w:pPr>
        <w:jc w:val="center"/>
      </w:pPr>
    </w:p>
    <w:p w14:paraId="76C3F73C" w14:textId="77777777" w:rsidR="008D3D0D" w:rsidRPr="004F65F7" w:rsidRDefault="008D3D0D" w:rsidP="00AE16AD">
      <w:pPr>
        <w:rPr>
          <w:b/>
          <w:bCs/>
          <w:sz w:val="28"/>
          <w:szCs w:val="28"/>
        </w:rPr>
      </w:pPr>
      <w:r w:rsidRPr="004F65F7">
        <w:br w:type="page"/>
      </w:r>
    </w:p>
    <w:p w14:paraId="7A5B9E4C" w14:textId="79F63E61" w:rsidR="005A6D30" w:rsidRPr="004F65F7" w:rsidRDefault="00555152" w:rsidP="00AE16AD">
      <w:pPr>
        <w:pStyle w:val="Heading1"/>
      </w:pPr>
      <w:bookmarkStart w:id="3" w:name="_Toc236866867"/>
      <w:r w:rsidRPr="004F65F7">
        <w:lastRenderedPageBreak/>
        <w:t>Element 2: Develop a Segmentation, Targeting, Differentiation, and Positioning (STDP) Anal</w:t>
      </w:r>
      <w:r w:rsidR="0016519B" w:rsidRPr="004F65F7">
        <w:t>ysis for the brand extension</w:t>
      </w:r>
      <w:bookmarkEnd w:id="3"/>
    </w:p>
    <w:p w14:paraId="27D4BEA6" w14:textId="77777777" w:rsidR="0017238A" w:rsidRPr="004F65F7" w:rsidRDefault="0017238A" w:rsidP="00AE16AD">
      <w:pPr>
        <w:rPr>
          <w:b/>
          <w:i/>
        </w:rPr>
      </w:pPr>
      <w:r w:rsidRPr="004F65F7">
        <w:rPr>
          <w:b/>
          <w:i/>
        </w:rPr>
        <w:t>Segmentation</w:t>
      </w:r>
    </w:p>
    <w:p w14:paraId="27A2B5A8" w14:textId="2C6F4C1C" w:rsidR="0017238A" w:rsidRPr="004F65F7" w:rsidRDefault="0017238A" w:rsidP="00AE16AD">
      <w:r w:rsidRPr="004F65F7">
        <w:t>Market segmentation divides consumers into groups with different characteristics and needs (</w:t>
      </w:r>
      <w:r w:rsidR="00322CEA" w:rsidRPr="004F65F7">
        <w:t xml:space="preserve">Kotler </w:t>
      </w:r>
      <w:r w:rsidR="0087383C" w:rsidRPr="004F65F7">
        <w:rPr>
          <w:i/>
        </w:rPr>
        <w:t>et al</w:t>
      </w:r>
      <w:r w:rsidR="00322CEA" w:rsidRPr="004F65F7">
        <w:t>. 2020</w:t>
      </w:r>
      <w:r w:rsidRPr="004F65F7">
        <w:t xml:space="preserve">). </w:t>
      </w:r>
      <w:r w:rsidR="0087383C" w:rsidRPr="004F65F7">
        <w:t>T</w:t>
      </w:r>
      <w:r w:rsidR="000741D5" w:rsidRPr="004F65F7">
        <w:t xml:space="preserve">here are several segmentation variables that should be used in the case of Dell </w:t>
      </w:r>
      <w:proofErr w:type="spellStart"/>
      <w:r w:rsidR="000741D5" w:rsidRPr="004F65F7">
        <w:t>EcoWatch</w:t>
      </w:r>
      <w:proofErr w:type="spellEnd"/>
      <w:r w:rsidR="000741D5" w:rsidRPr="004F65F7">
        <w:t xml:space="preserve"> as the buying decisions of the wearables are based on technology, lifestyle, values on health and environment. Shipments of wearables in Q1 2026 </w:t>
      </w:r>
      <w:r w:rsidR="00607678" w:rsidRPr="004F65F7">
        <w:t>totalled</w:t>
      </w:r>
      <w:r w:rsidR="000741D5" w:rsidRPr="004F65F7">
        <w:t xml:space="preserve"> 145.7 million units, growing by 4.3% YOY (IDC, 2026). This indicates the ongoing need for wearable connected products.</w:t>
      </w:r>
    </w:p>
    <w:tbl>
      <w:tblPr>
        <w:tblStyle w:val="GridTable3-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37"/>
        <w:gridCol w:w="7413"/>
      </w:tblGrid>
      <w:tr w:rsidR="0017238A" w:rsidRPr="004F65F7" w14:paraId="0F3B07F0" w14:textId="77777777" w:rsidTr="009B0CD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281FAF38" w14:textId="77777777" w:rsidR="0017238A" w:rsidRPr="004F65F7" w:rsidRDefault="0017238A" w:rsidP="00AE16AD">
            <w:pPr>
              <w:spacing w:line="360" w:lineRule="auto"/>
              <w:jc w:val="center"/>
              <w:rPr>
                <w:rFonts w:eastAsia="Times New Roman"/>
                <w:b w:val="0"/>
                <w:bCs w:val="0"/>
              </w:rPr>
            </w:pPr>
            <w:r w:rsidRPr="004F65F7">
              <w:rPr>
                <w:rFonts w:eastAsia="Times New Roman"/>
              </w:rPr>
              <w:t>Segmentation</w:t>
            </w:r>
          </w:p>
        </w:tc>
        <w:tc>
          <w:tcPr>
            <w:tcW w:w="0" w:type="auto"/>
            <w:tcBorders>
              <w:top w:val="none" w:sz="0" w:space="0" w:color="auto"/>
              <w:left w:val="none" w:sz="0" w:space="0" w:color="auto"/>
              <w:right w:val="none" w:sz="0" w:space="0" w:color="auto"/>
            </w:tcBorders>
            <w:hideMark/>
          </w:tcPr>
          <w:p w14:paraId="6291D23B" w14:textId="77777777" w:rsidR="0017238A" w:rsidRPr="004F65F7" w:rsidRDefault="0017238A" w:rsidP="00AE16AD">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Times New Roman"/>
                <w:b w:val="0"/>
                <w:bCs w:val="0"/>
              </w:rPr>
            </w:pPr>
            <w:r w:rsidRPr="004F65F7">
              <w:rPr>
                <w:rFonts w:eastAsia="Times New Roman"/>
              </w:rPr>
              <w:t xml:space="preserve">Dell </w:t>
            </w:r>
            <w:proofErr w:type="spellStart"/>
            <w:r w:rsidRPr="004F65F7">
              <w:rPr>
                <w:rFonts w:eastAsia="Times New Roman"/>
              </w:rPr>
              <w:t>EcoWatch</w:t>
            </w:r>
            <w:proofErr w:type="spellEnd"/>
            <w:r w:rsidRPr="004F65F7">
              <w:rPr>
                <w:rFonts w:eastAsia="Times New Roman"/>
              </w:rPr>
              <w:t xml:space="preserve"> segment</w:t>
            </w:r>
          </w:p>
        </w:tc>
      </w:tr>
      <w:tr w:rsidR="0017238A" w:rsidRPr="004F65F7" w14:paraId="46B5C63C" w14:textId="77777777" w:rsidTr="009B0CD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66AC483E" w14:textId="77777777" w:rsidR="0017238A" w:rsidRPr="004F65F7" w:rsidRDefault="0017238A" w:rsidP="00AE16AD">
            <w:pPr>
              <w:spacing w:line="360" w:lineRule="auto"/>
              <w:jc w:val="left"/>
              <w:rPr>
                <w:rFonts w:eastAsia="Times New Roman"/>
              </w:rPr>
            </w:pPr>
            <w:r w:rsidRPr="004F65F7">
              <w:rPr>
                <w:rFonts w:eastAsia="Times New Roman"/>
                <w:b/>
                <w:bCs/>
              </w:rPr>
              <w:t>Geographic</w:t>
            </w:r>
          </w:p>
        </w:tc>
        <w:tc>
          <w:tcPr>
            <w:tcW w:w="0" w:type="auto"/>
            <w:hideMark/>
          </w:tcPr>
          <w:p w14:paraId="7A5C6C5B" w14:textId="77777777" w:rsidR="0017238A" w:rsidRPr="004F65F7" w:rsidRDefault="005D26CE" w:rsidP="00AE16AD">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rPr>
            </w:pPr>
            <w:r w:rsidRPr="004F65F7">
              <w:rPr>
                <w:rFonts w:eastAsia="Times New Roman"/>
              </w:rPr>
              <w:t xml:space="preserve">Dell </w:t>
            </w:r>
            <w:proofErr w:type="spellStart"/>
            <w:r w:rsidRPr="004F65F7">
              <w:rPr>
                <w:rFonts w:eastAsia="Times New Roman"/>
              </w:rPr>
              <w:t>EcoWatch</w:t>
            </w:r>
            <w:proofErr w:type="spellEnd"/>
            <w:r w:rsidRPr="004F65F7">
              <w:rPr>
                <w:rFonts w:eastAsia="Times New Roman"/>
              </w:rPr>
              <w:t xml:space="preserve"> will target UK consumers, particularly those living in urban and developed areas. </w:t>
            </w:r>
            <w:r w:rsidR="000741D5" w:rsidRPr="004F65F7">
              <w:rPr>
                <w:rFonts w:eastAsia="Times New Roman"/>
              </w:rPr>
              <w:t>There are good opportunities to reach these consumers through digital technology, through e-commerce, via fitness and electronics retailers. Consumers looking at connected technology and more sustainable consumption are also a suitable market for the UK.</w:t>
            </w:r>
          </w:p>
        </w:tc>
      </w:tr>
      <w:tr w:rsidR="0017238A" w:rsidRPr="004F65F7" w14:paraId="1715B614" w14:textId="77777777" w:rsidTr="009B0CDA">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4682CA48" w14:textId="77777777" w:rsidR="0017238A" w:rsidRPr="004F65F7" w:rsidRDefault="0017238A" w:rsidP="00AE16AD">
            <w:pPr>
              <w:spacing w:line="360" w:lineRule="auto"/>
              <w:jc w:val="left"/>
              <w:rPr>
                <w:rFonts w:eastAsia="Times New Roman"/>
              </w:rPr>
            </w:pPr>
            <w:r w:rsidRPr="004F65F7">
              <w:rPr>
                <w:rFonts w:eastAsia="Times New Roman"/>
                <w:b/>
                <w:bCs/>
              </w:rPr>
              <w:t>Demographic</w:t>
            </w:r>
          </w:p>
        </w:tc>
        <w:tc>
          <w:tcPr>
            <w:tcW w:w="0" w:type="auto"/>
            <w:hideMark/>
          </w:tcPr>
          <w:p w14:paraId="229707DF" w14:textId="77777777" w:rsidR="0017238A" w:rsidRPr="004F65F7" w:rsidRDefault="000741D5" w:rsidP="00AE16AD">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rPr>
            </w:pPr>
            <w:r w:rsidRPr="004F65F7">
              <w:rPr>
                <w:rFonts w:eastAsia="Times New Roman"/>
                <w:bCs/>
              </w:rPr>
              <w:t>The adult age group (20-45 years) with middle to high income is the key demographic segment which includes young professionals and working adults. They have income which makes top-notch wearable technology more attainable. This group can also work with smart devices, communicate with others, monitor their health and do their daily activities.</w:t>
            </w:r>
          </w:p>
        </w:tc>
      </w:tr>
      <w:tr w:rsidR="0017238A" w:rsidRPr="004F65F7" w14:paraId="6E1ED51B" w14:textId="77777777" w:rsidTr="009B0CD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36F6DC5B" w14:textId="77777777" w:rsidR="0017238A" w:rsidRPr="004F65F7" w:rsidRDefault="0017238A" w:rsidP="00AE16AD">
            <w:pPr>
              <w:spacing w:line="360" w:lineRule="auto"/>
              <w:jc w:val="left"/>
              <w:rPr>
                <w:rFonts w:eastAsia="Times New Roman"/>
              </w:rPr>
            </w:pPr>
            <w:r w:rsidRPr="004F65F7">
              <w:rPr>
                <w:rFonts w:eastAsia="Times New Roman"/>
                <w:b/>
                <w:bCs/>
              </w:rPr>
              <w:t>Psychographic</w:t>
            </w:r>
          </w:p>
        </w:tc>
        <w:tc>
          <w:tcPr>
            <w:tcW w:w="0" w:type="auto"/>
            <w:hideMark/>
          </w:tcPr>
          <w:p w14:paraId="377066A7" w14:textId="77777777" w:rsidR="0017238A" w:rsidRPr="004F65F7" w:rsidRDefault="005D26CE" w:rsidP="00AE16AD">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rPr>
            </w:pPr>
            <w:proofErr w:type="spellStart"/>
            <w:r w:rsidRPr="004F65F7">
              <w:rPr>
                <w:rFonts w:eastAsia="Times New Roman"/>
              </w:rPr>
              <w:t>EcoWatch</w:t>
            </w:r>
            <w:proofErr w:type="spellEnd"/>
            <w:r w:rsidRPr="004F65F7">
              <w:rPr>
                <w:rFonts w:eastAsia="Times New Roman"/>
              </w:rPr>
              <w:t xml:space="preserve"> will focus on environmentally conscious, health-focused and tech-savvy consumers. These consumers value smart technology and innovation but also consider the environmental impact of their purchases. </w:t>
            </w:r>
            <w:r w:rsidR="000741D5" w:rsidRPr="004F65F7">
              <w:rPr>
                <w:rFonts w:eastAsia="Times New Roman"/>
              </w:rPr>
              <w:t>They are interested in sustainable and ethical products, durable technology and brands that show commitment to being green.</w:t>
            </w:r>
          </w:p>
        </w:tc>
      </w:tr>
      <w:tr w:rsidR="0017238A" w:rsidRPr="004F65F7" w14:paraId="76381F45" w14:textId="77777777" w:rsidTr="009B0CDA">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2FE24EBE" w14:textId="77777777" w:rsidR="0017238A" w:rsidRPr="004F65F7" w:rsidRDefault="0017238A" w:rsidP="00AE16AD">
            <w:pPr>
              <w:spacing w:line="360" w:lineRule="auto"/>
              <w:jc w:val="left"/>
              <w:rPr>
                <w:rFonts w:eastAsia="Times New Roman"/>
              </w:rPr>
            </w:pPr>
            <w:r w:rsidRPr="004F65F7">
              <w:rPr>
                <w:rFonts w:eastAsia="Times New Roman"/>
                <w:b/>
                <w:bCs/>
              </w:rPr>
              <w:t>Behavioural</w:t>
            </w:r>
          </w:p>
        </w:tc>
        <w:tc>
          <w:tcPr>
            <w:tcW w:w="0" w:type="auto"/>
            <w:hideMark/>
          </w:tcPr>
          <w:p w14:paraId="17F39216" w14:textId="77777777" w:rsidR="0017238A" w:rsidRPr="004F65F7" w:rsidRDefault="000741D5" w:rsidP="00AE16AD">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rPr>
            </w:pPr>
            <w:r w:rsidRPr="004F65F7">
              <w:rPr>
                <w:rFonts w:eastAsia="Times New Roman"/>
              </w:rPr>
              <w:t xml:space="preserve">The segment consists of consumers, who are regular users of smart phones, digital services and wearable technology. They are </w:t>
            </w:r>
            <w:r w:rsidRPr="004F65F7">
              <w:rPr>
                <w:rFonts w:eastAsia="Times New Roman"/>
              </w:rPr>
              <w:lastRenderedPageBreak/>
              <w:t xml:space="preserve">looking for things like fitness and health tracking, productivity, connectivity and convenience. </w:t>
            </w:r>
            <w:r w:rsidR="005D26CE" w:rsidRPr="004F65F7">
              <w:rPr>
                <w:rFonts w:eastAsia="Times New Roman"/>
              </w:rPr>
              <w:t>They also value long-lasting and repairable devices, sustainable materials and reliable brands with strong technology reputations.</w:t>
            </w:r>
          </w:p>
        </w:tc>
      </w:tr>
    </w:tbl>
    <w:p w14:paraId="62148CA1" w14:textId="77777777" w:rsidR="0017238A" w:rsidRPr="004F65F7" w:rsidRDefault="0017238A" w:rsidP="00AE16AD">
      <w:pPr>
        <w:jc w:val="center"/>
        <w:rPr>
          <w:b/>
        </w:rPr>
      </w:pPr>
      <w:r w:rsidRPr="004F65F7">
        <w:rPr>
          <w:b/>
        </w:rPr>
        <w:lastRenderedPageBreak/>
        <w:t xml:space="preserve">Table 1: </w:t>
      </w:r>
      <w:r w:rsidR="005D26CE" w:rsidRPr="004F65F7">
        <w:rPr>
          <w:b/>
        </w:rPr>
        <w:t xml:space="preserve">Segmentation of Dell </w:t>
      </w:r>
      <w:proofErr w:type="spellStart"/>
      <w:r w:rsidR="005D26CE" w:rsidRPr="004F65F7">
        <w:rPr>
          <w:b/>
        </w:rPr>
        <w:t>EcoWatch</w:t>
      </w:r>
      <w:proofErr w:type="spellEnd"/>
      <w:r w:rsidR="005D26CE" w:rsidRPr="004F65F7">
        <w:rPr>
          <w:b/>
        </w:rPr>
        <w:t xml:space="preserve"> segment</w:t>
      </w:r>
    </w:p>
    <w:p w14:paraId="4963F25A" w14:textId="77777777" w:rsidR="0017238A" w:rsidRPr="004F65F7" w:rsidRDefault="0017238A" w:rsidP="00AE16AD">
      <w:pPr>
        <w:jc w:val="center"/>
      </w:pPr>
      <w:r w:rsidRPr="004F65F7">
        <w:t xml:space="preserve">(Source: </w:t>
      </w:r>
      <w:r w:rsidR="005D26CE" w:rsidRPr="004F65F7">
        <w:t>Self-Created</w:t>
      </w:r>
      <w:r w:rsidRPr="004F65F7">
        <w:t>)</w:t>
      </w:r>
    </w:p>
    <w:p w14:paraId="1A5535D2" w14:textId="77777777" w:rsidR="0017238A" w:rsidRPr="004F65F7" w:rsidRDefault="0017238A" w:rsidP="00AE16AD">
      <w:r w:rsidRPr="004F65F7">
        <w:t xml:space="preserve">The chosen segments are supported by UK environmental attitudes. In 2024, 59% of people aged 16–29 considered climate change and the environment an important issue. </w:t>
      </w:r>
      <w:r w:rsidR="000741D5" w:rsidRPr="004F65F7">
        <w:t>This rose to 66% of degree educated adults (ONS, 2024). Wearable adoption is also related to health. Lee and Lee (2018) surveyed 616 participants and revealed that the factors of personal innovativeness, positive attitudes and health interests have significant positive effects on intention to use fitness trackers. Wearable adoption data backs up the selection of young consumers, too.</w:t>
      </w:r>
      <w:r w:rsidR="0016519B" w:rsidRPr="004F65F7">
        <w:t xml:space="preserve"> </w:t>
      </w:r>
      <w:r w:rsidR="00C3756E" w:rsidRPr="004F65F7">
        <w:t>Most importantly, there has been a significant increase since 2019 in the proportion of UK adults aged 25-49 who own and use a wearable device, rising from approximately 24% of adults to 39% (YouGov, 2026).</w:t>
      </w:r>
      <w:r w:rsidR="005D26CE" w:rsidRPr="004F65F7">
        <w:t xml:space="preserve"> </w:t>
      </w:r>
      <w:r w:rsidR="000741D5" w:rsidRPr="004F65F7">
        <w:t xml:space="preserve">This demonstrates rising trends towards wearables usage for an age group which is very much similar to </w:t>
      </w:r>
      <w:proofErr w:type="spellStart"/>
      <w:r w:rsidR="000741D5" w:rsidRPr="004F65F7">
        <w:t>EcoWatch</w:t>
      </w:r>
      <w:r w:rsidR="00437E57" w:rsidRPr="004F65F7">
        <w:t>’</w:t>
      </w:r>
      <w:r w:rsidR="000741D5" w:rsidRPr="004F65F7">
        <w:t>s</w:t>
      </w:r>
      <w:proofErr w:type="spellEnd"/>
      <w:r w:rsidR="000741D5" w:rsidRPr="004F65F7">
        <w:t xml:space="preserve"> t</w:t>
      </w:r>
      <w:r w:rsidR="0087383C" w:rsidRPr="004F65F7">
        <w:t xml:space="preserve">arget age group of 20-45 years </w:t>
      </w:r>
      <w:r w:rsidR="000741D5" w:rsidRPr="004F65F7">
        <w:t>(Refer to Figure 1).</w:t>
      </w:r>
    </w:p>
    <w:p w14:paraId="51FE8BEF" w14:textId="77777777" w:rsidR="00970FA2" w:rsidRPr="004F65F7" w:rsidRDefault="005D26CE" w:rsidP="00AE16AD">
      <w:pPr>
        <w:jc w:val="center"/>
      </w:pPr>
      <w:r w:rsidRPr="004F65F7">
        <w:rPr>
          <w:noProof/>
          <w:lang w:val="en-US" w:eastAsia="en-US"/>
        </w:rPr>
        <w:drawing>
          <wp:inline distT="0" distB="0" distL="0" distR="0" wp14:anchorId="7F8D5E27" wp14:editId="367E2974">
            <wp:extent cx="5943600" cy="25152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2515235"/>
                    </a:xfrm>
                    <a:prstGeom prst="rect">
                      <a:avLst/>
                    </a:prstGeom>
                  </pic:spPr>
                </pic:pic>
              </a:graphicData>
            </a:graphic>
          </wp:inline>
        </w:drawing>
      </w:r>
    </w:p>
    <w:p w14:paraId="2D4B3714" w14:textId="77777777" w:rsidR="00970FA2" w:rsidRPr="004F65F7" w:rsidRDefault="00970FA2" w:rsidP="00AE16AD">
      <w:pPr>
        <w:jc w:val="center"/>
        <w:rPr>
          <w:b/>
        </w:rPr>
      </w:pPr>
      <w:r w:rsidRPr="004F65F7">
        <w:rPr>
          <w:b/>
        </w:rPr>
        <w:t>Figure 1: Wearable device owne</w:t>
      </w:r>
      <w:r w:rsidR="005D26CE" w:rsidRPr="004F65F7">
        <w:rPr>
          <w:b/>
        </w:rPr>
        <w:t>rship among UK adults aged 25-49</w:t>
      </w:r>
      <w:r w:rsidRPr="004F65F7">
        <w:rPr>
          <w:b/>
        </w:rPr>
        <w:t xml:space="preserve"> </w:t>
      </w:r>
    </w:p>
    <w:p w14:paraId="398CB948" w14:textId="77777777" w:rsidR="00970FA2" w:rsidRPr="004F65F7" w:rsidRDefault="00970FA2" w:rsidP="00AE16AD">
      <w:pPr>
        <w:jc w:val="center"/>
      </w:pPr>
      <w:r w:rsidRPr="004F65F7">
        <w:t>(Source: YouGov, 2026)</w:t>
      </w:r>
    </w:p>
    <w:p w14:paraId="66ACCFC7" w14:textId="77777777" w:rsidR="005D26CE" w:rsidRPr="004F65F7" w:rsidRDefault="005D26CE" w:rsidP="00AE16AD">
      <w:pPr>
        <w:rPr>
          <w:b/>
        </w:rPr>
      </w:pPr>
      <w:r w:rsidRPr="004F65F7">
        <w:rPr>
          <w:b/>
        </w:rPr>
        <w:t xml:space="preserve">Targeting </w:t>
      </w:r>
    </w:p>
    <w:p w14:paraId="0EABF038" w14:textId="1370FDD6" w:rsidR="00182EAC" w:rsidRPr="004F65F7" w:rsidRDefault="000741D5" w:rsidP="00AE16AD">
      <w:r w:rsidRPr="004F65F7">
        <w:lastRenderedPageBreak/>
        <w:t xml:space="preserve">There is a need for a differentiated targeting strategy for Dell </w:t>
      </w:r>
      <w:proofErr w:type="spellStart"/>
      <w:r w:rsidRPr="004F65F7">
        <w:t>EcoWatch</w:t>
      </w:r>
      <w:proofErr w:type="spellEnd"/>
      <w:r w:rsidRPr="004F65F7">
        <w:t xml:space="preserve">. This approach goes for a few related customer segments with various marketing strategies according to their needs (Kotler </w:t>
      </w:r>
      <w:r w:rsidR="0087383C" w:rsidRPr="004F65F7">
        <w:rPr>
          <w:i/>
        </w:rPr>
        <w:t>et al</w:t>
      </w:r>
      <w:r w:rsidRPr="004F65F7">
        <w:t>. 2020). Nonetheless, each of these groups should be part of the general target audience of young professionals and environmentally aware consumers, who are ages 20-45 and have middle to high incomes.</w:t>
      </w:r>
    </w:p>
    <w:tbl>
      <w:tblPr>
        <w:tblStyle w:val="GridTable3-Accent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76"/>
        <w:gridCol w:w="3685"/>
        <w:gridCol w:w="3589"/>
      </w:tblGrid>
      <w:tr w:rsidR="00BF5D2D" w:rsidRPr="004F65F7" w14:paraId="34C0734E" w14:textId="77777777" w:rsidTr="009B0CD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122E7C94" w14:textId="77777777" w:rsidR="00BF5D2D" w:rsidRPr="004F65F7" w:rsidRDefault="00BF5D2D" w:rsidP="00AE16AD">
            <w:pPr>
              <w:spacing w:line="360" w:lineRule="auto"/>
              <w:jc w:val="center"/>
              <w:rPr>
                <w:rFonts w:eastAsia="Times New Roman"/>
                <w:b w:val="0"/>
                <w:bCs w:val="0"/>
              </w:rPr>
            </w:pPr>
            <w:r w:rsidRPr="004F65F7">
              <w:rPr>
                <w:rFonts w:eastAsia="Times New Roman"/>
              </w:rPr>
              <w:t>Target group</w:t>
            </w:r>
          </w:p>
        </w:tc>
        <w:tc>
          <w:tcPr>
            <w:tcW w:w="0" w:type="auto"/>
            <w:tcBorders>
              <w:top w:val="none" w:sz="0" w:space="0" w:color="auto"/>
              <w:left w:val="none" w:sz="0" w:space="0" w:color="auto"/>
              <w:right w:val="none" w:sz="0" w:space="0" w:color="auto"/>
            </w:tcBorders>
            <w:hideMark/>
          </w:tcPr>
          <w:p w14:paraId="1C6DF0D7" w14:textId="77777777" w:rsidR="00BF5D2D" w:rsidRPr="004F65F7" w:rsidRDefault="00BF5D2D" w:rsidP="00AE16AD">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Times New Roman"/>
                <w:b w:val="0"/>
                <w:bCs w:val="0"/>
              </w:rPr>
            </w:pPr>
            <w:r w:rsidRPr="004F65F7">
              <w:rPr>
                <w:rFonts w:eastAsia="Times New Roman"/>
              </w:rPr>
              <w:t>Main need</w:t>
            </w:r>
          </w:p>
        </w:tc>
        <w:tc>
          <w:tcPr>
            <w:tcW w:w="0" w:type="auto"/>
            <w:tcBorders>
              <w:top w:val="none" w:sz="0" w:space="0" w:color="auto"/>
              <w:left w:val="none" w:sz="0" w:space="0" w:color="auto"/>
              <w:right w:val="none" w:sz="0" w:space="0" w:color="auto"/>
            </w:tcBorders>
            <w:hideMark/>
          </w:tcPr>
          <w:p w14:paraId="40BD2EFD" w14:textId="77777777" w:rsidR="00BF5D2D" w:rsidRPr="004F65F7" w:rsidRDefault="00BF5D2D" w:rsidP="00AE16AD">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Times New Roman"/>
                <w:b w:val="0"/>
                <w:bCs w:val="0"/>
              </w:rPr>
            </w:pPr>
            <w:proofErr w:type="spellStart"/>
            <w:r w:rsidRPr="004F65F7">
              <w:rPr>
                <w:rFonts w:eastAsia="Times New Roman"/>
              </w:rPr>
              <w:t>EcoWatch</w:t>
            </w:r>
            <w:proofErr w:type="spellEnd"/>
            <w:r w:rsidRPr="004F65F7">
              <w:rPr>
                <w:rFonts w:eastAsia="Times New Roman"/>
              </w:rPr>
              <w:t xml:space="preserve"> response</w:t>
            </w:r>
          </w:p>
        </w:tc>
      </w:tr>
      <w:tr w:rsidR="00BF5D2D" w:rsidRPr="004F65F7" w14:paraId="006B9AB8" w14:textId="77777777" w:rsidTr="009B0CD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5614578B" w14:textId="77777777" w:rsidR="00BF5D2D" w:rsidRPr="004F65F7" w:rsidRDefault="00BF5D2D" w:rsidP="00AE16AD">
            <w:pPr>
              <w:spacing w:line="360" w:lineRule="auto"/>
              <w:jc w:val="left"/>
              <w:rPr>
                <w:rFonts w:eastAsia="Times New Roman"/>
              </w:rPr>
            </w:pPr>
            <w:r w:rsidRPr="004F65F7">
              <w:rPr>
                <w:rFonts w:eastAsia="Times New Roman"/>
              </w:rPr>
              <w:t>Tech-focused users</w:t>
            </w:r>
          </w:p>
        </w:tc>
        <w:tc>
          <w:tcPr>
            <w:tcW w:w="0" w:type="auto"/>
            <w:hideMark/>
          </w:tcPr>
          <w:p w14:paraId="656F5206" w14:textId="77777777" w:rsidR="00BF5D2D" w:rsidRPr="004F65F7" w:rsidRDefault="00BF5D2D" w:rsidP="00AE16AD">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rPr>
            </w:pPr>
            <w:r w:rsidRPr="004F65F7">
              <w:rPr>
                <w:rFonts w:eastAsia="Times New Roman"/>
              </w:rPr>
              <w:t>Innovation, connectivity and premium technology</w:t>
            </w:r>
          </w:p>
        </w:tc>
        <w:tc>
          <w:tcPr>
            <w:tcW w:w="0" w:type="auto"/>
            <w:hideMark/>
          </w:tcPr>
          <w:p w14:paraId="7AAAAAE9" w14:textId="77777777" w:rsidR="00BF5D2D" w:rsidRPr="004F65F7" w:rsidRDefault="00BF5D2D" w:rsidP="00AE16AD">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rPr>
            </w:pPr>
            <w:r w:rsidRPr="004F65F7">
              <w:rPr>
                <w:rFonts w:eastAsia="Times New Roman"/>
              </w:rPr>
              <w:t>Smart features and Dell technology expertise</w:t>
            </w:r>
          </w:p>
        </w:tc>
      </w:tr>
      <w:tr w:rsidR="00BF5D2D" w:rsidRPr="004F65F7" w14:paraId="6B603FF9" w14:textId="77777777" w:rsidTr="009B0CDA">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3B1B31E0" w14:textId="77777777" w:rsidR="00BF5D2D" w:rsidRPr="004F65F7" w:rsidRDefault="00BF5D2D" w:rsidP="00AE16AD">
            <w:pPr>
              <w:spacing w:line="360" w:lineRule="auto"/>
              <w:jc w:val="left"/>
              <w:rPr>
                <w:rFonts w:eastAsia="Times New Roman"/>
              </w:rPr>
            </w:pPr>
            <w:r w:rsidRPr="004F65F7">
              <w:rPr>
                <w:rFonts w:eastAsia="Times New Roman"/>
              </w:rPr>
              <w:t>Health-conscious users</w:t>
            </w:r>
          </w:p>
        </w:tc>
        <w:tc>
          <w:tcPr>
            <w:tcW w:w="0" w:type="auto"/>
            <w:hideMark/>
          </w:tcPr>
          <w:p w14:paraId="1D553E96" w14:textId="77777777" w:rsidR="00BF5D2D" w:rsidRPr="004F65F7" w:rsidRDefault="00BF5D2D" w:rsidP="00AE16AD">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rPr>
            </w:pPr>
            <w:r w:rsidRPr="004F65F7">
              <w:t>Fitness tracking and daily health monitoring</w:t>
            </w:r>
          </w:p>
        </w:tc>
        <w:tc>
          <w:tcPr>
            <w:tcW w:w="0" w:type="auto"/>
            <w:hideMark/>
          </w:tcPr>
          <w:p w14:paraId="6A4EC81F" w14:textId="77777777" w:rsidR="00BF5D2D" w:rsidRPr="004F65F7" w:rsidRDefault="00BF5D2D" w:rsidP="00AE16AD">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rPr>
            </w:pPr>
            <w:r w:rsidRPr="004F65F7">
              <w:rPr>
                <w:rFonts w:eastAsia="Times New Roman"/>
              </w:rPr>
              <w:t>Health and activity monitoring</w:t>
            </w:r>
          </w:p>
        </w:tc>
      </w:tr>
      <w:tr w:rsidR="00BF5D2D" w:rsidRPr="004F65F7" w14:paraId="4EF3D336" w14:textId="77777777" w:rsidTr="009B0CD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6683372E" w14:textId="77777777" w:rsidR="00BF5D2D" w:rsidRPr="004F65F7" w:rsidRDefault="00BF5D2D" w:rsidP="00AE16AD">
            <w:pPr>
              <w:spacing w:line="360" w:lineRule="auto"/>
              <w:jc w:val="left"/>
              <w:rPr>
                <w:rFonts w:eastAsia="Times New Roman"/>
              </w:rPr>
            </w:pPr>
            <w:r w:rsidRPr="004F65F7">
              <w:rPr>
                <w:rFonts w:eastAsia="Times New Roman"/>
              </w:rPr>
              <w:t>Eco-conscious users</w:t>
            </w:r>
          </w:p>
        </w:tc>
        <w:tc>
          <w:tcPr>
            <w:tcW w:w="0" w:type="auto"/>
            <w:hideMark/>
          </w:tcPr>
          <w:p w14:paraId="52E8C623" w14:textId="77777777" w:rsidR="00BF5D2D" w:rsidRPr="004F65F7" w:rsidRDefault="00BF5D2D" w:rsidP="00AE16AD">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rPr>
            </w:pPr>
            <w:r w:rsidRPr="004F65F7">
              <w:t>Sustainable, ethical and durable technology</w:t>
            </w:r>
          </w:p>
        </w:tc>
        <w:tc>
          <w:tcPr>
            <w:tcW w:w="0" w:type="auto"/>
            <w:hideMark/>
          </w:tcPr>
          <w:p w14:paraId="4706122B" w14:textId="77777777" w:rsidR="00BF5D2D" w:rsidRPr="004F65F7" w:rsidRDefault="00BF5D2D" w:rsidP="00AE16AD">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rPr>
            </w:pPr>
            <w:r w:rsidRPr="004F65F7">
              <w:rPr>
                <w:rFonts w:eastAsia="Times New Roman"/>
              </w:rPr>
              <w:t>Repairability, recycled materials and take-back</w:t>
            </w:r>
          </w:p>
        </w:tc>
      </w:tr>
    </w:tbl>
    <w:p w14:paraId="558A78D2" w14:textId="13890FD3" w:rsidR="005D26CE" w:rsidRPr="004F65F7" w:rsidRDefault="005D26CE" w:rsidP="00AE16AD">
      <w:pPr>
        <w:jc w:val="center"/>
        <w:rPr>
          <w:b/>
        </w:rPr>
      </w:pPr>
      <w:r w:rsidRPr="004F65F7">
        <w:rPr>
          <w:b/>
        </w:rPr>
        <w:t xml:space="preserve">Table 2: </w:t>
      </w:r>
      <w:r w:rsidR="00E57FE1" w:rsidRPr="004F65F7">
        <w:rPr>
          <w:b/>
        </w:rPr>
        <w:t xml:space="preserve">Targeted Group of Dell </w:t>
      </w:r>
      <w:proofErr w:type="spellStart"/>
      <w:r w:rsidR="00E57FE1" w:rsidRPr="004F65F7">
        <w:rPr>
          <w:b/>
        </w:rPr>
        <w:t>EcoWatch</w:t>
      </w:r>
      <w:proofErr w:type="spellEnd"/>
    </w:p>
    <w:p w14:paraId="3C4A0255" w14:textId="77777777" w:rsidR="00E57FE1" w:rsidRPr="004F65F7" w:rsidRDefault="00E57FE1" w:rsidP="00AE16AD">
      <w:pPr>
        <w:jc w:val="center"/>
      </w:pPr>
      <w:r w:rsidRPr="004F65F7">
        <w:t>(Source: Self-Created)</w:t>
      </w:r>
    </w:p>
    <w:p w14:paraId="7E483BE2" w14:textId="77777777" w:rsidR="005D26CE" w:rsidRPr="004F65F7" w:rsidRDefault="00C3756E" w:rsidP="00AE16AD">
      <w:r w:rsidRPr="004F65F7">
        <w:t xml:space="preserve">This is an enticing objective, because it includes technology adoption and health and environmental causes. But, cost is a significant factor. For adults who had not made any changes to their lifestyle relating to the environment, ONS (2025) identified cost as a concern for 24%. </w:t>
      </w:r>
      <w:proofErr w:type="spellStart"/>
      <w:r w:rsidRPr="004F65F7">
        <w:t>EcoWatch</w:t>
      </w:r>
      <w:proofErr w:type="spellEnd"/>
      <w:r w:rsidRPr="004F65F7">
        <w:t xml:space="preserve"> should, therefore, provide value in a sustainable way without being a luxury product that is out of reach for most people.</w:t>
      </w:r>
    </w:p>
    <w:p w14:paraId="342E5878" w14:textId="77777777" w:rsidR="0017238A" w:rsidRPr="004F65F7" w:rsidRDefault="005D26CE" w:rsidP="00AE16AD">
      <w:pPr>
        <w:rPr>
          <w:b/>
        </w:rPr>
      </w:pPr>
      <w:r w:rsidRPr="004F65F7">
        <w:rPr>
          <w:b/>
        </w:rPr>
        <w:t>Differentiation</w:t>
      </w:r>
    </w:p>
    <w:tbl>
      <w:tblPr>
        <w:tblStyle w:val="GridTable3-Accent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200"/>
        <w:gridCol w:w="5150"/>
      </w:tblGrid>
      <w:tr w:rsidR="0017238A" w:rsidRPr="004F65F7" w14:paraId="522E5C7C" w14:textId="77777777" w:rsidTr="009B0CD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7104C7BC" w14:textId="77777777" w:rsidR="0017238A" w:rsidRPr="004F65F7" w:rsidRDefault="0017238A" w:rsidP="00AE16AD">
            <w:pPr>
              <w:spacing w:line="360" w:lineRule="auto"/>
              <w:jc w:val="center"/>
              <w:rPr>
                <w:rFonts w:eastAsia="Times New Roman"/>
                <w:b w:val="0"/>
                <w:bCs w:val="0"/>
              </w:rPr>
            </w:pPr>
            <w:r w:rsidRPr="004F65F7">
              <w:rPr>
                <w:rFonts w:eastAsia="Times New Roman"/>
              </w:rPr>
              <w:t>Competitor focus</w:t>
            </w:r>
          </w:p>
        </w:tc>
        <w:tc>
          <w:tcPr>
            <w:tcW w:w="0" w:type="auto"/>
            <w:tcBorders>
              <w:top w:val="none" w:sz="0" w:space="0" w:color="auto"/>
              <w:left w:val="none" w:sz="0" w:space="0" w:color="auto"/>
              <w:right w:val="none" w:sz="0" w:space="0" w:color="auto"/>
            </w:tcBorders>
            <w:hideMark/>
          </w:tcPr>
          <w:p w14:paraId="5F6F76D3" w14:textId="77777777" w:rsidR="0017238A" w:rsidRPr="004F65F7" w:rsidRDefault="0017238A" w:rsidP="00AE16AD">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Times New Roman"/>
                <w:b w:val="0"/>
                <w:bCs w:val="0"/>
              </w:rPr>
            </w:pPr>
            <w:r w:rsidRPr="004F65F7">
              <w:rPr>
                <w:rFonts w:eastAsia="Times New Roman"/>
              </w:rPr>
              <w:t xml:space="preserve">Dell </w:t>
            </w:r>
            <w:proofErr w:type="spellStart"/>
            <w:r w:rsidRPr="004F65F7">
              <w:rPr>
                <w:rFonts w:eastAsia="Times New Roman"/>
              </w:rPr>
              <w:t>EcoWatch</w:t>
            </w:r>
            <w:proofErr w:type="spellEnd"/>
            <w:r w:rsidRPr="004F65F7">
              <w:rPr>
                <w:rFonts w:eastAsia="Times New Roman"/>
              </w:rPr>
              <w:t xml:space="preserve"> differentiation</w:t>
            </w:r>
          </w:p>
        </w:tc>
      </w:tr>
      <w:tr w:rsidR="0017238A" w:rsidRPr="004F65F7" w14:paraId="5E5A6C48" w14:textId="77777777" w:rsidTr="009B0CD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579EE719" w14:textId="77777777" w:rsidR="0017238A" w:rsidRPr="004F65F7" w:rsidRDefault="0087383C" w:rsidP="00AE16AD">
            <w:pPr>
              <w:spacing w:line="360" w:lineRule="auto"/>
              <w:jc w:val="left"/>
              <w:rPr>
                <w:rFonts w:eastAsia="Times New Roman"/>
              </w:rPr>
            </w:pPr>
            <w:r w:rsidRPr="004F65F7">
              <w:rPr>
                <w:rFonts w:eastAsia="Times New Roman"/>
              </w:rPr>
              <w:t xml:space="preserve">Apple: </w:t>
            </w:r>
            <w:r w:rsidR="000741D5" w:rsidRPr="004F65F7">
              <w:rPr>
                <w:rFonts w:eastAsia="Times New Roman"/>
              </w:rPr>
              <w:t>high quality system and technology</w:t>
            </w:r>
          </w:p>
        </w:tc>
        <w:tc>
          <w:tcPr>
            <w:tcW w:w="0" w:type="auto"/>
            <w:hideMark/>
          </w:tcPr>
          <w:p w14:paraId="0614930F" w14:textId="77777777" w:rsidR="0017238A" w:rsidRPr="004F65F7" w:rsidRDefault="001E096D" w:rsidP="00AE16AD">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rPr>
            </w:pPr>
            <w:r w:rsidRPr="004F65F7">
              <w:rPr>
                <w:rFonts w:eastAsia="Times New Roman"/>
              </w:rPr>
              <w:t>Sustainable</w:t>
            </w:r>
            <w:r w:rsidR="000741D5" w:rsidRPr="004F65F7">
              <w:rPr>
                <w:rFonts w:eastAsia="Times New Roman"/>
              </w:rPr>
              <w:t xml:space="preserve">, </w:t>
            </w:r>
            <w:r w:rsidRPr="004F65F7">
              <w:t>repairable</w:t>
            </w:r>
            <w:r w:rsidRPr="004F65F7">
              <w:rPr>
                <w:rFonts w:eastAsia="Times New Roman"/>
              </w:rPr>
              <w:t xml:space="preserve"> </w:t>
            </w:r>
            <w:r w:rsidR="000741D5" w:rsidRPr="004F65F7">
              <w:rPr>
                <w:rFonts w:eastAsia="Times New Roman"/>
              </w:rPr>
              <w:t>and smart technology.</w:t>
            </w:r>
          </w:p>
        </w:tc>
      </w:tr>
      <w:tr w:rsidR="0017238A" w:rsidRPr="004F65F7" w14:paraId="2691E6E9" w14:textId="77777777" w:rsidTr="009B0CDA">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4DF8EB16" w14:textId="77777777" w:rsidR="0017238A" w:rsidRPr="004F65F7" w:rsidRDefault="0087383C" w:rsidP="00AE16AD">
            <w:pPr>
              <w:spacing w:line="360" w:lineRule="auto"/>
              <w:jc w:val="left"/>
              <w:rPr>
                <w:rFonts w:eastAsia="Times New Roman"/>
              </w:rPr>
            </w:pPr>
            <w:r w:rsidRPr="004F65F7">
              <w:rPr>
                <w:rFonts w:eastAsia="Times New Roman"/>
              </w:rPr>
              <w:t xml:space="preserve">Samsung: </w:t>
            </w:r>
            <w:r w:rsidR="0017238A" w:rsidRPr="004F65F7">
              <w:rPr>
                <w:rFonts w:eastAsia="Times New Roman"/>
              </w:rPr>
              <w:t>health, technology and ecosystem</w:t>
            </w:r>
          </w:p>
        </w:tc>
        <w:tc>
          <w:tcPr>
            <w:tcW w:w="0" w:type="auto"/>
            <w:hideMark/>
          </w:tcPr>
          <w:p w14:paraId="615F782B" w14:textId="77777777" w:rsidR="0017238A" w:rsidRPr="004F65F7" w:rsidRDefault="000741D5" w:rsidP="00AE16AD">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rPr>
            </w:pPr>
            <w:r w:rsidRPr="004F65F7">
              <w:rPr>
                <w:rFonts w:eastAsia="Times New Roman"/>
              </w:rPr>
              <w:t xml:space="preserve">Longer product life and </w:t>
            </w:r>
            <w:r w:rsidR="0017238A" w:rsidRPr="004F65F7">
              <w:rPr>
                <w:rFonts w:eastAsia="Times New Roman"/>
              </w:rPr>
              <w:t>replaceable components</w:t>
            </w:r>
          </w:p>
        </w:tc>
      </w:tr>
      <w:tr w:rsidR="0017238A" w:rsidRPr="004F65F7" w14:paraId="2AB3463C" w14:textId="77777777" w:rsidTr="009B0CD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46543197" w14:textId="77777777" w:rsidR="0017238A" w:rsidRPr="004F65F7" w:rsidRDefault="0087383C" w:rsidP="00AE16AD">
            <w:pPr>
              <w:spacing w:line="360" w:lineRule="auto"/>
              <w:jc w:val="left"/>
              <w:rPr>
                <w:rFonts w:eastAsia="Times New Roman"/>
              </w:rPr>
            </w:pPr>
            <w:r w:rsidRPr="004F65F7">
              <w:rPr>
                <w:rFonts w:eastAsia="Times New Roman"/>
              </w:rPr>
              <w:t>Garmin:</w:t>
            </w:r>
            <w:r w:rsidR="0017238A" w:rsidRPr="004F65F7">
              <w:rPr>
                <w:rFonts w:eastAsia="Times New Roman"/>
              </w:rPr>
              <w:t xml:space="preserve"> fitness and battery performance</w:t>
            </w:r>
          </w:p>
        </w:tc>
        <w:tc>
          <w:tcPr>
            <w:tcW w:w="0" w:type="auto"/>
            <w:hideMark/>
          </w:tcPr>
          <w:p w14:paraId="26FF497F" w14:textId="77777777" w:rsidR="0017238A" w:rsidRPr="004F65F7" w:rsidRDefault="0017238A" w:rsidP="00AE16AD">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rPr>
            </w:pPr>
            <w:r w:rsidRPr="004F65F7">
              <w:rPr>
                <w:rFonts w:eastAsia="Times New Roman"/>
              </w:rPr>
              <w:t>Sustain</w:t>
            </w:r>
            <w:r w:rsidR="000741D5" w:rsidRPr="004F65F7">
              <w:rPr>
                <w:rFonts w:eastAsia="Times New Roman"/>
              </w:rPr>
              <w:t xml:space="preserve">able design and </w:t>
            </w:r>
            <w:r w:rsidRPr="004F65F7">
              <w:rPr>
                <w:rFonts w:eastAsia="Times New Roman"/>
              </w:rPr>
              <w:t>everyday connected technology</w:t>
            </w:r>
          </w:p>
        </w:tc>
      </w:tr>
    </w:tbl>
    <w:p w14:paraId="3A9A2F02" w14:textId="7D2E87B4" w:rsidR="0017238A" w:rsidRPr="004F65F7" w:rsidRDefault="0017238A" w:rsidP="00AE16AD">
      <w:pPr>
        <w:jc w:val="center"/>
        <w:rPr>
          <w:b/>
        </w:rPr>
      </w:pPr>
      <w:r w:rsidRPr="004F65F7">
        <w:rPr>
          <w:b/>
        </w:rPr>
        <w:t xml:space="preserve">Table </w:t>
      </w:r>
      <w:r w:rsidR="00FF0669" w:rsidRPr="004F65F7">
        <w:rPr>
          <w:b/>
        </w:rPr>
        <w:t>3</w:t>
      </w:r>
      <w:r w:rsidRPr="004F65F7">
        <w:rPr>
          <w:b/>
        </w:rPr>
        <w:t>:</w:t>
      </w:r>
      <w:r w:rsidR="00A24E9F" w:rsidRPr="004F65F7">
        <w:rPr>
          <w:b/>
        </w:rPr>
        <w:t xml:space="preserve"> Competitor Focus and Differentiation Strategy for Dell </w:t>
      </w:r>
      <w:proofErr w:type="spellStart"/>
      <w:r w:rsidR="00A24E9F" w:rsidRPr="004F65F7">
        <w:rPr>
          <w:b/>
        </w:rPr>
        <w:t>EcoWatch</w:t>
      </w:r>
      <w:proofErr w:type="spellEnd"/>
    </w:p>
    <w:p w14:paraId="480A36F1" w14:textId="77777777" w:rsidR="0017238A" w:rsidRPr="004F65F7" w:rsidRDefault="0017238A" w:rsidP="00AE16AD">
      <w:pPr>
        <w:jc w:val="center"/>
      </w:pPr>
      <w:r w:rsidRPr="004F65F7">
        <w:t xml:space="preserve">(Source: </w:t>
      </w:r>
      <w:r w:rsidR="00A24E9F" w:rsidRPr="004F65F7">
        <w:t>Self-Created</w:t>
      </w:r>
      <w:r w:rsidRPr="004F65F7">
        <w:t>)</w:t>
      </w:r>
    </w:p>
    <w:p w14:paraId="4AEAA5E0" w14:textId="77777777" w:rsidR="008E6A45" w:rsidRPr="004F65F7" w:rsidRDefault="000741D5" w:rsidP="00AE16AD">
      <w:r w:rsidRPr="004F65F7">
        <w:t xml:space="preserve">There is a lot of brand already doing what the </w:t>
      </w:r>
      <w:proofErr w:type="spellStart"/>
      <w:r w:rsidRPr="004F65F7">
        <w:t>EcoWatch</w:t>
      </w:r>
      <w:proofErr w:type="spellEnd"/>
      <w:r w:rsidRPr="004F65F7">
        <w:t xml:space="preserve"> does, so it is pretty competitive. The closest competitors of </w:t>
      </w:r>
      <w:proofErr w:type="spellStart"/>
      <w:r w:rsidRPr="004F65F7">
        <w:t>EcoWatch</w:t>
      </w:r>
      <w:proofErr w:type="spellEnd"/>
      <w:r w:rsidRPr="004F65F7">
        <w:t xml:space="preserve"> are Apple and Samsung. </w:t>
      </w:r>
      <w:r w:rsidR="00C3756E" w:rsidRPr="004F65F7">
        <w:t xml:space="preserve">In the UK (Apple, 2026; </w:t>
      </w:r>
      <w:r w:rsidR="00C3756E" w:rsidRPr="004F65F7">
        <w:lastRenderedPageBreak/>
        <w:t>Samsung, 2026), Apple Watch Series 11 has been priced at £369 and Samsung Galaxy Watch 8 is priced at £299 at present.</w:t>
      </w:r>
      <w:r w:rsidRPr="004F65F7">
        <w:t xml:space="preserve"> Hence, </w:t>
      </w:r>
      <w:proofErr w:type="spellStart"/>
      <w:r w:rsidRPr="004F65F7">
        <w:t>EcoWatch</w:t>
      </w:r>
      <w:proofErr w:type="spellEnd"/>
      <w:r w:rsidRPr="004F65F7">
        <w:t xml:space="preserve"> needs to be careful of a purely technology-based competition. It should be more of a difference in the product design, circular design. This aligns with the existing strategy for Dell technologies to design products with durability, reparability, refurbish</w:t>
      </w:r>
      <w:r w:rsidR="001E096D" w:rsidRPr="004F65F7">
        <w:t>-</w:t>
      </w:r>
      <w:r w:rsidRPr="004F65F7">
        <w:t>ability and recycling (Dell Technologies, 2026).  This distinction is important as in 2022, the world generated 62 billion kg of e-waste, with 22.3% of this being formally collected and recycled (ITU, 2024).</w:t>
      </w:r>
    </w:p>
    <w:p w14:paraId="26EA528D" w14:textId="77777777" w:rsidR="008E6A45" w:rsidRPr="004F65F7" w:rsidRDefault="008E6A45" w:rsidP="00AE16AD">
      <w:pPr>
        <w:rPr>
          <w:b/>
        </w:rPr>
      </w:pPr>
      <w:r w:rsidRPr="004F65F7">
        <w:rPr>
          <w:b/>
        </w:rPr>
        <w:t>Positioning</w:t>
      </w:r>
    </w:p>
    <w:p w14:paraId="066DAC57" w14:textId="77777777" w:rsidR="00A24E9F" w:rsidRPr="004F65F7" w:rsidRDefault="00A24E9F" w:rsidP="00AE16AD">
      <w:proofErr w:type="spellStart"/>
      <w:r w:rsidRPr="004F65F7">
        <w:t>EcoWatch</w:t>
      </w:r>
      <w:proofErr w:type="spellEnd"/>
      <w:r w:rsidRPr="004F65F7">
        <w:t xml:space="preserve"> should be positioned as a smart, sustainable and repairable smartwatch for young consumers who want technology without unnecessary electronic waste. </w:t>
      </w:r>
      <w:r w:rsidR="000741D5" w:rsidRPr="004F65F7">
        <w:t>This helps to achieve Dell</w:t>
      </w:r>
      <w:r w:rsidR="00437E57" w:rsidRPr="004F65F7">
        <w:t>’</w:t>
      </w:r>
      <w:r w:rsidR="000741D5" w:rsidRPr="004F65F7">
        <w:t>s target to incorporate recycled and/or renewable materials in products by 2030 and enhance product recovery (Dell, 2019).</w:t>
      </w:r>
    </w:p>
    <w:p w14:paraId="3879332A" w14:textId="77777777" w:rsidR="008E6A45" w:rsidRPr="004F65F7" w:rsidRDefault="00A24E9F" w:rsidP="00AE16AD">
      <w:r w:rsidRPr="004F65F7">
        <w:rPr>
          <w:b/>
          <w:i/>
        </w:rPr>
        <w:t>Positioning statement:</w:t>
      </w:r>
      <w:r w:rsidRPr="004F65F7">
        <w:t xml:space="preserve"> </w:t>
      </w:r>
      <w:r w:rsidR="000741D5" w:rsidRPr="004F65F7">
        <w:t xml:space="preserve">Connecting young health and environmentally conscious UK consumers who are tech-savvy, Dell </w:t>
      </w:r>
      <w:proofErr w:type="spellStart"/>
      <w:r w:rsidR="000741D5" w:rsidRPr="004F65F7">
        <w:t>EcoWatch</w:t>
      </w:r>
      <w:proofErr w:type="spellEnd"/>
      <w:r w:rsidR="000741D5" w:rsidRPr="004F65F7">
        <w:t xml:space="preserve"> offers con</w:t>
      </w:r>
      <w:r w:rsidR="001E096D" w:rsidRPr="004F65F7">
        <w:t>nected wearable technology that i</w:t>
      </w:r>
      <w:r w:rsidR="000741D5" w:rsidRPr="004F65F7">
        <w:t>s repairable, has responsible materials and a longer product life.</w:t>
      </w:r>
    </w:p>
    <w:p w14:paraId="1CAC9685" w14:textId="77777777" w:rsidR="00C800C7" w:rsidRPr="004F65F7" w:rsidRDefault="00C800C7" w:rsidP="00AE16AD">
      <w:pPr>
        <w:jc w:val="center"/>
      </w:pPr>
      <w:r w:rsidRPr="004F65F7">
        <w:rPr>
          <w:noProof/>
          <w:lang w:val="en-US" w:eastAsia="en-US"/>
        </w:rPr>
        <w:drawing>
          <wp:inline distT="0" distB="0" distL="0" distR="0" wp14:anchorId="570EA2E4" wp14:editId="13EB7F93">
            <wp:extent cx="5943600" cy="33426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2640"/>
                    </a:xfrm>
                    <a:prstGeom prst="rect">
                      <a:avLst/>
                    </a:prstGeom>
                  </pic:spPr>
                </pic:pic>
              </a:graphicData>
            </a:graphic>
          </wp:inline>
        </w:drawing>
      </w:r>
    </w:p>
    <w:p w14:paraId="24173200" w14:textId="77777777" w:rsidR="00C800C7" w:rsidRPr="004F65F7" w:rsidRDefault="00C800C7" w:rsidP="00AE16AD">
      <w:pPr>
        <w:jc w:val="center"/>
        <w:rPr>
          <w:b/>
        </w:rPr>
      </w:pPr>
      <w:r w:rsidRPr="004F65F7">
        <w:rPr>
          <w:b/>
        </w:rPr>
        <w:t xml:space="preserve">Figure 2: Positioning Map of Dell </w:t>
      </w:r>
      <w:proofErr w:type="spellStart"/>
      <w:r w:rsidRPr="004F65F7">
        <w:rPr>
          <w:b/>
        </w:rPr>
        <w:t>EcoWatch</w:t>
      </w:r>
      <w:proofErr w:type="spellEnd"/>
    </w:p>
    <w:p w14:paraId="28E600FE" w14:textId="77777777" w:rsidR="00C800C7" w:rsidRPr="004F65F7" w:rsidRDefault="00C800C7" w:rsidP="00AE16AD">
      <w:pPr>
        <w:jc w:val="center"/>
      </w:pPr>
      <w:r w:rsidRPr="004F65F7">
        <w:t>(Source: Self-Created)</w:t>
      </w:r>
    </w:p>
    <w:p w14:paraId="79B9C1C6" w14:textId="77777777" w:rsidR="000F0725" w:rsidRPr="004F65F7" w:rsidRDefault="000F0725" w:rsidP="00AE16AD">
      <w:pPr>
        <w:rPr>
          <w:b/>
          <w:bCs/>
          <w:sz w:val="28"/>
          <w:szCs w:val="28"/>
        </w:rPr>
      </w:pPr>
      <w:bookmarkStart w:id="4" w:name="_49n8wyb82dqw" w:colFirst="0" w:colLast="0"/>
      <w:bookmarkEnd w:id="4"/>
      <w:r w:rsidRPr="004F65F7">
        <w:br w:type="page"/>
      </w:r>
    </w:p>
    <w:p w14:paraId="1AC0E5B2" w14:textId="7FF87552" w:rsidR="005A6D30" w:rsidRPr="004F65F7" w:rsidRDefault="00555152" w:rsidP="00AE16AD">
      <w:pPr>
        <w:pStyle w:val="Heading1"/>
      </w:pPr>
      <w:bookmarkStart w:id="5" w:name="_Toc236866868"/>
      <w:r w:rsidRPr="004F65F7">
        <w:lastRenderedPageBreak/>
        <w:t>Element 3:</w:t>
      </w:r>
      <w:r w:rsidR="001E096D" w:rsidRPr="004F65F7">
        <w:t xml:space="preserve"> Marketing Mix: 4Ps</w:t>
      </w:r>
      <w:bookmarkEnd w:id="5"/>
    </w:p>
    <w:p w14:paraId="40C76C21" w14:textId="77777777" w:rsidR="00FF0669" w:rsidRPr="004F65F7" w:rsidRDefault="00FF0669" w:rsidP="00AE16AD">
      <w:r w:rsidRPr="004F65F7">
        <w:t>According to Kotler, Armstrong and Balasubramanian (2024), the marketing mix tools are distinguished into broader categories: product, price, place and promotion. These elements combine to assist organisations in providing value to customers.</w:t>
      </w:r>
    </w:p>
    <w:p w14:paraId="3D8C08BA" w14:textId="77777777" w:rsidR="00FF0669" w:rsidRPr="004F65F7" w:rsidRDefault="00FF0669" w:rsidP="00AE16AD">
      <w:pPr>
        <w:rPr>
          <w:b/>
          <w:bCs/>
          <w:i/>
          <w:iCs/>
        </w:rPr>
      </w:pPr>
      <w:r w:rsidRPr="004F65F7">
        <w:rPr>
          <w:b/>
          <w:bCs/>
          <w:i/>
          <w:iCs/>
        </w:rPr>
        <w:t>Product</w:t>
      </w:r>
    </w:p>
    <w:p w14:paraId="4037A023" w14:textId="690586BA" w:rsidR="00FF0669" w:rsidRPr="004F65F7" w:rsidRDefault="00FF0669" w:rsidP="00AE16AD">
      <w:r w:rsidRPr="004F65F7">
        <w:t xml:space="preserve">Product is the basic of marketing mix as customers buy products to solve problems and not just physical products (Kotler et al. 2020). Kotler's three level product model can be used to demonstrate the key product that will be offered in brand extension. Core values for the proposed extension will be enhanced health, convenience and sustainable living. This can be supported by </w:t>
      </w:r>
      <w:proofErr w:type="spellStart"/>
      <w:r w:rsidRPr="004F65F7">
        <w:t>Izu</w:t>
      </w:r>
      <w:proofErr w:type="spellEnd"/>
      <w:r w:rsidRPr="004F65F7">
        <w:t xml:space="preserve">, </w:t>
      </w:r>
      <w:proofErr w:type="spellStart"/>
      <w:r w:rsidRPr="004F65F7">
        <w:t>Scholtz</w:t>
      </w:r>
      <w:proofErr w:type="spellEnd"/>
      <w:r w:rsidRPr="004F65F7">
        <w:t xml:space="preserve"> and </w:t>
      </w:r>
      <w:proofErr w:type="spellStart"/>
      <w:r w:rsidRPr="004F65F7">
        <w:t>Fashoro</w:t>
      </w:r>
      <w:proofErr w:type="spellEnd"/>
      <w:r w:rsidRPr="004F65F7">
        <w:t xml:space="preserve"> (2024), who argued that using wearables enables people to improve their health outcomes, followed by obtaining the objectives of sustainable development and building a more sustainable world. The actual product has to do with the brand, features, quality, design and packaging. So, the actual product will be Dell </w:t>
      </w:r>
      <w:proofErr w:type="spellStart"/>
      <w:r w:rsidRPr="004F65F7">
        <w:t>EcoWatch</w:t>
      </w:r>
      <w:proofErr w:type="spellEnd"/>
      <w:r w:rsidRPr="004F65F7">
        <w:t xml:space="preserve"> Brand, AI health tracking, heart rate, SpO</w:t>
      </w:r>
      <w:r w:rsidRPr="004F65F7">
        <w:rPr>
          <w:rFonts w:ascii="Cambria Math" w:hAnsi="Cambria Math" w:cs="Cambria Math"/>
        </w:rPr>
        <w:t>₂</w:t>
      </w:r>
      <w:r w:rsidRPr="004F65F7">
        <w:t xml:space="preserve">, sleep monitoring, premium recycled </w:t>
      </w:r>
      <w:proofErr w:type="spellStart"/>
      <w:r w:rsidRPr="004F65F7">
        <w:t>aluminum</w:t>
      </w:r>
      <w:proofErr w:type="spellEnd"/>
      <w:r w:rsidRPr="004F65F7">
        <w:t xml:space="preserve"> body, repairable battery, and ecofriendly packaging. Also, Kotler </w:t>
      </w:r>
      <w:r w:rsidRPr="004F65F7">
        <w:rPr>
          <w:i/>
          <w:iCs/>
        </w:rPr>
        <w:t>et al</w:t>
      </w:r>
      <w:r w:rsidRPr="004F65F7">
        <w:t>. (2020) stated that after-sales service, warranty, delivery and support and many more are part of the augmented products. Hence, the augmented product will include a 3-year warranty, free software updates and a take-back recycling initiative to minimize purchase risks and product obsolescence for customers</w:t>
      </w:r>
      <w:r w:rsidR="004C6332" w:rsidRPr="004F65F7">
        <w:t xml:space="preserve"> (See Figure 3)</w:t>
      </w:r>
      <w:r w:rsidRPr="004F65F7">
        <w:t xml:space="preserve">. </w:t>
      </w:r>
    </w:p>
    <w:p w14:paraId="5E7900DA" w14:textId="30D55620" w:rsidR="004C6332" w:rsidRPr="004F65F7" w:rsidRDefault="004C6332" w:rsidP="00AE16AD">
      <w:pPr>
        <w:jc w:val="center"/>
      </w:pPr>
      <w:r w:rsidRPr="004F65F7">
        <w:rPr>
          <w:noProof/>
          <w:lang w:val="en-US" w:eastAsia="en-US"/>
        </w:rPr>
        <w:lastRenderedPageBreak/>
        <w:drawing>
          <wp:inline distT="0" distB="0" distL="0" distR="0" wp14:anchorId="0355C80B" wp14:editId="0CE80D3D">
            <wp:extent cx="4496190" cy="4244708"/>
            <wp:effectExtent l="0" t="0" r="0" b="3810"/>
            <wp:docPr id="15310913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091358" name=""/>
                    <pic:cNvPicPr/>
                  </pic:nvPicPr>
                  <pic:blipFill>
                    <a:blip r:embed="rId11"/>
                    <a:stretch>
                      <a:fillRect/>
                    </a:stretch>
                  </pic:blipFill>
                  <pic:spPr>
                    <a:xfrm>
                      <a:off x="0" y="0"/>
                      <a:ext cx="4496190" cy="4244708"/>
                    </a:xfrm>
                    <a:prstGeom prst="rect">
                      <a:avLst/>
                    </a:prstGeom>
                  </pic:spPr>
                </pic:pic>
              </a:graphicData>
            </a:graphic>
          </wp:inline>
        </w:drawing>
      </w:r>
    </w:p>
    <w:p w14:paraId="5889FAB6" w14:textId="2CD61A6D" w:rsidR="004C6332" w:rsidRPr="004F65F7" w:rsidRDefault="004C6332" w:rsidP="00AE16AD">
      <w:pPr>
        <w:jc w:val="center"/>
        <w:rPr>
          <w:b/>
          <w:bCs/>
        </w:rPr>
      </w:pPr>
      <w:r w:rsidRPr="004F65F7">
        <w:rPr>
          <w:b/>
          <w:bCs/>
        </w:rPr>
        <w:t>Figure 3: Proposed Product</w:t>
      </w:r>
    </w:p>
    <w:p w14:paraId="7426810E" w14:textId="5FFF3CBF" w:rsidR="004C6332" w:rsidRPr="004F65F7" w:rsidRDefault="004C6332" w:rsidP="00AE16AD">
      <w:pPr>
        <w:jc w:val="center"/>
      </w:pPr>
      <w:r w:rsidRPr="004F65F7">
        <w:t>(Source: Self-developed)</w:t>
      </w:r>
    </w:p>
    <w:p w14:paraId="31072D04" w14:textId="77777777" w:rsidR="00FF0669" w:rsidRPr="004F65F7" w:rsidRDefault="00FF0669" w:rsidP="00AE16AD">
      <w:r w:rsidRPr="004F65F7">
        <w:t xml:space="preserve">However, smartwatches and fitness trackers have a huge environmental footprint. For instance, Woodger (2024) reported that manufacturing constitutes about 89% of the total lifecycle environmental footprint. They also had a shorter life span of only 3-5 years. Further, the research by Yang </w:t>
      </w:r>
      <w:r w:rsidRPr="004F65F7">
        <w:rPr>
          <w:i/>
          <w:iCs/>
        </w:rPr>
        <w:t>et al</w:t>
      </w:r>
      <w:r w:rsidRPr="004F65F7">
        <w:t>. (2026) has pointed out that the current emissions of wearables are 1.1–6.1 kg CO</w:t>
      </w:r>
      <w:r w:rsidRPr="004F65F7">
        <w:rPr>
          <w:rFonts w:ascii="Cambria Math" w:hAnsi="Cambria Math" w:cs="Cambria Math"/>
        </w:rPr>
        <w:t>₂</w:t>
      </w:r>
      <w:r w:rsidRPr="004F65F7">
        <w:t xml:space="preserve"> equivalent per device and that, by 2050, global wearable consumption could grow by 42 times, accompanied by ecotoxicity and e-waste challenges. This calls for increased repairability and recycling. In this sense the proposed brand extension would be a viable option as it would stand out as a sustainable option instead of a technological one. Hence, Dell </w:t>
      </w:r>
      <w:proofErr w:type="spellStart"/>
      <w:r w:rsidRPr="004F65F7">
        <w:t>EcoWatch</w:t>
      </w:r>
      <w:proofErr w:type="spellEnd"/>
      <w:r w:rsidRPr="004F65F7">
        <w:t xml:space="preserve"> will overcome the problem with the help of Modular Design, Recyclable Materials and Circular takeback programme. This will help Dell's sustainable brand extension programme, and address consumers' functional needs and their increased environmental demands.</w:t>
      </w:r>
    </w:p>
    <w:p w14:paraId="7B56C52C" w14:textId="77777777" w:rsidR="00FF0669" w:rsidRPr="004F65F7" w:rsidRDefault="00FF0669" w:rsidP="00AE16AD">
      <w:pPr>
        <w:rPr>
          <w:b/>
          <w:bCs/>
          <w:i/>
          <w:iCs/>
        </w:rPr>
      </w:pPr>
      <w:r w:rsidRPr="004F65F7">
        <w:rPr>
          <w:b/>
          <w:bCs/>
          <w:i/>
          <w:iCs/>
        </w:rPr>
        <w:t>Price</w:t>
      </w:r>
    </w:p>
    <w:p w14:paraId="4AD71734" w14:textId="77777777" w:rsidR="00FF0669" w:rsidRPr="004F65F7" w:rsidRDefault="00FF0669" w:rsidP="00AE16AD">
      <w:r w:rsidRPr="004F65F7">
        <w:lastRenderedPageBreak/>
        <w:t xml:space="preserve">Price is a critical factor of marketing mix as it signals the value of the product and brand positioning. Kotler </w:t>
      </w:r>
      <w:r w:rsidRPr="004F65F7">
        <w:rPr>
          <w:i/>
          <w:iCs/>
        </w:rPr>
        <w:t>et al</w:t>
      </w:r>
      <w:r w:rsidRPr="004F65F7">
        <w:t>. (2020) suggests that pricing decisions should be based on customer-perceived value, on corporate goals, and on production costs and competitor prices, in addition to cost-based calculations. Hence, a value-based pricing strategy is proposed which is based on the value perceived by customers in pricing the products.</w:t>
      </w:r>
    </w:p>
    <w:p w14:paraId="38A20739" w14:textId="77777777" w:rsidR="00FF0669" w:rsidRPr="004F65F7" w:rsidRDefault="00FF0669" w:rsidP="00AE16AD">
      <w:pPr>
        <w:jc w:val="center"/>
      </w:pPr>
      <w:r w:rsidRPr="004F65F7">
        <w:rPr>
          <w:noProof/>
          <w:lang w:val="en-US" w:eastAsia="en-US"/>
        </w:rPr>
        <w:drawing>
          <wp:inline distT="0" distB="0" distL="0" distR="0" wp14:anchorId="244524C2" wp14:editId="0B9FE5F2">
            <wp:extent cx="4572000" cy="2743200"/>
            <wp:effectExtent l="0" t="0" r="0" b="0"/>
            <wp:docPr id="559613309" name="Chart 1">
              <a:extLst xmlns:a="http://schemas.openxmlformats.org/drawingml/2006/main">
                <a:ext uri="{FF2B5EF4-FFF2-40B4-BE49-F238E27FC236}">
                  <a16:creationId xmlns:a16="http://schemas.microsoft.com/office/drawing/2014/main" id="{F8393058-3CCB-7F4B-5E36-C8CA81EC147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AFBEDAC" w14:textId="4991E909" w:rsidR="00FF0669" w:rsidRPr="004F65F7" w:rsidRDefault="00FF0669" w:rsidP="00AE16AD">
      <w:pPr>
        <w:jc w:val="center"/>
        <w:rPr>
          <w:b/>
          <w:bCs/>
        </w:rPr>
      </w:pPr>
      <w:r w:rsidRPr="004F65F7">
        <w:rPr>
          <w:b/>
          <w:bCs/>
        </w:rPr>
        <w:t xml:space="preserve">Figure </w:t>
      </w:r>
      <w:r w:rsidR="004C6332" w:rsidRPr="004F65F7">
        <w:rPr>
          <w:b/>
          <w:bCs/>
        </w:rPr>
        <w:t>4</w:t>
      </w:r>
      <w:r w:rsidRPr="004F65F7">
        <w:rPr>
          <w:b/>
          <w:bCs/>
        </w:rPr>
        <w:t>: Comparison of Prices of Smart Wearables</w:t>
      </w:r>
    </w:p>
    <w:p w14:paraId="6DD9C2C3" w14:textId="77777777" w:rsidR="00FF0669" w:rsidRPr="004F65F7" w:rsidRDefault="00FF0669" w:rsidP="00AE16AD">
      <w:pPr>
        <w:jc w:val="center"/>
      </w:pPr>
      <w:r w:rsidRPr="004F65F7">
        <w:t>(Source: O'Boyle, 2024; Apple, 2026; Samsung, 2026)</w:t>
      </w:r>
    </w:p>
    <w:p w14:paraId="5611A687" w14:textId="532DAFBF" w:rsidR="00FF0669" w:rsidRPr="004F65F7" w:rsidRDefault="00FF0669" w:rsidP="00AE16AD">
      <w:r w:rsidRPr="004F65F7">
        <w:t xml:space="preserve">As reported by O'Boyle (2024) and Apple (2026), similar products from competing brand, such as Apple Watch Series 10 are sold at £389 to £399, followed by Watch Series 11 at £369. Likewise, Samsung Galaxy watches, such as </w:t>
      </w:r>
      <w:proofErr w:type="spellStart"/>
      <w:r w:rsidRPr="004F65F7">
        <w:t>Galazy</w:t>
      </w:r>
      <w:proofErr w:type="spellEnd"/>
      <w:r w:rsidRPr="004F65F7">
        <w:t xml:space="preserve"> Watch8, Galaxy Watch9, and the like, are priced at approximately £299 to £399 (Samsung, 2026). From this, Dell can price its </w:t>
      </w:r>
      <w:proofErr w:type="spellStart"/>
      <w:r w:rsidRPr="004F65F7">
        <w:t>EcoWatch</w:t>
      </w:r>
      <w:proofErr w:type="spellEnd"/>
      <w:r w:rsidRPr="004F65F7">
        <w:t xml:space="preserve"> at £339 to compete in the top tier market segment with a better value</w:t>
      </w:r>
      <w:r w:rsidR="004C6332" w:rsidRPr="004F65F7">
        <w:t xml:space="preserve"> (See Figure 4)</w:t>
      </w:r>
      <w:r w:rsidRPr="004F65F7">
        <w:t xml:space="preserve">. The value to the customers would be offered by the repairable and replaceable parts, very low recyclable packaging, a take back recycling programme and longer life products that would allow the circular economy approach. Thus, the £339 launch price further solidifies Dell's high-end branding and fosters uptake by eco-conscious customers who value innovative, sustainable wearables.  </w:t>
      </w:r>
    </w:p>
    <w:p w14:paraId="7E2E7443" w14:textId="77777777" w:rsidR="00FF0669" w:rsidRPr="004F65F7" w:rsidRDefault="00FF0669" w:rsidP="00AE16AD">
      <w:pPr>
        <w:rPr>
          <w:b/>
          <w:bCs/>
          <w:i/>
          <w:iCs/>
        </w:rPr>
      </w:pPr>
      <w:r w:rsidRPr="004F65F7">
        <w:rPr>
          <w:b/>
          <w:bCs/>
          <w:i/>
          <w:iCs/>
        </w:rPr>
        <w:t>Place</w:t>
      </w:r>
    </w:p>
    <w:p w14:paraId="572F2BC5" w14:textId="77777777" w:rsidR="00FF0669" w:rsidRPr="004F65F7" w:rsidRDefault="00FF0669" w:rsidP="00AE16AD">
      <w:r w:rsidRPr="004F65F7">
        <w:t xml:space="preserve">Place Strategy is the way of making the products available to the customers with the effective marketing channels. Kotler </w:t>
      </w:r>
      <w:r w:rsidRPr="004F65F7">
        <w:rPr>
          <w:i/>
          <w:iCs/>
        </w:rPr>
        <w:t>et al</w:t>
      </w:r>
      <w:r w:rsidRPr="004F65F7">
        <w:t xml:space="preserve">. (2020) state that marketing channels add value </w:t>
      </w:r>
      <w:r w:rsidRPr="004F65F7">
        <w:lastRenderedPageBreak/>
        <w:t>through increased product accessibility, convenience and distribution effectiveness. A multi-channel distribution is proposed, where both direct and indirect channels can be used to obtain maximum market (Kotler et. al, 2020; Weaver, 2024).</w:t>
      </w:r>
    </w:p>
    <w:p w14:paraId="47AF011A" w14:textId="77777777" w:rsidR="00FF0669" w:rsidRPr="004F65F7" w:rsidRDefault="00FF0669" w:rsidP="00AE16AD">
      <w:r w:rsidRPr="004F65F7">
        <w:t xml:space="preserve">The major direct channel is the official website of Dell, where consumers can directly buy </w:t>
      </w:r>
      <w:proofErr w:type="spellStart"/>
      <w:r w:rsidRPr="004F65F7">
        <w:t>EcoWatch</w:t>
      </w:r>
      <w:proofErr w:type="spellEnd"/>
      <w:r w:rsidRPr="004F65F7">
        <w:t xml:space="preserve"> from the manufacturer (CFI, 2025). This way, pricing and customer experience and sustainability communication can be controlled. In addition, Dell can cultivate long-term customer relationships and gain valuable consumer information. However, if there is only direct distribution, then the market reach can be limited. Thus, indirect channels like premium retailers Amazon UK, eBay UK, Currys and John Lewis should be used by Dell to make its products more accessible (CFI, 2025; Statista, 2026). The use direct and retailer channels will enhance the convenience of the customer.  </w:t>
      </w:r>
    </w:p>
    <w:p w14:paraId="1FCA28CD" w14:textId="77777777" w:rsidR="00FF0669" w:rsidRPr="004F65F7" w:rsidRDefault="00FF0669" w:rsidP="00AE16AD">
      <w:r w:rsidRPr="004F65F7">
        <w:t>Moreover, Dell needs to build a Contractual Vertical Marketing System (VMS) through formal contractual agreements with authorised retail partners (</w:t>
      </w:r>
      <w:proofErr w:type="spellStart"/>
      <w:r w:rsidRPr="004F65F7">
        <w:t>Jonwal</w:t>
      </w:r>
      <w:proofErr w:type="spellEnd"/>
      <w:r w:rsidRPr="004F65F7">
        <w:t xml:space="preserve">, 2025). These relationships will guarantee uniform pricing for all outlets, as well as after-sales service and take-back recycling programmes, thus strengthening Dell </w:t>
      </w:r>
      <w:proofErr w:type="spellStart"/>
      <w:r w:rsidRPr="004F65F7">
        <w:t>EcoWatch's</w:t>
      </w:r>
      <w:proofErr w:type="spellEnd"/>
      <w:r w:rsidRPr="004F65F7">
        <w:t xml:space="preserve"> sustainability offering and enhancing distribution efficiency and customer satisfaction.</w:t>
      </w:r>
    </w:p>
    <w:p w14:paraId="298BF898" w14:textId="77777777" w:rsidR="00FF0669" w:rsidRPr="004F65F7" w:rsidRDefault="00FF0669" w:rsidP="00AE16AD">
      <w:pPr>
        <w:rPr>
          <w:b/>
          <w:bCs/>
          <w:i/>
          <w:iCs/>
        </w:rPr>
      </w:pPr>
      <w:r w:rsidRPr="004F65F7">
        <w:rPr>
          <w:b/>
          <w:bCs/>
          <w:i/>
          <w:iCs/>
        </w:rPr>
        <w:t>Promotion</w:t>
      </w:r>
    </w:p>
    <w:p w14:paraId="79CCBAEE" w14:textId="508CFC02" w:rsidR="00FF0669" w:rsidRPr="004F65F7" w:rsidRDefault="00FF0669" w:rsidP="00AE16AD">
      <w:r w:rsidRPr="004F65F7">
        <w:t xml:space="preserve">The purpose of promotion is to get information about the value of the product to the consumers and to provoke them into buying the product, by means of coordinated marketing activities. Kotler </w:t>
      </w:r>
      <w:r w:rsidRPr="004F65F7">
        <w:rPr>
          <w:i/>
          <w:iCs/>
        </w:rPr>
        <w:t>et al</w:t>
      </w:r>
      <w:r w:rsidRPr="004F65F7">
        <w:t xml:space="preserve">. (2020) define Integrated Marketing Communications (IMC) as a way of making sure that all communication tools are delivering a consistent brand message across multiple customer touchpoints. Whilst the target market is predominantly environmentally conscious Gen Z and Millennial consumers, </w:t>
      </w:r>
      <w:r w:rsidRPr="004F65F7">
        <w:rPr>
          <w:b/>
          <w:bCs/>
          <w:i/>
          <w:iCs/>
        </w:rPr>
        <w:t>digital promotion will be prioritise</w:t>
      </w:r>
      <w:r w:rsidR="00764340" w:rsidRPr="004F65F7">
        <w:rPr>
          <w:b/>
          <w:bCs/>
          <w:i/>
          <w:iCs/>
        </w:rPr>
        <w:t xml:space="preserve">d. </w:t>
      </w:r>
      <w:r w:rsidR="00764340" w:rsidRPr="004F65F7">
        <w:t xml:space="preserve">This includes social media advertising, influencer marketing, and email marketing, followed by public relations (PR) and digital campaigns. </w:t>
      </w:r>
      <w:r w:rsidRPr="004F65F7">
        <w:t xml:space="preserve">Dell ought to highlight the key features of </w:t>
      </w:r>
      <w:proofErr w:type="spellStart"/>
      <w:r w:rsidRPr="004F65F7">
        <w:t>EcoWatch</w:t>
      </w:r>
      <w:proofErr w:type="spellEnd"/>
      <w:r w:rsidRPr="004F65F7">
        <w:t xml:space="preserve"> on Instagram, </w:t>
      </w:r>
      <w:proofErr w:type="spellStart"/>
      <w:r w:rsidRPr="004F65F7">
        <w:t>TikTok</w:t>
      </w:r>
      <w:proofErr w:type="spellEnd"/>
      <w:r w:rsidRPr="004F65F7">
        <w:t xml:space="preserve">, YouTube and Facebook, by partnering with influencers and creating short-form video and UGC sustainability campaigns (Patel, 2026). This can be supported by the graph in Figure </w:t>
      </w:r>
      <w:r w:rsidR="004C6332" w:rsidRPr="004F65F7">
        <w:t>5</w:t>
      </w:r>
      <w:r w:rsidRPr="004F65F7">
        <w:t>, highlighted that Instagram is used by 70% of people aged 18-24 years, followed by 61% of 25-34 years and 65% of 35-44 years (YouGov, 2026</w:t>
      </w:r>
      <w:r w:rsidR="00522E92" w:rsidRPr="004F65F7">
        <w:t>a</w:t>
      </w:r>
      <w:r w:rsidRPr="004F65F7">
        <w:t xml:space="preserve">). Similarly, TikTok usage trend is also highest among people of 18-24 years (50%), followed by those of 25-34 years </w:t>
      </w:r>
      <w:r w:rsidRPr="004F65F7">
        <w:lastRenderedPageBreak/>
        <w:t>(35%) and 35-44 years (22%) (YouGov, 2026</w:t>
      </w:r>
      <w:r w:rsidR="00522E92" w:rsidRPr="004F65F7">
        <w:t>a</w:t>
      </w:r>
      <w:r w:rsidRPr="004F65F7">
        <w:t xml:space="preserve">). In addition, Retail Media Age (2026) revealed that 67% of UK shoppers do research about the product online before buying. This makes Digital Marketing as a communication channel to be important. </w:t>
      </w:r>
    </w:p>
    <w:p w14:paraId="3E2C22E3" w14:textId="77777777" w:rsidR="00FF0669" w:rsidRPr="004F65F7" w:rsidRDefault="00FF0669" w:rsidP="00AE16AD">
      <w:pPr>
        <w:jc w:val="center"/>
      </w:pPr>
      <w:r w:rsidRPr="004F65F7">
        <w:rPr>
          <w:noProof/>
          <w:lang w:val="en-US" w:eastAsia="en-US"/>
        </w:rPr>
        <w:drawing>
          <wp:inline distT="0" distB="0" distL="0" distR="0" wp14:anchorId="104522A0" wp14:editId="474DFFF5">
            <wp:extent cx="4862945" cy="3291840"/>
            <wp:effectExtent l="0" t="0" r="0" b="3810"/>
            <wp:docPr id="11713805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380593" name=""/>
                    <pic:cNvPicPr/>
                  </pic:nvPicPr>
                  <pic:blipFill>
                    <a:blip r:embed="rId13"/>
                    <a:stretch>
                      <a:fillRect/>
                    </a:stretch>
                  </pic:blipFill>
                  <pic:spPr>
                    <a:xfrm>
                      <a:off x="0" y="0"/>
                      <a:ext cx="4864895" cy="3293160"/>
                    </a:xfrm>
                    <a:prstGeom prst="rect">
                      <a:avLst/>
                    </a:prstGeom>
                  </pic:spPr>
                </pic:pic>
              </a:graphicData>
            </a:graphic>
          </wp:inline>
        </w:drawing>
      </w:r>
    </w:p>
    <w:p w14:paraId="3E4343FE" w14:textId="1A8A6115" w:rsidR="00FF0669" w:rsidRPr="004F65F7" w:rsidRDefault="00FF0669" w:rsidP="00AE16AD">
      <w:pPr>
        <w:jc w:val="center"/>
        <w:rPr>
          <w:b/>
          <w:bCs/>
        </w:rPr>
      </w:pPr>
      <w:r w:rsidRPr="004F65F7">
        <w:rPr>
          <w:b/>
          <w:bCs/>
        </w:rPr>
        <w:t xml:space="preserve">Figure </w:t>
      </w:r>
      <w:r w:rsidR="004C6332" w:rsidRPr="004F65F7">
        <w:rPr>
          <w:b/>
          <w:bCs/>
        </w:rPr>
        <w:t>5</w:t>
      </w:r>
      <w:r w:rsidRPr="004F65F7">
        <w:rPr>
          <w:b/>
          <w:bCs/>
        </w:rPr>
        <w:t>: Media Usage Pattern in the UK</w:t>
      </w:r>
    </w:p>
    <w:p w14:paraId="359445D5" w14:textId="7675E776" w:rsidR="00FF0669" w:rsidRPr="004F65F7" w:rsidRDefault="00FF0669" w:rsidP="00AE16AD">
      <w:pPr>
        <w:jc w:val="center"/>
      </w:pPr>
      <w:r w:rsidRPr="004F65F7">
        <w:t>(Source: YouGov, 2026</w:t>
      </w:r>
      <w:r w:rsidR="00522E92" w:rsidRPr="004F65F7">
        <w:t>a</w:t>
      </w:r>
      <w:r w:rsidRPr="004F65F7">
        <w:t>)</w:t>
      </w:r>
    </w:p>
    <w:p w14:paraId="41B2C57C" w14:textId="71B54702" w:rsidR="00FF0669" w:rsidRPr="004F65F7" w:rsidRDefault="00FF0669" w:rsidP="00AE16AD">
      <w:r w:rsidRPr="004F65F7">
        <w:t xml:space="preserve">In order to boost the credibility of the brand, Dell should back up its advertising campaign through </w:t>
      </w:r>
      <w:r w:rsidRPr="004F65F7">
        <w:rPr>
          <w:b/>
          <w:bCs/>
          <w:i/>
          <w:iCs/>
        </w:rPr>
        <w:t xml:space="preserve">PR, sustainability partnerships and </w:t>
      </w:r>
      <w:r w:rsidR="005B503F" w:rsidRPr="004F65F7">
        <w:rPr>
          <w:b/>
          <w:bCs/>
          <w:i/>
          <w:iCs/>
        </w:rPr>
        <w:t xml:space="preserve">social </w:t>
      </w:r>
      <w:r w:rsidRPr="004F65F7">
        <w:rPr>
          <w:b/>
          <w:bCs/>
          <w:i/>
          <w:iCs/>
        </w:rPr>
        <w:t>media coverage</w:t>
      </w:r>
      <w:r w:rsidRPr="004F65F7">
        <w:t xml:space="preserve"> of its take-back programme. Email marketing can be used to increase customer engagement, and trade-in discounts and launch promotions can help to encourage product trial. These personalized marketing strategies combined, boost brand recognition, purchase intent and customer retention.</w:t>
      </w:r>
    </w:p>
    <w:p w14:paraId="013F93D5" w14:textId="77777777" w:rsidR="000F0725" w:rsidRPr="004F65F7" w:rsidRDefault="000F0725" w:rsidP="00AE16AD">
      <w:pPr>
        <w:rPr>
          <w:b/>
          <w:bCs/>
          <w:sz w:val="28"/>
          <w:szCs w:val="28"/>
        </w:rPr>
      </w:pPr>
      <w:bookmarkStart w:id="6" w:name="_qw2i07lb37qf" w:colFirst="0" w:colLast="0"/>
      <w:bookmarkEnd w:id="6"/>
      <w:r w:rsidRPr="004F65F7">
        <w:br w:type="page"/>
      </w:r>
    </w:p>
    <w:p w14:paraId="753893D6" w14:textId="664BB3DA" w:rsidR="005A6D30" w:rsidRPr="004F65F7" w:rsidRDefault="00BC0722" w:rsidP="00AE16AD">
      <w:pPr>
        <w:pStyle w:val="Heading1"/>
      </w:pPr>
      <w:bookmarkStart w:id="7" w:name="_Toc236866869"/>
      <w:r w:rsidRPr="004F65F7">
        <w:lastRenderedPageBreak/>
        <w:t>Element 4: Reflection</w:t>
      </w:r>
      <w:bookmarkEnd w:id="7"/>
    </w:p>
    <w:p w14:paraId="6D4A9B95" w14:textId="70EE9439" w:rsidR="00D1291F" w:rsidRPr="004F65F7" w:rsidRDefault="001758AE" w:rsidP="00D1291F">
      <w:r w:rsidRPr="004F65F7">
        <w:t>Gibb’s reflective cycle is made up of Description, Feelings, Evaluation, Analysis, Conclusion and Action Plan according to McLeod (2025). The model motivates people to think critically about experiences and apply the learning to enhance their future performance. It has also been demonstrated that reflection can enhance learning outcomes as it can help students link theory and practice (</w:t>
      </w:r>
      <w:proofErr w:type="spellStart"/>
      <w:r w:rsidRPr="004F65F7">
        <w:t>Perusso</w:t>
      </w:r>
      <w:proofErr w:type="spellEnd"/>
      <w:r w:rsidRPr="004F65F7">
        <w:t xml:space="preserve">, </w:t>
      </w:r>
      <w:proofErr w:type="spellStart"/>
      <w:r w:rsidRPr="004F65F7">
        <w:t>Blankesteijn</w:t>
      </w:r>
      <w:proofErr w:type="spellEnd"/>
      <w:r w:rsidRPr="004F65F7">
        <w:t xml:space="preserve"> and Leal, 2020).</w:t>
      </w:r>
    </w:p>
    <w:p w14:paraId="52C8193A" w14:textId="17426E5F" w:rsidR="00D1291F" w:rsidRPr="004F65F7" w:rsidRDefault="00D1291F" w:rsidP="00D1291F">
      <w:pPr>
        <w:jc w:val="center"/>
      </w:pPr>
      <w:r w:rsidRPr="004F65F7">
        <w:rPr>
          <w:noProof/>
          <w:lang w:val="en-US" w:eastAsia="en-US"/>
        </w:rPr>
        <w:drawing>
          <wp:inline distT="0" distB="0" distL="0" distR="0" wp14:anchorId="6A90E503" wp14:editId="24D6709F">
            <wp:extent cx="5486400" cy="3200400"/>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3AAF7090" w14:textId="08AC3DB6" w:rsidR="00D1291F" w:rsidRPr="004F65F7" w:rsidRDefault="00D1291F" w:rsidP="00D1291F">
      <w:pPr>
        <w:jc w:val="center"/>
        <w:rPr>
          <w:b/>
        </w:rPr>
      </w:pPr>
      <w:r w:rsidRPr="004F65F7">
        <w:rPr>
          <w:b/>
        </w:rPr>
        <w:t>Figure 6: Gibbs' Reflective Cycle</w:t>
      </w:r>
    </w:p>
    <w:p w14:paraId="3B633AD5" w14:textId="189BDA14" w:rsidR="00D1291F" w:rsidRPr="004F65F7" w:rsidRDefault="00D1291F" w:rsidP="00D1291F">
      <w:pPr>
        <w:jc w:val="center"/>
      </w:pPr>
      <w:r w:rsidRPr="004F65F7">
        <w:t xml:space="preserve">(Source: </w:t>
      </w:r>
      <w:r w:rsidR="00C40160" w:rsidRPr="004F65F7">
        <w:t>Adapted from McLeod, 2025</w:t>
      </w:r>
      <w:r w:rsidRPr="004F65F7">
        <w:t>)</w:t>
      </w:r>
    </w:p>
    <w:p w14:paraId="490388FF" w14:textId="4E720CA1" w:rsidR="00D1291F" w:rsidRPr="004F65F7" w:rsidRDefault="00D1291F" w:rsidP="00D1291F">
      <w:pPr>
        <w:rPr>
          <w:b/>
        </w:rPr>
      </w:pPr>
      <w:r w:rsidRPr="004F65F7">
        <w:rPr>
          <w:b/>
        </w:rPr>
        <w:t>Description</w:t>
      </w:r>
    </w:p>
    <w:p w14:paraId="7A1C9C43" w14:textId="60D4786A" w:rsidR="00D1291F" w:rsidRPr="004F65F7" w:rsidRDefault="001758AE" w:rsidP="00D1291F">
      <w:r w:rsidRPr="004F65F7">
        <w:t xml:space="preserve">The key experience was creating the sustainable brand extension marketing strategy for Dell </w:t>
      </w:r>
      <w:proofErr w:type="spellStart"/>
      <w:r w:rsidRPr="004F65F7">
        <w:t>EcoWatch</w:t>
      </w:r>
      <w:proofErr w:type="spellEnd"/>
      <w:r w:rsidRPr="004F65F7">
        <w:t>. To develop a sustainable product for the cu</w:t>
      </w:r>
      <w:r w:rsidR="00820C06" w:rsidRPr="004F65F7">
        <w:t>stomer and to help achieve Dell’</w:t>
      </w:r>
      <w:r w:rsidRPr="004F65F7">
        <w:t>s business goals, the project needed STDP and the marketing mix to be applied. It also included making and giving a poster talk. The marketing strategy had to be clearly communicated in a concise manner in a visual format, which was the poster. Research, marketing and presentation/communication skills were used throughout the project.</w:t>
      </w:r>
    </w:p>
    <w:p w14:paraId="4148881F" w14:textId="37907B7B" w:rsidR="00D1291F" w:rsidRPr="004F65F7" w:rsidRDefault="00D1291F" w:rsidP="00D1291F">
      <w:pPr>
        <w:rPr>
          <w:b/>
        </w:rPr>
      </w:pPr>
      <w:r w:rsidRPr="004F65F7">
        <w:rPr>
          <w:b/>
        </w:rPr>
        <w:t>Feelings</w:t>
      </w:r>
    </w:p>
    <w:p w14:paraId="51E2681F" w14:textId="71DF4BC4" w:rsidR="00D1291F" w:rsidRPr="004F65F7" w:rsidRDefault="00820C06" w:rsidP="00D1291F">
      <w:r w:rsidRPr="004F65F7">
        <w:lastRenderedPageBreak/>
        <w:t>During the start of the project I was confident that I would be able to create a sustainable product idea, but a little less for the correct application of the marketing theories. I was also not sure about the sustainability versus commercial value. I was anxious in the poster presentation as the main concepts had to be communicated effectively in a short period of time. But the presentation gave me the confidence in conveying marketing concepts and answering questions afterwards.</w:t>
      </w:r>
    </w:p>
    <w:p w14:paraId="151907DE" w14:textId="4670E2DD" w:rsidR="00D1291F" w:rsidRPr="004F65F7" w:rsidRDefault="00D1291F" w:rsidP="00D1291F">
      <w:pPr>
        <w:rPr>
          <w:b/>
        </w:rPr>
      </w:pPr>
      <w:r w:rsidRPr="004F65F7">
        <w:rPr>
          <w:b/>
        </w:rPr>
        <w:t>Evaluation</w:t>
      </w:r>
    </w:p>
    <w:p w14:paraId="6C18BE9B" w14:textId="196EF281" w:rsidR="00820C06" w:rsidRPr="004F65F7" w:rsidRDefault="00820C06" w:rsidP="00820C06">
      <w:r w:rsidRPr="004F65F7">
        <w:t xml:space="preserve">Overall, it was a positive experience as it helped me to understand more about the concept of sustainable marketing and brand extension strategies. I discovered that sustainability needs to go beyond just being part of the product. I have realised that it needs to be integrated throughout product, price, place and promotion. Therefore, the authenticity of sustainable branding can enhance consumers' confidence and brand loyalty in the long term (Agu </w:t>
      </w:r>
      <w:r w:rsidRPr="004F65F7">
        <w:rPr>
          <w:i/>
        </w:rPr>
        <w:t>et al.</w:t>
      </w:r>
      <w:r w:rsidRPr="004F65F7">
        <w:t xml:space="preserve"> 2024).</w:t>
      </w:r>
    </w:p>
    <w:p w14:paraId="2B913E49" w14:textId="0C5526E4" w:rsidR="00D1291F" w:rsidRPr="004F65F7" w:rsidRDefault="00820C06" w:rsidP="00820C06">
      <w:r w:rsidRPr="004F65F7">
        <w:t>But there were some difficulties as well. Trying to encapsulate a lot of research in a small format for the poster was challenging. Careful judgement was also needed in selecting the most relevant evidence and for a clear visual design. I also discovered that I could have been better prepared for the presentation and, therefore, would have been more confident.</w:t>
      </w:r>
    </w:p>
    <w:p w14:paraId="2C906AD6" w14:textId="00893A13" w:rsidR="00D1291F" w:rsidRPr="004F65F7" w:rsidRDefault="00D1291F" w:rsidP="00D1291F">
      <w:pPr>
        <w:rPr>
          <w:b/>
        </w:rPr>
      </w:pPr>
      <w:r w:rsidRPr="004F65F7">
        <w:rPr>
          <w:b/>
        </w:rPr>
        <w:t>Analysis</w:t>
      </w:r>
    </w:p>
    <w:p w14:paraId="11430DA0" w14:textId="77777777" w:rsidR="00820C06" w:rsidRPr="004F65F7" w:rsidRDefault="00820C06" w:rsidP="00820C06">
      <w:r w:rsidRPr="004F65F7">
        <w:t xml:space="preserve">I was able to reinforce my knowledge of Segmentation, Targeting, Differentiation, Positioning and the Marketing Mix through the project. I had learned that in marketing all the decisions should be congruent with the target market and position. I also knew that there should be credible evidence to back up sustainability claims. Misleading environmental claims can lead to loss of trust and loss of credibility, per </w:t>
      </w:r>
      <w:proofErr w:type="spellStart"/>
      <w:r w:rsidRPr="004F65F7">
        <w:t>Şenyapar</w:t>
      </w:r>
      <w:proofErr w:type="spellEnd"/>
      <w:r w:rsidRPr="004F65F7">
        <w:t xml:space="preserve"> (2024).</w:t>
      </w:r>
    </w:p>
    <w:p w14:paraId="5BE16FFD" w14:textId="1FB71F7D" w:rsidR="00D1291F" w:rsidRPr="004F65F7" w:rsidRDefault="00820C06" w:rsidP="00820C06">
      <w:r w:rsidRPr="004F65F7">
        <w:t xml:space="preserve">Moreover, I have been given opportunities to enhance my critical thinking and decision making. For instance, </w:t>
      </w:r>
      <w:proofErr w:type="spellStart"/>
      <w:r w:rsidRPr="004F65F7">
        <w:t>EcoWatch</w:t>
      </w:r>
      <w:proofErr w:type="spellEnd"/>
      <w:r w:rsidRPr="004F65F7">
        <w:t xml:space="preserve"> would not only be able to use recycled materials, as there are already other firms encouraging similar sustainability efforts. Therefore, repairability and product longevity and take back programmes became key differentiators. This experience also helped me to examine various marketing strategies and determine which is the best strategy to follow.</w:t>
      </w:r>
      <w:r w:rsidR="00523F0B" w:rsidRPr="004F65F7">
        <w:t xml:space="preserve"> </w:t>
      </w:r>
    </w:p>
    <w:p w14:paraId="6B1D82CC" w14:textId="7B50EE27" w:rsidR="00D1291F" w:rsidRPr="004F65F7" w:rsidRDefault="00D1291F" w:rsidP="00D1291F">
      <w:pPr>
        <w:rPr>
          <w:b/>
        </w:rPr>
      </w:pPr>
      <w:r w:rsidRPr="004F65F7">
        <w:rPr>
          <w:b/>
        </w:rPr>
        <w:t>Conclusion</w:t>
      </w:r>
    </w:p>
    <w:p w14:paraId="5C66AC23" w14:textId="46809B60" w:rsidR="00D1291F" w:rsidRPr="004F65F7" w:rsidRDefault="00820C06" w:rsidP="00D1291F">
      <w:r w:rsidRPr="004F65F7">
        <w:lastRenderedPageBreak/>
        <w:t xml:space="preserve">This project helped to enhance my academic knowledge and practical knowledge in marketing. It added value to my research and understanding of sustainable brand extensions and helped me to develop my research, communication, presentation and </w:t>
      </w:r>
      <w:r w:rsidR="009A7C26" w:rsidRPr="004F65F7">
        <w:t>problem-solving</w:t>
      </w:r>
      <w:r w:rsidRPr="004F65F7">
        <w:t xml:space="preserve"> skills. I also realised that there is a need for theoretical knowledge, as well as </w:t>
      </w:r>
      <w:r w:rsidR="009A7C26" w:rsidRPr="004F65F7">
        <w:t>evidence-based</w:t>
      </w:r>
      <w:r w:rsidRPr="004F65F7">
        <w:t xml:space="preserve"> decision making to create successful marketing strategies.</w:t>
      </w:r>
    </w:p>
    <w:p w14:paraId="40485CB1" w14:textId="6EFCC622" w:rsidR="00D1291F" w:rsidRPr="004F65F7" w:rsidRDefault="00D1291F" w:rsidP="00D1291F">
      <w:pPr>
        <w:rPr>
          <w:b/>
        </w:rPr>
      </w:pPr>
      <w:r w:rsidRPr="004F65F7">
        <w:rPr>
          <w:b/>
        </w:rPr>
        <w:t>Action Plan</w:t>
      </w:r>
    </w:p>
    <w:p w14:paraId="241E2063" w14:textId="77777777" w:rsidR="00D1291F" w:rsidRPr="004F65F7" w:rsidRDefault="00D1291F" w:rsidP="00D1291F">
      <w:r w:rsidRPr="004F65F7">
        <w:t xml:space="preserve">In the future, I will use these lessons from the start of my projects. Accordingly, my future action plan is shown below. </w:t>
      </w:r>
    </w:p>
    <w:tbl>
      <w:tblPr>
        <w:tblStyle w:val="GridTable2-Accent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55"/>
        <w:gridCol w:w="6795"/>
      </w:tblGrid>
      <w:tr w:rsidR="00D1291F" w:rsidRPr="004F65F7" w14:paraId="742592B5" w14:textId="77777777" w:rsidTr="00E833D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32CD2E2A" w14:textId="77777777" w:rsidR="00D1291F" w:rsidRPr="004F65F7" w:rsidRDefault="00D1291F" w:rsidP="00E833D8">
            <w:pPr>
              <w:spacing w:line="360" w:lineRule="auto"/>
              <w:jc w:val="center"/>
              <w:rPr>
                <w:rFonts w:eastAsia="Times New Roman"/>
                <w:b w:val="0"/>
                <w:bCs w:val="0"/>
              </w:rPr>
            </w:pPr>
            <w:r w:rsidRPr="004F65F7">
              <w:rPr>
                <w:rFonts w:eastAsia="Times New Roman"/>
              </w:rPr>
              <w:t>Area for improvement</w:t>
            </w:r>
          </w:p>
        </w:tc>
        <w:tc>
          <w:tcPr>
            <w:tcW w:w="0" w:type="auto"/>
            <w:tcBorders>
              <w:top w:val="none" w:sz="0" w:space="0" w:color="auto"/>
              <w:left w:val="none" w:sz="0" w:space="0" w:color="auto"/>
              <w:bottom w:val="none" w:sz="0" w:space="0" w:color="auto"/>
            </w:tcBorders>
            <w:hideMark/>
          </w:tcPr>
          <w:p w14:paraId="0470BD94" w14:textId="77777777" w:rsidR="00D1291F" w:rsidRPr="004F65F7" w:rsidRDefault="00D1291F" w:rsidP="00E833D8">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Times New Roman"/>
                <w:b w:val="0"/>
                <w:bCs w:val="0"/>
              </w:rPr>
            </w:pPr>
            <w:r w:rsidRPr="004F65F7">
              <w:rPr>
                <w:rFonts w:eastAsia="Times New Roman"/>
              </w:rPr>
              <w:t>Future action</w:t>
            </w:r>
          </w:p>
        </w:tc>
      </w:tr>
      <w:tr w:rsidR="00D1291F" w:rsidRPr="004F65F7" w14:paraId="3CB5A598" w14:textId="77777777" w:rsidTr="00E833D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07A0F94" w14:textId="77777777" w:rsidR="00D1291F" w:rsidRPr="004F65F7" w:rsidRDefault="00D1291F" w:rsidP="00E833D8">
            <w:pPr>
              <w:spacing w:line="360" w:lineRule="auto"/>
              <w:jc w:val="left"/>
              <w:rPr>
                <w:rFonts w:eastAsia="Times New Roman"/>
              </w:rPr>
            </w:pPr>
            <w:r w:rsidRPr="004F65F7">
              <w:rPr>
                <w:rFonts w:eastAsia="Times New Roman"/>
              </w:rPr>
              <w:t>Research</w:t>
            </w:r>
          </w:p>
        </w:tc>
        <w:tc>
          <w:tcPr>
            <w:tcW w:w="0" w:type="auto"/>
            <w:hideMark/>
          </w:tcPr>
          <w:p w14:paraId="45B49B46" w14:textId="77777777" w:rsidR="00D1291F" w:rsidRPr="004F65F7" w:rsidRDefault="00D1291F" w:rsidP="00E833D8">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rPr>
            </w:pPr>
            <w:r w:rsidRPr="004F65F7">
              <w:rPr>
                <w:rFonts w:eastAsia="Times New Roman"/>
              </w:rPr>
              <w:t>Apply up to date research and practice from academia and industry earlier.</w:t>
            </w:r>
          </w:p>
        </w:tc>
      </w:tr>
      <w:tr w:rsidR="00D1291F" w:rsidRPr="004F65F7" w14:paraId="18CF9120" w14:textId="77777777" w:rsidTr="00E833D8">
        <w:tc>
          <w:tcPr>
            <w:cnfStyle w:val="001000000000" w:firstRow="0" w:lastRow="0" w:firstColumn="1" w:lastColumn="0" w:oddVBand="0" w:evenVBand="0" w:oddHBand="0" w:evenHBand="0" w:firstRowFirstColumn="0" w:firstRowLastColumn="0" w:lastRowFirstColumn="0" w:lastRowLastColumn="0"/>
            <w:tcW w:w="0" w:type="auto"/>
            <w:hideMark/>
          </w:tcPr>
          <w:p w14:paraId="1F9E97E8" w14:textId="77777777" w:rsidR="00D1291F" w:rsidRPr="004F65F7" w:rsidRDefault="00D1291F" w:rsidP="00E833D8">
            <w:pPr>
              <w:spacing w:line="360" w:lineRule="auto"/>
              <w:jc w:val="left"/>
              <w:rPr>
                <w:rFonts w:eastAsia="Times New Roman"/>
              </w:rPr>
            </w:pPr>
            <w:r w:rsidRPr="004F65F7">
              <w:rPr>
                <w:rFonts w:eastAsia="Times New Roman"/>
              </w:rPr>
              <w:t>Critical thinking</w:t>
            </w:r>
          </w:p>
        </w:tc>
        <w:tc>
          <w:tcPr>
            <w:tcW w:w="0" w:type="auto"/>
            <w:hideMark/>
          </w:tcPr>
          <w:p w14:paraId="22365109" w14:textId="77777777" w:rsidR="00D1291F" w:rsidRPr="004F65F7" w:rsidRDefault="00D1291F" w:rsidP="00E833D8">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rPr>
            </w:pPr>
            <w:r w:rsidRPr="004F65F7">
              <w:rPr>
                <w:rFonts w:eastAsia="Times New Roman"/>
              </w:rPr>
              <w:t>Compare alternatives before selecting strategies.</w:t>
            </w:r>
          </w:p>
        </w:tc>
      </w:tr>
      <w:tr w:rsidR="00D1291F" w:rsidRPr="004F65F7" w14:paraId="3AC693AB" w14:textId="77777777" w:rsidTr="00E833D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DFF3DB5" w14:textId="77777777" w:rsidR="00D1291F" w:rsidRPr="004F65F7" w:rsidRDefault="00D1291F" w:rsidP="00E833D8">
            <w:pPr>
              <w:spacing w:line="360" w:lineRule="auto"/>
              <w:jc w:val="left"/>
              <w:rPr>
                <w:rFonts w:eastAsia="Times New Roman"/>
              </w:rPr>
            </w:pPr>
            <w:r w:rsidRPr="004F65F7">
              <w:rPr>
                <w:rFonts w:eastAsia="Times New Roman"/>
              </w:rPr>
              <w:t>Poster design</w:t>
            </w:r>
          </w:p>
        </w:tc>
        <w:tc>
          <w:tcPr>
            <w:tcW w:w="0" w:type="auto"/>
            <w:hideMark/>
          </w:tcPr>
          <w:p w14:paraId="73EF34B9" w14:textId="77777777" w:rsidR="00D1291F" w:rsidRPr="004F65F7" w:rsidRDefault="00D1291F" w:rsidP="00E833D8">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rPr>
            </w:pPr>
            <w:r w:rsidRPr="004F65F7">
              <w:rPr>
                <w:rFonts w:eastAsia="Times New Roman"/>
              </w:rPr>
              <w:t xml:space="preserve">Use fewer words and more visuals to make posters more presentable. </w:t>
            </w:r>
          </w:p>
        </w:tc>
      </w:tr>
      <w:tr w:rsidR="00D1291F" w:rsidRPr="004F65F7" w14:paraId="1219062F" w14:textId="77777777" w:rsidTr="00E833D8">
        <w:tc>
          <w:tcPr>
            <w:cnfStyle w:val="001000000000" w:firstRow="0" w:lastRow="0" w:firstColumn="1" w:lastColumn="0" w:oddVBand="0" w:evenVBand="0" w:oddHBand="0" w:evenHBand="0" w:firstRowFirstColumn="0" w:firstRowLastColumn="0" w:lastRowFirstColumn="0" w:lastRowLastColumn="0"/>
            <w:tcW w:w="0" w:type="auto"/>
            <w:hideMark/>
          </w:tcPr>
          <w:p w14:paraId="6F1BE7B3" w14:textId="77777777" w:rsidR="00D1291F" w:rsidRPr="004F65F7" w:rsidRDefault="00D1291F" w:rsidP="00E833D8">
            <w:pPr>
              <w:spacing w:line="360" w:lineRule="auto"/>
              <w:jc w:val="left"/>
              <w:rPr>
                <w:rFonts w:eastAsia="Times New Roman"/>
              </w:rPr>
            </w:pPr>
            <w:r w:rsidRPr="004F65F7">
              <w:rPr>
                <w:rFonts w:eastAsia="Times New Roman"/>
              </w:rPr>
              <w:t>Presentation</w:t>
            </w:r>
          </w:p>
        </w:tc>
        <w:tc>
          <w:tcPr>
            <w:tcW w:w="0" w:type="auto"/>
            <w:hideMark/>
          </w:tcPr>
          <w:p w14:paraId="1C94C367" w14:textId="77777777" w:rsidR="00D1291F" w:rsidRPr="004F65F7" w:rsidRDefault="00D1291F" w:rsidP="00E833D8">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rPr>
            </w:pPr>
            <w:r w:rsidRPr="004F65F7">
              <w:rPr>
                <w:rFonts w:eastAsia="Times New Roman"/>
              </w:rPr>
              <w:t>Practise timing and delivery before presenting.</w:t>
            </w:r>
          </w:p>
        </w:tc>
      </w:tr>
      <w:tr w:rsidR="00D1291F" w:rsidRPr="004F65F7" w14:paraId="04876655" w14:textId="77777777" w:rsidTr="00E833D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50F02A7" w14:textId="77777777" w:rsidR="00D1291F" w:rsidRPr="004F65F7" w:rsidRDefault="00D1291F" w:rsidP="00E833D8">
            <w:pPr>
              <w:spacing w:line="360" w:lineRule="auto"/>
              <w:jc w:val="left"/>
              <w:rPr>
                <w:rFonts w:eastAsia="Times New Roman"/>
              </w:rPr>
            </w:pPr>
            <w:r w:rsidRPr="004F65F7">
              <w:rPr>
                <w:rFonts w:eastAsia="Times New Roman"/>
              </w:rPr>
              <w:t>Sustainable marketing</w:t>
            </w:r>
          </w:p>
        </w:tc>
        <w:tc>
          <w:tcPr>
            <w:tcW w:w="0" w:type="auto"/>
            <w:hideMark/>
          </w:tcPr>
          <w:p w14:paraId="0BE5A8BF" w14:textId="77777777" w:rsidR="00D1291F" w:rsidRPr="004F65F7" w:rsidRDefault="00D1291F" w:rsidP="00E833D8">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rPr>
            </w:pPr>
            <w:r w:rsidRPr="004F65F7">
              <w:rPr>
                <w:rFonts w:eastAsia="Times New Roman"/>
              </w:rPr>
              <w:t xml:space="preserve">Use specific evidence to support environmental claims while marketing. </w:t>
            </w:r>
          </w:p>
        </w:tc>
      </w:tr>
    </w:tbl>
    <w:p w14:paraId="596D6E2B" w14:textId="77777777" w:rsidR="00D1291F" w:rsidRPr="004F65F7" w:rsidRDefault="00D1291F" w:rsidP="00D1291F">
      <w:pPr>
        <w:jc w:val="center"/>
        <w:rPr>
          <w:b/>
        </w:rPr>
      </w:pPr>
      <w:r w:rsidRPr="004F65F7">
        <w:rPr>
          <w:b/>
        </w:rPr>
        <w:t>Table 4: Future Action Plan</w:t>
      </w:r>
    </w:p>
    <w:p w14:paraId="08272910" w14:textId="659C6908" w:rsidR="00D234FC" w:rsidRPr="004F65F7" w:rsidRDefault="00D1291F" w:rsidP="00C40160">
      <w:pPr>
        <w:jc w:val="center"/>
      </w:pPr>
      <w:r w:rsidRPr="004F65F7">
        <w:t>(Source: Self-Created)</w:t>
      </w:r>
    </w:p>
    <w:p w14:paraId="335C1D3E" w14:textId="77777777" w:rsidR="00AE47AC" w:rsidRPr="004F65F7" w:rsidRDefault="00AE47AC" w:rsidP="00AE16AD">
      <w:pPr>
        <w:pStyle w:val="Heading1"/>
      </w:pPr>
      <w:bookmarkStart w:id="8" w:name="_Toc236866870"/>
      <w:r w:rsidRPr="004F65F7">
        <w:t>Conclusion</w:t>
      </w:r>
      <w:bookmarkEnd w:id="8"/>
    </w:p>
    <w:p w14:paraId="6FDA9755" w14:textId="77777777" w:rsidR="00AE47AC" w:rsidRPr="004F65F7" w:rsidRDefault="00AE47AC" w:rsidP="00AE16AD">
      <w:r w:rsidRPr="004F65F7">
        <w:t xml:space="preserve">Overall, the brand extension of Dell </w:t>
      </w:r>
      <w:proofErr w:type="spellStart"/>
      <w:r w:rsidRPr="004F65F7">
        <w:t>EcoWatch</w:t>
      </w:r>
      <w:proofErr w:type="spellEnd"/>
      <w:r w:rsidRPr="004F65F7">
        <w:t xml:space="preserve"> is sustainable and has a clear STDP and 4Ps strategy. Its technology, the ability to repair and the sustainability can help create customer value and help strengthen Dell</w:t>
      </w:r>
      <w:r w:rsidR="00437E57" w:rsidRPr="004F65F7">
        <w:t>’</w:t>
      </w:r>
      <w:r w:rsidRPr="004F65F7">
        <w:t>s competitive position.</w:t>
      </w:r>
    </w:p>
    <w:p w14:paraId="2FEC807B" w14:textId="77777777" w:rsidR="00896044" w:rsidRPr="00607678" w:rsidRDefault="00896044" w:rsidP="00AE16AD">
      <w:r w:rsidRPr="00607678">
        <w:br w:type="page"/>
      </w:r>
    </w:p>
    <w:p w14:paraId="1F09B80A" w14:textId="77777777" w:rsidR="00896044" w:rsidRPr="00607678" w:rsidRDefault="00896044" w:rsidP="00AE16AD">
      <w:pPr>
        <w:pStyle w:val="Heading1"/>
      </w:pPr>
      <w:bookmarkStart w:id="9" w:name="_Toc236866871"/>
      <w:r w:rsidRPr="00607678">
        <w:lastRenderedPageBreak/>
        <w:t>Reference List</w:t>
      </w:r>
      <w:bookmarkEnd w:id="9"/>
    </w:p>
    <w:p w14:paraId="546DA549" w14:textId="77777777" w:rsidR="00252C54" w:rsidRPr="00607678" w:rsidRDefault="00252C54" w:rsidP="00AE16AD">
      <w:pPr>
        <w:spacing w:before="240"/>
      </w:pPr>
      <w:proofErr w:type="spellStart"/>
      <w:r w:rsidRPr="00607678">
        <w:t>Agu</w:t>
      </w:r>
      <w:proofErr w:type="spellEnd"/>
      <w:r w:rsidRPr="00607678">
        <w:t xml:space="preserve">, E.E., </w:t>
      </w:r>
      <w:proofErr w:type="spellStart"/>
      <w:r w:rsidRPr="00607678">
        <w:t>Iyelolu</w:t>
      </w:r>
      <w:proofErr w:type="spellEnd"/>
      <w:r w:rsidRPr="00607678">
        <w:t xml:space="preserve">, T.V., </w:t>
      </w:r>
      <w:proofErr w:type="spellStart"/>
      <w:r w:rsidRPr="00607678">
        <w:t>Idemudia</w:t>
      </w:r>
      <w:proofErr w:type="spellEnd"/>
      <w:r w:rsidRPr="00607678">
        <w:t xml:space="preserve">, C. and </w:t>
      </w:r>
      <w:proofErr w:type="spellStart"/>
      <w:r w:rsidRPr="00607678">
        <w:t>Ijomah</w:t>
      </w:r>
      <w:proofErr w:type="spellEnd"/>
      <w:r w:rsidRPr="00607678">
        <w:t xml:space="preserve">, T.I. (2024) ‘Exploring the relationship between sustainable business practices and increased brand loyalty’, </w:t>
      </w:r>
      <w:r w:rsidRPr="00607678">
        <w:rPr>
          <w:i/>
          <w:iCs/>
        </w:rPr>
        <w:t>International Journal of Management &amp; Entrepreneurship Research</w:t>
      </w:r>
      <w:r w:rsidRPr="00607678">
        <w:t xml:space="preserve">, 6(8), pp. 2463–2475. Available at: </w:t>
      </w:r>
      <w:hyperlink r:id="rId19" w:history="1">
        <w:r w:rsidRPr="00607678">
          <w:rPr>
            <w:rStyle w:val="Hyperlink"/>
          </w:rPr>
          <w:t>https://doi.org/10.51594/ijmer.v6i8.1365</w:t>
        </w:r>
      </w:hyperlink>
      <w:r w:rsidRPr="00607678">
        <w:t xml:space="preserve"> </w:t>
      </w:r>
    </w:p>
    <w:p w14:paraId="0D6AC57A" w14:textId="77777777" w:rsidR="00252C54" w:rsidRPr="00607678" w:rsidRDefault="00252C54" w:rsidP="00AE16AD">
      <w:pPr>
        <w:spacing w:before="240"/>
      </w:pPr>
      <w:r w:rsidRPr="00607678">
        <w:t xml:space="preserve">Apple (2026) </w:t>
      </w:r>
      <w:r w:rsidRPr="00607678">
        <w:rPr>
          <w:i/>
          <w:iCs/>
        </w:rPr>
        <w:t>Buy Apple Watch Series 11</w:t>
      </w:r>
      <w:r w:rsidRPr="00607678">
        <w:t xml:space="preserve">. Available at: </w:t>
      </w:r>
      <w:hyperlink r:id="rId20" w:tgtFrame="_new" w:history="1">
        <w:r w:rsidRPr="00607678">
          <w:rPr>
            <w:rStyle w:val="Hyperlink"/>
          </w:rPr>
          <w:t>https://www.apple.com/uk/shop/buy-watch/apple-watch?part=Z0YQ</w:t>
        </w:r>
      </w:hyperlink>
      <w:r w:rsidRPr="00607678">
        <w:t xml:space="preserve"> (Accessed: 31 July 2026).</w:t>
      </w:r>
    </w:p>
    <w:p w14:paraId="542698A2" w14:textId="77777777" w:rsidR="00252C54" w:rsidRPr="00607678" w:rsidRDefault="00252C54" w:rsidP="00AE16AD">
      <w:pPr>
        <w:spacing w:before="240"/>
      </w:pPr>
      <w:r w:rsidRPr="00607678">
        <w:t xml:space="preserve">CFI (2025) </w:t>
      </w:r>
      <w:r w:rsidRPr="00607678">
        <w:rPr>
          <w:i/>
          <w:iCs/>
        </w:rPr>
        <w:t>Distribution Channels: The Efficient Flow of Goods and Services.</w:t>
      </w:r>
      <w:r w:rsidRPr="00607678">
        <w:t xml:space="preserve"> Available at: </w:t>
      </w:r>
      <w:hyperlink r:id="rId21" w:history="1">
        <w:r w:rsidRPr="00607678">
          <w:rPr>
            <w:rStyle w:val="Hyperlink"/>
          </w:rPr>
          <w:t>https://corporatefinanceinstitute.com/resources/valuation/distribution-channel/</w:t>
        </w:r>
      </w:hyperlink>
      <w:r w:rsidRPr="00607678">
        <w:t xml:space="preserve"> (Accessed: 31 July 2026)</w:t>
      </w:r>
    </w:p>
    <w:p w14:paraId="67BA6B58" w14:textId="77777777" w:rsidR="00252C54" w:rsidRPr="00607678" w:rsidRDefault="00252C54" w:rsidP="00AE16AD">
      <w:pPr>
        <w:spacing w:before="240"/>
      </w:pPr>
      <w:r w:rsidRPr="00607678">
        <w:t xml:space="preserve">Dell (2019) </w:t>
      </w:r>
      <w:r w:rsidRPr="00607678">
        <w:rPr>
          <w:i/>
          <w:iCs/>
        </w:rPr>
        <w:t>New 2030 Goals for Societal Change Top Dell Technologies' Strategic Agenda</w:t>
      </w:r>
      <w:r w:rsidRPr="00607678">
        <w:t xml:space="preserve">. Available at: </w:t>
      </w:r>
      <w:hyperlink r:id="rId22" w:tgtFrame="_new" w:history="1">
        <w:r w:rsidRPr="00607678">
          <w:rPr>
            <w:rStyle w:val="Hyperlink"/>
          </w:rPr>
          <w:t>https://investors.delltechnologies.com/news-releases/news-release-details/new-2030-goals-societal-change-top-dell-technologies-strategic</w:t>
        </w:r>
      </w:hyperlink>
      <w:r w:rsidRPr="00607678">
        <w:t xml:space="preserve"> (Accessed: 31 July 2026).</w:t>
      </w:r>
    </w:p>
    <w:p w14:paraId="75B50FC4" w14:textId="77777777" w:rsidR="00252C54" w:rsidRPr="00607678" w:rsidRDefault="00252C54" w:rsidP="00AE16AD">
      <w:pPr>
        <w:spacing w:before="240"/>
      </w:pPr>
      <w:r w:rsidRPr="00607678">
        <w:t xml:space="preserve">Dell (2026) </w:t>
      </w:r>
      <w:r w:rsidRPr="00607678">
        <w:rPr>
          <w:i/>
          <w:iCs/>
        </w:rPr>
        <w:t>Accelerating the circular economy to reduce waste</w:t>
      </w:r>
      <w:r w:rsidRPr="00607678">
        <w:t xml:space="preserve">. Available at: </w:t>
      </w:r>
      <w:hyperlink r:id="rId23" w:tgtFrame="_new" w:history="1">
        <w:r w:rsidRPr="00607678">
          <w:rPr>
            <w:rStyle w:val="Hyperlink"/>
          </w:rPr>
          <w:t>https://www.dell.com/en-in/lp/dt/circular-economy</w:t>
        </w:r>
      </w:hyperlink>
      <w:r w:rsidRPr="00607678">
        <w:t xml:space="preserve"> (Accessed: 31 July 2026).</w:t>
      </w:r>
    </w:p>
    <w:p w14:paraId="3E2ADB9F" w14:textId="77777777" w:rsidR="00252C54" w:rsidRPr="00607678" w:rsidRDefault="00252C54" w:rsidP="00AE16AD">
      <w:pPr>
        <w:spacing w:before="240"/>
      </w:pPr>
      <w:r w:rsidRPr="00607678">
        <w:t xml:space="preserve">IDC (2026) </w:t>
      </w:r>
      <w:r w:rsidRPr="00607678">
        <w:rPr>
          <w:i/>
          <w:iCs/>
        </w:rPr>
        <w:t>Wearable Devices Market Insights</w:t>
      </w:r>
      <w:r w:rsidRPr="00607678">
        <w:t xml:space="preserve">. Available at: </w:t>
      </w:r>
      <w:hyperlink r:id="rId24" w:tgtFrame="_new" w:history="1">
        <w:r w:rsidRPr="00607678">
          <w:rPr>
            <w:rStyle w:val="Hyperlink"/>
          </w:rPr>
          <w:t>https://www.idc.com/promo/wearablevendor/?source=content_type%3Areact%7Cfirst_level_url%3Aarticle%7Csection%3Amain_content%7Cbutton%3Abody_link</w:t>
        </w:r>
      </w:hyperlink>
      <w:r w:rsidRPr="00607678">
        <w:t xml:space="preserve"> (Accessed: 31 July 2026).</w:t>
      </w:r>
    </w:p>
    <w:p w14:paraId="0D3841B3" w14:textId="77777777" w:rsidR="00252C54" w:rsidRPr="00607678" w:rsidRDefault="00252C54" w:rsidP="00AE16AD">
      <w:pPr>
        <w:spacing w:before="240"/>
      </w:pPr>
      <w:r w:rsidRPr="00607678">
        <w:t xml:space="preserve">ITU (2024) </w:t>
      </w:r>
      <w:r w:rsidRPr="00607678">
        <w:rPr>
          <w:i/>
          <w:iCs/>
        </w:rPr>
        <w:t>The Global E-waste Monitor 2024</w:t>
      </w:r>
      <w:r w:rsidRPr="00607678">
        <w:t xml:space="preserve">. Available at: </w:t>
      </w:r>
      <w:hyperlink r:id="rId25" w:tgtFrame="_new" w:history="1">
        <w:r w:rsidRPr="00607678">
          <w:rPr>
            <w:rStyle w:val="Hyperlink"/>
          </w:rPr>
          <w:t>https://www.itu.int/en/ITU-D/Environment/Pages/Publications/The-Global-E-waste-Monitor-2024.aspx</w:t>
        </w:r>
      </w:hyperlink>
      <w:r w:rsidRPr="00607678">
        <w:t xml:space="preserve"> (Accessed: 31 July 2026).</w:t>
      </w:r>
    </w:p>
    <w:p w14:paraId="423D28D3" w14:textId="77777777" w:rsidR="00252C54" w:rsidRPr="00607678" w:rsidRDefault="00252C54" w:rsidP="00AE16AD">
      <w:pPr>
        <w:spacing w:before="240"/>
      </w:pPr>
      <w:r w:rsidRPr="00607678">
        <w:lastRenderedPageBreak/>
        <w:t xml:space="preserve">Izu, L., Scholtz, B. and </w:t>
      </w:r>
      <w:proofErr w:type="spellStart"/>
      <w:r w:rsidRPr="00607678">
        <w:t>Fashoro</w:t>
      </w:r>
      <w:proofErr w:type="spellEnd"/>
      <w:r w:rsidRPr="00607678">
        <w:t>, I. (2024) ‘Wearables and their potential to transform health management: a step towards sustainable development goal 3’. </w:t>
      </w:r>
      <w:r w:rsidRPr="00607678">
        <w:rPr>
          <w:i/>
          <w:iCs/>
        </w:rPr>
        <w:t>Sustainability</w:t>
      </w:r>
      <w:r w:rsidRPr="00607678">
        <w:t xml:space="preserve">, 16(5), p.1850. </w:t>
      </w:r>
      <w:hyperlink r:id="rId26" w:history="1">
        <w:r w:rsidRPr="00607678">
          <w:rPr>
            <w:rStyle w:val="Hyperlink"/>
          </w:rPr>
          <w:t>https://doi.org/10.3390/su16051850</w:t>
        </w:r>
      </w:hyperlink>
      <w:r w:rsidRPr="00607678">
        <w:t xml:space="preserve"> </w:t>
      </w:r>
    </w:p>
    <w:p w14:paraId="3F53F45A" w14:textId="77777777" w:rsidR="00252C54" w:rsidRPr="00607678" w:rsidRDefault="00252C54" w:rsidP="00AE16AD">
      <w:pPr>
        <w:spacing w:before="240"/>
      </w:pPr>
      <w:proofErr w:type="spellStart"/>
      <w:r w:rsidRPr="00607678">
        <w:t>Jonwal</w:t>
      </w:r>
      <w:proofErr w:type="spellEnd"/>
      <w:r w:rsidRPr="00607678">
        <w:t xml:space="preserve">, S. (2025) </w:t>
      </w:r>
      <w:r w:rsidRPr="00607678">
        <w:rPr>
          <w:i/>
          <w:iCs/>
        </w:rPr>
        <w:t>Vertical Marketing System: Types, Benefits &amp; How to Implement</w:t>
      </w:r>
      <w:r w:rsidRPr="00607678">
        <w:t xml:space="preserve"> One. Available at: </w:t>
      </w:r>
      <w:hyperlink r:id="rId27" w:history="1">
        <w:r w:rsidRPr="00607678">
          <w:rPr>
            <w:rStyle w:val="Hyperlink"/>
          </w:rPr>
          <w:t>https://www.youngurbanproject.com/what-is-a-vertical-marketing-system/</w:t>
        </w:r>
      </w:hyperlink>
      <w:r w:rsidRPr="00607678">
        <w:t xml:space="preserve"> (Accessed: 31 July 2026)</w:t>
      </w:r>
    </w:p>
    <w:p w14:paraId="12D20866" w14:textId="77777777" w:rsidR="00252C54" w:rsidRPr="00607678" w:rsidRDefault="00252C54" w:rsidP="00AE16AD">
      <w:pPr>
        <w:spacing w:before="240"/>
      </w:pPr>
      <w:r w:rsidRPr="00607678">
        <w:t>Kotler, P., Armstrong, G. and Balasubramanian, S. (2024) </w:t>
      </w:r>
      <w:r w:rsidRPr="00607678">
        <w:rPr>
          <w:i/>
          <w:iCs/>
        </w:rPr>
        <w:t>Principles of marketing</w:t>
      </w:r>
      <w:r w:rsidRPr="00607678">
        <w:t>. Pearson.</w:t>
      </w:r>
    </w:p>
    <w:p w14:paraId="1E98F385" w14:textId="77777777" w:rsidR="00252C54" w:rsidRPr="00607678" w:rsidRDefault="00252C54" w:rsidP="00AE16AD">
      <w:pPr>
        <w:spacing w:before="240"/>
      </w:pPr>
      <w:r w:rsidRPr="00607678">
        <w:t xml:space="preserve">Kotler, P., Armstrong, G., Harris, L. and Piercy, N. (2020) </w:t>
      </w:r>
      <w:r w:rsidRPr="00607678">
        <w:rPr>
          <w:i/>
          <w:iCs/>
        </w:rPr>
        <w:t>Principles of marketing</w:t>
      </w:r>
      <w:r w:rsidRPr="00607678">
        <w:t xml:space="preserve">. 8th European </w:t>
      </w:r>
      <w:proofErr w:type="spellStart"/>
      <w:r w:rsidRPr="00607678">
        <w:t>edn</w:t>
      </w:r>
      <w:proofErr w:type="spellEnd"/>
      <w:r w:rsidRPr="00607678">
        <w:t>. Harlow: Pearson.</w:t>
      </w:r>
    </w:p>
    <w:p w14:paraId="6CC2ED36" w14:textId="77777777" w:rsidR="00252C54" w:rsidRPr="00607678" w:rsidRDefault="00252C54" w:rsidP="00AE16AD">
      <w:pPr>
        <w:spacing w:before="240"/>
      </w:pPr>
      <w:r w:rsidRPr="00607678">
        <w:t xml:space="preserve">Lee, S.Y. and Lee, K. (2018) ‘Factors that influence an individual's intention to adopt a wearable healthcare device: the case of a wearable fitness tracker’, </w:t>
      </w:r>
      <w:r w:rsidRPr="00607678">
        <w:rPr>
          <w:i/>
          <w:iCs/>
        </w:rPr>
        <w:t>Technological Forecasting and Social Change</w:t>
      </w:r>
      <w:r w:rsidRPr="00607678">
        <w:t xml:space="preserve">, 129, pp. 154–163. Available at: </w:t>
      </w:r>
      <w:hyperlink r:id="rId28" w:tgtFrame="_new" w:history="1">
        <w:r w:rsidRPr="00607678">
          <w:rPr>
            <w:rStyle w:val="Hyperlink"/>
          </w:rPr>
          <w:t>https://doi.org/10.1016/j.techfore.2018.01.002</w:t>
        </w:r>
      </w:hyperlink>
    </w:p>
    <w:p w14:paraId="0D131DCB" w14:textId="77777777" w:rsidR="00252C54" w:rsidRPr="00252C54" w:rsidRDefault="00252C54" w:rsidP="00AE16AD">
      <w:pPr>
        <w:spacing w:before="240"/>
        <w:rPr>
          <w:color w:val="FF0000"/>
          <w:lang w:val="en-IN"/>
        </w:rPr>
      </w:pPr>
      <w:r w:rsidRPr="004F65F7">
        <w:rPr>
          <w:lang w:val="en-IN"/>
        </w:rPr>
        <w:t xml:space="preserve">McLeod, S. (2025). </w:t>
      </w:r>
      <w:r w:rsidRPr="004F65F7">
        <w:rPr>
          <w:i/>
          <w:lang w:val="en-IN"/>
        </w:rPr>
        <w:t>Gibbs Reflective Cycle</w:t>
      </w:r>
      <w:r w:rsidRPr="004F65F7">
        <w:rPr>
          <w:lang w:val="en-IN"/>
        </w:rPr>
        <w:t xml:space="preserve">. Available at: </w:t>
      </w:r>
      <w:hyperlink r:id="rId29" w:history="1">
        <w:r w:rsidRPr="00252C54">
          <w:rPr>
            <w:rStyle w:val="Hyperlink"/>
            <w:lang w:val="en-IN"/>
          </w:rPr>
          <w:t>https://www.simplypsychology.org/gibbs-reflective-cycle.html</w:t>
        </w:r>
      </w:hyperlink>
      <w:r w:rsidRPr="00252C54">
        <w:rPr>
          <w:color w:val="FF0000"/>
          <w:lang w:val="en-IN"/>
        </w:rPr>
        <w:t xml:space="preserve"> </w:t>
      </w:r>
      <w:r>
        <w:t xml:space="preserve">(Accessed: 7 August </w:t>
      </w:r>
      <w:r w:rsidRPr="00607678">
        <w:t>2026)</w:t>
      </w:r>
    </w:p>
    <w:p w14:paraId="316A9AE3" w14:textId="77777777" w:rsidR="00252C54" w:rsidRPr="00607678" w:rsidRDefault="00252C54" w:rsidP="00AE16AD">
      <w:pPr>
        <w:spacing w:before="240"/>
      </w:pPr>
      <w:r w:rsidRPr="00607678">
        <w:t xml:space="preserve">O'Boyle, B. (2024) </w:t>
      </w:r>
      <w:r w:rsidRPr="00607678">
        <w:rPr>
          <w:i/>
          <w:iCs/>
        </w:rPr>
        <w:t>Apple Watch Series 10 review: Is it worth the £400 price?</w:t>
      </w:r>
      <w:r w:rsidRPr="00607678">
        <w:t xml:space="preserve"> Available at: </w:t>
      </w:r>
      <w:hyperlink r:id="rId30" w:history="1">
        <w:r w:rsidRPr="00607678">
          <w:rPr>
            <w:rStyle w:val="Hyperlink"/>
          </w:rPr>
          <w:t>https://www.telegraph.co.uk/recommended/tech/reviews/apple-watch-series-10-review/</w:t>
        </w:r>
      </w:hyperlink>
      <w:r w:rsidRPr="00607678">
        <w:t xml:space="preserve"> (Accessed: 31 July 2026)</w:t>
      </w:r>
    </w:p>
    <w:p w14:paraId="61C4BB66" w14:textId="77777777" w:rsidR="00252C54" w:rsidRPr="00607678" w:rsidRDefault="00252C54" w:rsidP="00AE16AD">
      <w:pPr>
        <w:spacing w:before="240"/>
      </w:pPr>
      <w:r w:rsidRPr="00607678">
        <w:t xml:space="preserve">Office for National Statistics [ONS] (2024) </w:t>
      </w:r>
      <w:r w:rsidRPr="00607678">
        <w:rPr>
          <w:i/>
          <w:iCs/>
        </w:rPr>
        <w:t>Public and business attitudes to the environment and climate change, Great Britain: 2024</w:t>
      </w:r>
      <w:r w:rsidRPr="00607678">
        <w:t xml:space="preserve">. Available at: </w:t>
      </w:r>
      <w:hyperlink r:id="rId31" w:tgtFrame="_new" w:history="1">
        <w:r w:rsidRPr="00607678">
          <w:rPr>
            <w:rStyle w:val="Hyperlink"/>
          </w:rPr>
          <w:t>https://www.ons.gov.uk/economy/environmentalaccounts/articles/publicandbusinessattitudestotheenvironmentandclimatechangegreatbritain/2024</w:t>
        </w:r>
      </w:hyperlink>
      <w:r w:rsidRPr="00607678">
        <w:t xml:space="preserve"> (Accessed: 31 July 2026).</w:t>
      </w:r>
    </w:p>
    <w:p w14:paraId="53561617" w14:textId="77777777" w:rsidR="00252C54" w:rsidRPr="00607678" w:rsidRDefault="00252C54" w:rsidP="00AE16AD">
      <w:pPr>
        <w:spacing w:before="240"/>
      </w:pPr>
      <w:r w:rsidRPr="00607678">
        <w:t xml:space="preserve">Office for National Statistics [ONS] (2025) </w:t>
      </w:r>
      <w:r w:rsidRPr="00607678">
        <w:rPr>
          <w:i/>
          <w:iCs/>
        </w:rPr>
        <w:t>Public opinions and social trends, Great Britain: October 2025</w:t>
      </w:r>
      <w:r w:rsidRPr="00607678">
        <w:t xml:space="preserve">. Available at: </w:t>
      </w:r>
      <w:hyperlink r:id="rId32" w:tgtFrame="_new" w:history="1">
        <w:r w:rsidRPr="00607678">
          <w:rPr>
            <w:rStyle w:val="Hyperlink"/>
          </w:rPr>
          <w:t>https://www.ons.gov.uk/peoplepopulationandcommunity/wellbeing/bulletins/publicopinionsandsocialtrendsgreatbritain/october2025</w:t>
        </w:r>
      </w:hyperlink>
      <w:r w:rsidRPr="00607678">
        <w:t xml:space="preserve"> (Accessed: 31 July 2026).</w:t>
      </w:r>
    </w:p>
    <w:p w14:paraId="289A489F" w14:textId="77777777" w:rsidR="00252C54" w:rsidRPr="00607678" w:rsidRDefault="00252C54" w:rsidP="00AE16AD">
      <w:pPr>
        <w:spacing w:before="240"/>
      </w:pPr>
      <w:r w:rsidRPr="00607678">
        <w:lastRenderedPageBreak/>
        <w:t>Patel, S. (2026). </w:t>
      </w:r>
      <w:r w:rsidRPr="00607678">
        <w:rPr>
          <w:i/>
          <w:iCs/>
        </w:rPr>
        <w:t>Digital Marketing Strategies: Connected Consumer Approaches</w:t>
      </w:r>
      <w:r w:rsidRPr="00607678">
        <w:t xml:space="preserve">. </w:t>
      </w:r>
      <w:proofErr w:type="spellStart"/>
      <w:r w:rsidRPr="00607678">
        <w:t>Educohack</w:t>
      </w:r>
      <w:proofErr w:type="spellEnd"/>
      <w:r w:rsidRPr="00607678">
        <w:t xml:space="preserve"> Press.</w:t>
      </w:r>
    </w:p>
    <w:p w14:paraId="41E0D48D" w14:textId="77777777" w:rsidR="00252C54" w:rsidRPr="00607678" w:rsidRDefault="00252C54" w:rsidP="00AE16AD">
      <w:pPr>
        <w:spacing w:before="240"/>
      </w:pPr>
      <w:proofErr w:type="spellStart"/>
      <w:r w:rsidRPr="00607678">
        <w:t>Perusso</w:t>
      </w:r>
      <w:proofErr w:type="spellEnd"/>
      <w:r w:rsidRPr="00607678">
        <w:t xml:space="preserve">, A., </w:t>
      </w:r>
      <w:proofErr w:type="spellStart"/>
      <w:r w:rsidRPr="00607678">
        <w:t>Blankesteijn</w:t>
      </w:r>
      <w:proofErr w:type="spellEnd"/>
      <w:r w:rsidRPr="00607678">
        <w:t xml:space="preserve">, M. and Leal, R. (2020) ‘The contribution of reflective learning to experiential learning in business education’, </w:t>
      </w:r>
      <w:r w:rsidRPr="00607678">
        <w:rPr>
          <w:i/>
          <w:iCs/>
        </w:rPr>
        <w:t>Assessment &amp; Evaluation in Higher Education</w:t>
      </w:r>
      <w:r w:rsidRPr="00607678">
        <w:t xml:space="preserve">, 45(7), pp. 1001–1015. Available at: </w:t>
      </w:r>
      <w:hyperlink r:id="rId33" w:tgtFrame="_new" w:history="1">
        <w:r w:rsidRPr="00607678">
          <w:rPr>
            <w:rStyle w:val="Hyperlink"/>
          </w:rPr>
          <w:t>https://research.vu.nl/files/231621915/The_contribution_of_reflective_learning_to_experiential_learning_in_business_education.pdf</w:t>
        </w:r>
      </w:hyperlink>
    </w:p>
    <w:p w14:paraId="6947086D" w14:textId="77777777" w:rsidR="00252C54" w:rsidRPr="00607678" w:rsidRDefault="00252C54" w:rsidP="00AE16AD">
      <w:pPr>
        <w:spacing w:before="240"/>
      </w:pPr>
      <w:r w:rsidRPr="00607678">
        <w:t xml:space="preserve">Retail Media Age (2026) </w:t>
      </w:r>
      <w:r w:rsidRPr="00607678">
        <w:rPr>
          <w:i/>
          <w:iCs/>
        </w:rPr>
        <w:t>Discerning customers want an in-store experience with online content.</w:t>
      </w:r>
      <w:r w:rsidRPr="00607678">
        <w:t xml:space="preserve"> Available at: </w:t>
      </w:r>
      <w:hyperlink r:id="rId34" w:history="1">
        <w:r w:rsidRPr="00607678">
          <w:rPr>
            <w:rStyle w:val="Hyperlink"/>
          </w:rPr>
          <w:t>https://retailmediaage.co.uk/in-store/discerning-customers-want-an-in-store-experience-with-online-content/</w:t>
        </w:r>
      </w:hyperlink>
      <w:r w:rsidRPr="00607678">
        <w:t xml:space="preserve"> (Accessed: 31 July 2026)</w:t>
      </w:r>
    </w:p>
    <w:p w14:paraId="651B2A51" w14:textId="77777777" w:rsidR="00252C54" w:rsidRPr="00607678" w:rsidRDefault="00252C54" w:rsidP="00AE16AD">
      <w:pPr>
        <w:spacing w:before="240"/>
      </w:pPr>
      <w:r w:rsidRPr="00607678">
        <w:t xml:space="preserve">Samsung (2026) </w:t>
      </w:r>
      <w:r w:rsidRPr="00607678">
        <w:rPr>
          <w:i/>
          <w:iCs/>
        </w:rPr>
        <w:t xml:space="preserve">Galaxy Watch8. </w:t>
      </w:r>
      <w:r w:rsidRPr="00607678">
        <w:t xml:space="preserve">Available at: </w:t>
      </w:r>
      <w:hyperlink r:id="rId35" w:history="1">
        <w:r w:rsidRPr="00607678">
          <w:rPr>
            <w:rStyle w:val="Hyperlink"/>
          </w:rPr>
          <w:t>https://www.samsung.com/uk/watches/galaxy-watch8/buy/</w:t>
        </w:r>
      </w:hyperlink>
      <w:r w:rsidRPr="00607678">
        <w:t xml:space="preserve"> (Accessed: 31 July 2026)</w:t>
      </w:r>
    </w:p>
    <w:p w14:paraId="5E3354C5" w14:textId="77777777" w:rsidR="00252C54" w:rsidRPr="00607678" w:rsidRDefault="00252C54" w:rsidP="00AE16AD">
      <w:pPr>
        <w:spacing w:before="240"/>
      </w:pPr>
      <w:r w:rsidRPr="00607678">
        <w:t xml:space="preserve">Şenyapar, H.N.D. (2024) ‘Unveiling greenwashing strategies: a comprehensive analysis of impacts on consumer trust and environmental sustainability’, </w:t>
      </w:r>
      <w:r w:rsidRPr="00607678">
        <w:rPr>
          <w:i/>
          <w:iCs/>
        </w:rPr>
        <w:t>Journal of Energy Systems</w:t>
      </w:r>
      <w:r w:rsidRPr="00607678">
        <w:t xml:space="preserve">, 8(3), pp. 164–181. Available at: </w:t>
      </w:r>
      <w:hyperlink r:id="rId36" w:history="1">
        <w:r w:rsidRPr="00607678">
          <w:rPr>
            <w:rStyle w:val="Hyperlink"/>
          </w:rPr>
          <w:t>https://doi.org/10.30521/jes.1436875</w:t>
        </w:r>
      </w:hyperlink>
      <w:r w:rsidRPr="00607678">
        <w:t xml:space="preserve"> </w:t>
      </w:r>
    </w:p>
    <w:p w14:paraId="7247E041" w14:textId="77777777" w:rsidR="00252C54" w:rsidRPr="00607678" w:rsidRDefault="00252C54" w:rsidP="00AE16AD">
      <w:pPr>
        <w:spacing w:before="240"/>
      </w:pPr>
      <w:r w:rsidRPr="00607678">
        <w:t xml:space="preserve">Statista (2026) </w:t>
      </w:r>
      <w:r w:rsidRPr="00607678">
        <w:rPr>
          <w:i/>
          <w:iCs/>
        </w:rPr>
        <w:t>Top online stores in the United Kingdom in 2025, by e-commerce net sales (in million U.S. dollars)</w:t>
      </w:r>
      <w:r w:rsidRPr="00607678">
        <w:t xml:space="preserve"> Available at: </w:t>
      </w:r>
      <w:hyperlink r:id="rId37" w:history="1">
        <w:r w:rsidRPr="00607678">
          <w:rPr>
            <w:rStyle w:val="Hyperlink"/>
          </w:rPr>
          <w:t>https://www.statista.com/statistics/870307/united-kingdom-top-online-stores-united-kingdom-ecommercedb/?srsltid=AfmBOoqjcXYmpbmOznfC-cIdAYKJAXH90IMoxMH33C7EXG3lzBZiI7pe</w:t>
        </w:r>
      </w:hyperlink>
      <w:r w:rsidRPr="00607678">
        <w:t xml:space="preserve"> (Accessed: 31 July 2026)</w:t>
      </w:r>
    </w:p>
    <w:p w14:paraId="4A7323E2" w14:textId="77777777" w:rsidR="00252C54" w:rsidRPr="00607678" w:rsidRDefault="00252C54" w:rsidP="00AE16AD">
      <w:pPr>
        <w:spacing w:before="240"/>
      </w:pPr>
      <w:r w:rsidRPr="00607678">
        <w:t xml:space="preserve">Weaver, J. (2024) </w:t>
      </w:r>
      <w:r w:rsidRPr="00607678">
        <w:rPr>
          <w:i/>
          <w:iCs/>
        </w:rPr>
        <w:t>Multi Channel Distribution: Definitions, Strategies, and Examples</w:t>
      </w:r>
      <w:r w:rsidRPr="00607678">
        <w:t xml:space="preserve">. Available at: Available at: </w:t>
      </w:r>
      <w:hyperlink r:id="rId38" w:history="1">
        <w:r w:rsidRPr="00607678">
          <w:rPr>
            <w:rStyle w:val="Hyperlink"/>
          </w:rPr>
          <w:t>https://productdistributionstrategy.com/multi-channel-distribution/</w:t>
        </w:r>
      </w:hyperlink>
      <w:r w:rsidRPr="00607678">
        <w:t xml:space="preserve"> (Accessed: 31 July 2026)</w:t>
      </w:r>
    </w:p>
    <w:p w14:paraId="3E34821F" w14:textId="77777777" w:rsidR="00252C54" w:rsidRPr="00607678" w:rsidRDefault="00252C54" w:rsidP="00AE16AD">
      <w:pPr>
        <w:spacing w:before="240"/>
      </w:pPr>
      <w:r w:rsidRPr="00607678">
        <w:t xml:space="preserve">Woodger, C., (2024) </w:t>
      </w:r>
      <w:r w:rsidRPr="00607678">
        <w:rPr>
          <w:i/>
          <w:iCs/>
        </w:rPr>
        <w:t>The environmental cost of wearable tech</w:t>
      </w:r>
      <w:r w:rsidRPr="00607678">
        <w:t xml:space="preserve">. Available at: </w:t>
      </w:r>
      <w:hyperlink r:id="rId39" w:history="1">
        <w:r w:rsidRPr="00607678">
          <w:rPr>
            <w:rStyle w:val="Hyperlink"/>
          </w:rPr>
          <w:t>https://www.which.co.uk/news/article/the-environmental-cost-of-wearable-tech-aRgCY1C7qQ1W</w:t>
        </w:r>
      </w:hyperlink>
      <w:r w:rsidRPr="00607678">
        <w:t xml:space="preserve"> (Accessed: 31 July 2026)</w:t>
      </w:r>
    </w:p>
    <w:p w14:paraId="7F70C41D" w14:textId="77777777" w:rsidR="00252C54" w:rsidRPr="00607678" w:rsidRDefault="00252C54" w:rsidP="00AE16AD">
      <w:pPr>
        <w:spacing w:before="240"/>
      </w:pPr>
      <w:r w:rsidRPr="00607678">
        <w:lastRenderedPageBreak/>
        <w:t>Yang, C., Wang, B., Wan, J., Kamath, A., You, F. and Tian, B., 2026. ‘Quantifying the global eco-footprint of wearable healthcare electronics’. </w:t>
      </w:r>
      <w:r w:rsidRPr="00607678">
        <w:rPr>
          <w:i/>
          <w:iCs/>
        </w:rPr>
        <w:t>Nature</w:t>
      </w:r>
      <w:r w:rsidRPr="00607678">
        <w:t xml:space="preserve">, 649(8095), pp.73-82. </w:t>
      </w:r>
      <w:hyperlink r:id="rId40" w:history="1">
        <w:r w:rsidRPr="00607678">
          <w:rPr>
            <w:rStyle w:val="Hyperlink"/>
          </w:rPr>
          <w:t>https://doi.org/10.1038/s41586-025-09819-w</w:t>
        </w:r>
      </w:hyperlink>
      <w:r w:rsidRPr="00607678">
        <w:t xml:space="preserve"> </w:t>
      </w:r>
    </w:p>
    <w:p w14:paraId="2420791C" w14:textId="77777777" w:rsidR="00252C54" w:rsidRPr="00607678" w:rsidRDefault="00252C54" w:rsidP="00AE16AD">
      <w:pPr>
        <w:spacing w:before="240"/>
      </w:pPr>
      <w:r w:rsidRPr="00607678">
        <w:t xml:space="preserve">YouGov (2026) </w:t>
      </w:r>
      <w:r w:rsidRPr="00607678">
        <w:rPr>
          <w:i/>
          <w:iCs/>
        </w:rPr>
        <w:t>Brits use of wearable devices (e.g. a smartwatch or wearable fitness band)</w:t>
      </w:r>
      <w:r w:rsidRPr="00607678">
        <w:t xml:space="preserve">. Available at: </w:t>
      </w:r>
      <w:hyperlink r:id="rId41" w:tgtFrame="_new" w:history="1">
        <w:r w:rsidRPr="00607678">
          <w:rPr>
            <w:rStyle w:val="Hyperlink"/>
          </w:rPr>
          <w:t>https://yougov.com/en-gb/trackers/brits-use-of-wearable-devices-eg-a-smartwatch-or-wearable-fitness-band?crossBreak=1824</w:t>
        </w:r>
      </w:hyperlink>
      <w:r w:rsidRPr="00607678">
        <w:t xml:space="preserve"> (Accessed: 31 July 2026).</w:t>
      </w:r>
    </w:p>
    <w:p w14:paraId="0CD2E24B" w14:textId="77777777" w:rsidR="00252C54" w:rsidRDefault="00252C54" w:rsidP="00AE16AD">
      <w:pPr>
        <w:spacing w:before="240"/>
      </w:pPr>
      <w:r w:rsidRPr="00607678">
        <w:t xml:space="preserve">YouGov (2026a) </w:t>
      </w:r>
      <w:r w:rsidRPr="00607678">
        <w:rPr>
          <w:i/>
          <w:iCs/>
        </w:rPr>
        <w:t>UK media consumption trends in 2026: TV, streaming and social media usage</w:t>
      </w:r>
      <w:r w:rsidRPr="00607678">
        <w:t xml:space="preserve">. Available at: </w:t>
      </w:r>
      <w:hyperlink r:id="rId42" w:history="1">
        <w:r w:rsidRPr="00607678">
          <w:rPr>
            <w:rStyle w:val="Hyperlink"/>
          </w:rPr>
          <w:t>https://yougov.com/en-gb/articles/54915-uk-media-consumption-trends-in-2026-tv-streaming-and-social-media-usage</w:t>
        </w:r>
      </w:hyperlink>
      <w:r w:rsidRPr="00607678">
        <w:t xml:space="preserve"> (Accessed: 31 July 2026)</w:t>
      </w:r>
    </w:p>
    <w:p w14:paraId="46FDC287" w14:textId="77777777" w:rsidR="00431A90" w:rsidRPr="00607678" w:rsidRDefault="00431A90" w:rsidP="00AE16AD">
      <w:pPr>
        <w:spacing w:before="240"/>
      </w:pPr>
    </w:p>
    <w:p w14:paraId="4B5EC1D4" w14:textId="6FDE858E" w:rsidR="00182EAC" w:rsidRPr="00607678" w:rsidRDefault="00182EAC" w:rsidP="00AE16AD">
      <w:r w:rsidRPr="00607678">
        <w:br w:type="page"/>
      </w:r>
    </w:p>
    <w:p w14:paraId="4EF734DB" w14:textId="209E157A" w:rsidR="00182EAC" w:rsidRPr="00607678" w:rsidRDefault="00FC4B80" w:rsidP="00AE16AD">
      <w:pPr>
        <w:pStyle w:val="Heading1"/>
      </w:pPr>
      <w:bookmarkStart w:id="10" w:name="_Toc236866872"/>
      <w:r w:rsidRPr="00607678">
        <w:lastRenderedPageBreak/>
        <w:t>Appendix</w:t>
      </w:r>
      <w:r w:rsidR="00AE32F6" w:rsidRPr="00607678">
        <w:t xml:space="preserve"> 1</w:t>
      </w:r>
      <w:r w:rsidRPr="00607678">
        <w:t>: Poster Presentation</w:t>
      </w:r>
      <w:bookmarkEnd w:id="10"/>
    </w:p>
    <w:p w14:paraId="273CA5AC" w14:textId="3E2864CB" w:rsidR="00DD14F2" w:rsidRPr="00607678" w:rsidRDefault="00AE32F6" w:rsidP="00AE32F6">
      <w:pPr>
        <w:jc w:val="center"/>
        <w:rPr>
          <w:u w:val="single"/>
        </w:rPr>
      </w:pPr>
      <w:r w:rsidRPr="00607678">
        <w:rPr>
          <w:noProof/>
          <w:lang w:val="en-US" w:eastAsia="en-US"/>
        </w:rPr>
        <w:drawing>
          <wp:inline distT="0" distB="0" distL="0" distR="0" wp14:anchorId="2EAF8A14" wp14:editId="6436D1D1">
            <wp:extent cx="5943600" cy="7232015"/>
            <wp:effectExtent l="0" t="0" r="0" b="6985"/>
            <wp:docPr id="691120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112089" name=""/>
                    <pic:cNvPicPr/>
                  </pic:nvPicPr>
                  <pic:blipFill>
                    <a:blip r:embed="rId43"/>
                    <a:stretch>
                      <a:fillRect/>
                    </a:stretch>
                  </pic:blipFill>
                  <pic:spPr>
                    <a:xfrm>
                      <a:off x="0" y="0"/>
                      <a:ext cx="5943600" cy="7232015"/>
                    </a:xfrm>
                    <a:prstGeom prst="rect">
                      <a:avLst/>
                    </a:prstGeom>
                  </pic:spPr>
                </pic:pic>
              </a:graphicData>
            </a:graphic>
          </wp:inline>
        </w:drawing>
      </w:r>
    </w:p>
    <w:p w14:paraId="2DA2AE93" w14:textId="77777777" w:rsidR="00DD14F2" w:rsidRPr="00607678" w:rsidRDefault="00DD14F2" w:rsidP="00AE16AD">
      <w:pPr>
        <w:rPr>
          <w:u w:val="single"/>
        </w:rPr>
      </w:pPr>
    </w:p>
    <w:sectPr w:rsidR="00DD14F2" w:rsidRPr="00607678" w:rsidSect="00022F98">
      <w:footerReference w:type="default" r:id="rId4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AC9E63F" w14:textId="77777777" w:rsidR="00941C99" w:rsidRDefault="00941C99" w:rsidP="00A1049C">
      <w:pPr>
        <w:spacing w:line="240" w:lineRule="auto"/>
      </w:pPr>
      <w:r>
        <w:separator/>
      </w:r>
    </w:p>
  </w:endnote>
  <w:endnote w:type="continuationSeparator" w:id="0">
    <w:p w14:paraId="473453D5" w14:textId="77777777" w:rsidR="00941C99" w:rsidRDefault="00941C99" w:rsidP="00A1049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1" w:fontKey="{D209CCF8-CB9E-4C20-8DB5-C1D84A96E476}"/>
  </w:font>
  <w:font w:name="Calibri">
    <w:panose1 w:val="020F0502020204030204"/>
    <w:charset w:val="00"/>
    <w:family w:val="swiss"/>
    <w:pitch w:val="variable"/>
    <w:sig w:usb0="E4002EFF" w:usb1="C200247B" w:usb2="00000009" w:usb3="00000000" w:csb0="000001FF" w:csb1="00000000"/>
    <w:embedRegular r:id="rId2" w:fontKey="{9E352B93-A597-434A-99B3-F607D05048D2}"/>
  </w:font>
  <w:font w:name="Cambria">
    <w:panose1 w:val="02040503050406030204"/>
    <w:charset w:val="00"/>
    <w:family w:val="roman"/>
    <w:pitch w:val="variable"/>
    <w:sig w:usb0="E00006FF" w:usb1="420024FF" w:usb2="02000000" w:usb3="00000000" w:csb0="0000019F" w:csb1="00000000"/>
    <w:embedRegular r:id="rId3" w:fontKey="{E8D962D9-2614-48F7-89AF-0FA1A6C2C6B8}"/>
  </w:font>
  <w:font w:name="Cambria Math">
    <w:panose1 w:val="02040503050406030204"/>
    <w:charset w:val="00"/>
    <w:family w:val="roman"/>
    <w:pitch w:val="variable"/>
    <w:sig w:usb0="E00006FF" w:usb1="420024FF" w:usb2="02000000" w:usb3="00000000" w:csb0="0000019F" w:csb1="00000000"/>
    <w:embedRegular r:id="rId4" w:fontKey="{4C14CE08-94D2-4F9D-98DD-0D71B2227AD3}"/>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17647298"/>
      <w:docPartObj>
        <w:docPartGallery w:val="Page Numbers (Bottom of Page)"/>
        <w:docPartUnique/>
      </w:docPartObj>
    </w:sdtPr>
    <w:sdtEndPr>
      <w:rPr>
        <w:noProof/>
        <w:sz w:val="20"/>
      </w:rPr>
    </w:sdtEndPr>
    <w:sdtContent>
      <w:p w14:paraId="5F77A4A7" w14:textId="20D9955B" w:rsidR="00A1049C" w:rsidRPr="00A1049C" w:rsidRDefault="00A1049C">
        <w:pPr>
          <w:pStyle w:val="Footer"/>
          <w:jc w:val="right"/>
          <w:rPr>
            <w:sz w:val="20"/>
          </w:rPr>
        </w:pPr>
        <w:r w:rsidRPr="00A1049C">
          <w:rPr>
            <w:sz w:val="20"/>
          </w:rPr>
          <w:fldChar w:fldCharType="begin"/>
        </w:r>
        <w:r w:rsidRPr="00A1049C">
          <w:rPr>
            <w:sz w:val="20"/>
          </w:rPr>
          <w:instrText xml:space="preserve"> PAGE   \* MERGEFORMAT </w:instrText>
        </w:r>
        <w:r w:rsidRPr="00A1049C">
          <w:rPr>
            <w:sz w:val="20"/>
          </w:rPr>
          <w:fldChar w:fldCharType="separate"/>
        </w:r>
        <w:r w:rsidR="00FC59AF">
          <w:rPr>
            <w:noProof/>
            <w:sz w:val="20"/>
          </w:rPr>
          <w:t>20</w:t>
        </w:r>
        <w:r w:rsidRPr="00A1049C">
          <w:rPr>
            <w:noProof/>
            <w:sz w:val="20"/>
          </w:rPr>
          <w:fldChar w:fldCharType="end"/>
        </w:r>
      </w:p>
    </w:sdtContent>
  </w:sdt>
  <w:p w14:paraId="0BF48885" w14:textId="77777777" w:rsidR="00A1049C" w:rsidRDefault="00A1049C">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E5A0CBE" w14:textId="77777777" w:rsidR="00941C99" w:rsidRDefault="00941C99" w:rsidP="00A1049C">
      <w:pPr>
        <w:spacing w:line="240" w:lineRule="auto"/>
      </w:pPr>
      <w:r>
        <w:separator/>
      </w:r>
    </w:p>
  </w:footnote>
  <w:footnote w:type="continuationSeparator" w:id="0">
    <w:p w14:paraId="7CB8BF4D" w14:textId="77777777" w:rsidR="00941C99" w:rsidRDefault="00941C99" w:rsidP="00A1049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0325769"/>
    <w:multiLevelType w:val="hybridMultilevel"/>
    <w:tmpl w:val="398AE23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5B796801"/>
    <w:multiLevelType w:val="hybridMultilevel"/>
    <w:tmpl w:val="7DA0E616"/>
    <w:lvl w:ilvl="0" w:tplc="6888AEA2">
      <w:start w:val="1"/>
      <w:numFmt w:val="decimal"/>
      <w:lvlText w:val="%1."/>
      <w:lvlJc w:val="left"/>
      <w:pPr>
        <w:tabs>
          <w:tab w:val="num" w:pos="720"/>
        </w:tabs>
        <w:ind w:left="720" w:hanging="360"/>
      </w:pPr>
    </w:lvl>
    <w:lvl w:ilvl="1" w:tplc="FB20AC22" w:tentative="1">
      <w:start w:val="1"/>
      <w:numFmt w:val="decimal"/>
      <w:lvlText w:val="%2."/>
      <w:lvlJc w:val="left"/>
      <w:pPr>
        <w:tabs>
          <w:tab w:val="num" w:pos="1440"/>
        </w:tabs>
        <w:ind w:left="1440" w:hanging="360"/>
      </w:pPr>
    </w:lvl>
    <w:lvl w:ilvl="2" w:tplc="27D0D4D8" w:tentative="1">
      <w:start w:val="1"/>
      <w:numFmt w:val="decimal"/>
      <w:lvlText w:val="%3."/>
      <w:lvlJc w:val="left"/>
      <w:pPr>
        <w:tabs>
          <w:tab w:val="num" w:pos="2160"/>
        </w:tabs>
        <w:ind w:left="2160" w:hanging="360"/>
      </w:pPr>
    </w:lvl>
    <w:lvl w:ilvl="3" w:tplc="EC924FFE" w:tentative="1">
      <w:start w:val="1"/>
      <w:numFmt w:val="decimal"/>
      <w:lvlText w:val="%4."/>
      <w:lvlJc w:val="left"/>
      <w:pPr>
        <w:tabs>
          <w:tab w:val="num" w:pos="2880"/>
        </w:tabs>
        <w:ind w:left="2880" w:hanging="360"/>
      </w:pPr>
    </w:lvl>
    <w:lvl w:ilvl="4" w:tplc="18421816" w:tentative="1">
      <w:start w:val="1"/>
      <w:numFmt w:val="decimal"/>
      <w:lvlText w:val="%5."/>
      <w:lvlJc w:val="left"/>
      <w:pPr>
        <w:tabs>
          <w:tab w:val="num" w:pos="3600"/>
        </w:tabs>
        <w:ind w:left="3600" w:hanging="360"/>
      </w:pPr>
    </w:lvl>
    <w:lvl w:ilvl="5" w:tplc="47CA5C66" w:tentative="1">
      <w:start w:val="1"/>
      <w:numFmt w:val="decimal"/>
      <w:lvlText w:val="%6."/>
      <w:lvlJc w:val="left"/>
      <w:pPr>
        <w:tabs>
          <w:tab w:val="num" w:pos="4320"/>
        </w:tabs>
        <w:ind w:left="4320" w:hanging="360"/>
      </w:pPr>
    </w:lvl>
    <w:lvl w:ilvl="6" w:tplc="47388BCC" w:tentative="1">
      <w:start w:val="1"/>
      <w:numFmt w:val="decimal"/>
      <w:lvlText w:val="%7."/>
      <w:lvlJc w:val="left"/>
      <w:pPr>
        <w:tabs>
          <w:tab w:val="num" w:pos="5040"/>
        </w:tabs>
        <w:ind w:left="5040" w:hanging="360"/>
      </w:pPr>
    </w:lvl>
    <w:lvl w:ilvl="7" w:tplc="9D3A3496" w:tentative="1">
      <w:start w:val="1"/>
      <w:numFmt w:val="decimal"/>
      <w:lvlText w:val="%8."/>
      <w:lvlJc w:val="left"/>
      <w:pPr>
        <w:tabs>
          <w:tab w:val="num" w:pos="5760"/>
        </w:tabs>
        <w:ind w:left="5760" w:hanging="360"/>
      </w:pPr>
    </w:lvl>
    <w:lvl w:ilvl="8" w:tplc="EA28850A"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A6D30"/>
    <w:rsid w:val="00022F98"/>
    <w:rsid w:val="00033A8E"/>
    <w:rsid w:val="0003508C"/>
    <w:rsid w:val="00060F7C"/>
    <w:rsid w:val="00064970"/>
    <w:rsid w:val="000741D5"/>
    <w:rsid w:val="000C2B8A"/>
    <w:rsid w:val="000F0725"/>
    <w:rsid w:val="00102450"/>
    <w:rsid w:val="00126957"/>
    <w:rsid w:val="00140CA6"/>
    <w:rsid w:val="001523E4"/>
    <w:rsid w:val="0016519B"/>
    <w:rsid w:val="0017238A"/>
    <w:rsid w:val="001758AE"/>
    <w:rsid w:val="00182EAC"/>
    <w:rsid w:val="001C7392"/>
    <w:rsid w:val="001C7855"/>
    <w:rsid w:val="001D5863"/>
    <w:rsid w:val="001E096D"/>
    <w:rsid w:val="00200610"/>
    <w:rsid w:val="00212745"/>
    <w:rsid w:val="00252C54"/>
    <w:rsid w:val="002826D8"/>
    <w:rsid w:val="002B0779"/>
    <w:rsid w:val="002E02A1"/>
    <w:rsid w:val="00322CEA"/>
    <w:rsid w:val="00323E50"/>
    <w:rsid w:val="0033545E"/>
    <w:rsid w:val="00343624"/>
    <w:rsid w:val="00347951"/>
    <w:rsid w:val="00376F43"/>
    <w:rsid w:val="003A2D79"/>
    <w:rsid w:val="003F6E9B"/>
    <w:rsid w:val="004255D3"/>
    <w:rsid w:val="00431A90"/>
    <w:rsid w:val="00437E57"/>
    <w:rsid w:val="004515FF"/>
    <w:rsid w:val="00464F34"/>
    <w:rsid w:val="0047010D"/>
    <w:rsid w:val="00481CE1"/>
    <w:rsid w:val="004C6332"/>
    <w:rsid w:val="004F65F7"/>
    <w:rsid w:val="00522E92"/>
    <w:rsid w:val="00523F0B"/>
    <w:rsid w:val="0053074A"/>
    <w:rsid w:val="0054614F"/>
    <w:rsid w:val="00555152"/>
    <w:rsid w:val="0058253D"/>
    <w:rsid w:val="005A6D30"/>
    <w:rsid w:val="005B503F"/>
    <w:rsid w:val="005C5B2B"/>
    <w:rsid w:val="005C7E80"/>
    <w:rsid w:val="005D26CE"/>
    <w:rsid w:val="00607678"/>
    <w:rsid w:val="00613485"/>
    <w:rsid w:val="00645DCD"/>
    <w:rsid w:val="006652F6"/>
    <w:rsid w:val="006D0BB9"/>
    <w:rsid w:val="006D25B0"/>
    <w:rsid w:val="006F200D"/>
    <w:rsid w:val="0074609C"/>
    <w:rsid w:val="00764340"/>
    <w:rsid w:val="007932AD"/>
    <w:rsid w:val="007A40C1"/>
    <w:rsid w:val="007B605B"/>
    <w:rsid w:val="007D3F14"/>
    <w:rsid w:val="007F0B02"/>
    <w:rsid w:val="00820C06"/>
    <w:rsid w:val="008465E6"/>
    <w:rsid w:val="0087383C"/>
    <w:rsid w:val="00873DD9"/>
    <w:rsid w:val="00884CE3"/>
    <w:rsid w:val="00896044"/>
    <w:rsid w:val="008C6D3C"/>
    <w:rsid w:val="008D3D0D"/>
    <w:rsid w:val="008E6A45"/>
    <w:rsid w:val="008E6C5E"/>
    <w:rsid w:val="008F5451"/>
    <w:rsid w:val="00941C99"/>
    <w:rsid w:val="009621A3"/>
    <w:rsid w:val="00970FA2"/>
    <w:rsid w:val="009925A3"/>
    <w:rsid w:val="009A7C26"/>
    <w:rsid w:val="009B0CDA"/>
    <w:rsid w:val="009E1AA9"/>
    <w:rsid w:val="00A001CB"/>
    <w:rsid w:val="00A1049C"/>
    <w:rsid w:val="00A24E9F"/>
    <w:rsid w:val="00AA0FB2"/>
    <w:rsid w:val="00AB1A8D"/>
    <w:rsid w:val="00AE16AD"/>
    <w:rsid w:val="00AE32F6"/>
    <w:rsid w:val="00AE47AC"/>
    <w:rsid w:val="00B10E34"/>
    <w:rsid w:val="00B1328C"/>
    <w:rsid w:val="00B91AFD"/>
    <w:rsid w:val="00BC0722"/>
    <w:rsid w:val="00BE133B"/>
    <w:rsid w:val="00BF5D2D"/>
    <w:rsid w:val="00C36459"/>
    <w:rsid w:val="00C3756E"/>
    <w:rsid w:val="00C40160"/>
    <w:rsid w:val="00C70336"/>
    <w:rsid w:val="00C800C7"/>
    <w:rsid w:val="00C82B22"/>
    <w:rsid w:val="00CD6EF4"/>
    <w:rsid w:val="00D1291F"/>
    <w:rsid w:val="00D21EC1"/>
    <w:rsid w:val="00D234FC"/>
    <w:rsid w:val="00D53EB0"/>
    <w:rsid w:val="00D54F9E"/>
    <w:rsid w:val="00D7122E"/>
    <w:rsid w:val="00D81C0E"/>
    <w:rsid w:val="00DD14F2"/>
    <w:rsid w:val="00DE3A32"/>
    <w:rsid w:val="00E21712"/>
    <w:rsid w:val="00E57FE1"/>
    <w:rsid w:val="00E82A8D"/>
    <w:rsid w:val="00EB2D0E"/>
    <w:rsid w:val="00EB7AAB"/>
    <w:rsid w:val="00ED01CE"/>
    <w:rsid w:val="00FA15CA"/>
    <w:rsid w:val="00FC4B80"/>
    <w:rsid w:val="00FC59AF"/>
    <w:rsid w:val="00FF066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4C889B"/>
  <w15:docId w15:val="{3F570974-1637-4BAC-8E77-BF37C47CBE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4"/>
        <w:szCs w:val="24"/>
        <w:lang w:val="en" w:eastAsia="en-IN"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Pr>
      <w:lang w:val="en-GB"/>
    </w:rPr>
  </w:style>
  <w:style w:type="paragraph" w:styleId="Heading1">
    <w:name w:val="heading 1"/>
    <w:basedOn w:val="Normal"/>
    <w:next w:val="Normal"/>
    <w:pPr>
      <w:keepNext/>
      <w:keepLines/>
      <w:outlineLvl w:val="0"/>
    </w:pPr>
    <w:rPr>
      <w:b/>
      <w:bCs/>
      <w:sz w:val="28"/>
      <w:szCs w:val="28"/>
    </w:rPr>
  </w:style>
  <w:style w:type="paragraph" w:styleId="Heading2">
    <w:name w:val="heading 2"/>
    <w:basedOn w:val="Normal"/>
    <w:next w:val="Normal"/>
    <w:rsid w:val="00182EAC"/>
    <w:pPr>
      <w:outlineLvl w:val="1"/>
    </w:pPr>
    <w:rPr>
      <w:b/>
      <w:bCs/>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1C7855"/>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C7855"/>
    <w:rPr>
      <w:rFonts w:ascii="Segoe UI" w:hAnsi="Segoe UI" w:cs="Segoe UI"/>
      <w:sz w:val="18"/>
      <w:szCs w:val="18"/>
    </w:rPr>
  </w:style>
  <w:style w:type="character" w:styleId="Strong">
    <w:name w:val="Strong"/>
    <w:basedOn w:val="DefaultParagraphFont"/>
    <w:uiPriority w:val="22"/>
    <w:qFormat/>
    <w:rsid w:val="0017238A"/>
    <w:rPr>
      <w:b/>
      <w:bCs/>
    </w:rPr>
  </w:style>
  <w:style w:type="character" w:styleId="Hyperlink">
    <w:name w:val="Hyperlink"/>
    <w:basedOn w:val="DefaultParagraphFont"/>
    <w:uiPriority w:val="99"/>
    <w:unhideWhenUsed/>
    <w:rsid w:val="00896044"/>
    <w:rPr>
      <w:color w:val="0000FF" w:themeColor="hyperlink"/>
      <w:u w:val="single"/>
    </w:rPr>
  </w:style>
  <w:style w:type="paragraph" w:styleId="Header">
    <w:name w:val="header"/>
    <w:basedOn w:val="Normal"/>
    <w:link w:val="HeaderChar"/>
    <w:uiPriority w:val="99"/>
    <w:unhideWhenUsed/>
    <w:rsid w:val="00A1049C"/>
    <w:pPr>
      <w:tabs>
        <w:tab w:val="center" w:pos="4513"/>
        <w:tab w:val="right" w:pos="9026"/>
      </w:tabs>
      <w:spacing w:line="240" w:lineRule="auto"/>
    </w:pPr>
  </w:style>
  <w:style w:type="character" w:customStyle="1" w:styleId="HeaderChar">
    <w:name w:val="Header Char"/>
    <w:basedOn w:val="DefaultParagraphFont"/>
    <w:link w:val="Header"/>
    <w:uiPriority w:val="99"/>
    <w:rsid w:val="00A1049C"/>
  </w:style>
  <w:style w:type="paragraph" w:styleId="Footer">
    <w:name w:val="footer"/>
    <w:basedOn w:val="Normal"/>
    <w:link w:val="FooterChar"/>
    <w:uiPriority w:val="99"/>
    <w:unhideWhenUsed/>
    <w:rsid w:val="00A1049C"/>
    <w:pPr>
      <w:tabs>
        <w:tab w:val="center" w:pos="4513"/>
        <w:tab w:val="right" w:pos="9026"/>
      </w:tabs>
      <w:spacing w:line="240" w:lineRule="auto"/>
    </w:pPr>
  </w:style>
  <w:style w:type="character" w:customStyle="1" w:styleId="FooterChar">
    <w:name w:val="Footer Char"/>
    <w:basedOn w:val="DefaultParagraphFont"/>
    <w:link w:val="Footer"/>
    <w:uiPriority w:val="99"/>
    <w:rsid w:val="00A1049C"/>
  </w:style>
  <w:style w:type="paragraph" w:styleId="TOCHeading">
    <w:name w:val="TOC Heading"/>
    <w:basedOn w:val="Heading1"/>
    <w:next w:val="Normal"/>
    <w:uiPriority w:val="39"/>
    <w:unhideWhenUsed/>
    <w:qFormat/>
    <w:rsid w:val="00D21EC1"/>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D21EC1"/>
    <w:pPr>
      <w:spacing w:after="100"/>
    </w:pPr>
  </w:style>
  <w:style w:type="character" w:customStyle="1" w:styleId="UnresolvedMention1">
    <w:name w:val="Unresolved Mention1"/>
    <w:basedOn w:val="DefaultParagraphFont"/>
    <w:uiPriority w:val="99"/>
    <w:semiHidden/>
    <w:unhideWhenUsed/>
    <w:rsid w:val="00431A90"/>
    <w:rPr>
      <w:color w:val="605E5C"/>
      <w:shd w:val="clear" w:color="auto" w:fill="E1DFDD"/>
    </w:rPr>
  </w:style>
  <w:style w:type="paragraph" w:styleId="TOC2">
    <w:name w:val="toc 2"/>
    <w:basedOn w:val="Normal"/>
    <w:next w:val="Normal"/>
    <w:autoRedefine/>
    <w:uiPriority w:val="39"/>
    <w:unhideWhenUsed/>
    <w:rsid w:val="00C36459"/>
    <w:pPr>
      <w:spacing w:after="100"/>
      <w:ind w:left="240"/>
    </w:pPr>
  </w:style>
  <w:style w:type="paragraph" w:styleId="ListParagraph">
    <w:name w:val="List Paragraph"/>
    <w:basedOn w:val="Normal"/>
    <w:uiPriority w:val="34"/>
    <w:qFormat/>
    <w:rsid w:val="00D81C0E"/>
    <w:pPr>
      <w:ind w:left="720"/>
      <w:contextualSpacing/>
    </w:pPr>
  </w:style>
  <w:style w:type="table" w:styleId="GridTable3-Accent1">
    <w:name w:val="Grid Table 3 Accent 1"/>
    <w:basedOn w:val="TableNormal"/>
    <w:uiPriority w:val="48"/>
    <w:rsid w:val="009B0CDA"/>
    <w:pPr>
      <w:spacing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BE5F1" w:themeFill="accent1" w:themeFillTint="33"/>
      </w:tcPr>
    </w:tblStylePr>
    <w:tblStylePr w:type="band1Horz">
      <w:tblPr/>
      <w:tcPr>
        <w:shd w:val="clear" w:color="auto" w:fill="DBE5F1" w:themeFill="accent1" w:themeFillTint="33"/>
      </w:tcPr>
    </w:tblStylePr>
    <w:tblStylePr w:type="neCell">
      <w:tblPr/>
      <w:tcPr>
        <w:tcBorders>
          <w:bottom w:val="single" w:sz="4" w:space="0" w:color="95B3D7" w:themeColor="accent1" w:themeTint="99"/>
        </w:tcBorders>
      </w:tcPr>
    </w:tblStylePr>
    <w:tblStylePr w:type="nwCell">
      <w:tblPr/>
      <w:tcPr>
        <w:tcBorders>
          <w:bottom w:val="single" w:sz="4" w:space="0" w:color="95B3D7" w:themeColor="accent1" w:themeTint="99"/>
        </w:tcBorders>
      </w:tcPr>
    </w:tblStylePr>
    <w:tblStylePr w:type="seCell">
      <w:tblPr/>
      <w:tcPr>
        <w:tcBorders>
          <w:top w:val="single" w:sz="4" w:space="0" w:color="95B3D7" w:themeColor="accent1" w:themeTint="99"/>
        </w:tcBorders>
      </w:tcPr>
    </w:tblStylePr>
    <w:tblStylePr w:type="swCell">
      <w:tblPr/>
      <w:tcPr>
        <w:tcBorders>
          <w:top w:val="single" w:sz="4" w:space="0" w:color="95B3D7" w:themeColor="accent1" w:themeTint="99"/>
        </w:tcBorders>
      </w:tcPr>
    </w:tblStylePr>
  </w:style>
  <w:style w:type="table" w:styleId="GridTable3-Accent3">
    <w:name w:val="Grid Table 3 Accent 3"/>
    <w:basedOn w:val="TableNormal"/>
    <w:uiPriority w:val="48"/>
    <w:rsid w:val="009B0CDA"/>
    <w:pPr>
      <w:spacing w:line="240" w:lineRule="auto"/>
    </w:p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AF1DD" w:themeFill="accent3" w:themeFillTint="33"/>
      </w:tcPr>
    </w:tblStylePr>
    <w:tblStylePr w:type="band1Horz">
      <w:tblPr/>
      <w:tcPr>
        <w:shd w:val="clear" w:color="auto" w:fill="EAF1DD" w:themeFill="accent3" w:themeFillTint="33"/>
      </w:tcPr>
    </w:tblStylePr>
    <w:tblStylePr w:type="neCell">
      <w:tblPr/>
      <w:tcPr>
        <w:tcBorders>
          <w:bottom w:val="single" w:sz="4" w:space="0" w:color="C2D69B" w:themeColor="accent3" w:themeTint="99"/>
        </w:tcBorders>
      </w:tcPr>
    </w:tblStylePr>
    <w:tblStylePr w:type="nwCell">
      <w:tblPr/>
      <w:tcPr>
        <w:tcBorders>
          <w:bottom w:val="single" w:sz="4" w:space="0" w:color="C2D69B" w:themeColor="accent3" w:themeTint="99"/>
        </w:tcBorders>
      </w:tcPr>
    </w:tblStylePr>
    <w:tblStylePr w:type="seCell">
      <w:tblPr/>
      <w:tcPr>
        <w:tcBorders>
          <w:top w:val="single" w:sz="4" w:space="0" w:color="C2D69B" w:themeColor="accent3" w:themeTint="99"/>
        </w:tcBorders>
      </w:tcPr>
    </w:tblStylePr>
    <w:tblStylePr w:type="swCell">
      <w:tblPr/>
      <w:tcPr>
        <w:tcBorders>
          <w:top w:val="single" w:sz="4" w:space="0" w:color="C2D69B" w:themeColor="accent3" w:themeTint="99"/>
        </w:tcBorders>
      </w:tcPr>
    </w:tblStylePr>
  </w:style>
  <w:style w:type="table" w:styleId="GridTable3-Accent4">
    <w:name w:val="Grid Table 3 Accent 4"/>
    <w:basedOn w:val="TableNormal"/>
    <w:uiPriority w:val="48"/>
    <w:rsid w:val="009B0CDA"/>
    <w:pPr>
      <w:spacing w:line="240" w:lineRule="auto"/>
    </w:p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5DFEC" w:themeFill="accent4" w:themeFillTint="33"/>
      </w:tcPr>
    </w:tblStylePr>
    <w:tblStylePr w:type="band1Horz">
      <w:tblPr/>
      <w:tcPr>
        <w:shd w:val="clear" w:color="auto" w:fill="E5DFEC" w:themeFill="accent4" w:themeFillTint="33"/>
      </w:tcPr>
    </w:tblStylePr>
    <w:tblStylePr w:type="neCell">
      <w:tblPr/>
      <w:tcPr>
        <w:tcBorders>
          <w:bottom w:val="single" w:sz="4" w:space="0" w:color="B2A1C7" w:themeColor="accent4" w:themeTint="99"/>
        </w:tcBorders>
      </w:tcPr>
    </w:tblStylePr>
    <w:tblStylePr w:type="nwCell">
      <w:tblPr/>
      <w:tcPr>
        <w:tcBorders>
          <w:bottom w:val="single" w:sz="4" w:space="0" w:color="B2A1C7" w:themeColor="accent4" w:themeTint="99"/>
        </w:tcBorders>
      </w:tcPr>
    </w:tblStylePr>
    <w:tblStylePr w:type="seCell">
      <w:tblPr/>
      <w:tcPr>
        <w:tcBorders>
          <w:top w:val="single" w:sz="4" w:space="0" w:color="B2A1C7" w:themeColor="accent4" w:themeTint="99"/>
        </w:tcBorders>
      </w:tcPr>
    </w:tblStylePr>
    <w:tblStylePr w:type="swCell">
      <w:tblPr/>
      <w:tcPr>
        <w:tcBorders>
          <w:top w:val="single" w:sz="4" w:space="0" w:color="B2A1C7" w:themeColor="accent4" w:themeTint="99"/>
        </w:tcBorders>
      </w:tcPr>
    </w:tblStylePr>
  </w:style>
  <w:style w:type="table" w:styleId="GridTable2-Accent6">
    <w:name w:val="Grid Table 2 Accent 6"/>
    <w:basedOn w:val="TableNormal"/>
    <w:uiPriority w:val="47"/>
    <w:rsid w:val="009B0CDA"/>
    <w:pPr>
      <w:spacing w:line="240" w:lineRule="auto"/>
    </w:pPr>
    <w:tblPr>
      <w:tblStyleRowBandSize w:val="1"/>
      <w:tblStyleColBandSize w:val="1"/>
      <w:tblBorders>
        <w:top w:val="single" w:sz="2" w:space="0" w:color="FABF8F" w:themeColor="accent6" w:themeTint="99"/>
        <w:bottom w:val="single" w:sz="2" w:space="0" w:color="FABF8F" w:themeColor="accent6" w:themeTint="99"/>
        <w:insideH w:val="single" w:sz="2" w:space="0" w:color="FABF8F" w:themeColor="accent6" w:themeTint="99"/>
        <w:insideV w:val="single" w:sz="2" w:space="0" w:color="FABF8F" w:themeColor="accent6" w:themeTint="99"/>
      </w:tblBorders>
    </w:tblPr>
    <w:tblStylePr w:type="firstRow">
      <w:rPr>
        <w:b/>
        <w:bCs/>
      </w:rPr>
      <w:tblPr/>
      <w:tcPr>
        <w:tcBorders>
          <w:top w:val="nil"/>
          <w:bottom w:val="single" w:sz="12" w:space="0" w:color="FABF8F" w:themeColor="accent6" w:themeTint="99"/>
          <w:insideH w:val="nil"/>
          <w:insideV w:val="nil"/>
        </w:tcBorders>
        <w:shd w:val="clear" w:color="auto" w:fill="FFFFFF" w:themeFill="background1"/>
      </w:tcPr>
    </w:tblStylePr>
    <w:tblStylePr w:type="lastRow">
      <w:rPr>
        <w:b/>
        <w:bCs/>
      </w:rPr>
      <w:tblPr/>
      <w:tcPr>
        <w:tcBorders>
          <w:top w:val="double" w:sz="2" w:space="0" w:color="FABF8F"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832233">
      <w:bodyDiv w:val="1"/>
      <w:marLeft w:val="0"/>
      <w:marRight w:val="0"/>
      <w:marTop w:val="0"/>
      <w:marBottom w:val="0"/>
      <w:divBdr>
        <w:top w:val="none" w:sz="0" w:space="0" w:color="auto"/>
        <w:left w:val="none" w:sz="0" w:space="0" w:color="auto"/>
        <w:bottom w:val="none" w:sz="0" w:space="0" w:color="auto"/>
        <w:right w:val="none" w:sz="0" w:space="0" w:color="auto"/>
      </w:divBdr>
      <w:divsChild>
        <w:div w:id="1480343483">
          <w:marLeft w:val="0"/>
          <w:marRight w:val="0"/>
          <w:marTop w:val="0"/>
          <w:marBottom w:val="0"/>
          <w:divBdr>
            <w:top w:val="none" w:sz="0" w:space="0" w:color="auto"/>
            <w:left w:val="none" w:sz="0" w:space="0" w:color="auto"/>
            <w:bottom w:val="none" w:sz="0" w:space="0" w:color="auto"/>
            <w:right w:val="none" w:sz="0" w:space="0" w:color="auto"/>
          </w:divBdr>
          <w:divsChild>
            <w:div w:id="1408529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414313">
      <w:bodyDiv w:val="1"/>
      <w:marLeft w:val="0"/>
      <w:marRight w:val="0"/>
      <w:marTop w:val="0"/>
      <w:marBottom w:val="0"/>
      <w:divBdr>
        <w:top w:val="none" w:sz="0" w:space="0" w:color="auto"/>
        <w:left w:val="none" w:sz="0" w:space="0" w:color="auto"/>
        <w:bottom w:val="none" w:sz="0" w:space="0" w:color="auto"/>
        <w:right w:val="none" w:sz="0" w:space="0" w:color="auto"/>
      </w:divBdr>
    </w:div>
    <w:div w:id="140655852">
      <w:bodyDiv w:val="1"/>
      <w:marLeft w:val="0"/>
      <w:marRight w:val="0"/>
      <w:marTop w:val="0"/>
      <w:marBottom w:val="0"/>
      <w:divBdr>
        <w:top w:val="none" w:sz="0" w:space="0" w:color="auto"/>
        <w:left w:val="none" w:sz="0" w:space="0" w:color="auto"/>
        <w:bottom w:val="none" w:sz="0" w:space="0" w:color="auto"/>
        <w:right w:val="none" w:sz="0" w:space="0" w:color="auto"/>
      </w:divBdr>
      <w:divsChild>
        <w:div w:id="1787771748">
          <w:marLeft w:val="0"/>
          <w:marRight w:val="0"/>
          <w:marTop w:val="0"/>
          <w:marBottom w:val="0"/>
          <w:divBdr>
            <w:top w:val="none" w:sz="0" w:space="0" w:color="auto"/>
            <w:left w:val="none" w:sz="0" w:space="0" w:color="auto"/>
            <w:bottom w:val="none" w:sz="0" w:space="0" w:color="auto"/>
            <w:right w:val="none" w:sz="0" w:space="0" w:color="auto"/>
          </w:divBdr>
          <w:divsChild>
            <w:div w:id="1781945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688968">
      <w:bodyDiv w:val="1"/>
      <w:marLeft w:val="0"/>
      <w:marRight w:val="0"/>
      <w:marTop w:val="0"/>
      <w:marBottom w:val="0"/>
      <w:divBdr>
        <w:top w:val="none" w:sz="0" w:space="0" w:color="auto"/>
        <w:left w:val="none" w:sz="0" w:space="0" w:color="auto"/>
        <w:bottom w:val="none" w:sz="0" w:space="0" w:color="auto"/>
        <w:right w:val="none" w:sz="0" w:space="0" w:color="auto"/>
      </w:divBdr>
    </w:div>
    <w:div w:id="160852824">
      <w:bodyDiv w:val="1"/>
      <w:marLeft w:val="0"/>
      <w:marRight w:val="0"/>
      <w:marTop w:val="0"/>
      <w:marBottom w:val="0"/>
      <w:divBdr>
        <w:top w:val="none" w:sz="0" w:space="0" w:color="auto"/>
        <w:left w:val="none" w:sz="0" w:space="0" w:color="auto"/>
        <w:bottom w:val="none" w:sz="0" w:space="0" w:color="auto"/>
        <w:right w:val="none" w:sz="0" w:space="0" w:color="auto"/>
      </w:divBdr>
      <w:divsChild>
        <w:div w:id="1296564508">
          <w:marLeft w:val="0"/>
          <w:marRight w:val="0"/>
          <w:marTop w:val="0"/>
          <w:marBottom w:val="0"/>
          <w:divBdr>
            <w:top w:val="none" w:sz="0" w:space="0" w:color="auto"/>
            <w:left w:val="none" w:sz="0" w:space="0" w:color="auto"/>
            <w:bottom w:val="none" w:sz="0" w:space="0" w:color="auto"/>
            <w:right w:val="none" w:sz="0" w:space="0" w:color="auto"/>
          </w:divBdr>
          <w:divsChild>
            <w:div w:id="1893228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1524390">
      <w:bodyDiv w:val="1"/>
      <w:marLeft w:val="0"/>
      <w:marRight w:val="0"/>
      <w:marTop w:val="0"/>
      <w:marBottom w:val="0"/>
      <w:divBdr>
        <w:top w:val="none" w:sz="0" w:space="0" w:color="auto"/>
        <w:left w:val="none" w:sz="0" w:space="0" w:color="auto"/>
        <w:bottom w:val="none" w:sz="0" w:space="0" w:color="auto"/>
        <w:right w:val="none" w:sz="0" w:space="0" w:color="auto"/>
      </w:divBdr>
    </w:div>
    <w:div w:id="971327028">
      <w:bodyDiv w:val="1"/>
      <w:marLeft w:val="0"/>
      <w:marRight w:val="0"/>
      <w:marTop w:val="0"/>
      <w:marBottom w:val="0"/>
      <w:divBdr>
        <w:top w:val="none" w:sz="0" w:space="0" w:color="auto"/>
        <w:left w:val="none" w:sz="0" w:space="0" w:color="auto"/>
        <w:bottom w:val="none" w:sz="0" w:space="0" w:color="auto"/>
        <w:right w:val="none" w:sz="0" w:space="0" w:color="auto"/>
      </w:divBdr>
    </w:div>
    <w:div w:id="1299533237">
      <w:bodyDiv w:val="1"/>
      <w:marLeft w:val="0"/>
      <w:marRight w:val="0"/>
      <w:marTop w:val="0"/>
      <w:marBottom w:val="0"/>
      <w:divBdr>
        <w:top w:val="none" w:sz="0" w:space="0" w:color="auto"/>
        <w:left w:val="none" w:sz="0" w:space="0" w:color="auto"/>
        <w:bottom w:val="none" w:sz="0" w:space="0" w:color="auto"/>
        <w:right w:val="none" w:sz="0" w:space="0" w:color="auto"/>
      </w:divBdr>
    </w:div>
    <w:div w:id="1331640250">
      <w:bodyDiv w:val="1"/>
      <w:marLeft w:val="0"/>
      <w:marRight w:val="0"/>
      <w:marTop w:val="0"/>
      <w:marBottom w:val="0"/>
      <w:divBdr>
        <w:top w:val="none" w:sz="0" w:space="0" w:color="auto"/>
        <w:left w:val="none" w:sz="0" w:space="0" w:color="auto"/>
        <w:bottom w:val="none" w:sz="0" w:space="0" w:color="auto"/>
        <w:right w:val="none" w:sz="0" w:space="0" w:color="auto"/>
      </w:divBdr>
    </w:div>
    <w:div w:id="1360428814">
      <w:bodyDiv w:val="1"/>
      <w:marLeft w:val="0"/>
      <w:marRight w:val="0"/>
      <w:marTop w:val="0"/>
      <w:marBottom w:val="0"/>
      <w:divBdr>
        <w:top w:val="none" w:sz="0" w:space="0" w:color="auto"/>
        <w:left w:val="none" w:sz="0" w:space="0" w:color="auto"/>
        <w:bottom w:val="none" w:sz="0" w:space="0" w:color="auto"/>
        <w:right w:val="none" w:sz="0" w:space="0" w:color="auto"/>
      </w:divBdr>
    </w:div>
    <w:div w:id="1506091547">
      <w:bodyDiv w:val="1"/>
      <w:marLeft w:val="0"/>
      <w:marRight w:val="0"/>
      <w:marTop w:val="0"/>
      <w:marBottom w:val="0"/>
      <w:divBdr>
        <w:top w:val="none" w:sz="0" w:space="0" w:color="auto"/>
        <w:left w:val="none" w:sz="0" w:space="0" w:color="auto"/>
        <w:bottom w:val="none" w:sz="0" w:space="0" w:color="auto"/>
        <w:right w:val="none" w:sz="0" w:space="0" w:color="auto"/>
      </w:divBdr>
    </w:div>
    <w:div w:id="1621498961">
      <w:bodyDiv w:val="1"/>
      <w:marLeft w:val="0"/>
      <w:marRight w:val="0"/>
      <w:marTop w:val="0"/>
      <w:marBottom w:val="0"/>
      <w:divBdr>
        <w:top w:val="none" w:sz="0" w:space="0" w:color="auto"/>
        <w:left w:val="none" w:sz="0" w:space="0" w:color="auto"/>
        <w:bottom w:val="none" w:sz="0" w:space="0" w:color="auto"/>
        <w:right w:val="none" w:sz="0" w:space="0" w:color="auto"/>
      </w:divBdr>
    </w:div>
    <w:div w:id="1688290375">
      <w:bodyDiv w:val="1"/>
      <w:marLeft w:val="0"/>
      <w:marRight w:val="0"/>
      <w:marTop w:val="0"/>
      <w:marBottom w:val="0"/>
      <w:divBdr>
        <w:top w:val="none" w:sz="0" w:space="0" w:color="auto"/>
        <w:left w:val="none" w:sz="0" w:space="0" w:color="auto"/>
        <w:bottom w:val="none" w:sz="0" w:space="0" w:color="auto"/>
        <w:right w:val="none" w:sz="0" w:space="0" w:color="auto"/>
      </w:divBdr>
    </w:div>
    <w:div w:id="1693413824">
      <w:bodyDiv w:val="1"/>
      <w:marLeft w:val="0"/>
      <w:marRight w:val="0"/>
      <w:marTop w:val="0"/>
      <w:marBottom w:val="0"/>
      <w:divBdr>
        <w:top w:val="none" w:sz="0" w:space="0" w:color="auto"/>
        <w:left w:val="none" w:sz="0" w:space="0" w:color="auto"/>
        <w:bottom w:val="none" w:sz="0" w:space="0" w:color="auto"/>
        <w:right w:val="none" w:sz="0" w:space="0" w:color="auto"/>
      </w:divBdr>
    </w:div>
    <w:div w:id="1883471224">
      <w:bodyDiv w:val="1"/>
      <w:marLeft w:val="0"/>
      <w:marRight w:val="0"/>
      <w:marTop w:val="0"/>
      <w:marBottom w:val="0"/>
      <w:divBdr>
        <w:top w:val="none" w:sz="0" w:space="0" w:color="auto"/>
        <w:left w:val="none" w:sz="0" w:space="0" w:color="auto"/>
        <w:bottom w:val="none" w:sz="0" w:space="0" w:color="auto"/>
        <w:right w:val="none" w:sz="0" w:space="0" w:color="auto"/>
      </w:divBdr>
      <w:divsChild>
        <w:div w:id="1604995897">
          <w:marLeft w:val="0"/>
          <w:marRight w:val="0"/>
          <w:marTop w:val="0"/>
          <w:marBottom w:val="0"/>
          <w:divBdr>
            <w:top w:val="none" w:sz="0" w:space="0" w:color="auto"/>
            <w:left w:val="none" w:sz="0" w:space="0" w:color="auto"/>
            <w:bottom w:val="none" w:sz="0" w:space="0" w:color="auto"/>
            <w:right w:val="none" w:sz="0" w:space="0" w:color="auto"/>
          </w:divBdr>
          <w:divsChild>
            <w:div w:id="1252616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5363053">
      <w:bodyDiv w:val="1"/>
      <w:marLeft w:val="0"/>
      <w:marRight w:val="0"/>
      <w:marTop w:val="0"/>
      <w:marBottom w:val="0"/>
      <w:divBdr>
        <w:top w:val="none" w:sz="0" w:space="0" w:color="auto"/>
        <w:left w:val="none" w:sz="0" w:space="0" w:color="auto"/>
        <w:bottom w:val="none" w:sz="0" w:space="0" w:color="auto"/>
        <w:right w:val="none" w:sz="0" w:space="0" w:color="auto"/>
      </w:divBdr>
      <w:divsChild>
        <w:div w:id="1981804">
          <w:marLeft w:val="0"/>
          <w:marRight w:val="0"/>
          <w:marTop w:val="0"/>
          <w:marBottom w:val="0"/>
          <w:divBdr>
            <w:top w:val="none" w:sz="0" w:space="0" w:color="auto"/>
            <w:left w:val="none" w:sz="0" w:space="0" w:color="auto"/>
            <w:bottom w:val="none" w:sz="0" w:space="0" w:color="auto"/>
            <w:right w:val="none" w:sz="0" w:space="0" w:color="auto"/>
          </w:divBdr>
          <w:divsChild>
            <w:div w:id="880898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5729444">
      <w:bodyDiv w:val="1"/>
      <w:marLeft w:val="0"/>
      <w:marRight w:val="0"/>
      <w:marTop w:val="0"/>
      <w:marBottom w:val="0"/>
      <w:divBdr>
        <w:top w:val="none" w:sz="0" w:space="0" w:color="auto"/>
        <w:left w:val="none" w:sz="0" w:space="0" w:color="auto"/>
        <w:bottom w:val="none" w:sz="0" w:space="0" w:color="auto"/>
        <w:right w:val="none" w:sz="0" w:space="0" w:color="auto"/>
      </w:divBdr>
    </w:div>
    <w:div w:id="2003467835">
      <w:bodyDiv w:val="1"/>
      <w:marLeft w:val="0"/>
      <w:marRight w:val="0"/>
      <w:marTop w:val="0"/>
      <w:marBottom w:val="0"/>
      <w:divBdr>
        <w:top w:val="none" w:sz="0" w:space="0" w:color="auto"/>
        <w:left w:val="none" w:sz="0" w:space="0" w:color="auto"/>
        <w:bottom w:val="none" w:sz="0" w:space="0" w:color="auto"/>
        <w:right w:val="none" w:sz="0" w:space="0" w:color="auto"/>
      </w:divBdr>
    </w:div>
    <w:div w:id="2016807274">
      <w:bodyDiv w:val="1"/>
      <w:marLeft w:val="0"/>
      <w:marRight w:val="0"/>
      <w:marTop w:val="0"/>
      <w:marBottom w:val="0"/>
      <w:divBdr>
        <w:top w:val="none" w:sz="0" w:space="0" w:color="auto"/>
        <w:left w:val="none" w:sz="0" w:space="0" w:color="auto"/>
        <w:bottom w:val="none" w:sz="0" w:space="0" w:color="auto"/>
        <w:right w:val="none" w:sz="0" w:space="0" w:color="auto"/>
      </w:divBdr>
    </w:div>
    <w:div w:id="2024742469">
      <w:bodyDiv w:val="1"/>
      <w:marLeft w:val="0"/>
      <w:marRight w:val="0"/>
      <w:marTop w:val="0"/>
      <w:marBottom w:val="0"/>
      <w:divBdr>
        <w:top w:val="none" w:sz="0" w:space="0" w:color="auto"/>
        <w:left w:val="none" w:sz="0" w:space="0" w:color="auto"/>
        <w:bottom w:val="none" w:sz="0" w:space="0" w:color="auto"/>
        <w:right w:val="none" w:sz="0" w:space="0" w:color="auto"/>
      </w:divBdr>
    </w:div>
    <w:div w:id="212449994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microsoft.com/office/2007/relationships/diagramDrawing" Target="diagrams/drawing1.xml"/><Relationship Id="rId26" Type="http://schemas.openxmlformats.org/officeDocument/2006/relationships/hyperlink" Target="https://doi.org/10.3390/su16051850" TargetMode="External"/><Relationship Id="rId39" Type="http://schemas.openxmlformats.org/officeDocument/2006/relationships/hyperlink" Target="https://www.which.co.uk/news/article/the-environmental-cost-of-wearable-tech-aRgCY1C7qQ1W" TargetMode="External"/><Relationship Id="rId21" Type="http://schemas.openxmlformats.org/officeDocument/2006/relationships/hyperlink" Target="https://corporatefinanceinstitute.com/resources/valuation/distribution-channel/" TargetMode="External"/><Relationship Id="rId34" Type="http://schemas.openxmlformats.org/officeDocument/2006/relationships/hyperlink" Target="https://retailmediaage.co.uk/in-store/discerning-customers-want-an-in-store-experience-with-online-content/" TargetMode="External"/><Relationship Id="rId42" Type="http://schemas.openxmlformats.org/officeDocument/2006/relationships/hyperlink" Target="https://yougov.com/en-gb/articles/54915-uk-media-consumption-trends-in-2026-tv-streaming-and-social-media-usage"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QuickStyle" Target="diagrams/quickStyle1.xml"/><Relationship Id="rId29" Type="http://schemas.openxmlformats.org/officeDocument/2006/relationships/hyperlink" Target="https://www.simplypsychology.org/gibbs-reflective-cycle.html%2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idc.com/promo/wearablevendor/?source=content_type%3Areact%7Cfirst_level_url%3Aarticle%7Csection%3Amain_content%7Cbutton%3Abody_link" TargetMode="External"/><Relationship Id="rId32" Type="http://schemas.openxmlformats.org/officeDocument/2006/relationships/hyperlink" Target="https://www.ons.gov.uk/peoplepopulationandcommunity/wellbeing/bulletins/publicopinionsandsocialtrendsgreatbritain/october2025" TargetMode="External"/><Relationship Id="rId37" Type="http://schemas.openxmlformats.org/officeDocument/2006/relationships/hyperlink" Target="https://www.statista.com/statistics/870307/united-kingdom-top-online-stores-united-kingdom-ecommercedb/?srsltid=AfmBOoqjcXYmpbmOznfC-cIdAYKJAXH90IMoxMH33C7EXG3lzBZiI7pe" TargetMode="External"/><Relationship Id="rId40" Type="http://schemas.openxmlformats.org/officeDocument/2006/relationships/hyperlink" Target="https://doi.org/10.1038/s41586-025-09819-w"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Layout" Target="diagrams/layout1.xml"/><Relationship Id="rId23" Type="http://schemas.openxmlformats.org/officeDocument/2006/relationships/hyperlink" Target="https://www.dell.com/en-in/lp/dt/circular-economy" TargetMode="External"/><Relationship Id="rId28" Type="http://schemas.openxmlformats.org/officeDocument/2006/relationships/hyperlink" Target="https://doi.org/10.1016/j.techfore.2018.01.002" TargetMode="External"/><Relationship Id="rId36" Type="http://schemas.openxmlformats.org/officeDocument/2006/relationships/hyperlink" Target="https://doi.org/10.30521/jes.1436875" TargetMode="External"/><Relationship Id="rId10" Type="http://schemas.openxmlformats.org/officeDocument/2006/relationships/image" Target="media/image3.png"/><Relationship Id="rId19" Type="http://schemas.openxmlformats.org/officeDocument/2006/relationships/hyperlink" Target="https://doi.org/10.51594/ijmer.v6i8.1365" TargetMode="External"/><Relationship Id="rId31" Type="http://schemas.openxmlformats.org/officeDocument/2006/relationships/hyperlink" Target="https://www.ons.gov.uk/economy/environmentalaccounts/articles/publicandbusinessattitudestotheenvironmentandclimatechangegreatbritain/2024" TargetMode="Externa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Data" Target="diagrams/data1.xml"/><Relationship Id="rId22" Type="http://schemas.openxmlformats.org/officeDocument/2006/relationships/hyperlink" Target="https://investors.delltechnologies.com/news-releases/news-release-details/new-2030-goals-societal-change-top-dell-technologies-strategic" TargetMode="External"/><Relationship Id="rId27" Type="http://schemas.openxmlformats.org/officeDocument/2006/relationships/hyperlink" Target="https://www.youngurbanproject.com/what-is-a-vertical-marketing-system/" TargetMode="External"/><Relationship Id="rId30" Type="http://schemas.openxmlformats.org/officeDocument/2006/relationships/hyperlink" Target="https://www.telegraph.co.uk/recommended/tech/reviews/apple-watch-series-10-review/" TargetMode="External"/><Relationship Id="rId35" Type="http://schemas.openxmlformats.org/officeDocument/2006/relationships/hyperlink" Target="https://www.samsung.com/uk/watches/galaxy-watch8/buy/" TargetMode="External"/><Relationship Id="rId43" Type="http://schemas.openxmlformats.org/officeDocument/2006/relationships/image" Target="media/image6.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chart" Target="charts/chart1.xml"/><Relationship Id="rId17" Type="http://schemas.openxmlformats.org/officeDocument/2006/relationships/diagramColors" Target="diagrams/colors1.xml"/><Relationship Id="rId25" Type="http://schemas.openxmlformats.org/officeDocument/2006/relationships/hyperlink" Target="https://www.itu.int/en/ITU-D/Environment/Pages/Publications/The-Global-E-waste-Monitor-2024.aspx" TargetMode="External"/><Relationship Id="rId33" Type="http://schemas.openxmlformats.org/officeDocument/2006/relationships/hyperlink" Target="https://research.vu.nl/files/231621915/The_contribution_of_reflective_learning_to_experiential_learning_in_business_education.pdf" TargetMode="External"/><Relationship Id="rId38" Type="http://schemas.openxmlformats.org/officeDocument/2006/relationships/hyperlink" Target="https://productdistributionstrategy.com/multi-channel-distribution/" TargetMode="External"/><Relationship Id="rId46" Type="http://schemas.openxmlformats.org/officeDocument/2006/relationships/theme" Target="theme/theme1.xml"/><Relationship Id="rId20" Type="http://schemas.openxmlformats.org/officeDocument/2006/relationships/hyperlink" Target="https://www.apple.com/uk/shop/buy-watch/apple-watch?part=Z0YQ" TargetMode="External"/><Relationship Id="rId41" Type="http://schemas.openxmlformats.org/officeDocument/2006/relationships/hyperlink" Target="https://yougov.com/en-gb/trackers/brits-use-of-wearable-devices-eg-a-smartwatch-or-wearable-fitness-band?crossBreak=1824"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none" spc="0" normalizeH="0" baseline="0">
              <a:solidFill>
                <a:sysClr val="windowText" lastClr="000000"/>
              </a:solidFill>
              <a:latin typeface="Times New Roman" panose="02020603050405020304" pitchFamily="18" charset="0"/>
              <a:ea typeface="+mj-ea"/>
              <a:cs typeface="Times New Roman" panose="02020603050405020304" pitchFamily="18" charset="0"/>
            </a:defRPr>
          </a:pPr>
          <a:endParaRPr lang="en-US"/>
        </a:p>
      </c:txPr>
    </c:title>
    <c:autoTitleDeleted val="0"/>
    <c:plotArea>
      <c:layout/>
      <c:barChart>
        <c:barDir val="col"/>
        <c:grouping val="clustered"/>
        <c:varyColors val="0"/>
        <c:ser>
          <c:idx val="0"/>
          <c:order val="0"/>
          <c:tx>
            <c:strRef>
              <c:f>Sheet1!$K$7</c:f>
              <c:strCache>
                <c:ptCount val="1"/>
                <c:pt idx="0">
                  <c:v>Price (£)</c:v>
                </c:pt>
              </c:strCache>
            </c:strRef>
          </c:tx>
          <c:spPr>
            <a:solidFill>
              <a:schemeClr val="accent2"/>
            </a:solidFill>
            <a:ln>
              <a:noFill/>
            </a:ln>
            <a:effectLst/>
          </c:spPr>
          <c:invertIfNegative val="0"/>
          <c:dLbls>
            <c:spPr>
              <a:noFill/>
              <a:ln>
                <a:noFill/>
              </a:ln>
              <a:effectLst/>
            </c:spPr>
            <c:txPr>
              <a:bodyPr rot="0" spcFirstLastPara="1" vertOverflow="ellipsis" vert="horz" wrap="square" anchor="ctr" anchorCtr="1"/>
              <a:lstStyle/>
              <a:p>
                <a:pPr>
                  <a:defRPr sz="9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Sheet1!$J$8:$J$12</c:f>
              <c:strCache>
                <c:ptCount val="5"/>
                <c:pt idx="0">
                  <c:v>Apple Watch 10 Series</c:v>
                </c:pt>
                <c:pt idx="1">
                  <c:v>Apple Watch 11 Series</c:v>
                </c:pt>
                <c:pt idx="2">
                  <c:v>Samsung Galaxy Watch8</c:v>
                </c:pt>
                <c:pt idx="3">
                  <c:v>Samsung Galaxy Watch9</c:v>
                </c:pt>
                <c:pt idx="4">
                  <c:v>Dell EcoEatch (Proposed)</c:v>
                </c:pt>
              </c:strCache>
            </c:strRef>
          </c:cat>
          <c:val>
            <c:numRef>
              <c:f>Sheet1!$K$8:$K$12</c:f>
              <c:numCache>
                <c:formatCode>General</c:formatCode>
                <c:ptCount val="5"/>
                <c:pt idx="0">
                  <c:v>399</c:v>
                </c:pt>
                <c:pt idx="1">
                  <c:v>369</c:v>
                </c:pt>
                <c:pt idx="2">
                  <c:v>299</c:v>
                </c:pt>
                <c:pt idx="3">
                  <c:v>399</c:v>
                </c:pt>
                <c:pt idx="4">
                  <c:v>339</c:v>
                </c:pt>
              </c:numCache>
            </c:numRef>
          </c:val>
          <c:extLst>
            <c:ext xmlns:c16="http://schemas.microsoft.com/office/drawing/2014/chart" uri="{C3380CC4-5D6E-409C-BE32-E72D297353CC}">
              <c16:uniqueId val="{00000000-84E1-4D0B-AFC4-96E870F1892F}"/>
            </c:ext>
          </c:extLst>
        </c:ser>
        <c:dLbls>
          <c:dLblPos val="outEnd"/>
          <c:showLegendKey val="0"/>
          <c:showVal val="1"/>
          <c:showCatName val="0"/>
          <c:showSerName val="0"/>
          <c:showPercent val="0"/>
          <c:showBubbleSize val="0"/>
        </c:dLbls>
        <c:gapWidth val="267"/>
        <c:overlap val="-43"/>
        <c:axId val="1746919583"/>
        <c:axId val="1681563951"/>
      </c:barChart>
      <c:catAx>
        <c:axId val="1746919583"/>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1" i="0" u="none" strike="noStrike" kern="1200" cap="none" spc="0" normalizeH="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1681563951"/>
        <c:crosses val="autoZero"/>
        <c:auto val="1"/>
        <c:lblAlgn val="ctr"/>
        <c:lblOffset val="100"/>
        <c:noMultiLvlLbl val="0"/>
      </c:catAx>
      <c:valAx>
        <c:axId val="1681563951"/>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1746919583"/>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dk1">
          <a:lumMod val="15000"/>
          <a:lumOff val="85000"/>
        </a:schemeClr>
      </a:solidFill>
      <a:round/>
    </a:ln>
    <a:effectLst/>
  </c:spPr>
  <c:txPr>
    <a:bodyPr/>
    <a:lstStyle/>
    <a:p>
      <a:pPr>
        <a:defRPr b="1">
          <a:solidFill>
            <a:sysClr val="windowText" lastClr="000000"/>
          </a:solidFill>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B0DE744-BCA0-4A5B-A23F-EFE4407163D6}" type="doc">
      <dgm:prSet loTypeId="urn:microsoft.com/office/officeart/2005/8/layout/cycle1" loCatId="cycle" qsTypeId="urn:microsoft.com/office/officeart/2005/8/quickstyle/simple1" qsCatId="simple" csTypeId="urn:microsoft.com/office/officeart/2005/8/colors/accent0_1" csCatId="mainScheme" phldr="1"/>
      <dgm:spPr/>
      <dgm:t>
        <a:bodyPr/>
        <a:lstStyle/>
        <a:p>
          <a:endParaRPr lang="en-US"/>
        </a:p>
      </dgm:t>
    </dgm:pt>
    <dgm:pt modelId="{12BD9FA1-7B37-49AA-9539-BF4CAB97D714}">
      <dgm:prSet phldrT="[Text]"/>
      <dgm:spPr/>
      <dgm:t>
        <a:bodyPr/>
        <a:lstStyle/>
        <a:p>
          <a:r>
            <a:rPr lang="en-US">
              <a:latin typeface="Times New Roman" panose="02020603050405020304" pitchFamily="18" charset="0"/>
              <a:cs typeface="Times New Roman" panose="02020603050405020304" pitchFamily="18" charset="0"/>
            </a:rPr>
            <a:t>Description</a:t>
          </a:r>
        </a:p>
      </dgm:t>
    </dgm:pt>
    <dgm:pt modelId="{EBC2675C-390E-4328-81DC-720E3B5874A6}" type="parTrans" cxnId="{0FE4EFEF-C916-47A7-BD27-D3CE2725919D}">
      <dgm:prSet/>
      <dgm:spPr/>
      <dgm:t>
        <a:bodyPr/>
        <a:lstStyle/>
        <a:p>
          <a:endParaRPr lang="en-US">
            <a:latin typeface="Times New Roman" panose="02020603050405020304" pitchFamily="18" charset="0"/>
            <a:cs typeface="Times New Roman" panose="02020603050405020304" pitchFamily="18" charset="0"/>
          </a:endParaRPr>
        </a:p>
      </dgm:t>
    </dgm:pt>
    <dgm:pt modelId="{12CC6FCE-5C03-4B10-ADF6-FDC3127D14F4}" type="sibTrans" cxnId="{0FE4EFEF-C916-47A7-BD27-D3CE2725919D}">
      <dgm:prSet/>
      <dgm:spPr/>
      <dgm:t>
        <a:bodyPr/>
        <a:lstStyle/>
        <a:p>
          <a:endParaRPr lang="en-US">
            <a:latin typeface="Times New Roman" panose="02020603050405020304" pitchFamily="18" charset="0"/>
            <a:cs typeface="Times New Roman" panose="02020603050405020304" pitchFamily="18" charset="0"/>
          </a:endParaRPr>
        </a:p>
      </dgm:t>
    </dgm:pt>
    <dgm:pt modelId="{3B499DF1-E2CF-481F-A758-8F9A46E4C60E}">
      <dgm:prSet phldrT="[Text]"/>
      <dgm:spPr/>
      <dgm:t>
        <a:bodyPr/>
        <a:lstStyle/>
        <a:p>
          <a:r>
            <a:rPr lang="en-US">
              <a:latin typeface="Times New Roman" panose="02020603050405020304" pitchFamily="18" charset="0"/>
              <a:cs typeface="Times New Roman" panose="02020603050405020304" pitchFamily="18" charset="0"/>
            </a:rPr>
            <a:t>Feelings</a:t>
          </a:r>
        </a:p>
      </dgm:t>
    </dgm:pt>
    <dgm:pt modelId="{A9A5C5CE-3558-43B7-8D38-DD97784EA008}" type="parTrans" cxnId="{543C3054-C94A-404F-9C70-962911F9DDB7}">
      <dgm:prSet/>
      <dgm:spPr/>
      <dgm:t>
        <a:bodyPr/>
        <a:lstStyle/>
        <a:p>
          <a:endParaRPr lang="en-US">
            <a:latin typeface="Times New Roman" panose="02020603050405020304" pitchFamily="18" charset="0"/>
            <a:cs typeface="Times New Roman" panose="02020603050405020304" pitchFamily="18" charset="0"/>
          </a:endParaRPr>
        </a:p>
      </dgm:t>
    </dgm:pt>
    <dgm:pt modelId="{716FCC4A-0826-4A30-BC36-39F772280231}" type="sibTrans" cxnId="{543C3054-C94A-404F-9C70-962911F9DDB7}">
      <dgm:prSet/>
      <dgm:spPr/>
      <dgm:t>
        <a:bodyPr/>
        <a:lstStyle/>
        <a:p>
          <a:endParaRPr lang="en-US">
            <a:latin typeface="Times New Roman" panose="02020603050405020304" pitchFamily="18" charset="0"/>
            <a:cs typeface="Times New Roman" panose="02020603050405020304" pitchFamily="18" charset="0"/>
          </a:endParaRPr>
        </a:p>
      </dgm:t>
    </dgm:pt>
    <dgm:pt modelId="{1BEE6FFC-3EF8-4236-9215-349E64509268}">
      <dgm:prSet phldrT="[Text]"/>
      <dgm:spPr/>
      <dgm:t>
        <a:bodyPr/>
        <a:lstStyle/>
        <a:p>
          <a:r>
            <a:rPr lang="en-US">
              <a:latin typeface="Times New Roman" panose="02020603050405020304" pitchFamily="18" charset="0"/>
              <a:cs typeface="Times New Roman" panose="02020603050405020304" pitchFamily="18" charset="0"/>
            </a:rPr>
            <a:t>Evaluation</a:t>
          </a:r>
        </a:p>
      </dgm:t>
    </dgm:pt>
    <dgm:pt modelId="{8D5E296C-7E6C-4083-A079-C592C1F9D2D0}" type="parTrans" cxnId="{7D8C7153-57B3-4D61-975F-10447D7790CD}">
      <dgm:prSet/>
      <dgm:spPr/>
      <dgm:t>
        <a:bodyPr/>
        <a:lstStyle/>
        <a:p>
          <a:endParaRPr lang="en-US">
            <a:latin typeface="Times New Roman" panose="02020603050405020304" pitchFamily="18" charset="0"/>
            <a:cs typeface="Times New Roman" panose="02020603050405020304" pitchFamily="18" charset="0"/>
          </a:endParaRPr>
        </a:p>
      </dgm:t>
    </dgm:pt>
    <dgm:pt modelId="{B8838E20-EAC6-42DA-BF3F-9E76ED570DBD}" type="sibTrans" cxnId="{7D8C7153-57B3-4D61-975F-10447D7790CD}">
      <dgm:prSet/>
      <dgm:spPr/>
      <dgm:t>
        <a:bodyPr/>
        <a:lstStyle/>
        <a:p>
          <a:endParaRPr lang="en-US">
            <a:latin typeface="Times New Roman" panose="02020603050405020304" pitchFamily="18" charset="0"/>
            <a:cs typeface="Times New Roman" panose="02020603050405020304" pitchFamily="18" charset="0"/>
          </a:endParaRPr>
        </a:p>
      </dgm:t>
    </dgm:pt>
    <dgm:pt modelId="{00B0A59C-9B54-4BCF-85D0-01A2BF4328D9}">
      <dgm:prSet phldrT="[Text]"/>
      <dgm:spPr/>
      <dgm:t>
        <a:bodyPr/>
        <a:lstStyle/>
        <a:p>
          <a:r>
            <a:rPr lang="en-US">
              <a:latin typeface="Times New Roman" panose="02020603050405020304" pitchFamily="18" charset="0"/>
              <a:cs typeface="Times New Roman" panose="02020603050405020304" pitchFamily="18" charset="0"/>
            </a:rPr>
            <a:t>Analysis </a:t>
          </a:r>
        </a:p>
      </dgm:t>
    </dgm:pt>
    <dgm:pt modelId="{69AA1EA5-69B6-4B75-8388-4EB422494394}" type="parTrans" cxnId="{9416ECA8-B8BF-47A8-B744-90848A28C099}">
      <dgm:prSet/>
      <dgm:spPr/>
      <dgm:t>
        <a:bodyPr/>
        <a:lstStyle/>
        <a:p>
          <a:endParaRPr lang="en-US">
            <a:latin typeface="Times New Roman" panose="02020603050405020304" pitchFamily="18" charset="0"/>
            <a:cs typeface="Times New Roman" panose="02020603050405020304" pitchFamily="18" charset="0"/>
          </a:endParaRPr>
        </a:p>
      </dgm:t>
    </dgm:pt>
    <dgm:pt modelId="{86BEA3A7-D382-491D-AE38-14843E2BB78A}" type="sibTrans" cxnId="{9416ECA8-B8BF-47A8-B744-90848A28C099}">
      <dgm:prSet/>
      <dgm:spPr/>
      <dgm:t>
        <a:bodyPr/>
        <a:lstStyle/>
        <a:p>
          <a:endParaRPr lang="en-US">
            <a:latin typeface="Times New Roman" panose="02020603050405020304" pitchFamily="18" charset="0"/>
            <a:cs typeface="Times New Roman" panose="02020603050405020304" pitchFamily="18" charset="0"/>
          </a:endParaRPr>
        </a:p>
      </dgm:t>
    </dgm:pt>
    <dgm:pt modelId="{63470B08-CB8F-4DEF-9127-6341215597C7}">
      <dgm:prSet phldrT="[Text]"/>
      <dgm:spPr/>
      <dgm:t>
        <a:bodyPr/>
        <a:lstStyle/>
        <a:p>
          <a:r>
            <a:rPr lang="en-US">
              <a:latin typeface="Times New Roman" panose="02020603050405020304" pitchFamily="18" charset="0"/>
              <a:cs typeface="Times New Roman" panose="02020603050405020304" pitchFamily="18" charset="0"/>
            </a:rPr>
            <a:t>Conclusion</a:t>
          </a:r>
        </a:p>
      </dgm:t>
    </dgm:pt>
    <dgm:pt modelId="{0719EBD6-E027-4573-853F-D904EE7C837C}" type="parTrans" cxnId="{DC3B5722-DAF4-4674-BC56-A0E3401B97D0}">
      <dgm:prSet/>
      <dgm:spPr/>
      <dgm:t>
        <a:bodyPr/>
        <a:lstStyle/>
        <a:p>
          <a:endParaRPr lang="en-US">
            <a:latin typeface="Times New Roman" panose="02020603050405020304" pitchFamily="18" charset="0"/>
            <a:cs typeface="Times New Roman" panose="02020603050405020304" pitchFamily="18" charset="0"/>
          </a:endParaRPr>
        </a:p>
      </dgm:t>
    </dgm:pt>
    <dgm:pt modelId="{0831578B-50CD-4919-B9A5-855F3D5D3443}" type="sibTrans" cxnId="{DC3B5722-DAF4-4674-BC56-A0E3401B97D0}">
      <dgm:prSet/>
      <dgm:spPr/>
      <dgm:t>
        <a:bodyPr/>
        <a:lstStyle/>
        <a:p>
          <a:endParaRPr lang="en-US">
            <a:latin typeface="Times New Roman" panose="02020603050405020304" pitchFamily="18" charset="0"/>
            <a:cs typeface="Times New Roman" panose="02020603050405020304" pitchFamily="18" charset="0"/>
          </a:endParaRPr>
        </a:p>
      </dgm:t>
    </dgm:pt>
    <dgm:pt modelId="{35511F99-2E1E-407E-9F1F-D9F3F9424951}">
      <dgm:prSet phldrT="[Text]"/>
      <dgm:spPr/>
      <dgm:t>
        <a:bodyPr/>
        <a:lstStyle/>
        <a:p>
          <a:r>
            <a:rPr lang="en-US">
              <a:latin typeface="Times New Roman" panose="02020603050405020304" pitchFamily="18" charset="0"/>
              <a:cs typeface="Times New Roman" panose="02020603050405020304" pitchFamily="18" charset="0"/>
            </a:rPr>
            <a:t>Action Plan</a:t>
          </a:r>
        </a:p>
      </dgm:t>
    </dgm:pt>
    <dgm:pt modelId="{E875C9D6-9331-4615-AFAB-7367DE0A498F}" type="parTrans" cxnId="{9569F8CF-1381-476E-AC20-A082DB26102E}">
      <dgm:prSet/>
      <dgm:spPr/>
      <dgm:t>
        <a:bodyPr/>
        <a:lstStyle/>
        <a:p>
          <a:endParaRPr lang="en-US">
            <a:latin typeface="Times New Roman" panose="02020603050405020304" pitchFamily="18" charset="0"/>
            <a:cs typeface="Times New Roman" panose="02020603050405020304" pitchFamily="18" charset="0"/>
          </a:endParaRPr>
        </a:p>
      </dgm:t>
    </dgm:pt>
    <dgm:pt modelId="{8B9BD152-F9EA-438C-B6CD-7F8CD10658A1}" type="sibTrans" cxnId="{9569F8CF-1381-476E-AC20-A082DB26102E}">
      <dgm:prSet/>
      <dgm:spPr/>
      <dgm:t>
        <a:bodyPr/>
        <a:lstStyle/>
        <a:p>
          <a:endParaRPr lang="en-US">
            <a:latin typeface="Times New Roman" panose="02020603050405020304" pitchFamily="18" charset="0"/>
            <a:cs typeface="Times New Roman" panose="02020603050405020304" pitchFamily="18" charset="0"/>
          </a:endParaRPr>
        </a:p>
      </dgm:t>
    </dgm:pt>
    <dgm:pt modelId="{99251386-68B7-470A-8C2C-67F8B0C83139}" type="pres">
      <dgm:prSet presAssocID="{6B0DE744-BCA0-4A5B-A23F-EFE4407163D6}" presName="cycle" presStyleCnt="0">
        <dgm:presLayoutVars>
          <dgm:dir/>
          <dgm:resizeHandles val="exact"/>
        </dgm:presLayoutVars>
      </dgm:prSet>
      <dgm:spPr/>
      <dgm:t>
        <a:bodyPr/>
        <a:lstStyle/>
        <a:p>
          <a:endParaRPr lang="en-US"/>
        </a:p>
      </dgm:t>
    </dgm:pt>
    <dgm:pt modelId="{8D47C841-BEB5-47F8-8DFB-FA321FCEB339}" type="pres">
      <dgm:prSet presAssocID="{12BD9FA1-7B37-49AA-9539-BF4CAB97D714}" presName="dummy" presStyleCnt="0"/>
      <dgm:spPr/>
    </dgm:pt>
    <dgm:pt modelId="{45A432BA-E6E0-4163-88CF-8A36C79DFC0C}" type="pres">
      <dgm:prSet presAssocID="{12BD9FA1-7B37-49AA-9539-BF4CAB97D714}" presName="node" presStyleLbl="revTx" presStyleIdx="0" presStyleCnt="6">
        <dgm:presLayoutVars>
          <dgm:bulletEnabled val="1"/>
        </dgm:presLayoutVars>
      </dgm:prSet>
      <dgm:spPr/>
      <dgm:t>
        <a:bodyPr/>
        <a:lstStyle/>
        <a:p>
          <a:endParaRPr lang="en-US"/>
        </a:p>
      </dgm:t>
    </dgm:pt>
    <dgm:pt modelId="{3D78464C-F83C-4D84-9C52-DF712D8818F7}" type="pres">
      <dgm:prSet presAssocID="{12CC6FCE-5C03-4B10-ADF6-FDC3127D14F4}" presName="sibTrans" presStyleLbl="node1" presStyleIdx="0" presStyleCnt="6"/>
      <dgm:spPr/>
      <dgm:t>
        <a:bodyPr/>
        <a:lstStyle/>
        <a:p>
          <a:endParaRPr lang="en-US"/>
        </a:p>
      </dgm:t>
    </dgm:pt>
    <dgm:pt modelId="{9EAB6DBD-199C-4E42-972B-F79D21752126}" type="pres">
      <dgm:prSet presAssocID="{3B499DF1-E2CF-481F-A758-8F9A46E4C60E}" presName="dummy" presStyleCnt="0"/>
      <dgm:spPr/>
    </dgm:pt>
    <dgm:pt modelId="{C50A437C-BFBE-41A8-B66D-93D9F5D62FDC}" type="pres">
      <dgm:prSet presAssocID="{3B499DF1-E2CF-481F-A758-8F9A46E4C60E}" presName="node" presStyleLbl="revTx" presStyleIdx="1" presStyleCnt="6">
        <dgm:presLayoutVars>
          <dgm:bulletEnabled val="1"/>
        </dgm:presLayoutVars>
      </dgm:prSet>
      <dgm:spPr/>
      <dgm:t>
        <a:bodyPr/>
        <a:lstStyle/>
        <a:p>
          <a:endParaRPr lang="en-US"/>
        </a:p>
      </dgm:t>
    </dgm:pt>
    <dgm:pt modelId="{B2D6ECB0-4982-40F1-A00E-E28F2ED5DC60}" type="pres">
      <dgm:prSet presAssocID="{716FCC4A-0826-4A30-BC36-39F772280231}" presName="sibTrans" presStyleLbl="node1" presStyleIdx="1" presStyleCnt="6"/>
      <dgm:spPr/>
      <dgm:t>
        <a:bodyPr/>
        <a:lstStyle/>
        <a:p>
          <a:endParaRPr lang="en-US"/>
        </a:p>
      </dgm:t>
    </dgm:pt>
    <dgm:pt modelId="{91DC4230-FDC6-4FFB-96E7-98B738AA87F2}" type="pres">
      <dgm:prSet presAssocID="{1BEE6FFC-3EF8-4236-9215-349E64509268}" presName="dummy" presStyleCnt="0"/>
      <dgm:spPr/>
    </dgm:pt>
    <dgm:pt modelId="{182E717B-3CB7-4F30-9C62-B7DDCBB61570}" type="pres">
      <dgm:prSet presAssocID="{1BEE6FFC-3EF8-4236-9215-349E64509268}" presName="node" presStyleLbl="revTx" presStyleIdx="2" presStyleCnt="6">
        <dgm:presLayoutVars>
          <dgm:bulletEnabled val="1"/>
        </dgm:presLayoutVars>
      </dgm:prSet>
      <dgm:spPr/>
      <dgm:t>
        <a:bodyPr/>
        <a:lstStyle/>
        <a:p>
          <a:endParaRPr lang="en-US"/>
        </a:p>
      </dgm:t>
    </dgm:pt>
    <dgm:pt modelId="{075259EF-5E3F-4C59-A8A8-36BA95D90244}" type="pres">
      <dgm:prSet presAssocID="{B8838E20-EAC6-42DA-BF3F-9E76ED570DBD}" presName="sibTrans" presStyleLbl="node1" presStyleIdx="2" presStyleCnt="6"/>
      <dgm:spPr/>
      <dgm:t>
        <a:bodyPr/>
        <a:lstStyle/>
        <a:p>
          <a:endParaRPr lang="en-US"/>
        </a:p>
      </dgm:t>
    </dgm:pt>
    <dgm:pt modelId="{1BCB86C7-388D-406A-8885-F0DC3F187201}" type="pres">
      <dgm:prSet presAssocID="{00B0A59C-9B54-4BCF-85D0-01A2BF4328D9}" presName="dummy" presStyleCnt="0"/>
      <dgm:spPr/>
    </dgm:pt>
    <dgm:pt modelId="{4AF8AFEC-A652-43FE-89FC-D9CEA69B2FF2}" type="pres">
      <dgm:prSet presAssocID="{00B0A59C-9B54-4BCF-85D0-01A2BF4328D9}" presName="node" presStyleLbl="revTx" presStyleIdx="3" presStyleCnt="6">
        <dgm:presLayoutVars>
          <dgm:bulletEnabled val="1"/>
        </dgm:presLayoutVars>
      </dgm:prSet>
      <dgm:spPr/>
      <dgm:t>
        <a:bodyPr/>
        <a:lstStyle/>
        <a:p>
          <a:endParaRPr lang="en-US"/>
        </a:p>
      </dgm:t>
    </dgm:pt>
    <dgm:pt modelId="{4E249C02-7687-46C2-B493-0AE4BC90B571}" type="pres">
      <dgm:prSet presAssocID="{86BEA3A7-D382-491D-AE38-14843E2BB78A}" presName="sibTrans" presStyleLbl="node1" presStyleIdx="3" presStyleCnt="6"/>
      <dgm:spPr/>
      <dgm:t>
        <a:bodyPr/>
        <a:lstStyle/>
        <a:p>
          <a:endParaRPr lang="en-US"/>
        </a:p>
      </dgm:t>
    </dgm:pt>
    <dgm:pt modelId="{98590BE4-EEF6-4471-B3A3-711648604B41}" type="pres">
      <dgm:prSet presAssocID="{63470B08-CB8F-4DEF-9127-6341215597C7}" presName="dummy" presStyleCnt="0"/>
      <dgm:spPr/>
    </dgm:pt>
    <dgm:pt modelId="{80F2A7E6-6CDD-4B57-8663-B2EBC95D85A2}" type="pres">
      <dgm:prSet presAssocID="{63470B08-CB8F-4DEF-9127-6341215597C7}" presName="node" presStyleLbl="revTx" presStyleIdx="4" presStyleCnt="6">
        <dgm:presLayoutVars>
          <dgm:bulletEnabled val="1"/>
        </dgm:presLayoutVars>
      </dgm:prSet>
      <dgm:spPr/>
      <dgm:t>
        <a:bodyPr/>
        <a:lstStyle/>
        <a:p>
          <a:endParaRPr lang="en-US"/>
        </a:p>
      </dgm:t>
    </dgm:pt>
    <dgm:pt modelId="{8F3096A6-F54C-4237-8A01-FAAEB3B77942}" type="pres">
      <dgm:prSet presAssocID="{0831578B-50CD-4919-B9A5-855F3D5D3443}" presName="sibTrans" presStyleLbl="node1" presStyleIdx="4" presStyleCnt="6"/>
      <dgm:spPr/>
      <dgm:t>
        <a:bodyPr/>
        <a:lstStyle/>
        <a:p>
          <a:endParaRPr lang="en-US"/>
        </a:p>
      </dgm:t>
    </dgm:pt>
    <dgm:pt modelId="{775E24FE-E1FD-47FB-853E-48A4DE6D0A09}" type="pres">
      <dgm:prSet presAssocID="{35511F99-2E1E-407E-9F1F-D9F3F9424951}" presName="dummy" presStyleCnt="0"/>
      <dgm:spPr/>
    </dgm:pt>
    <dgm:pt modelId="{18073F43-85AC-47BF-91ED-CCA1B8ECA38B}" type="pres">
      <dgm:prSet presAssocID="{35511F99-2E1E-407E-9F1F-D9F3F9424951}" presName="node" presStyleLbl="revTx" presStyleIdx="5" presStyleCnt="6">
        <dgm:presLayoutVars>
          <dgm:bulletEnabled val="1"/>
        </dgm:presLayoutVars>
      </dgm:prSet>
      <dgm:spPr/>
      <dgm:t>
        <a:bodyPr/>
        <a:lstStyle/>
        <a:p>
          <a:endParaRPr lang="en-US"/>
        </a:p>
      </dgm:t>
    </dgm:pt>
    <dgm:pt modelId="{C82ACB45-1962-406E-9357-36ACAFA89B8E}" type="pres">
      <dgm:prSet presAssocID="{8B9BD152-F9EA-438C-B6CD-7F8CD10658A1}" presName="sibTrans" presStyleLbl="node1" presStyleIdx="5" presStyleCnt="6"/>
      <dgm:spPr/>
      <dgm:t>
        <a:bodyPr/>
        <a:lstStyle/>
        <a:p>
          <a:endParaRPr lang="en-US"/>
        </a:p>
      </dgm:t>
    </dgm:pt>
  </dgm:ptLst>
  <dgm:cxnLst>
    <dgm:cxn modelId="{0FE4EFEF-C916-47A7-BD27-D3CE2725919D}" srcId="{6B0DE744-BCA0-4A5B-A23F-EFE4407163D6}" destId="{12BD9FA1-7B37-49AA-9539-BF4CAB97D714}" srcOrd="0" destOrd="0" parTransId="{EBC2675C-390E-4328-81DC-720E3B5874A6}" sibTransId="{12CC6FCE-5C03-4B10-ADF6-FDC3127D14F4}"/>
    <dgm:cxn modelId="{111AB29E-E6FE-47AA-AF8A-C4BB23222E94}" type="presOf" srcId="{35511F99-2E1E-407E-9F1F-D9F3F9424951}" destId="{18073F43-85AC-47BF-91ED-CCA1B8ECA38B}" srcOrd="0" destOrd="0" presId="urn:microsoft.com/office/officeart/2005/8/layout/cycle1"/>
    <dgm:cxn modelId="{9416ECA8-B8BF-47A8-B744-90848A28C099}" srcId="{6B0DE744-BCA0-4A5B-A23F-EFE4407163D6}" destId="{00B0A59C-9B54-4BCF-85D0-01A2BF4328D9}" srcOrd="3" destOrd="0" parTransId="{69AA1EA5-69B6-4B75-8388-4EB422494394}" sibTransId="{86BEA3A7-D382-491D-AE38-14843E2BB78A}"/>
    <dgm:cxn modelId="{1E68D980-F707-48CB-ADCF-E53FADB1E865}" type="presOf" srcId="{3B499DF1-E2CF-481F-A758-8F9A46E4C60E}" destId="{C50A437C-BFBE-41A8-B66D-93D9F5D62FDC}" srcOrd="0" destOrd="0" presId="urn:microsoft.com/office/officeart/2005/8/layout/cycle1"/>
    <dgm:cxn modelId="{D2AE4E4E-47AF-46EE-B792-2EABC2F07D55}" type="presOf" srcId="{716FCC4A-0826-4A30-BC36-39F772280231}" destId="{B2D6ECB0-4982-40F1-A00E-E28F2ED5DC60}" srcOrd="0" destOrd="0" presId="urn:microsoft.com/office/officeart/2005/8/layout/cycle1"/>
    <dgm:cxn modelId="{9569F8CF-1381-476E-AC20-A082DB26102E}" srcId="{6B0DE744-BCA0-4A5B-A23F-EFE4407163D6}" destId="{35511F99-2E1E-407E-9F1F-D9F3F9424951}" srcOrd="5" destOrd="0" parTransId="{E875C9D6-9331-4615-AFAB-7367DE0A498F}" sibTransId="{8B9BD152-F9EA-438C-B6CD-7F8CD10658A1}"/>
    <dgm:cxn modelId="{B895302E-B4E6-4DAB-835F-ED7987D7589A}" type="presOf" srcId="{1BEE6FFC-3EF8-4236-9215-349E64509268}" destId="{182E717B-3CB7-4F30-9C62-B7DDCBB61570}" srcOrd="0" destOrd="0" presId="urn:microsoft.com/office/officeart/2005/8/layout/cycle1"/>
    <dgm:cxn modelId="{DC3B5722-DAF4-4674-BC56-A0E3401B97D0}" srcId="{6B0DE744-BCA0-4A5B-A23F-EFE4407163D6}" destId="{63470B08-CB8F-4DEF-9127-6341215597C7}" srcOrd="4" destOrd="0" parTransId="{0719EBD6-E027-4573-853F-D904EE7C837C}" sibTransId="{0831578B-50CD-4919-B9A5-855F3D5D3443}"/>
    <dgm:cxn modelId="{543C3054-C94A-404F-9C70-962911F9DDB7}" srcId="{6B0DE744-BCA0-4A5B-A23F-EFE4407163D6}" destId="{3B499DF1-E2CF-481F-A758-8F9A46E4C60E}" srcOrd="1" destOrd="0" parTransId="{A9A5C5CE-3558-43B7-8D38-DD97784EA008}" sibTransId="{716FCC4A-0826-4A30-BC36-39F772280231}"/>
    <dgm:cxn modelId="{7D8C7153-57B3-4D61-975F-10447D7790CD}" srcId="{6B0DE744-BCA0-4A5B-A23F-EFE4407163D6}" destId="{1BEE6FFC-3EF8-4236-9215-349E64509268}" srcOrd="2" destOrd="0" parTransId="{8D5E296C-7E6C-4083-A079-C592C1F9D2D0}" sibTransId="{B8838E20-EAC6-42DA-BF3F-9E76ED570DBD}"/>
    <dgm:cxn modelId="{1B256E1D-324B-4940-94EE-0D7793F9DD20}" type="presOf" srcId="{86BEA3A7-D382-491D-AE38-14843E2BB78A}" destId="{4E249C02-7687-46C2-B493-0AE4BC90B571}" srcOrd="0" destOrd="0" presId="urn:microsoft.com/office/officeart/2005/8/layout/cycle1"/>
    <dgm:cxn modelId="{0A36DA57-6177-4FA7-9BDD-1DF544EA0E64}" type="presOf" srcId="{12CC6FCE-5C03-4B10-ADF6-FDC3127D14F4}" destId="{3D78464C-F83C-4D84-9C52-DF712D8818F7}" srcOrd="0" destOrd="0" presId="urn:microsoft.com/office/officeart/2005/8/layout/cycle1"/>
    <dgm:cxn modelId="{597DDBDB-71ED-4665-BF30-B6F227CE692A}" type="presOf" srcId="{63470B08-CB8F-4DEF-9127-6341215597C7}" destId="{80F2A7E6-6CDD-4B57-8663-B2EBC95D85A2}" srcOrd="0" destOrd="0" presId="urn:microsoft.com/office/officeart/2005/8/layout/cycle1"/>
    <dgm:cxn modelId="{53C4B474-8F47-4A77-893D-E0B457A62A1E}" type="presOf" srcId="{6B0DE744-BCA0-4A5B-A23F-EFE4407163D6}" destId="{99251386-68B7-470A-8C2C-67F8B0C83139}" srcOrd="0" destOrd="0" presId="urn:microsoft.com/office/officeart/2005/8/layout/cycle1"/>
    <dgm:cxn modelId="{66F5774B-9549-4E8A-BDD5-0ED676CD8F28}" type="presOf" srcId="{00B0A59C-9B54-4BCF-85D0-01A2BF4328D9}" destId="{4AF8AFEC-A652-43FE-89FC-D9CEA69B2FF2}" srcOrd="0" destOrd="0" presId="urn:microsoft.com/office/officeart/2005/8/layout/cycle1"/>
    <dgm:cxn modelId="{79A7FE4C-2001-45EC-81EF-D86E7147D225}" type="presOf" srcId="{0831578B-50CD-4919-B9A5-855F3D5D3443}" destId="{8F3096A6-F54C-4237-8A01-FAAEB3B77942}" srcOrd="0" destOrd="0" presId="urn:microsoft.com/office/officeart/2005/8/layout/cycle1"/>
    <dgm:cxn modelId="{042D2AE7-9843-458B-9D3C-80751BBD4536}" type="presOf" srcId="{12BD9FA1-7B37-49AA-9539-BF4CAB97D714}" destId="{45A432BA-E6E0-4163-88CF-8A36C79DFC0C}" srcOrd="0" destOrd="0" presId="urn:microsoft.com/office/officeart/2005/8/layout/cycle1"/>
    <dgm:cxn modelId="{040B8B8B-D40D-44AC-9EE1-8D9B9CAB012F}" type="presOf" srcId="{8B9BD152-F9EA-438C-B6CD-7F8CD10658A1}" destId="{C82ACB45-1962-406E-9357-36ACAFA89B8E}" srcOrd="0" destOrd="0" presId="urn:microsoft.com/office/officeart/2005/8/layout/cycle1"/>
    <dgm:cxn modelId="{20B94A09-DCCE-4D4D-B626-4530D3BD13C2}" type="presOf" srcId="{B8838E20-EAC6-42DA-BF3F-9E76ED570DBD}" destId="{075259EF-5E3F-4C59-A8A8-36BA95D90244}" srcOrd="0" destOrd="0" presId="urn:microsoft.com/office/officeart/2005/8/layout/cycle1"/>
    <dgm:cxn modelId="{E35D6E93-AD8F-4F4D-8E03-2CD28E310D15}" type="presParOf" srcId="{99251386-68B7-470A-8C2C-67F8B0C83139}" destId="{8D47C841-BEB5-47F8-8DFB-FA321FCEB339}" srcOrd="0" destOrd="0" presId="urn:microsoft.com/office/officeart/2005/8/layout/cycle1"/>
    <dgm:cxn modelId="{48532DB1-1E1F-4E09-9849-30389C9E21C1}" type="presParOf" srcId="{99251386-68B7-470A-8C2C-67F8B0C83139}" destId="{45A432BA-E6E0-4163-88CF-8A36C79DFC0C}" srcOrd="1" destOrd="0" presId="urn:microsoft.com/office/officeart/2005/8/layout/cycle1"/>
    <dgm:cxn modelId="{9F806599-417A-40AA-97E5-62DB99398EDC}" type="presParOf" srcId="{99251386-68B7-470A-8C2C-67F8B0C83139}" destId="{3D78464C-F83C-4D84-9C52-DF712D8818F7}" srcOrd="2" destOrd="0" presId="urn:microsoft.com/office/officeart/2005/8/layout/cycle1"/>
    <dgm:cxn modelId="{57100867-A277-47A2-B9C1-98D30A0B757E}" type="presParOf" srcId="{99251386-68B7-470A-8C2C-67F8B0C83139}" destId="{9EAB6DBD-199C-4E42-972B-F79D21752126}" srcOrd="3" destOrd="0" presId="urn:microsoft.com/office/officeart/2005/8/layout/cycle1"/>
    <dgm:cxn modelId="{DE085304-2716-46D1-BCCB-4E952229B3F4}" type="presParOf" srcId="{99251386-68B7-470A-8C2C-67F8B0C83139}" destId="{C50A437C-BFBE-41A8-B66D-93D9F5D62FDC}" srcOrd="4" destOrd="0" presId="urn:microsoft.com/office/officeart/2005/8/layout/cycle1"/>
    <dgm:cxn modelId="{1FCA5ADF-66C0-4FC3-8A4D-7CB34665733E}" type="presParOf" srcId="{99251386-68B7-470A-8C2C-67F8B0C83139}" destId="{B2D6ECB0-4982-40F1-A00E-E28F2ED5DC60}" srcOrd="5" destOrd="0" presId="urn:microsoft.com/office/officeart/2005/8/layout/cycle1"/>
    <dgm:cxn modelId="{7E07FD3F-BE57-4306-900F-F4C9E2CC4984}" type="presParOf" srcId="{99251386-68B7-470A-8C2C-67F8B0C83139}" destId="{91DC4230-FDC6-4FFB-96E7-98B738AA87F2}" srcOrd="6" destOrd="0" presId="urn:microsoft.com/office/officeart/2005/8/layout/cycle1"/>
    <dgm:cxn modelId="{E3EFBA07-0B1C-45D0-87EE-0C736BB3E1E6}" type="presParOf" srcId="{99251386-68B7-470A-8C2C-67F8B0C83139}" destId="{182E717B-3CB7-4F30-9C62-B7DDCBB61570}" srcOrd="7" destOrd="0" presId="urn:microsoft.com/office/officeart/2005/8/layout/cycle1"/>
    <dgm:cxn modelId="{BF4B34DC-2FA3-4BF6-BA78-0A29D2AE9764}" type="presParOf" srcId="{99251386-68B7-470A-8C2C-67F8B0C83139}" destId="{075259EF-5E3F-4C59-A8A8-36BA95D90244}" srcOrd="8" destOrd="0" presId="urn:microsoft.com/office/officeart/2005/8/layout/cycle1"/>
    <dgm:cxn modelId="{5CBB0E42-9C5A-430A-B7D3-1CF4CFE0C85F}" type="presParOf" srcId="{99251386-68B7-470A-8C2C-67F8B0C83139}" destId="{1BCB86C7-388D-406A-8885-F0DC3F187201}" srcOrd="9" destOrd="0" presId="urn:microsoft.com/office/officeart/2005/8/layout/cycle1"/>
    <dgm:cxn modelId="{9B337AA0-D804-494C-85B3-BB1F196C8E73}" type="presParOf" srcId="{99251386-68B7-470A-8C2C-67F8B0C83139}" destId="{4AF8AFEC-A652-43FE-89FC-D9CEA69B2FF2}" srcOrd="10" destOrd="0" presId="urn:microsoft.com/office/officeart/2005/8/layout/cycle1"/>
    <dgm:cxn modelId="{DCCB515F-62C0-47AE-BED5-A16901072870}" type="presParOf" srcId="{99251386-68B7-470A-8C2C-67F8B0C83139}" destId="{4E249C02-7687-46C2-B493-0AE4BC90B571}" srcOrd="11" destOrd="0" presId="urn:microsoft.com/office/officeart/2005/8/layout/cycle1"/>
    <dgm:cxn modelId="{32CF7667-1A50-46CE-B75A-516433BA986E}" type="presParOf" srcId="{99251386-68B7-470A-8C2C-67F8B0C83139}" destId="{98590BE4-EEF6-4471-B3A3-711648604B41}" srcOrd="12" destOrd="0" presId="urn:microsoft.com/office/officeart/2005/8/layout/cycle1"/>
    <dgm:cxn modelId="{9847B13C-7017-48C3-B0A5-18397855EB81}" type="presParOf" srcId="{99251386-68B7-470A-8C2C-67F8B0C83139}" destId="{80F2A7E6-6CDD-4B57-8663-B2EBC95D85A2}" srcOrd="13" destOrd="0" presId="urn:microsoft.com/office/officeart/2005/8/layout/cycle1"/>
    <dgm:cxn modelId="{284FDD2C-7051-4CF3-A951-6DE0BBF73873}" type="presParOf" srcId="{99251386-68B7-470A-8C2C-67F8B0C83139}" destId="{8F3096A6-F54C-4237-8A01-FAAEB3B77942}" srcOrd="14" destOrd="0" presId="urn:microsoft.com/office/officeart/2005/8/layout/cycle1"/>
    <dgm:cxn modelId="{5A8B0809-1B1B-4C3F-87E4-8E601E191BB3}" type="presParOf" srcId="{99251386-68B7-470A-8C2C-67F8B0C83139}" destId="{775E24FE-E1FD-47FB-853E-48A4DE6D0A09}" srcOrd="15" destOrd="0" presId="urn:microsoft.com/office/officeart/2005/8/layout/cycle1"/>
    <dgm:cxn modelId="{4EA9193F-9334-48D9-BE4D-6F54F8937DB6}" type="presParOf" srcId="{99251386-68B7-470A-8C2C-67F8B0C83139}" destId="{18073F43-85AC-47BF-91ED-CCA1B8ECA38B}" srcOrd="16" destOrd="0" presId="urn:microsoft.com/office/officeart/2005/8/layout/cycle1"/>
    <dgm:cxn modelId="{1A4C7472-E3A9-4FF4-A3F4-47A1631C1631}" type="presParOf" srcId="{99251386-68B7-470A-8C2C-67F8B0C83139}" destId="{C82ACB45-1962-406E-9357-36ACAFA89B8E}" srcOrd="17" destOrd="0" presId="urn:microsoft.com/office/officeart/2005/8/layout/cycle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5A432BA-E6E0-4163-88CF-8A36C79DFC0C}">
      <dsp:nvSpPr>
        <dsp:cNvPr id="0" name=""/>
        <dsp:cNvSpPr/>
      </dsp:nvSpPr>
      <dsp:spPr>
        <a:xfrm>
          <a:off x="3145991" y="7808"/>
          <a:ext cx="654992" cy="65499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latin typeface="Times New Roman" panose="02020603050405020304" pitchFamily="18" charset="0"/>
              <a:cs typeface="Times New Roman" panose="02020603050405020304" pitchFamily="18" charset="0"/>
            </a:rPr>
            <a:t>Description</a:t>
          </a:r>
        </a:p>
      </dsp:txBody>
      <dsp:txXfrm>
        <a:off x="3145991" y="7808"/>
        <a:ext cx="654992" cy="654992"/>
      </dsp:txXfrm>
    </dsp:sp>
    <dsp:sp modelId="{3D78464C-F83C-4D84-9C52-DF712D8818F7}">
      <dsp:nvSpPr>
        <dsp:cNvPr id="0" name=""/>
        <dsp:cNvSpPr/>
      </dsp:nvSpPr>
      <dsp:spPr>
        <a:xfrm>
          <a:off x="1144257" y="1257"/>
          <a:ext cx="3197884" cy="3197884"/>
        </a:xfrm>
        <a:prstGeom prst="circularArrow">
          <a:avLst>
            <a:gd name="adj1" fmla="val 3994"/>
            <a:gd name="adj2" fmla="val 250574"/>
            <a:gd name="adj3" fmla="val 20571990"/>
            <a:gd name="adj4" fmla="val 18984261"/>
            <a:gd name="adj5" fmla="val 4660"/>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C50A437C-BFBE-41A8-B66D-93D9F5D62FDC}">
      <dsp:nvSpPr>
        <dsp:cNvPr id="0" name=""/>
        <dsp:cNvSpPr/>
      </dsp:nvSpPr>
      <dsp:spPr>
        <a:xfrm>
          <a:off x="3876278" y="1272703"/>
          <a:ext cx="654992" cy="65499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latin typeface="Times New Roman" panose="02020603050405020304" pitchFamily="18" charset="0"/>
              <a:cs typeface="Times New Roman" panose="02020603050405020304" pitchFamily="18" charset="0"/>
            </a:rPr>
            <a:t>Feelings</a:t>
          </a:r>
        </a:p>
      </dsp:txBody>
      <dsp:txXfrm>
        <a:off x="3876278" y="1272703"/>
        <a:ext cx="654992" cy="654992"/>
      </dsp:txXfrm>
    </dsp:sp>
    <dsp:sp modelId="{B2D6ECB0-4982-40F1-A00E-E28F2ED5DC60}">
      <dsp:nvSpPr>
        <dsp:cNvPr id="0" name=""/>
        <dsp:cNvSpPr/>
      </dsp:nvSpPr>
      <dsp:spPr>
        <a:xfrm>
          <a:off x="1144257" y="1257"/>
          <a:ext cx="3197884" cy="3197884"/>
        </a:xfrm>
        <a:prstGeom prst="circularArrow">
          <a:avLst>
            <a:gd name="adj1" fmla="val 3994"/>
            <a:gd name="adj2" fmla="val 250574"/>
            <a:gd name="adj3" fmla="val 2365165"/>
            <a:gd name="adj4" fmla="val 777436"/>
            <a:gd name="adj5" fmla="val 4660"/>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182E717B-3CB7-4F30-9C62-B7DDCBB61570}">
      <dsp:nvSpPr>
        <dsp:cNvPr id="0" name=""/>
        <dsp:cNvSpPr/>
      </dsp:nvSpPr>
      <dsp:spPr>
        <a:xfrm>
          <a:off x="3145991" y="2537598"/>
          <a:ext cx="654992" cy="65499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latin typeface="Times New Roman" panose="02020603050405020304" pitchFamily="18" charset="0"/>
              <a:cs typeface="Times New Roman" panose="02020603050405020304" pitchFamily="18" charset="0"/>
            </a:rPr>
            <a:t>Evaluation</a:t>
          </a:r>
        </a:p>
      </dsp:txBody>
      <dsp:txXfrm>
        <a:off x="3145991" y="2537598"/>
        <a:ext cx="654992" cy="654992"/>
      </dsp:txXfrm>
    </dsp:sp>
    <dsp:sp modelId="{075259EF-5E3F-4C59-A8A8-36BA95D90244}">
      <dsp:nvSpPr>
        <dsp:cNvPr id="0" name=""/>
        <dsp:cNvSpPr/>
      </dsp:nvSpPr>
      <dsp:spPr>
        <a:xfrm>
          <a:off x="1144257" y="1257"/>
          <a:ext cx="3197884" cy="3197884"/>
        </a:xfrm>
        <a:prstGeom prst="circularArrow">
          <a:avLst>
            <a:gd name="adj1" fmla="val 3994"/>
            <a:gd name="adj2" fmla="val 250574"/>
            <a:gd name="adj3" fmla="val 6109921"/>
            <a:gd name="adj4" fmla="val 4439505"/>
            <a:gd name="adj5" fmla="val 4660"/>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4AF8AFEC-A652-43FE-89FC-D9CEA69B2FF2}">
      <dsp:nvSpPr>
        <dsp:cNvPr id="0" name=""/>
        <dsp:cNvSpPr/>
      </dsp:nvSpPr>
      <dsp:spPr>
        <a:xfrm>
          <a:off x="1685416" y="2537598"/>
          <a:ext cx="654992" cy="65499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latin typeface="Times New Roman" panose="02020603050405020304" pitchFamily="18" charset="0"/>
              <a:cs typeface="Times New Roman" panose="02020603050405020304" pitchFamily="18" charset="0"/>
            </a:rPr>
            <a:t>Analysis </a:t>
          </a:r>
        </a:p>
      </dsp:txBody>
      <dsp:txXfrm>
        <a:off x="1685416" y="2537598"/>
        <a:ext cx="654992" cy="654992"/>
      </dsp:txXfrm>
    </dsp:sp>
    <dsp:sp modelId="{4E249C02-7687-46C2-B493-0AE4BC90B571}">
      <dsp:nvSpPr>
        <dsp:cNvPr id="0" name=""/>
        <dsp:cNvSpPr/>
      </dsp:nvSpPr>
      <dsp:spPr>
        <a:xfrm>
          <a:off x="1144257" y="1257"/>
          <a:ext cx="3197884" cy="3197884"/>
        </a:xfrm>
        <a:prstGeom prst="circularArrow">
          <a:avLst>
            <a:gd name="adj1" fmla="val 3994"/>
            <a:gd name="adj2" fmla="val 250574"/>
            <a:gd name="adj3" fmla="val 9771990"/>
            <a:gd name="adj4" fmla="val 8184261"/>
            <a:gd name="adj5" fmla="val 4660"/>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80F2A7E6-6CDD-4B57-8663-B2EBC95D85A2}">
      <dsp:nvSpPr>
        <dsp:cNvPr id="0" name=""/>
        <dsp:cNvSpPr/>
      </dsp:nvSpPr>
      <dsp:spPr>
        <a:xfrm>
          <a:off x="955128" y="1272703"/>
          <a:ext cx="654992" cy="65499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latin typeface="Times New Roman" panose="02020603050405020304" pitchFamily="18" charset="0"/>
              <a:cs typeface="Times New Roman" panose="02020603050405020304" pitchFamily="18" charset="0"/>
            </a:rPr>
            <a:t>Conclusion</a:t>
          </a:r>
        </a:p>
      </dsp:txBody>
      <dsp:txXfrm>
        <a:off x="955128" y="1272703"/>
        <a:ext cx="654992" cy="654992"/>
      </dsp:txXfrm>
    </dsp:sp>
    <dsp:sp modelId="{8F3096A6-F54C-4237-8A01-FAAEB3B77942}">
      <dsp:nvSpPr>
        <dsp:cNvPr id="0" name=""/>
        <dsp:cNvSpPr/>
      </dsp:nvSpPr>
      <dsp:spPr>
        <a:xfrm>
          <a:off x="1144257" y="1257"/>
          <a:ext cx="3197884" cy="3197884"/>
        </a:xfrm>
        <a:prstGeom prst="circularArrow">
          <a:avLst>
            <a:gd name="adj1" fmla="val 3994"/>
            <a:gd name="adj2" fmla="val 250574"/>
            <a:gd name="adj3" fmla="val 13165165"/>
            <a:gd name="adj4" fmla="val 11577436"/>
            <a:gd name="adj5" fmla="val 4660"/>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18073F43-85AC-47BF-91ED-CCA1B8ECA38B}">
      <dsp:nvSpPr>
        <dsp:cNvPr id="0" name=""/>
        <dsp:cNvSpPr/>
      </dsp:nvSpPr>
      <dsp:spPr>
        <a:xfrm>
          <a:off x="1685416" y="7808"/>
          <a:ext cx="654992" cy="65499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latin typeface="Times New Roman" panose="02020603050405020304" pitchFamily="18" charset="0"/>
              <a:cs typeface="Times New Roman" panose="02020603050405020304" pitchFamily="18" charset="0"/>
            </a:rPr>
            <a:t>Action Plan</a:t>
          </a:r>
        </a:p>
      </dsp:txBody>
      <dsp:txXfrm>
        <a:off x="1685416" y="7808"/>
        <a:ext cx="654992" cy="654992"/>
      </dsp:txXfrm>
    </dsp:sp>
    <dsp:sp modelId="{C82ACB45-1962-406E-9357-36ACAFA89B8E}">
      <dsp:nvSpPr>
        <dsp:cNvPr id="0" name=""/>
        <dsp:cNvSpPr/>
      </dsp:nvSpPr>
      <dsp:spPr>
        <a:xfrm>
          <a:off x="1144257" y="1257"/>
          <a:ext cx="3197884" cy="3197884"/>
        </a:xfrm>
        <a:prstGeom prst="circularArrow">
          <a:avLst>
            <a:gd name="adj1" fmla="val 3994"/>
            <a:gd name="adj2" fmla="val 250574"/>
            <a:gd name="adj3" fmla="val 16909921"/>
            <a:gd name="adj4" fmla="val 15239505"/>
            <a:gd name="adj5" fmla="val 4660"/>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tAng" val="0"/>
          <dgm:param type="spanAng" val="360"/>
        </dgm:alg>
      </dgm:if>
      <dgm:else name="Name2">
        <dgm:alg type="cycle">
          <dgm:param type="stAng" val="0"/>
          <dgm:param type="spanAng" val="-36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0A5BAE-1E92-4400-A4DB-BCE2F1310A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391</TotalTime>
  <Pages>20</Pages>
  <Words>4195</Words>
  <Characters>23917</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Dell</cp:lastModifiedBy>
  <cp:revision>8</cp:revision>
  <dcterms:created xsi:type="dcterms:W3CDTF">2026-07-31T06:26:00Z</dcterms:created>
  <dcterms:modified xsi:type="dcterms:W3CDTF">2026-08-12T21:27:00Z</dcterms:modified>
</cp:coreProperties>
</file>