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E8077CC">
      <w:pPr>
        <w:spacing w:line="360" w:lineRule="auto"/>
        <w:jc w:val="center"/>
        <w:rPr>
          <w:rFonts w:ascii="Times New Roman" w:hAnsi="Times New Roman" w:eastAsia="Times New Roman" w:cs="Times New Roman"/>
          <w:b/>
          <w:sz w:val="32"/>
          <w:szCs w:val="24"/>
        </w:rPr>
      </w:pPr>
    </w:p>
    <w:p w14:paraId="1176E139">
      <w:pPr>
        <w:spacing w:line="360" w:lineRule="auto"/>
        <w:jc w:val="center"/>
        <w:rPr>
          <w:rFonts w:ascii="Times New Roman" w:hAnsi="Times New Roman" w:eastAsia="Times New Roman" w:cs="Times New Roman"/>
          <w:b/>
          <w:sz w:val="32"/>
          <w:szCs w:val="24"/>
        </w:rPr>
      </w:pPr>
    </w:p>
    <w:p w14:paraId="046E57D6">
      <w:pPr>
        <w:spacing w:line="360" w:lineRule="auto"/>
        <w:jc w:val="center"/>
        <w:rPr>
          <w:rFonts w:ascii="Times New Roman" w:hAnsi="Times New Roman" w:eastAsia="Times New Roman" w:cs="Times New Roman"/>
          <w:b/>
          <w:sz w:val="32"/>
          <w:szCs w:val="24"/>
        </w:rPr>
      </w:pPr>
    </w:p>
    <w:p w14:paraId="749F6F7C">
      <w:pPr>
        <w:spacing w:line="360" w:lineRule="auto"/>
        <w:jc w:val="center"/>
        <w:rPr>
          <w:rFonts w:ascii="Times New Roman" w:hAnsi="Times New Roman" w:eastAsia="Times New Roman" w:cs="Times New Roman"/>
          <w:b/>
          <w:sz w:val="32"/>
          <w:szCs w:val="24"/>
        </w:rPr>
      </w:pPr>
      <w:r>
        <w:rPr>
          <w:rFonts w:ascii="Times New Roman" w:hAnsi="Times New Roman" w:eastAsia="Times New Roman" w:cs="Times New Roman"/>
          <w:b/>
          <w:sz w:val="32"/>
          <w:szCs w:val="24"/>
        </w:rPr>
        <w:t>Assignment title: Planning and Delivering an International Meeting/Event</w:t>
      </w:r>
    </w:p>
    <w:p w14:paraId="7715AC7F">
      <w:pPr>
        <w:spacing w:line="360" w:lineRule="auto"/>
        <w:jc w:val="center"/>
        <w:rPr>
          <w:rFonts w:ascii="Times New Roman" w:hAnsi="Times New Roman" w:eastAsia="Times New Roman" w:cs="Times New Roman"/>
          <w:b/>
          <w:sz w:val="32"/>
          <w:szCs w:val="24"/>
        </w:rPr>
      </w:pPr>
      <w:r>
        <w:rPr>
          <w:rFonts w:ascii="Times New Roman" w:hAnsi="Times New Roman" w:eastAsia="Times New Roman" w:cs="Times New Roman"/>
          <w:b/>
          <w:sz w:val="32"/>
          <w:szCs w:val="24"/>
        </w:rPr>
        <w:t>Module Title: International Meetings Management for the Hotel Industry</w:t>
      </w:r>
    </w:p>
    <w:p w14:paraId="74A3DF96">
      <w:pPr>
        <w:spacing w:line="360" w:lineRule="auto"/>
        <w:jc w:val="center"/>
        <w:rPr>
          <w:rFonts w:hint="default" w:ascii="Times New Roman" w:hAnsi="Times New Roman" w:eastAsia="Times New Roman" w:cs="Times New Roman"/>
          <w:b w:val="0"/>
          <w:bCs/>
          <w:sz w:val="24"/>
          <w:szCs w:val="24"/>
        </w:rPr>
      </w:pPr>
      <w:r>
        <w:rPr>
          <w:rFonts w:hint="default" w:ascii="Times New Roman" w:hAnsi="Times New Roman" w:eastAsia="Times New Roman" w:cs="Times New Roman"/>
          <w:b w:val="0"/>
          <w:bCs/>
          <w:sz w:val="24"/>
          <w:szCs w:val="24"/>
        </w:rPr>
        <w:t>Module ID: BMIH6007</w:t>
      </w:r>
    </w:p>
    <w:p w14:paraId="191ADFAD">
      <w:pPr>
        <w:spacing w:line="360" w:lineRule="auto"/>
        <w:jc w:val="center"/>
        <w:rPr>
          <w:rFonts w:hint="default" w:ascii="Times New Roman" w:hAnsi="Times New Roman" w:eastAsia="Times New Roman" w:cs="Times New Roman"/>
          <w:b w:val="0"/>
          <w:bCs/>
          <w:sz w:val="24"/>
          <w:szCs w:val="24"/>
          <w:lang w:val="en-GB"/>
        </w:rPr>
      </w:pPr>
      <w:r>
        <w:rPr>
          <w:rFonts w:hint="default" w:ascii="Times New Roman" w:hAnsi="Times New Roman" w:eastAsia="Times New Roman" w:cs="Times New Roman"/>
          <w:b w:val="0"/>
          <w:bCs/>
          <w:sz w:val="24"/>
          <w:szCs w:val="24"/>
        </w:rPr>
        <w:t xml:space="preserve">Student Name: </w:t>
      </w:r>
      <w:r>
        <w:rPr>
          <w:rFonts w:hint="default" w:ascii="Times New Roman" w:hAnsi="Times New Roman" w:eastAsia="Times New Roman" w:cs="Times New Roman"/>
          <w:b w:val="0"/>
          <w:bCs/>
          <w:sz w:val="24"/>
          <w:szCs w:val="24"/>
          <w:lang w:val="en-GB"/>
        </w:rPr>
        <w:t xml:space="preserve">Lidia Leva </w:t>
      </w:r>
    </w:p>
    <w:p w14:paraId="263A314B">
      <w:pPr>
        <w:spacing w:line="360" w:lineRule="auto"/>
        <w:jc w:val="center"/>
        <w:rPr>
          <w:rFonts w:hint="default" w:ascii="Times New Roman" w:hAnsi="Times New Roman" w:eastAsia="Times New Roman" w:cs="Times New Roman"/>
          <w:b w:val="0"/>
          <w:bCs/>
          <w:sz w:val="24"/>
          <w:szCs w:val="24"/>
        </w:rPr>
      </w:pPr>
      <w:r>
        <w:rPr>
          <w:rFonts w:hint="default" w:ascii="Times New Roman" w:hAnsi="Times New Roman" w:eastAsia="Times New Roman" w:cs="Times New Roman"/>
          <w:b w:val="0"/>
          <w:bCs/>
          <w:sz w:val="24"/>
          <w:szCs w:val="24"/>
        </w:rPr>
        <w:t>Student ID: 2242891</w:t>
      </w:r>
    </w:p>
    <w:p w14:paraId="18B11137">
      <w:pPr>
        <w:spacing w:line="360" w:lineRule="auto"/>
        <w:jc w:val="center"/>
        <w:rPr>
          <w:rFonts w:hint="default" w:ascii="Times New Roman" w:hAnsi="Times New Roman" w:cs="Times New Roman"/>
          <w:b w:val="0"/>
          <w:bCs/>
          <w:sz w:val="24"/>
          <w:szCs w:val="24"/>
        </w:rPr>
      </w:pPr>
      <w:r>
        <w:rPr>
          <w:rFonts w:hint="default" w:ascii="Times New Roman" w:hAnsi="Times New Roman" w:cs="Times New Roman"/>
          <w:b w:val="0"/>
          <w:bCs/>
          <w:sz w:val="24"/>
          <w:szCs w:val="24"/>
        </w:rPr>
        <w:t>Module Lead: Kathryn Flynn</w:t>
      </w:r>
    </w:p>
    <w:p w14:paraId="76859ACA">
      <w:pPr>
        <w:spacing w:line="360" w:lineRule="auto"/>
        <w:jc w:val="center"/>
        <w:rPr>
          <w:rFonts w:hint="default" w:ascii="Times New Roman" w:hAnsi="Times New Roman" w:cs="Times New Roman"/>
          <w:b w:val="0"/>
          <w:bCs/>
          <w:sz w:val="24"/>
          <w:szCs w:val="24"/>
        </w:rPr>
      </w:pPr>
    </w:p>
    <w:p w14:paraId="4DA1CDDF">
      <w:pPr>
        <w:spacing w:line="360" w:lineRule="auto"/>
        <w:jc w:val="center"/>
        <w:rPr>
          <w:rFonts w:hint="default" w:ascii="Times New Roman" w:hAnsi="Times New Roman" w:cs="Times New Roman"/>
          <w:b w:val="0"/>
          <w:bCs/>
          <w:sz w:val="24"/>
          <w:szCs w:val="24"/>
        </w:rPr>
      </w:pPr>
    </w:p>
    <w:p w14:paraId="69A9C1D5">
      <w:pPr>
        <w:spacing w:line="360" w:lineRule="auto"/>
        <w:jc w:val="center"/>
        <w:rPr>
          <w:rFonts w:hint="default" w:ascii="Times New Roman" w:hAnsi="Times New Roman" w:cs="Times New Roman"/>
          <w:b w:val="0"/>
          <w:bCs/>
          <w:sz w:val="24"/>
          <w:szCs w:val="24"/>
        </w:rPr>
      </w:pPr>
    </w:p>
    <w:p w14:paraId="138CD393">
      <w:pPr>
        <w:spacing w:line="360" w:lineRule="auto"/>
        <w:jc w:val="center"/>
        <w:rPr>
          <w:rFonts w:hint="default" w:ascii="Times New Roman" w:hAnsi="Times New Roman" w:cs="Times New Roman"/>
          <w:b w:val="0"/>
          <w:bCs/>
          <w:sz w:val="24"/>
          <w:szCs w:val="24"/>
        </w:rPr>
      </w:pPr>
    </w:p>
    <w:p w14:paraId="12E43245">
      <w:pPr>
        <w:spacing w:line="360" w:lineRule="auto"/>
        <w:jc w:val="center"/>
        <w:rPr>
          <w:rFonts w:hint="default" w:ascii="Times New Roman" w:hAnsi="Times New Roman" w:cs="Times New Roman"/>
          <w:b w:val="0"/>
          <w:bCs/>
          <w:sz w:val="24"/>
          <w:szCs w:val="24"/>
        </w:rPr>
      </w:pPr>
    </w:p>
    <w:p w14:paraId="38F55C3F">
      <w:pPr>
        <w:spacing w:line="360" w:lineRule="auto"/>
        <w:jc w:val="center"/>
        <w:rPr>
          <w:rFonts w:hint="default" w:ascii="Times New Roman" w:hAnsi="Times New Roman" w:cs="Times New Roman"/>
          <w:b w:val="0"/>
          <w:bCs/>
          <w:sz w:val="24"/>
          <w:szCs w:val="24"/>
        </w:rPr>
      </w:pPr>
    </w:p>
    <w:p w14:paraId="4A886443">
      <w:pPr>
        <w:spacing w:line="360" w:lineRule="auto"/>
        <w:jc w:val="center"/>
        <w:rPr>
          <w:rFonts w:hint="default" w:ascii="Times New Roman" w:hAnsi="Times New Roman" w:cs="Times New Roman"/>
          <w:b w:val="0"/>
          <w:bCs/>
          <w:sz w:val="24"/>
          <w:szCs w:val="24"/>
        </w:rPr>
      </w:pPr>
    </w:p>
    <w:p w14:paraId="341649D0">
      <w:pPr>
        <w:spacing w:line="360" w:lineRule="auto"/>
        <w:jc w:val="center"/>
        <w:rPr>
          <w:rFonts w:hint="default" w:ascii="Times New Roman" w:hAnsi="Times New Roman" w:cs="Times New Roman"/>
          <w:b w:val="0"/>
          <w:bCs/>
          <w:sz w:val="24"/>
          <w:szCs w:val="24"/>
        </w:rPr>
      </w:pPr>
    </w:p>
    <w:p w14:paraId="04ADDB09">
      <w:pPr>
        <w:spacing w:line="360" w:lineRule="auto"/>
        <w:jc w:val="center"/>
        <w:rPr>
          <w:rFonts w:hint="default" w:ascii="Times New Roman" w:hAnsi="Times New Roman" w:cs="Times New Roman"/>
          <w:b w:val="0"/>
          <w:bCs/>
          <w:sz w:val="24"/>
          <w:szCs w:val="24"/>
        </w:rPr>
      </w:pPr>
    </w:p>
    <w:p w14:paraId="727DD1EB">
      <w:pPr>
        <w:spacing w:line="360" w:lineRule="auto"/>
        <w:jc w:val="center"/>
        <w:rPr>
          <w:rFonts w:hint="default" w:ascii="Times New Roman" w:hAnsi="Times New Roman" w:cs="Times New Roman"/>
          <w:b w:val="0"/>
          <w:bCs/>
          <w:sz w:val="24"/>
          <w:szCs w:val="24"/>
        </w:rPr>
      </w:pPr>
    </w:p>
    <w:p w14:paraId="151F57D1">
      <w:pPr>
        <w:spacing w:line="360" w:lineRule="auto"/>
        <w:jc w:val="center"/>
        <w:rPr>
          <w:rFonts w:hint="default" w:ascii="Times New Roman" w:hAnsi="Times New Roman" w:cs="Times New Roman"/>
          <w:b w:val="0"/>
          <w:bCs/>
          <w:sz w:val="24"/>
          <w:szCs w:val="24"/>
        </w:rPr>
      </w:pPr>
    </w:p>
    <w:p w14:paraId="0D70B24B">
      <w:pPr>
        <w:spacing w:line="360" w:lineRule="auto"/>
        <w:jc w:val="center"/>
        <w:rPr>
          <w:rFonts w:hint="default" w:ascii="Times New Roman" w:hAnsi="Times New Roman" w:cs="Times New Roman"/>
          <w:b w:val="0"/>
          <w:bCs/>
          <w:sz w:val="24"/>
          <w:szCs w:val="24"/>
        </w:rPr>
      </w:pPr>
    </w:p>
    <w:p w14:paraId="01AC3BA8">
      <w:pPr>
        <w:spacing w:line="360" w:lineRule="auto"/>
        <w:jc w:val="center"/>
        <w:rPr>
          <w:rFonts w:hint="default" w:ascii="Times New Roman" w:hAnsi="Times New Roman" w:cs="Times New Roman"/>
          <w:b w:val="0"/>
          <w:bCs/>
          <w:sz w:val="24"/>
          <w:szCs w:val="24"/>
        </w:rPr>
      </w:pPr>
      <w:bookmarkStart w:id="10" w:name="_GoBack"/>
      <w:bookmarkEnd w:id="10"/>
    </w:p>
    <w:p w14:paraId="245A7DCF">
      <w:pPr>
        <w:spacing w:line="360" w:lineRule="auto"/>
        <w:jc w:val="center"/>
        <w:rPr>
          <w:rFonts w:hint="default" w:ascii="Times New Roman" w:hAnsi="Times New Roman" w:cs="Times New Roman"/>
          <w:b w:val="0"/>
          <w:bCs/>
          <w:sz w:val="18"/>
          <w:szCs w:val="18"/>
        </w:rPr>
      </w:pPr>
    </w:p>
    <w:p w14:paraId="4A6B894E">
      <w:pPr>
        <w:spacing w:line="360" w:lineRule="auto"/>
        <w:jc w:val="center"/>
        <w:rPr>
          <w:rFonts w:hint="default"/>
          <w:sz w:val="16"/>
          <w:szCs w:val="16"/>
        </w:rPr>
      </w:pPr>
      <w:r>
        <w:rPr>
          <w:rFonts w:hint="default"/>
          <w:sz w:val="16"/>
          <w:szCs w:val="16"/>
        </w:rPr>
        <w:t>I confirm that I have not used any AI tools in the research and creation of this</w:t>
      </w:r>
      <w:r>
        <w:rPr>
          <w:rFonts w:hint="default"/>
          <w:sz w:val="16"/>
          <w:szCs w:val="16"/>
          <w:lang w:val="en-GB"/>
        </w:rPr>
        <w:t xml:space="preserve"> </w:t>
      </w:r>
      <w:r>
        <w:rPr>
          <w:rFonts w:hint="default"/>
          <w:sz w:val="16"/>
          <w:szCs w:val="16"/>
        </w:rPr>
        <w:t>assignment. I confirm that I have not presented any AI generated materials as my own work. I</w:t>
      </w:r>
    </w:p>
    <w:p w14:paraId="24505409">
      <w:pPr>
        <w:spacing w:line="360" w:lineRule="auto"/>
        <w:ind w:firstLine="80" w:firstLineChars="50"/>
        <w:jc w:val="center"/>
        <w:rPr>
          <w:rFonts w:ascii="Times New Roman" w:hAnsi="Times New Roman" w:eastAsia="Times New Roman" w:cs="Times New Roman"/>
          <w:b/>
          <w:sz w:val="24"/>
          <w:szCs w:val="24"/>
        </w:rPr>
      </w:pPr>
      <w:r>
        <w:rPr>
          <w:rFonts w:hint="default"/>
          <w:sz w:val="16"/>
          <w:szCs w:val="16"/>
        </w:rPr>
        <w:t>confirm I have copies of my drafts, notes, and other resources I used, which I may be asked to</w:t>
      </w:r>
      <w:r>
        <w:rPr>
          <w:rFonts w:hint="default"/>
          <w:sz w:val="16"/>
          <w:szCs w:val="16"/>
          <w:lang w:val="en-GB"/>
        </w:rPr>
        <w:t xml:space="preserve"> </w:t>
      </w:r>
      <w:r>
        <w:rPr>
          <w:rFonts w:hint="default"/>
          <w:sz w:val="16"/>
          <w:szCs w:val="16"/>
        </w:rPr>
        <w:t>provide in evidence.</w:t>
      </w:r>
      <w:r>
        <w:br w:type="page"/>
      </w:r>
    </w:p>
    <w:p w14:paraId="4666833B">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of Contents </w:t>
      </w:r>
    </w:p>
    <w:sdt>
      <w:sdtPr>
        <w:id w:val="1495063182"/>
        <w:docPartObj>
          <w:docPartGallery w:val="Table of Contents"/>
          <w:docPartUnique/>
        </w:docPartObj>
      </w:sdtPr>
      <w:sdtContent>
        <w:p w14:paraId="13DCC96E">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"_bm7efcb1sewx" \h </w:instrText>
          </w:r>
          <w:r>
            <w:fldChar w:fldCharType="separate"/>
          </w:r>
          <w:r>
            <w:rPr>
              <w:rFonts w:ascii="Times New Roman" w:hAnsi="Times New Roman" w:eastAsia="Times New Roman" w:cs="Times New Roman"/>
              <w:color w:val="000000"/>
              <w:sz w:val="24"/>
              <w:szCs w:val="24"/>
            </w:rPr>
            <w:t>Introduction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_bm7efcb1sewx \h </w:instrText>
          </w:r>
          <w:r>
            <w:fldChar w:fldCharType="separate"/>
          </w:r>
          <w:r>
            <w:rPr>
              <w:rFonts w:ascii="Times New Roman" w:hAnsi="Times New Roman" w:eastAsia="Times New Roman" w:cs="Times New Roman"/>
              <w:sz w:val="24"/>
              <w:szCs w:val="24"/>
            </w:rPr>
            <w:t>3</w:t>
          </w:r>
          <w:r>
            <w:fldChar w:fldCharType="end"/>
          </w:r>
        </w:p>
        <w:p w14:paraId="090EF0ED">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"_nyrmcqghkfij" \h </w:instrText>
          </w:r>
          <w:r>
            <w:fldChar w:fldCharType="separate"/>
          </w:r>
          <w:r>
            <w:rPr>
              <w:rFonts w:ascii="Times New Roman" w:hAnsi="Times New Roman" w:eastAsia="Times New Roman" w:cs="Times New Roman"/>
              <w:color w:val="000000"/>
              <w:sz w:val="24"/>
              <w:szCs w:val="24"/>
            </w:rPr>
            <w:t>The Event Cycle</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_nyrmcqghkfij \h </w:instrText>
          </w:r>
          <w:r>
            <w:fldChar w:fldCharType="separate"/>
          </w:r>
          <w:r>
            <w:rPr>
              <w:rFonts w:ascii="Times New Roman" w:hAnsi="Times New Roman" w:eastAsia="Times New Roman" w:cs="Times New Roman"/>
              <w:sz w:val="24"/>
              <w:szCs w:val="24"/>
            </w:rPr>
            <w:t>3</w:t>
          </w:r>
          <w:r>
            <w:fldChar w:fldCharType="end"/>
          </w:r>
        </w:p>
        <w:p w14:paraId="58210DBB">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"_cr9osx4p5m96" \h </w:instrText>
          </w:r>
          <w:r>
            <w:fldChar w:fldCharType="separate"/>
          </w:r>
          <w:r>
            <w:rPr>
              <w:rFonts w:ascii="Times New Roman" w:hAnsi="Times New Roman" w:eastAsia="Times New Roman" w:cs="Times New Roman"/>
              <w:color w:val="000000"/>
              <w:sz w:val="24"/>
              <w:szCs w:val="24"/>
            </w:rPr>
            <w:t>Event Concept</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_cr9osx4p5m96 \h </w:instrText>
          </w:r>
          <w:r>
            <w:fldChar w:fldCharType="separate"/>
          </w:r>
          <w:r>
            <w:rPr>
              <w:rFonts w:ascii="Times New Roman" w:hAnsi="Times New Roman" w:eastAsia="Times New Roman" w:cs="Times New Roman"/>
              <w:sz w:val="24"/>
              <w:szCs w:val="24"/>
            </w:rPr>
            <w:t>4</w:t>
          </w:r>
          <w:r>
            <w:fldChar w:fldCharType="end"/>
          </w:r>
        </w:p>
        <w:p w14:paraId="4E438AA4">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"_rwpv2nq0mpuh" \h </w:instrText>
          </w:r>
          <w:r>
            <w:fldChar w:fldCharType="separate"/>
          </w:r>
          <w:r>
            <w:rPr>
              <w:rFonts w:ascii="Times New Roman" w:hAnsi="Times New Roman" w:eastAsia="Times New Roman" w:cs="Times New Roman"/>
              <w:color w:val="000000"/>
              <w:sz w:val="24"/>
              <w:szCs w:val="24"/>
            </w:rPr>
            <w:t>Aim and Objectives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_rwpv2nq0mpuh \h </w:instrText>
          </w:r>
          <w:r>
            <w:fldChar w:fldCharType="separate"/>
          </w:r>
          <w:r>
            <w:rPr>
              <w:rFonts w:ascii="Times New Roman" w:hAnsi="Times New Roman" w:eastAsia="Times New Roman" w:cs="Times New Roman"/>
              <w:sz w:val="24"/>
              <w:szCs w:val="24"/>
            </w:rPr>
            <w:t>5</w:t>
          </w:r>
          <w:r>
            <w:fldChar w:fldCharType="end"/>
          </w:r>
        </w:p>
        <w:p w14:paraId="3A66EC31">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"_ffbtrlgfd3ti" \h </w:instrText>
          </w:r>
          <w:r>
            <w:fldChar w:fldCharType="separate"/>
          </w:r>
          <w:r>
            <w:rPr>
              <w:rFonts w:ascii="Times New Roman" w:hAnsi="Times New Roman" w:eastAsia="Times New Roman" w:cs="Times New Roman"/>
              <w:color w:val="000000"/>
              <w:sz w:val="24"/>
              <w:szCs w:val="24"/>
            </w:rPr>
            <w:t>Event Management Plan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_ffbtrlgfd3ti \h </w:instrText>
          </w:r>
          <w:r>
            <w:fldChar w:fldCharType="separate"/>
          </w:r>
          <w:r>
            <w:rPr>
              <w:rFonts w:ascii="Times New Roman" w:hAnsi="Times New Roman" w:eastAsia="Times New Roman" w:cs="Times New Roman"/>
              <w:sz w:val="24"/>
              <w:szCs w:val="24"/>
            </w:rPr>
            <w:t>6</w:t>
          </w:r>
          <w:r>
            <w:fldChar w:fldCharType="end"/>
          </w:r>
        </w:p>
        <w:p w14:paraId="78CE4533">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"_kk9vve8yn717" \h </w:instrText>
          </w:r>
          <w:r>
            <w:fldChar w:fldCharType="separate"/>
          </w:r>
          <w:r>
            <w:rPr>
              <w:rFonts w:ascii="Times New Roman" w:hAnsi="Times New Roman" w:eastAsia="Times New Roman" w:cs="Times New Roman"/>
              <w:color w:val="000000"/>
              <w:sz w:val="24"/>
              <w:szCs w:val="24"/>
            </w:rPr>
            <w:t>Budget</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_kk9vve8yn717 \h </w:instrText>
          </w:r>
          <w:r>
            <w:fldChar w:fldCharType="separate"/>
          </w:r>
          <w:r>
            <w:rPr>
              <w:rFonts w:ascii="Times New Roman" w:hAnsi="Times New Roman" w:eastAsia="Times New Roman" w:cs="Times New Roman"/>
              <w:sz w:val="24"/>
              <w:szCs w:val="24"/>
            </w:rPr>
            <w:t>7</w:t>
          </w:r>
          <w:r>
            <w:fldChar w:fldCharType="end"/>
          </w:r>
        </w:p>
        <w:p w14:paraId="5F42E073">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"_fprq6bim6l2l" \h </w:instrText>
          </w:r>
          <w:r>
            <w:fldChar w:fldCharType="separate"/>
          </w:r>
          <w:r>
            <w:rPr>
              <w:rFonts w:ascii="Times New Roman" w:hAnsi="Times New Roman" w:eastAsia="Times New Roman" w:cs="Times New Roman"/>
              <w:color w:val="000000"/>
              <w:sz w:val="24"/>
              <w:szCs w:val="24"/>
            </w:rPr>
            <w:t>Industry Trends / Issues / Impacts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_fprq6bim6l2l \h </w:instrText>
          </w:r>
          <w:r>
            <w:fldChar w:fldCharType="separate"/>
          </w:r>
          <w:r>
            <w:rPr>
              <w:rFonts w:ascii="Times New Roman" w:hAnsi="Times New Roman" w:eastAsia="Times New Roman" w:cs="Times New Roman"/>
              <w:sz w:val="24"/>
              <w:szCs w:val="24"/>
            </w:rPr>
            <w:t>8</w:t>
          </w:r>
          <w:r>
            <w:fldChar w:fldCharType="end"/>
          </w:r>
        </w:p>
        <w:p w14:paraId="2C6E1DED">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"_lx3qvdkuvtyo" \h </w:instrText>
          </w:r>
          <w:r>
            <w:fldChar w:fldCharType="separate"/>
          </w:r>
          <w:r>
            <w:rPr>
              <w:rFonts w:ascii="Times New Roman" w:hAnsi="Times New Roman" w:eastAsia="Times New Roman" w:cs="Times New Roman"/>
              <w:color w:val="000000"/>
              <w:sz w:val="24"/>
              <w:szCs w:val="24"/>
            </w:rPr>
            <w:t>Situational and Cultural Considerations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_lx3qvdkuvtyo \h </w:instrText>
          </w:r>
          <w:r>
            <w:fldChar w:fldCharType="separate"/>
          </w:r>
          <w:r>
            <w:rPr>
              <w:rFonts w:ascii="Times New Roman" w:hAnsi="Times New Roman" w:eastAsia="Times New Roman" w:cs="Times New Roman"/>
              <w:sz w:val="24"/>
              <w:szCs w:val="24"/>
            </w:rPr>
            <w:t>9</w:t>
          </w:r>
          <w:r>
            <w:fldChar w:fldCharType="end"/>
          </w:r>
        </w:p>
        <w:p w14:paraId="0330A57F">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"_l2gzxgl114zv" \h </w:instrText>
          </w:r>
          <w:r>
            <w:fldChar w:fldCharType="separate"/>
          </w:r>
          <w:r>
            <w:rPr>
              <w:rFonts w:ascii="Times New Roman" w:hAnsi="Times New Roman" w:eastAsia="Times New Roman" w:cs="Times New Roman"/>
              <w:color w:val="000000"/>
              <w:sz w:val="24"/>
              <w:szCs w:val="24"/>
            </w:rPr>
            <w:t>Conclusion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_l2gzxgl114zv \h </w:instrText>
          </w:r>
          <w:r>
            <w:fldChar w:fldCharType="separate"/>
          </w:r>
          <w:r>
            <w:rPr>
              <w:rFonts w:ascii="Times New Roman" w:hAnsi="Times New Roman" w:eastAsia="Times New Roman" w:cs="Times New Roman"/>
              <w:sz w:val="24"/>
              <w:szCs w:val="24"/>
            </w:rPr>
            <w:t>11</w:t>
          </w:r>
          <w:r>
            <w:fldChar w:fldCharType="end"/>
          </w:r>
        </w:p>
        <w:p w14:paraId="1F72767B">
          <w:pPr>
            <w:widowControl w:val="0"/>
            <w:tabs>
              <w:tab w:val="right" w:pos="9025"/>
            </w:tabs>
            <w:spacing w:before="60" w:line="360" w:lineRule="auto"/>
            <w:rPr>
              <w:rFonts w:ascii="Times New Roman" w:hAnsi="Times New Roman" w:eastAsia="Times New Roman" w:cs="Times New Roman"/>
              <w:color w:val="000000"/>
              <w:sz w:val="24"/>
              <w:szCs w:val="24"/>
            </w:rPr>
          </w:pPr>
          <w:r>
            <w:fldChar w:fldCharType="begin"/>
          </w:r>
          <w:r>
            <w:instrText xml:space="preserve"> HYPERLINK \l "_baofvavpqd9m" \h </w:instrText>
          </w:r>
          <w:r>
            <w:fldChar w:fldCharType="separate"/>
          </w:r>
          <w:r>
            <w:rPr>
              <w:rFonts w:ascii="Times New Roman" w:hAnsi="Times New Roman" w:eastAsia="Times New Roman" w:cs="Times New Roman"/>
              <w:color w:val="000000"/>
              <w:sz w:val="24"/>
              <w:szCs w:val="24"/>
            </w:rPr>
            <w:t>Reference List</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_baofvavpqd9m \h </w:instrText>
          </w:r>
          <w:r>
            <w:fldChar w:fldCharType="separate"/>
          </w:r>
          <w:r>
            <w:rPr>
              <w:rFonts w:ascii="Times New Roman" w:hAnsi="Times New Roman" w:eastAsia="Times New Roman" w:cs="Times New Roman"/>
              <w:sz w:val="24"/>
              <w:szCs w:val="24"/>
            </w:rPr>
            <w:t>12</w:t>
          </w:r>
          <w:r>
            <w:fldChar w:fldCharType="end"/>
          </w:r>
          <w:r>
            <w:fldChar w:fldCharType="end"/>
          </w:r>
        </w:p>
      </w:sdtContent>
    </w:sdt>
    <w:p w14:paraId="420D04F9">
      <w:pPr>
        <w:spacing w:line="360" w:lineRule="auto"/>
        <w:jc w:val="center"/>
        <w:rPr>
          <w:rFonts w:ascii="Times New Roman" w:hAnsi="Times New Roman" w:eastAsia="Times New Roman" w:cs="Times New Roman"/>
          <w:b/>
          <w:sz w:val="24"/>
          <w:szCs w:val="24"/>
        </w:rPr>
      </w:pPr>
      <w:r>
        <w:br w:type="page"/>
      </w:r>
    </w:p>
    <w:p w14:paraId="7C6A20E0">
      <w:pPr>
        <w:pStyle w:val="2"/>
        <w:spacing w:before="240" w:after="240"/>
      </w:pPr>
      <w:bookmarkStart w:id="0" w:name="_bm7efcb1sewx" w:colFirst="0" w:colLast="0"/>
      <w:bookmarkEnd w:id="0"/>
      <w:r>
        <w:t>Introduction</w:t>
      </w:r>
    </w:p>
    <w:p w14:paraId="33F66228">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Meeting/event</w:t>
      </w:r>
    </w:p>
    <w:p w14:paraId="314CA65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event related to the current research is the Waves of Welcome-Coastal Wales Festival, an international cultural event that will take place over four days. The purpose of the event is to celebrate coastal life, local cuisine, maritime heritage, community storytelling and wellness. The event aims to provide eco-friendly, immersive, and inclusive experiences that contribute to Wales' unique identity.</w:t>
      </w:r>
    </w:p>
    <w:p w14:paraId="2255D028">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Reason for selection</w:t>
      </w:r>
    </w:p>
    <w:p w14:paraId="74A2773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reason for which the event has been selected is to address the increased demand for place-based, sustainable and authentic tourism. The event creates a perfect combination of wellness and cultural heritage in tourism and is highly innovative and distinctive as compared to generic music festivals or generic food. Moreover, the event also aims to provide maritime heritage celebrations by focusing on the Welsh event calendar.</w:t>
      </w:r>
    </w:p>
    <w:p w14:paraId="7495325E">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Location</w:t>
      </w:r>
    </w:p>
    <w:p w14:paraId="35ECF68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location of the event is Tenby, Pembrokeshire Coast National which is identified as one of the top-rated coastal destinations of the UK. It is highly popular for its historic town walls, sandy beaches and vibrant local culture. Thus, the selection of Tenby has provided open-air and coastal themes to the event. </w:t>
      </w:r>
    </w:p>
    <w:p w14:paraId="053E9DAB">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Description and background </w:t>
      </w:r>
    </w:p>
    <w:p w14:paraId="5CCCDBC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event is a 4-5 days Summer Festival arranged in Tenby and the crux of the event rests on upholding the maritime heritage, local cuisine, wellness and coastal creativity of the region. The purpose is to promote sustainability, cultural appreciation and community engagement with the popular region of Pembrokeshire Coast National Park. </w:t>
      </w:r>
    </w:p>
    <w:p w14:paraId="20CFDFC6">
      <w:pPr>
        <w:pStyle w:val="2"/>
        <w:spacing w:before="240" w:after="240"/>
        <w:jc w:val="both"/>
      </w:pPr>
      <w:bookmarkStart w:id="1" w:name="_nyrmcqghkfij" w:colFirst="0" w:colLast="0"/>
      <w:bookmarkEnd w:id="1"/>
      <w:r>
        <w:t xml:space="preserve">The Event Cycle  </w:t>
      </w:r>
    </w:p>
    <w:p w14:paraId="2343FDF2">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Event cycle definition</w:t>
      </w:r>
    </w:p>
    <w:p w14:paraId="2145ED7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 event cycle is defined as a sequence of stages during an event starting from the initial conception stage and continuing till post-event evaluation. In the opinion of Bowdin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(2023), the key phases of the cycle include initiation, planning, implementation, event delivery and closure. In each of the stages, there is involvement of operational and strategic activities so that the success of the event can be ensured. </w:t>
      </w:r>
    </w:p>
    <w:p w14:paraId="78117D6C">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Application to the event</w:t>
      </w:r>
    </w:p>
    <w:p w14:paraId="7C1B1F7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Considering the </w:t>
      </w:r>
      <w:r>
        <w:rPr>
          <w:rFonts w:ascii="Times New Roman" w:hAnsi="Times New Roman" w:eastAsia="Times New Roman" w:cs="Times New Roman"/>
          <w:i/>
          <w:sz w:val="24"/>
          <w:szCs w:val="24"/>
        </w:rPr>
        <w:t xml:space="preserve">Waves of Welcome – Coastal Wales Festival </w:t>
      </w:r>
      <w:r>
        <w:rPr>
          <w:rFonts w:ascii="Times New Roman" w:hAnsi="Times New Roman" w:eastAsia="Times New Roman" w:cs="Times New Roman"/>
          <w:sz w:val="24"/>
          <w:szCs w:val="24"/>
        </w:rPr>
        <w:t>event, the initiation stage is the first phase where there is identification of the stakeholders and key concept of the event. The crux of the event rests on Welsh maritime heritage and targets the national tourism objectives along with addressing the interests of the stakeholders.</w:t>
      </w:r>
    </w:p>
    <w:p w14:paraId="25CAE19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During the planning phase, the key activities involved are venue selection, budgeting and resource allocation, and budgeting. As mentioned by Haven (2025), Tenby was chosen as the location for the venue due to its accessibility, cultural relevance and location. Moreover, in this phase, there is also coordination between the local authorities and pre-event coordination so that the necessary facilities such as catering, lighting, safety and waste management aspects could be identified. </w:t>
      </w:r>
    </w:p>
    <w:p w14:paraId="07AE5F2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implementation phase involves vendor coordination, marketing activities and finalising the logistics. As influenced by Ramely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(2022), smooth execution during this phase could be ensured through different activities including securing sponsorship from eco-friendly companies, crowd management strategies and boosting ticket sales.</w:t>
      </w:r>
    </w:p>
    <w:p w14:paraId="70CC6E0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event delivery stage would put emphasis on the transition to real-time operations such as issue resolution, guest experience and staff supervision.</w:t>
      </w:r>
    </w:p>
    <w:p w14:paraId="3B4C6BA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Finally, in the closure and evaluation phase, there is an assessment of the event's performance through assessing its financial outcomes, sustainability impact and feedback. Additionally, according to Senevirathna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(2023), this stage would also assess the extent to which the event has contributed to the betterment of the environment and cultural engagement. </w:t>
      </w:r>
    </w:p>
    <w:p w14:paraId="7594F287">
      <w:pPr>
        <w:pStyle w:val="2"/>
        <w:spacing w:before="240" w:after="240"/>
        <w:jc w:val="both"/>
      </w:pPr>
      <w:bookmarkStart w:id="2" w:name="_cr9osx4p5m96" w:colFirst="0" w:colLast="0"/>
      <w:bookmarkEnd w:id="2"/>
      <w:r>
        <w:t xml:space="preserve">Event Concept  </w:t>
      </w:r>
    </w:p>
    <w:p w14:paraId="089156B9">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Experience of the guests/delegates with full itinerary </w:t>
      </w:r>
    </w:p>
    <w:p w14:paraId="652F621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event is designed in a way to provide an immersive and rich experience through which the maritime, cultural and natural heritage of the coastal region of Wales could be celebrated. The event is located in Tenby which is known for its scenic beauty where a 4-5 days summer festival would be provided to international tourists who are inclined towards eco-conscious and meaningful tourism. As inspired by Del Soldato and Massari (2024), there is the integration of heritage storytelling, sustainable cuisine, coastal wellness and creative workshops with the intent of reflecting the identity of Wales and fostering community inclusion.</w:t>
      </w:r>
    </w:p>
    <w:p w14:paraId="63C6560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each of the days of the event, a thematic approach would be followed which would pivot around cuisine, heritage, wellness and coastal creativity. Moreover, as mentioned by Pembrokeshire Coast National Park (2025), the selection of Pembrokeshire Coast is likely to enhance the experience of the tourists due to rich historical landmarks and stunning seaside views including Tenby town halls and St. Catherine's Island. </w:t>
      </w:r>
    </w:p>
    <w:p w14:paraId="31AA442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first day of the event, there would be an arrangement of welcome storytelling through the involvement of maritime heritage and local storytelling. There would also be provision of introductory detail to tourists on the historic town hall of Tenby.</w:t>
      </w:r>
    </w:p>
    <w:p w14:paraId="0B9FB3A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second-day itinerary would include heritage craft workshops coupled with the display of coastal arts at the National Park at Pembrokeshire Coast.</w:t>
      </w:r>
    </w:p>
    <w:p w14:paraId="0FFC688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food trail would be introduced on the third day of the event which would help in featuring coastal cuisine of Welsh along with open-air dining experiences.</w:t>
      </w:r>
    </w:p>
    <w:p w14:paraId="00058E4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fourth day would be kept for wellness activities and heritage walks such as beach yoga or a walk to St Catherine's Island. On the evening of the fourth day, there would be an arrangement of a folk music festival (Getz and Page, 2019).</w:t>
      </w:r>
    </w:p>
    <w:p w14:paraId="1E28863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Finally, on the last day, there would be an arrangement of cultural seminars to make the tourists well educated about maritime history, and eco-friendly celebrations. Additionally, there would also be closure of the event through performing the traditional Welsh events.</w:t>
      </w:r>
    </w:p>
    <w:p w14:paraId="375BB3CC">
      <w:pPr>
        <w:pStyle w:val="2"/>
        <w:spacing w:before="240" w:after="240"/>
        <w:jc w:val="both"/>
      </w:pPr>
      <w:bookmarkStart w:id="3" w:name="_rwpv2nq0mpuh" w:colFirst="0" w:colLast="0"/>
      <w:bookmarkEnd w:id="3"/>
      <w:r>
        <w:t xml:space="preserve">Aim and Objectives </w:t>
      </w:r>
    </w:p>
    <w:p w14:paraId="06AD7E9B">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Aim</w:t>
      </w:r>
    </w:p>
    <w:p w14:paraId="14F9BF9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event aims to promote the coastal lifestyle, sustainability and heritage of Wales through eco-friendly, immersive and inclusive experiences. Moreover, the event also aims to constitute engagement among local communities along with attracting international tourists.</w:t>
      </w:r>
    </w:p>
    <w:p w14:paraId="55529A34">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Objective </w:t>
      </w:r>
    </w:p>
    <w:tbl>
      <w:tblPr>
        <w:tblStyle w:val="19"/>
        <w:tblW w:w="886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710"/>
        <w:gridCol w:w="1755"/>
        <w:gridCol w:w="1830"/>
        <w:gridCol w:w="1830"/>
        <w:gridCol w:w="1740"/>
      </w:tblGrid>
      <w:tr w14:paraId="6FD7BC9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300" w:hRule="atLeast"/>
          <w:tblHeader/>
        </w:trPr>
        <w:tc>
          <w:tcPr>
            <w:tcW w:w="171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14:paraId="5B826176">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Specific</w:t>
            </w:r>
          </w:p>
        </w:tc>
        <w:tc>
          <w:tcPr>
            <w:tcW w:w="1755"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2F56C681">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Measurable</w:t>
            </w:r>
          </w:p>
        </w:tc>
        <w:tc>
          <w:tcPr>
            <w:tcW w:w="183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0C62A920">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Attainable</w:t>
            </w:r>
          </w:p>
        </w:tc>
        <w:tc>
          <w:tcPr>
            <w:tcW w:w="183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04C680B1">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Relevance</w:t>
            </w:r>
          </w:p>
        </w:tc>
        <w:tc>
          <w:tcPr>
            <w:tcW w:w="174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6B34ED5C">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Timebound</w:t>
            </w:r>
          </w:p>
        </w:tc>
      </w:tr>
      <w:tr w14:paraId="29F756E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3420" w:hRule="atLeast"/>
          <w:tblHeader/>
        </w:trPr>
        <w:tc>
          <w:tcPr>
            <w:tcW w:w="171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5CF25E0A">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Increasing attendance at the festivals by attracting cultural travellers</w:t>
            </w:r>
          </w:p>
        </w:tc>
        <w:tc>
          <w:tcPr>
            <w:tcW w:w="1755" w:type="dxa"/>
            <w:tcBorders>
              <w:top w:val="nil"/>
              <w:left w:val="nil"/>
              <w:bottom w:val="single" w:color="000000" w:sz="6" w:space="0"/>
              <w:right w:val="single" w:color="000000" w:sz="6" w:space="0"/>
            </w:tcBorders>
            <w:tcMar>
              <w:top w:w="0" w:type="dxa"/>
              <w:left w:w="100" w:type="dxa"/>
              <w:bottom w:w="0" w:type="dxa"/>
              <w:right w:w="100" w:type="dxa"/>
            </w:tcMar>
          </w:tcPr>
          <w:p w14:paraId="60044FFA">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20-25% increase in event attendance as compared to the previous year</w:t>
            </w:r>
          </w:p>
        </w:tc>
        <w:tc>
          <w:tcPr>
            <w:tcW w:w="1830" w:type="dxa"/>
            <w:tcBorders>
              <w:top w:val="nil"/>
              <w:left w:val="nil"/>
              <w:bottom w:val="single" w:color="000000" w:sz="6" w:space="0"/>
              <w:right w:val="single" w:color="000000" w:sz="6" w:space="0"/>
            </w:tcBorders>
            <w:tcMar>
              <w:top w:w="0" w:type="dxa"/>
              <w:left w:w="100" w:type="dxa"/>
              <w:bottom w:w="0" w:type="dxa"/>
              <w:right w:w="100" w:type="dxa"/>
            </w:tcMar>
          </w:tcPr>
          <w:p w14:paraId="55DEACEB">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influenced by Halkiopoulos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targeted marketing campaigns and partnerships should be implemented by collaborating with vendors and local artists.</w:t>
            </w:r>
          </w:p>
        </w:tc>
        <w:tc>
          <w:tcPr>
            <w:tcW w:w="1830" w:type="dxa"/>
            <w:tcBorders>
              <w:top w:val="nil"/>
              <w:left w:val="nil"/>
              <w:bottom w:val="single" w:color="000000" w:sz="6" w:space="0"/>
              <w:right w:val="single" w:color="000000" w:sz="6" w:space="0"/>
            </w:tcBorders>
            <w:tcMar>
              <w:top w:w="0" w:type="dxa"/>
              <w:left w:w="100" w:type="dxa"/>
              <w:bottom w:w="0" w:type="dxa"/>
              <w:right w:w="100" w:type="dxa"/>
            </w:tcMar>
          </w:tcPr>
          <w:p w14:paraId="783DE8C2">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would culminate in alignment with the goal of the event putting emphasis on promoting the coastal culture and sustainability of Wales.</w:t>
            </w:r>
          </w:p>
        </w:tc>
        <w:tc>
          <w:tcPr>
            <w:tcW w:w="1740" w:type="dxa"/>
            <w:tcBorders>
              <w:top w:val="nil"/>
              <w:left w:val="nil"/>
              <w:bottom w:val="single" w:color="000000" w:sz="6" w:space="0"/>
              <w:right w:val="single" w:color="000000" w:sz="6" w:space="0"/>
            </w:tcBorders>
            <w:tcMar>
              <w:top w:w="0" w:type="dxa"/>
              <w:left w:w="100" w:type="dxa"/>
              <w:bottom w:w="0" w:type="dxa"/>
              <w:right w:w="100" w:type="dxa"/>
            </w:tcMar>
          </w:tcPr>
          <w:p w14:paraId="70C04889">
            <w:p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Mid-June or early July, 2025</w:t>
            </w:r>
          </w:p>
        </w:tc>
      </w:tr>
    </w:tbl>
    <w:p w14:paraId="4889A59A">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SMART objective </w:t>
      </w:r>
    </w:p>
    <w:p w14:paraId="37B79534">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Created by Author)</w:t>
      </w:r>
    </w:p>
    <w:p w14:paraId="45DB3E51">
      <w:pPr>
        <w:pStyle w:val="2"/>
        <w:spacing w:before="240" w:after="240"/>
        <w:jc w:val="both"/>
      </w:pPr>
      <w:bookmarkStart w:id="4" w:name="_ffbtrlgfd3ti" w:colFirst="0" w:colLast="0"/>
      <w:bookmarkEnd w:id="4"/>
      <w:r>
        <w:t>Event Management Plan</w:t>
      </w:r>
    </w:p>
    <w:p w14:paraId="523A504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Operational skills and resources</w:t>
      </w:r>
    </w:p>
    <w:p w14:paraId="5BBAEFA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primary skills and resources required in the event would include operational as part of which there would be a requirement for a well-trained team with adequate experience of the safety of</w:t>
      </w:r>
      <w:r>
        <w:rPr>
          <w:rFonts w:ascii="Times New Roman" w:hAnsi="Times New Roman" w:eastAsia="Times New Roman" w:cs="Times New Roman"/>
          <w:sz w:val="24"/>
          <w:szCs w:val="24"/>
          <w:highlight w:val="white"/>
        </w:rPr>
        <w:t xml:space="preserve">ficers, musicologist, local guides and event coordinators. The role of these people is to manage storytelling sessions, crowd control, wellness activities and heritage walks. Moreover, emergency services would be </w:t>
      </w:r>
      <w:r>
        <w:rPr>
          <w:rFonts w:ascii="Times New Roman" w:hAnsi="Times New Roman" w:eastAsia="Times New Roman" w:cs="Times New Roman"/>
          <w:sz w:val="24"/>
          <w:szCs w:val="24"/>
        </w:rPr>
        <w:t xml:space="preserve">managed by rescue teams and first aid responders (Catapult Services, 2025). The technical team would be entrusted with waste management, sanitation and lighting. Additionally, risks would be overseen by the security and safety managers and setup and guest services would be managed by volunteers and tech experts. </w:t>
      </w:r>
    </w:p>
    <w:p w14:paraId="18338490">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Administrative and planning</w:t>
      </w:r>
    </w:p>
    <w:p w14:paraId="2B61F44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effective management of the event, there is a requirement of strong planning skills for effective permit acquisition, venue booking, legal compliance and budgeting. As studied by Bowdin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(2023), the initiation of coordination with local authorities should happen in February as it marks high demand in Tenby. The tasks would be completed in an effective way through the arrangement of open-air programs, food trail and yoga setups. Moreover, the administrative skill also includes management of the £24,000 budget along with maintaining sustainable operations and securing sponsorship. </w:t>
      </w:r>
    </w:p>
    <w:p w14:paraId="760FA0B2">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Promotional and marketing skills</w:t>
      </w:r>
    </w:p>
    <w:p w14:paraId="1F36F14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is also a requirement for marketing and tourism skills for attracting international and domestic audiences, public relations, brand storytelling and digital marketing. In the opinion of Ardelean and Badulescu (2022), the marketing team should put emphasis on highlighting the seaside charm, environmental impact and maritime heritage of Tenby. Moreover, the marketing campaigns should be created through a unique blend of cuisine, culture and wellness and there could also be implementation of influencer partnerships, traditional press and social media. In order to enhance funding and visibility, an essential factor is sponsorship outreach to eco-friendly brands along with forming partnerships with the Arts Council and Visit Wales. </w:t>
      </w:r>
    </w:p>
    <w:p w14:paraId="60B37486">
      <w:pPr>
        <w:pStyle w:val="2"/>
        <w:spacing w:before="240" w:after="240"/>
        <w:jc w:val="both"/>
      </w:pPr>
      <w:bookmarkStart w:id="5" w:name="_kk9vve8yn717" w:colFirst="0" w:colLast="0"/>
      <w:bookmarkEnd w:id="5"/>
      <w:r>
        <w:t xml:space="preserve">Budget  </w:t>
      </w:r>
    </w:p>
    <w:tbl>
      <w:tblPr>
        <w:tblStyle w:val="16"/>
        <w:tblW w:w="5000" w:type="pct"/>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7664"/>
        <w:gridCol w:w="1581"/>
      </w:tblGrid>
      <w:tr w14:paraId="7C1BB239">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06CB0B63">
            <w:pPr>
              <w:spacing w:line="240" w:lineRule="auto"/>
              <w:jc w:val="center"/>
              <w:rPr>
                <w:rFonts w:ascii="Arial" w:hAnsi="Arial" w:eastAsia="Times New Roman" w:cs="Arial"/>
                <w:sz w:val="36"/>
                <w:szCs w:val="36"/>
              </w:rPr>
            </w:pPr>
            <w:r>
              <w:rPr>
                <w:rFonts w:ascii="Times New Roman" w:hAnsi="Times New Roman" w:eastAsia="Times New Roman" w:cs="Times New Roman"/>
                <w:b/>
                <w:bCs/>
                <w:color w:val="000000"/>
                <w:sz w:val="21"/>
                <w:szCs w:val="21"/>
              </w:rPr>
              <w:t>Expenses </w:t>
            </w:r>
            <w:r>
              <w:rPr>
                <w:rFonts w:ascii="Times New Roman" w:hAnsi="Times New Roman" w:eastAsia="Times New Roman" w:cs="Times New Roman"/>
                <w:color w:val="000000"/>
                <w:sz w:val="36"/>
                <w:szCs w:val="36"/>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016D0FCA">
            <w:pPr>
              <w:spacing w:line="240" w:lineRule="auto"/>
              <w:rPr>
                <w:rFonts w:ascii="Arial" w:hAnsi="Arial" w:eastAsia="Times New Roman" w:cs="Arial"/>
                <w:sz w:val="36"/>
                <w:szCs w:val="36"/>
              </w:rPr>
            </w:pPr>
            <w:r>
              <w:rPr>
                <w:rFonts w:ascii="Times New Roman" w:hAnsi="Times New Roman" w:eastAsia="Times New Roman" w:cs="Times New Roman"/>
                <w:b/>
                <w:bCs/>
                <w:color w:val="000000"/>
                <w:sz w:val="21"/>
                <w:szCs w:val="21"/>
              </w:rPr>
              <w:t>Amount (£)</w:t>
            </w:r>
            <w:r>
              <w:rPr>
                <w:rFonts w:ascii="Times New Roman" w:hAnsi="Times New Roman" w:eastAsia="Times New Roman" w:cs="Times New Roman"/>
                <w:color w:val="000000"/>
                <w:sz w:val="36"/>
                <w:szCs w:val="36"/>
              </w:rPr>
              <w:t xml:space="preserve"> </w:t>
            </w:r>
          </w:p>
        </w:tc>
      </w:tr>
      <w:tr w14:paraId="68EE4555">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4CCCF5DE">
            <w:pPr>
              <w:spacing w:line="240" w:lineRule="auto"/>
              <w:jc w:val="both"/>
              <w:rPr>
                <w:rFonts w:ascii="Arial" w:hAnsi="Arial" w:eastAsia="Times New Roman" w:cs="Arial"/>
                <w:sz w:val="36"/>
                <w:szCs w:val="36"/>
              </w:rPr>
            </w:pPr>
            <w:r>
              <w:rPr>
                <w:rFonts w:ascii="Times New Roman" w:hAnsi="Times New Roman" w:eastAsia="Times New Roman" w:cs="Times New Roman"/>
                <w:color w:val="000000"/>
                <w:sz w:val="21"/>
                <w:szCs w:val="21"/>
              </w:rPr>
              <w:t>Payment to employees</w:t>
            </w:r>
            <w:r>
              <w:rPr>
                <w:rFonts w:ascii="Times New Roman" w:hAnsi="Times New Roman" w:eastAsia="Times New Roman" w:cs="Times New Roman"/>
                <w:color w:val="000000"/>
                <w:sz w:val="36"/>
                <w:szCs w:val="36"/>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1900A56D">
            <w:pPr>
              <w:spacing w:line="240" w:lineRule="auto"/>
              <w:jc w:val="right"/>
              <w:rPr>
                <w:rFonts w:ascii="Arial" w:hAnsi="Arial" w:eastAsia="Times New Roman" w:cs="Arial"/>
                <w:sz w:val="36"/>
                <w:szCs w:val="36"/>
              </w:rPr>
            </w:pPr>
            <w:r>
              <w:rPr>
                <w:rFonts w:ascii="Times New Roman" w:hAnsi="Times New Roman" w:eastAsia="Times New Roman" w:cs="Times New Roman"/>
                <w:color w:val="000000"/>
                <w:sz w:val="21"/>
                <w:szCs w:val="21"/>
              </w:rPr>
              <w:t>10000</w:t>
            </w:r>
            <w:r>
              <w:rPr>
                <w:rFonts w:ascii="Times New Roman" w:hAnsi="Times New Roman" w:eastAsia="Times New Roman" w:cs="Times New Roman"/>
                <w:color w:val="000000"/>
                <w:sz w:val="36"/>
                <w:szCs w:val="36"/>
              </w:rPr>
              <w:t xml:space="preserve"> </w:t>
            </w:r>
          </w:p>
        </w:tc>
      </w:tr>
      <w:tr w14:paraId="4EC10BEA">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239F11C7">
            <w:pPr>
              <w:spacing w:line="240" w:lineRule="auto"/>
              <w:jc w:val="both"/>
              <w:rPr>
                <w:rFonts w:ascii="Arial" w:hAnsi="Arial" w:eastAsia="Times New Roman" w:cs="Arial"/>
                <w:sz w:val="36"/>
                <w:szCs w:val="36"/>
              </w:rPr>
            </w:pPr>
            <w:r>
              <w:rPr>
                <w:rFonts w:ascii="Times New Roman" w:hAnsi="Times New Roman" w:eastAsia="Times New Roman" w:cs="Times New Roman"/>
                <w:color w:val="000000"/>
                <w:sz w:val="21"/>
                <w:szCs w:val="21"/>
              </w:rPr>
              <w:t>Legal Charges</w:t>
            </w:r>
            <w:r>
              <w:rPr>
                <w:rFonts w:ascii="Times New Roman" w:hAnsi="Times New Roman" w:eastAsia="Times New Roman" w:cs="Times New Roman"/>
                <w:color w:val="000000"/>
                <w:sz w:val="36"/>
                <w:szCs w:val="36"/>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5A03F17F">
            <w:pPr>
              <w:spacing w:line="240" w:lineRule="auto"/>
              <w:jc w:val="right"/>
              <w:rPr>
                <w:rFonts w:ascii="Arial" w:hAnsi="Arial" w:eastAsia="Times New Roman" w:cs="Arial"/>
                <w:sz w:val="36"/>
                <w:szCs w:val="36"/>
              </w:rPr>
            </w:pPr>
            <w:r>
              <w:rPr>
                <w:rFonts w:ascii="Times New Roman" w:hAnsi="Times New Roman" w:eastAsia="Times New Roman" w:cs="Times New Roman"/>
                <w:color w:val="000000"/>
                <w:sz w:val="21"/>
                <w:szCs w:val="21"/>
              </w:rPr>
              <w:t>3000</w:t>
            </w:r>
            <w:r>
              <w:rPr>
                <w:rFonts w:ascii="Times New Roman" w:hAnsi="Times New Roman" w:eastAsia="Times New Roman" w:cs="Times New Roman"/>
                <w:color w:val="000000"/>
                <w:sz w:val="36"/>
                <w:szCs w:val="36"/>
              </w:rPr>
              <w:t xml:space="preserve"> </w:t>
            </w:r>
          </w:p>
        </w:tc>
      </w:tr>
      <w:tr w14:paraId="7C655FDB">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4BE0EACE">
            <w:pPr>
              <w:spacing w:line="240" w:lineRule="auto"/>
              <w:jc w:val="both"/>
              <w:rPr>
                <w:rFonts w:ascii="Arial" w:hAnsi="Arial" w:eastAsia="Times New Roman" w:cs="Arial"/>
                <w:sz w:val="36"/>
                <w:szCs w:val="36"/>
              </w:rPr>
            </w:pPr>
            <w:r>
              <w:rPr>
                <w:rFonts w:ascii="Times New Roman" w:hAnsi="Times New Roman" w:eastAsia="Times New Roman" w:cs="Times New Roman"/>
                <w:color w:val="000000"/>
                <w:sz w:val="21"/>
                <w:szCs w:val="21"/>
              </w:rPr>
              <w:t>License Charges</w:t>
            </w:r>
            <w:r>
              <w:rPr>
                <w:rFonts w:ascii="Times New Roman" w:hAnsi="Times New Roman" w:eastAsia="Times New Roman" w:cs="Times New Roman"/>
                <w:color w:val="000000"/>
                <w:sz w:val="36"/>
                <w:szCs w:val="36"/>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62283CDF">
            <w:pPr>
              <w:spacing w:line="240" w:lineRule="auto"/>
              <w:jc w:val="right"/>
              <w:rPr>
                <w:rFonts w:ascii="Arial" w:hAnsi="Arial" w:eastAsia="Times New Roman" w:cs="Arial"/>
                <w:sz w:val="36"/>
                <w:szCs w:val="36"/>
              </w:rPr>
            </w:pPr>
            <w:r>
              <w:rPr>
                <w:rFonts w:ascii="Times New Roman" w:hAnsi="Times New Roman" w:eastAsia="Times New Roman" w:cs="Times New Roman"/>
                <w:color w:val="000000"/>
                <w:sz w:val="21"/>
                <w:szCs w:val="21"/>
              </w:rPr>
              <w:t>600</w:t>
            </w:r>
            <w:r>
              <w:rPr>
                <w:rFonts w:ascii="Times New Roman" w:hAnsi="Times New Roman" w:eastAsia="Times New Roman" w:cs="Times New Roman"/>
                <w:color w:val="000000"/>
                <w:sz w:val="36"/>
                <w:szCs w:val="36"/>
              </w:rPr>
              <w:t xml:space="preserve"> </w:t>
            </w:r>
          </w:p>
        </w:tc>
      </w:tr>
      <w:tr w14:paraId="45054415">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6530738B">
            <w:pPr>
              <w:spacing w:line="240" w:lineRule="auto"/>
              <w:jc w:val="both"/>
              <w:rPr>
                <w:rFonts w:ascii="Arial" w:hAnsi="Arial" w:eastAsia="Times New Roman" w:cs="Arial"/>
                <w:sz w:val="36"/>
                <w:szCs w:val="36"/>
              </w:rPr>
            </w:pPr>
            <w:r>
              <w:rPr>
                <w:rFonts w:ascii="Times New Roman" w:hAnsi="Times New Roman" w:eastAsia="Times New Roman" w:cs="Times New Roman"/>
                <w:color w:val="000000"/>
                <w:sz w:val="21"/>
                <w:szCs w:val="21"/>
              </w:rPr>
              <w:t>Cost for suppliers</w:t>
            </w:r>
            <w:r>
              <w:rPr>
                <w:rFonts w:ascii="Times New Roman" w:hAnsi="Times New Roman" w:eastAsia="Times New Roman" w:cs="Times New Roman"/>
                <w:color w:val="000000"/>
                <w:sz w:val="36"/>
                <w:szCs w:val="36"/>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1F0EC486">
            <w:pPr>
              <w:spacing w:line="240" w:lineRule="auto"/>
              <w:jc w:val="right"/>
              <w:rPr>
                <w:rFonts w:ascii="Arial" w:hAnsi="Arial" w:eastAsia="Times New Roman" w:cs="Arial"/>
                <w:sz w:val="36"/>
                <w:szCs w:val="36"/>
              </w:rPr>
            </w:pPr>
            <w:r>
              <w:rPr>
                <w:rFonts w:ascii="Times New Roman" w:hAnsi="Times New Roman" w:eastAsia="Times New Roman" w:cs="Times New Roman"/>
                <w:color w:val="000000"/>
                <w:sz w:val="21"/>
                <w:szCs w:val="21"/>
              </w:rPr>
              <w:t>1800</w:t>
            </w:r>
            <w:r>
              <w:rPr>
                <w:rFonts w:ascii="Times New Roman" w:hAnsi="Times New Roman" w:eastAsia="Times New Roman" w:cs="Times New Roman"/>
                <w:color w:val="000000"/>
                <w:sz w:val="36"/>
                <w:szCs w:val="36"/>
              </w:rPr>
              <w:t xml:space="preserve"> </w:t>
            </w:r>
          </w:p>
        </w:tc>
      </w:tr>
      <w:tr w14:paraId="295F1559">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4E53B79A">
            <w:pPr>
              <w:spacing w:line="240" w:lineRule="auto"/>
              <w:jc w:val="both"/>
              <w:rPr>
                <w:rFonts w:ascii="Arial" w:hAnsi="Arial" w:eastAsia="Times New Roman" w:cs="Arial"/>
                <w:sz w:val="24"/>
                <w:szCs w:val="24"/>
              </w:rPr>
            </w:pPr>
            <w:r>
              <w:rPr>
                <w:rFonts w:ascii="Times New Roman" w:hAnsi="Times New Roman" w:eastAsia="Times New Roman" w:cs="Times New Roman"/>
                <w:color w:val="000000"/>
                <w:sz w:val="24"/>
                <w:szCs w:val="24"/>
              </w:rPr>
              <w:t xml:space="preserve">Expenses for digital business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14AC180F">
            <w:pPr>
              <w:spacing w:line="240" w:lineRule="auto"/>
              <w:jc w:val="right"/>
              <w:rPr>
                <w:rFonts w:ascii="Arial" w:hAnsi="Arial" w:eastAsia="Times New Roman" w:cs="Arial"/>
                <w:sz w:val="24"/>
                <w:szCs w:val="24"/>
              </w:rPr>
            </w:pPr>
            <w:r>
              <w:rPr>
                <w:rFonts w:ascii="Times New Roman" w:hAnsi="Times New Roman" w:eastAsia="Times New Roman" w:cs="Times New Roman"/>
                <w:color w:val="000000"/>
                <w:sz w:val="24"/>
                <w:szCs w:val="24"/>
              </w:rPr>
              <w:t xml:space="preserve">800 </w:t>
            </w:r>
          </w:p>
        </w:tc>
      </w:tr>
      <w:tr w14:paraId="4BE700EF">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51" w:hRule="atLeast"/>
        </w:trPr>
        <w:tc>
          <w:tcPr>
            <w:tcW w:w="414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1C55D7BB">
            <w:pPr>
              <w:spacing w:line="240" w:lineRule="auto"/>
              <w:jc w:val="center"/>
              <w:rPr>
                <w:rFonts w:ascii="Arial" w:hAnsi="Arial" w:eastAsia="Times New Roman" w:cs="Arial"/>
                <w:sz w:val="24"/>
                <w:szCs w:val="24"/>
              </w:rPr>
            </w:pPr>
            <w:r>
              <w:rPr>
                <w:rFonts w:ascii="Times New Roman" w:hAnsi="Times New Roman" w:eastAsia="Times New Roman" w:cs="Times New Roman"/>
                <w:b/>
                <w:bCs/>
                <w:color w:val="000000"/>
                <w:sz w:val="24"/>
                <w:szCs w:val="24"/>
              </w:rPr>
              <w:t>Total</w:t>
            </w:r>
            <w:r>
              <w:rPr>
                <w:rFonts w:ascii="Arial" w:hAnsi="Arial" w:eastAsia="Arial" w:cs="Arial"/>
                <w:color w:val="000000"/>
                <w:sz w:val="24"/>
                <w:szCs w:val="24"/>
              </w:rPr>
              <w:t xml:space="preserve"> </w:t>
            </w:r>
          </w:p>
        </w:tc>
        <w:tc>
          <w:tcPr>
            <w:tcW w:w="8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14:paraId="0AAFA111">
            <w:pPr>
              <w:spacing w:line="240" w:lineRule="auto"/>
              <w:jc w:val="center"/>
              <w:rPr>
                <w:rFonts w:ascii="Arial" w:hAnsi="Arial" w:eastAsia="Times New Roman" w:cs="Arial"/>
                <w:sz w:val="24"/>
                <w:szCs w:val="24"/>
              </w:rPr>
            </w:pPr>
            <w:r>
              <w:rPr>
                <w:rFonts w:ascii="Times New Roman" w:hAnsi="Times New Roman" w:eastAsia="Times New Roman" w:cs="Times New Roman"/>
                <w:b/>
                <w:bCs/>
                <w:color w:val="000000"/>
                <w:sz w:val="24"/>
                <w:szCs w:val="24"/>
              </w:rPr>
              <w:t>24000</w:t>
            </w:r>
            <w:r>
              <w:rPr>
                <w:rFonts w:ascii="Arial" w:hAnsi="Arial" w:eastAsia="Arial" w:cs="Arial"/>
                <w:color w:val="000000"/>
                <w:sz w:val="24"/>
                <w:szCs w:val="24"/>
              </w:rPr>
              <w:t xml:space="preserve"> </w:t>
            </w:r>
          </w:p>
        </w:tc>
      </w:tr>
    </w:tbl>
    <w:p w14:paraId="54F92E65">
      <w:pPr>
        <w:spacing w:before="240" w:after="240"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Expenses</w:t>
      </w:r>
    </w:p>
    <w:p w14:paraId="229BDB6F">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Created by Author)</w:t>
      </w:r>
    </w:p>
    <w:p w14:paraId="1C01246D">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Expenses</w:t>
      </w:r>
    </w:p>
    <w:p w14:paraId="1C6671D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total budget allocated for the event amounts to £24,000 where the amount secured for making payments to the employees is £10,000 and legal and license fees of £3,600. Moreover, the cost of the supplier is estimated to be £1800 whereas £800 would be incurred on digital marketing. The purpose of the event is to be sustainable and low impact through the use of locally sourced and biodegradable materials so that there is minimal adverse impact on the environment. </w:t>
      </w:r>
    </w:p>
    <w:p w14:paraId="11BBC018">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Income</w:t>
      </w:r>
    </w:p>
    <w:p w14:paraId="3D0B143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estimated amount likely to be generated from the event as income is £70000 accounting for total sales where the gross profit would be £50000. However, with the operational costs of £14000 and indirect expenses of £1700, the net profit likely to be generated in the event is £69500. </w:t>
      </w:r>
    </w:p>
    <w:p w14:paraId="7F416C60">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Funding sources</w:t>
      </w:r>
    </w:p>
    <w:p w14:paraId="5345EB2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sources of funding for the project include corporate partnerships from different sources including wellness companies, local food producers and eco-conscious brands (John, 2025). There would also be raising of additional funds through grant applications to Visit Wales, and Arts Council of Wales, ticket sales, crowdfunding and vendor stall fees. </w:t>
      </w:r>
    </w:p>
    <w:p w14:paraId="55F7AEDC">
      <w:pPr>
        <w:pStyle w:val="2"/>
        <w:spacing w:before="240" w:after="240"/>
        <w:jc w:val="both"/>
      </w:pPr>
      <w:bookmarkStart w:id="6" w:name="_fprq6bim6l2l" w:colFirst="0" w:colLast="0"/>
      <w:bookmarkEnd w:id="6"/>
      <w:r>
        <w:t xml:space="preserve">Industry Trends / Issues / Impacts  </w:t>
      </w:r>
    </w:p>
    <w:p w14:paraId="6864B3E7">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Increased coastal and heritage tourism</w:t>
      </w:r>
    </w:p>
    <w:p w14:paraId="26D17C1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has been a shift witnessed in the global tourism sector with a focus on place-based experience and heritage in the post-pandemic period. As mentioned by American Express (2025), 75% of global tourists look for local and authentic encounters in their tourism experience. The concerned event focuses precisely on addressing this trend through the celebration of maritime traditions, community storytelling and local cuisine of Wales. Therefore, there is a huge significance of the event in attracting local and international cultural tourists. </w:t>
      </w:r>
    </w:p>
    <w:p w14:paraId="6CF91039">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 Low-impact and sustainable events</w:t>
      </w:r>
    </w:p>
    <w:p w14:paraId="131E56E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event and hospitality sector, there is also increased demand for sustainability. As mentioned by EHL Insights (2025), more than 70% of millennial tourists support eco-friendly events and hospitality initiatives. This aligns with the current event that promotes zero-waste practices, local sourcing and use of biodegradable materials. Moreover, there is also alignment between the event and the UK's agenda of promoting sustainable tourism equipped with environmental stewardship. </w:t>
      </w:r>
    </w:p>
    <w:p w14:paraId="4949AE32">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Integration of wellness in events</w:t>
      </w:r>
    </w:p>
    <w:p w14:paraId="203332A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is rapid expansion of wellness tourism and the sector is likely to reach £8.5 trillion globally by the end of 2027 (EHL Insights, 2025). The event would host coastal walks, yoga sessions and wellness-themes programs which would help in addressing the wellness needs. The provision of these wellness services is targeted towards promoting physical and mental well-being among health-conscious tourists.</w:t>
      </w:r>
    </w:p>
    <w:p w14:paraId="7CFCAACD">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Digital and technological promotion</w:t>
      </w:r>
    </w:p>
    <w:p w14:paraId="76D6C8D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During the post-COVID-19 period, the event sector has highly relied on digital outreach where a significant part of the budget is allocated for online ticketing and the digital market. The event implements a range of digital promotional techniques equipped with social media marketing and visual storytelling (O'Toole, 2010).</w:t>
      </w:r>
    </w:p>
    <w:p w14:paraId="29EE4E17">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Cultural preservation</w:t>
      </w:r>
    </w:p>
    <w:p w14:paraId="36C1539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is safeguarding of intangible cultural assets in the event such as folk art, and maritime storytelling. As influenced by Fox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(2014), these are considered to be immensely beneficial in eliminating the issue of cultural erosion which would further help in strengthening the national identity and cultural economy of Wales. </w:t>
      </w:r>
    </w:p>
    <w:p w14:paraId="0DE31F34">
      <w:pPr>
        <w:pStyle w:val="2"/>
        <w:spacing w:before="240" w:after="240"/>
        <w:jc w:val="both"/>
      </w:pPr>
      <w:bookmarkStart w:id="7" w:name="_lx3qvdkuvtyo" w:colFirst="0" w:colLast="0"/>
      <w:bookmarkEnd w:id="7"/>
      <w:r>
        <w:t xml:space="preserve">Situational and Cultural Considerations  </w:t>
      </w:r>
    </w:p>
    <w:p w14:paraId="5BBFA09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Waves of Welcome program is a community-based event that sheds light on wellness and culture orientation and it is to be held in Tenby in the Pembrokeshire region. The situational and cultural factors have been analysed with the application of the SWOT framework through which the internal strengths and weaknesses have been identified along with the external opportunities and threats. </w:t>
      </w:r>
    </w:p>
    <w:p w14:paraId="3CA75105">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Strengths</w:t>
      </w:r>
    </w:p>
    <w:p w14:paraId="635199CA">
      <w:pPr>
        <w:numPr>
          <w:ilvl w:val="0"/>
          <w:numId w:val="1"/>
        </w:num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primary strength of the project is its location along with its natural appeal. It is located at the Coastal Park of Pembrokeshire Coast and thus, the benefits include the cultural heritage and natural beauty of the region.</w:t>
      </w:r>
    </w:p>
    <w:p w14:paraId="6377E74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influenced by Croes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(2024), the community-centric programs for enhancing the psychological and physical well-being of individuals are also a key strength due to the inclusion of open-air programs, yoga sessions, music and local food stalls.</w:t>
      </w:r>
    </w:p>
    <w:p w14:paraId="0A8B27AA">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Furthermore, there is also strong local partnership in the event through forming collaborative relationships with artists, tourism boards and artists.</w:t>
      </w:r>
    </w:p>
    <w:p w14:paraId="1AB13500">
      <w:pPr>
        <w:numPr>
          <w:ilvl w:val="0"/>
          <w:numId w:val="1"/>
        </w:num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projected profit of the event amounts to £69,500 which would boost the regional economy and financial stability of the artisans and tourists.</w:t>
      </w:r>
    </w:p>
    <w:p w14:paraId="65F92920">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Weaknesses</w:t>
      </w:r>
    </w:p>
    <w:p w14:paraId="5D787644">
      <w:pPr>
        <w:numPr>
          <w:ilvl w:val="0"/>
          <w:numId w:val="2"/>
        </w:num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Weather disruptions or natural calamities are highly likely to influence the outdoor event, affecting operations and attendance.</w:t>
      </w:r>
    </w:p>
    <w:p w14:paraId="4B148AC2">
      <w:pPr>
        <w:numPr>
          <w:ilvl w:val="0"/>
          <w:numId w:val="2"/>
        </w:num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Moreover, according to Abbas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 xml:space="preserve">(2021), limited brand awareness is also a major weakness for which influencer engagement and intensive marketing may be required in the initial stage to create awareness. </w:t>
      </w:r>
    </w:p>
    <w:p w14:paraId="2E534AA7">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Opportunities </w:t>
      </w:r>
    </w:p>
    <w:p w14:paraId="45C5B1EE">
      <w:pPr>
        <w:numPr>
          <w:ilvl w:val="0"/>
          <w:numId w:val="3"/>
        </w:num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increase in domestic tourism is one of the major opportunities for the event due to a 22% increase in staycations in the UK  (VisitBritain, 2025).</w:t>
      </w:r>
    </w:p>
    <w:p w14:paraId="1EAEB70B">
      <w:pPr>
        <w:numPr>
          <w:ilvl w:val="0"/>
          <w:numId w:val="3"/>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there has also been an upsurge in cultural and wellness tourism which provides an excellent opportunity for the event to gain awareness as it combines health, nature and local identity.</w:t>
      </w:r>
    </w:p>
    <w:p w14:paraId="7F114455">
      <w:pPr>
        <w:numPr>
          <w:ilvl w:val="0"/>
          <w:numId w:val="3"/>
        </w:num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could also be the use of social media marketing, virtual event promotion and online ticketing to enhance reach across diverse demographics. </w:t>
      </w:r>
    </w:p>
    <w:p w14:paraId="6B48CCF7">
      <w:pPr>
        <w:spacing w:before="240" w:after="240"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Threats </w:t>
      </w:r>
    </w:p>
    <w:p w14:paraId="7DE965C2">
      <w:pPr>
        <w:numPr>
          <w:ilvl w:val="0"/>
          <w:numId w:val="4"/>
        </w:numPr>
        <w:spacing w:before="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Competition is one of the major threats to the event due to the saturation of regional events during the summer months for which unique value propositions and strategic scheduling would be required in the event.</w:t>
      </w:r>
    </w:p>
    <w:p w14:paraId="1A2B116C">
      <w:pPr>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transition in local policies could result in regulatory burdens for the event.</w:t>
      </w:r>
    </w:p>
    <w:p w14:paraId="53DA766F">
      <w:pPr>
        <w:numPr>
          <w:ilvl w:val="0"/>
          <w:numId w:val="4"/>
        </w:num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Consumer spending could be limited due to economic uncertainty and the cost of living crisis in the UK (Mintel, 2024). </w:t>
      </w:r>
    </w:p>
    <w:p w14:paraId="5EB887F0">
      <w:pPr>
        <w:pStyle w:val="2"/>
        <w:spacing w:before="240" w:after="240"/>
        <w:jc w:val="both"/>
      </w:pPr>
      <w:bookmarkStart w:id="8" w:name="_l2gzxgl114zv" w:colFirst="0" w:colLast="0"/>
      <w:bookmarkEnd w:id="8"/>
      <w:r>
        <w:t xml:space="preserve">Conclusion </w:t>
      </w:r>
    </w:p>
    <w:p w14:paraId="1DCDC54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To conclude, there is a unique, culturally immersive and sustainable standpoint of the event as it promotes maritime heritage and wellness. The event cycle is well structured with effective integration of planning, delivery and evaluation. The event further capitalises on the growing trends of wellness, community partnerships and eco-tourism. However, uncertain weather conditions and lack of brand awareness are major challenges in the event. Lastly, the event is likely to contribute to regional tourism enhancement and boost the cultural identity of Wales. </w:t>
      </w:r>
    </w:p>
    <w:p w14:paraId="00ED08AB">
      <w:pPr>
        <w:spacing w:line="360" w:lineRule="auto"/>
        <w:rPr>
          <w:rFonts w:ascii="Times New Roman" w:hAnsi="Times New Roman" w:eastAsia="Times New Roman" w:cs="Times New Roman"/>
          <w:b/>
          <w:sz w:val="24"/>
          <w:szCs w:val="24"/>
        </w:rPr>
      </w:pPr>
      <w:r>
        <w:br w:type="page"/>
      </w:r>
    </w:p>
    <w:p w14:paraId="6FAEAE11">
      <w:pPr>
        <w:pStyle w:val="2"/>
      </w:pPr>
      <w:bookmarkStart w:id="9" w:name="_baofvavpqd9m" w:colFirst="0" w:colLast="0"/>
      <w:bookmarkEnd w:id="9"/>
      <w:r>
        <w:t xml:space="preserve">Reference List </w:t>
      </w:r>
    </w:p>
    <w:p w14:paraId="5AB64C4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Abbas, U., Islam, K.A., Hussain, S., Baqir, M. and Muhammad, N., 2021. Impact of brand image on customer loyalty with the mediating role of customer satisfaction and brand awareness. </w:t>
      </w:r>
      <w:r>
        <w:rPr>
          <w:rFonts w:ascii="Times New Roman" w:hAnsi="Times New Roman" w:eastAsia="Times New Roman" w:cs="Times New Roman"/>
          <w:i/>
          <w:sz w:val="24"/>
          <w:szCs w:val="24"/>
        </w:rPr>
        <w:t>International Journal of Marketing Research Innovation</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5</w:t>
      </w:r>
      <w:r>
        <w:rPr>
          <w:rFonts w:ascii="Times New Roman" w:hAnsi="Times New Roman" w:eastAsia="Times New Roman" w:cs="Times New Roman"/>
          <w:sz w:val="24"/>
          <w:szCs w:val="24"/>
        </w:rPr>
        <w:t>(1), pp.1-15.</w:t>
      </w:r>
    </w:p>
    <w:p w14:paraId="2D6E258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American Express., 2025. 2025 Global Travel Trends Report. [online] Available at: https://www.americanexpress.com/en-us/travel/discover/get-inspired/global-travel-trends [Accessed on: 31.05.25]</w:t>
      </w:r>
    </w:p>
    <w:p w14:paraId="4CCE172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Ardelean, S.V. and Badulescu, A., 2022. Considerations on the Cultural Tourism Market and Cultural Tourist Profile. </w:t>
      </w:r>
      <w:r>
        <w:rPr>
          <w:rFonts w:ascii="Times New Roman" w:hAnsi="Times New Roman" w:eastAsia="Times New Roman" w:cs="Times New Roman"/>
          <w:i/>
          <w:sz w:val="24"/>
          <w:szCs w:val="24"/>
        </w:rPr>
        <w:t>The Annals of the University of Oradea. Economic Sciences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31</w:t>
      </w:r>
      <w:r>
        <w:rPr>
          <w:rFonts w:ascii="Times New Roman" w:hAnsi="Times New Roman" w:eastAsia="Times New Roman" w:cs="Times New Roman"/>
          <w:sz w:val="24"/>
          <w:szCs w:val="24"/>
        </w:rPr>
        <w:t>(1), pp.13-23.</w:t>
      </w:r>
    </w:p>
    <w:p w14:paraId="0BEA1B5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Bowdin, G.A., Allen, J., Harris, R., Jago, L., O'toole, W. and McDonnell, I., 2023. </w:t>
      </w:r>
      <w:r>
        <w:rPr>
          <w:rFonts w:ascii="Times New Roman" w:hAnsi="Times New Roman" w:eastAsia="Times New Roman" w:cs="Times New Roman"/>
          <w:i/>
          <w:sz w:val="24"/>
          <w:szCs w:val="24"/>
        </w:rPr>
        <w:t>Events management</w:t>
      </w:r>
      <w:r>
        <w:rPr>
          <w:rFonts w:ascii="Times New Roman" w:hAnsi="Times New Roman" w:eastAsia="Times New Roman" w:cs="Times New Roman"/>
          <w:sz w:val="24"/>
          <w:szCs w:val="24"/>
        </w:rPr>
        <w:t>. Routledge.</w:t>
      </w:r>
    </w:p>
    <w:p w14:paraId="0F91692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Catapult Services., 2025. The Crucial Role of First Aid at Events - Catapult Services. [online] Available at: https://catapultservices.co.uk/ensuring-safety-and-well-being-the-crucial-role-of-first-aid-at-events/ [Accessed on: 31.05.25]</w:t>
      </w:r>
    </w:p>
    <w:p w14:paraId="2C5FB68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Croes, R., Shapoval, V., Rivera, M., Bąk, M. and Zientara, P., 2024. Promoting residents’ happiness through a human-centric approach to tourism city development. </w:t>
      </w:r>
      <w:r>
        <w:rPr>
          <w:rFonts w:ascii="Times New Roman" w:hAnsi="Times New Roman" w:eastAsia="Times New Roman" w:cs="Times New Roman"/>
          <w:i/>
          <w:sz w:val="24"/>
          <w:szCs w:val="24"/>
        </w:rPr>
        <w:t>International Journal of Tourism Cities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10</w:t>
      </w:r>
      <w:r>
        <w:rPr>
          <w:rFonts w:ascii="Times New Roman" w:hAnsi="Times New Roman" w:eastAsia="Times New Roman" w:cs="Times New Roman"/>
          <w:sz w:val="24"/>
          <w:szCs w:val="24"/>
        </w:rPr>
        <w:t>(3), pp.905-924.</w:t>
      </w:r>
    </w:p>
    <w:p w14:paraId="750825B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Del Soldato, E. and Massari, S., 2024. Creativity and digital strategies to support food cultural heritage in Mediterranean rural areas. </w:t>
      </w:r>
      <w:r>
        <w:rPr>
          <w:rFonts w:ascii="Times New Roman" w:hAnsi="Times New Roman" w:eastAsia="Times New Roman" w:cs="Times New Roman"/>
          <w:i/>
          <w:sz w:val="24"/>
          <w:szCs w:val="24"/>
        </w:rPr>
        <w:t>EuroMed Journal of Business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19</w:t>
      </w:r>
      <w:r>
        <w:rPr>
          <w:rFonts w:ascii="Times New Roman" w:hAnsi="Times New Roman" w:eastAsia="Times New Roman" w:cs="Times New Roman"/>
          <w:sz w:val="24"/>
          <w:szCs w:val="24"/>
        </w:rPr>
        <w:t>(1), pp.113-137.</w:t>
      </w:r>
    </w:p>
    <w:p w14:paraId="12F59AF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EHL Insights., 2025. How the Growth of Wellness Tourism Market Is Transforming Travel. [online] Available at: https://hospitalityinsights.ehl.edu/wellness-travel-market [Accessed on: 31.05.25]</w:t>
      </w:r>
    </w:p>
    <w:p w14:paraId="13C1788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EHL Insights., 2025. Sustainability Trends in Hospitality: Strategies and Examples. [online] Available at: https://hospitalityinsights.ehl.edu/hotel-sustainability-trends [Accessed on: 31.05.25]</w:t>
      </w:r>
    </w:p>
    <w:p w14:paraId="035F905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Fox, D., Gouthro, M.B., Morakabati, Y. and Brackstone, J., 2014. </w:t>
      </w:r>
      <w:r>
        <w:rPr>
          <w:rFonts w:ascii="Times New Roman" w:hAnsi="Times New Roman" w:eastAsia="Times New Roman" w:cs="Times New Roman"/>
          <w:i/>
          <w:sz w:val="24"/>
          <w:szCs w:val="24"/>
        </w:rPr>
        <w:t>Doing events research: From theory to practice</w:t>
      </w:r>
      <w:r>
        <w:rPr>
          <w:rFonts w:ascii="Times New Roman" w:hAnsi="Times New Roman" w:eastAsia="Times New Roman" w:cs="Times New Roman"/>
          <w:sz w:val="24"/>
          <w:szCs w:val="24"/>
        </w:rPr>
        <w:t>. Routledge.</w:t>
      </w:r>
    </w:p>
    <w:p w14:paraId="77161C3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Getz, D. and Page, S.J., 2019. </w:t>
      </w:r>
      <w:r>
        <w:rPr>
          <w:rFonts w:ascii="Times New Roman" w:hAnsi="Times New Roman" w:eastAsia="Times New Roman" w:cs="Times New Roman"/>
          <w:i/>
          <w:sz w:val="24"/>
          <w:szCs w:val="24"/>
        </w:rPr>
        <w:t>Event studies: Theory, research and policy for planned events</w:t>
      </w:r>
      <w:r>
        <w:rPr>
          <w:rFonts w:ascii="Times New Roman" w:hAnsi="Times New Roman" w:eastAsia="Times New Roman" w:cs="Times New Roman"/>
          <w:sz w:val="24"/>
          <w:szCs w:val="24"/>
        </w:rPr>
        <w:t>. Routledge.</w:t>
      </w:r>
    </w:p>
    <w:p w14:paraId="3999020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Halkiopoulos, C., Katsouda, M., Dimou, E. and Panteli, A., 2021, June. Cultural and tourism promotion through digital marketing approaches. A case study of social media campaigns in Greece. In </w:t>
      </w:r>
      <w:r>
        <w:rPr>
          <w:rFonts w:ascii="Times New Roman" w:hAnsi="Times New Roman" w:eastAsia="Times New Roman" w:cs="Times New Roman"/>
          <w:i/>
          <w:sz w:val="24"/>
          <w:szCs w:val="24"/>
        </w:rPr>
        <w:t>Culture and Tourism in a Smart, Globalized, and Sustainable World: 7th International Conference of IACuDiT, Hydra, Greece, 2020</w:t>
      </w:r>
      <w:r>
        <w:rPr>
          <w:rFonts w:ascii="Times New Roman" w:hAnsi="Times New Roman" w:eastAsia="Times New Roman" w:cs="Times New Roman"/>
          <w:sz w:val="24"/>
          <w:szCs w:val="24"/>
        </w:rPr>
        <w:t xml:space="preserve"> (pp. 695-708). Cham: Springer International Publishing.</w:t>
      </w:r>
    </w:p>
    <w:p w14:paraId="22A9F71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Haven., 2025. Things to Do in Tenby. [online] Available at: https://www.haven.com/things-to-do/south-wales/tenby [Accessed on: 31.05.25]</w:t>
      </w:r>
    </w:p>
    <w:p w14:paraId="60B5F6C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John, B., 2025. Eco-Conscious Tourism: A Responsible Approach to Sustainable Travel Growth.</w:t>
      </w:r>
    </w:p>
    <w:p w14:paraId="1796D60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Mintel., 2024. UK Economy Falls Into Recession – What Does It Mean For Consumer Spending?. [online] Available at: https://www.mintel.com/insights/consumer-research/what-does-uk-recession-mean-for-consumer-spending/ [Accessed on: 31.05.25]</w:t>
      </w:r>
    </w:p>
    <w:p w14:paraId="4F4706E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O'Toole, W., 2010. </w:t>
      </w:r>
      <w:r>
        <w:rPr>
          <w:rFonts w:ascii="Times New Roman" w:hAnsi="Times New Roman" w:eastAsia="Times New Roman" w:cs="Times New Roman"/>
          <w:i/>
          <w:sz w:val="24"/>
          <w:szCs w:val="24"/>
        </w:rPr>
        <w:t>Events feasibility and development</w:t>
      </w:r>
      <w:r>
        <w:rPr>
          <w:rFonts w:ascii="Times New Roman" w:hAnsi="Times New Roman" w:eastAsia="Times New Roman" w:cs="Times New Roman"/>
          <w:sz w:val="24"/>
          <w:szCs w:val="24"/>
        </w:rPr>
        <w:t>. Routledge.</w:t>
      </w:r>
    </w:p>
    <w:p w14:paraId="0751780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Pembrokeshire Coast National Park., 2025. Heritage hotspots. [online] Available at: https://www.pembrokeshirecoast.wales/about-the-national-park/archaeology/heritage-hotspots/ [Accessed on: 31.05.25]</w:t>
      </w:r>
    </w:p>
    <w:p w14:paraId="0EA738A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Ramely, A., Talib, M.F.A., Radha, J.Z.R.R.R. and Mokhtar, M.F., 2022. Green event practices: Understanding the adaptation of event organisers through a systematic review. </w:t>
      </w:r>
      <w:r>
        <w:rPr>
          <w:rFonts w:ascii="Times New Roman" w:hAnsi="Times New Roman" w:eastAsia="Times New Roman" w:cs="Times New Roman"/>
          <w:i/>
          <w:sz w:val="24"/>
          <w:szCs w:val="24"/>
        </w:rPr>
        <w:t>Malaysian Journal of Sustainable Environment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9</w:t>
      </w:r>
      <w:r>
        <w:rPr>
          <w:rFonts w:ascii="Times New Roman" w:hAnsi="Times New Roman" w:eastAsia="Times New Roman" w:cs="Times New Roman"/>
          <w:sz w:val="24"/>
          <w:szCs w:val="24"/>
        </w:rPr>
        <w:t>(1), pp.119-140.</w:t>
      </w:r>
    </w:p>
    <w:p w14:paraId="67DE94C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Senevirathna, L.S., Jin, X. and Wang, Y., 2023. Community engagement as an event impact management tool: A review and a research agenda. </w:t>
      </w:r>
      <w:r>
        <w:rPr>
          <w:rFonts w:ascii="Times New Roman" w:hAnsi="Times New Roman" w:eastAsia="Times New Roman" w:cs="Times New Roman"/>
          <w:i/>
          <w:sz w:val="24"/>
          <w:szCs w:val="24"/>
        </w:rPr>
        <w:t>Event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27</w:t>
      </w:r>
      <w:r>
        <w:rPr>
          <w:rFonts w:ascii="Times New Roman" w:hAnsi="Times New Roman" w:eastAsia="Times New Roman" w:cs="Times New Roman"/>
          <w:sz w:val="24"/>
          <w:szCs w:val="24"/>
        </w:rPr>
        <w:t>(3), pp.437-453.</w:t>
      </w:r>
    </w:p>
    <w:p w14:paraId="56C77F5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Visitbritain., 2025. Are Staycations here to stay?. [online] Available at: https://www.visitbritain.org/media/1520/download?attachment [Accessed on: 31.05.25] </w:t>
      </w:r>
    </w:p>
    <w:p w14:paraId="17A27F4A">
      <w:pPr>
        <w:spacing w:line="360" w:lineRule="auto"/>
        <w:rPr>
          <w:rFonts w:ascii="Times New Roman" w:hAnsi="Times New Roman" w:eastAsia="Times New Roman" w:cs="Times New Roman"/>
          <w:sz w:val="24"/>
          <w:szCs w:val="24"/>
        </w:rPr>
      </w:pPr>
    </w:p>
    <w:sectPr>
      <w:headerReference r:id="rId7" w:type="first"/>
      <w:footerReference r:id="rId10" w:type="first"/>
      <w:headerReference r:id="rId5" w:type="default"/>
      <w:footerReference r:id="rId8" w:type="default"/>
      <w:headerReference r:id="rId6" w:type="even"/>
      <w:footerReference r:id="rId9" w:type="even"/>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263743F">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ED0DF5A">
    <w:pPr>
      <w:pStyle w:val="1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4AC6625">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A28DC5A">
    <w:pPr>
      <w:pStyle w:val="1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F3D66F">
    <w:pPr>
      <w:pStyle w:val="14"/>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D974AC">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D071CC"/>
    <w:multiLevelType w:val="multilevel"/>
    <w:tmpl w:val="58D071C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5E24A5BA"/>
    <w:multiLevelType w:val="multilevel"/>
    <w:tmpl w:val="5E24A5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6D669864"/>
    <w:multiLevelType w:val="multilevel"/>
    <w:tmpl w:val="6D66986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7BA02580"/>
    <w:multiLevelType w:val="multilevel"/>
    <w:tmpl w:val="7BA0258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EA42B9"/>
    <w:rsid w:val="00127DB5"/>
    <w:rsid w:val="00193095"/>
    <w:rsid w:val="00692902"/>
    <w:rsid w:val="006A3593"/>
    <w:rsid w:val="006D70DB"/>
    <w:rsid w:val="006F2C90"/>
    <w:rsid w:val="00774D82"/>
    <w:rsid w:val="007B0E06"/>
    <w:rsid w:val="008F5C8A"/>
    <w:rsid w:val="009E4736"/>
    <w:rsid w:val="00B3001B"/>
    <w:rsid w:val="00B954D4"/>
    <w:rsid w:val="00EA42B9"/>
    <w:rsid w:val="00EE0E49"/>
    <w:rsid w:val="00FC0426"/>
    <w:rsid w:val="00FC3785"/>
    <w:rsid w:val="10397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US" w:eastAsia="en-US" w:bidi="ar-SA"/>
    </w:rPr>
  </w:style>
  <w:style w:type="paragraph" w:styleId="2">
    <w:name w:val="heading 1"/>
    <w:basedOn w:val="1"/>
    <w:next w:val="1"/>
    <w:uiPriority w:val="0"/>
    <w:pPr>
      <w:keepNext/>
      <w:keepLines/>
      <w:spacing w:line="360" w:lineRule="auto"/>
      <w:outlineLvl w:val="0"/>
    </w:pPr>
    <w:rPr>
      <w:rFonts w:ascii="Times New Roman" w:hAnsi="Times New Roman" w:eastAsia="Times New Roman" w:cs="Times New Roman"/>
      <w:b/>
      <w:sz w:val="24"/>
      <w:szCs w:val="24"/>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qFormat/>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1"/>
    <w:semiHidden/>
    <w:unhideWhenUsed/>
    <w:qFormat/>
    <w:uiPriority w:val="99"/>
    <w:pPr>
      <w:spacing w:line="240" w:lineRule="auto"/>
    </w:pPr>
    <w:rPr>
      <w:rFonts w:ascii="Tahoma" w:hAnsi="Tahoma" w:cs="Tahoma"/>
      <w:sz w:val="16"/>
      <w:szCs w:val="16"/>
    </w:rPr>
  </w:style>
  <w:style w:type="character" w:styleId="11">
    <w:name w:val="annotation reference"/>
    <w:basedOn w:val="8"/>
    <w:semiHidden/>
    <w:unhideWhenUsed/>
    <w:qFormat/>
    <w:uiPriority w:val="99"/>
    <w:rPr>
      <w:sz w:val="16"/>
      <w:szCs w:val="16"/>
    </w:rPr>
  </w:style>
  <w:style w:type="paragraph" w:styleId="12">
    <w:name w:val="annotation text"/>
    <w:basedOn w:val="1"/>
    <w:link w:val="20"/>
    <w:semiHidden/>
    <w:unhideWhenUsed/>
    <w:qFormat/>
    <w:uiPriority w:val="99"/>
    <w:pPr>
      <w:spacing w:line="240" w:lineRule="auto"/>
    </w:pPr>
    <w:rPr>
      <w:sz w:val="20"/>
      <w:szCs w:val="20"/>
    </w:rPr>
  </w:style>
  <w:style w:type="paragraph" w:styleId="13">
    <w:name w:val="footer"/>
    <w:basedOn w:val="1"/>
    <w:link w:val="23"/>
    <w:semiHidden/>
    <w:unhideWhenUsed/>
    <w:qFormat/>
    <w:uiPriority w:val="99"/>
    <w:pPr>
      <w:tabs>
        <w:tab w:val="center" w:pos="4680"/>
        <w:tab w:val="right" w:pos="9360"/>
      </w:tabs>
      <w:spacing w:line="240" w:lineRule="auto"/>
    </w:pPr>
  </w:style>
  <w:style w:type="paragraph" w:styleId="14">
    <w:name w:val="header"/>
    <w:basedOn w:val="1"/>
    <w:link w:val="22"/>
    <w:semiHidden/>
    <w:unhideWhenUsed/>
    <w:uiPriority w:val="99"/>
    <w:pPr>
      <w:tabs>
        <w:tab w:val="center" w:pos="4680"/>
        <w:tab w:val="right" w:pos="9360"/>
      </w:tabs>
      <w:spacing w:line="240" w:lineRule="auto"/>
    </w:pPr>
  </w:style>
  <w:style w:type="paragraph" w:styleId="15">
    <w:name w:val="Subtitle"/>
    <w:basedOn w:val="1"/>
    <w:next w:val="1"/>
    <w:uiPriority w:val="0"/>
    <w:pPr>
      <w:keepNext/>
      <w:keepLines/>
      <w:spacing w:after="320"/>
    </w:pPr>
    <w:rPr>
      <w:color w:val="666666"/>
      <w:sz w:val="30"/>
      <w:szCs w:val="30"/>
    </w:rPr>
  </w:style>
  <w:style w:type="table" w:styleId="16">
    <w:name w:val="Table Grid"/>
    <w:basedOn w:val="9"/>
    <w:qFormat/>
    <w:uiPriority w:val="59"/>
    <w:pPr>
      <w:spacing w:line="240" w:lineRule="auto"/>
    </w:pPr>
    <w:rPr>
      <w:rFonts w:asciiTheme="minorHAnsi" w:hAnsiTheme="minorHAnsi" w:eastAsiaTheme="minorHAnsi" w:cstheme="minorBidi"/>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17">
    <w:name w:val="Title"/>
    <w:basedOn w:val="1"/>
    <w:next w:val="1"/>
    <w:uiPriority w:val="0"/>
    <w:pPr>
      <w:keepNext/>
      <w:keepLines/>
      <w:spacing w:after="60"/>
    </w:pPr>
    <w:rPr>
      <w:sz w:val="52"/>
      <w:szCs w:val="52"/>
    </w:rPr>
  </w:style>
  <w:style w:type="table" w:customStyle="1" w:styleId="18">
    <w:name w:val="Table Normal1"/>
    <w:uiPriority w:val="0"/>
    <w:tblPr>
      <w:tblCellMar>
        <w:top w:w="0" w:type="dxa"/>
        <w:left w:w="0" w:type="dxa"/>
        <w:bottom w:w="0" w:type="dxa"/>
        <w:right w:w="0" w:type="dxa"/>
      </w:tblCellMar>
    </w:tblPr>
  </w:style>
  <w:style w:type="table" w:customStyle="1" w:styleId="19">
    <w:name w:val="Table1"/>
    <w:basedOn w:val="18"/>
    <w:qFormat/>
    <w:uiPriority w:val="0"/>
    <w:tblPr>
      <w:tblCellMar>
        <w:top w:w="100" w:type="dxa"/>
        <w:left w:w="100" w:type="dxa"/>
        <w:bottom w:w="100" w:type="dxa"/>
        <w:right w:w="100" w:type="dxa"/>
      </w:tblCellMar>
    </w:tblPr>
  </w:style>
  <w:style w:type="character" w:customStyle="1" w:styleId="20">
    <w:name w:val="Comment Text Char"/>
    <w:basedOn w:val="8"/>
    <w:link w:val="12"/>
    <w:semiHidden/>
    <w:qFormat/>
    <w:uiPriority w:val="99"/>
    <w:rPr>
      <w:sz w:val="20"/>
      <w:szCs w:val="20"/>
    </w:rPr>
  </w:style>
  <w:style w:type="character" w:customStyle="1" w:styleId="21">
    <w:name w:val="Balloon Text Char"/>
    <w:basedOn w:val="8"/>
    <w:link w:val="10"/>
    <w:semiHidden/>
    <w:qFormat/>
    <w:uiPriority w:val="99"/>
    <w:rPr>
      <w:rFonts w:ascii="Tahoma" w:hAnsi="Tahoma" w:cs="Tahoma"/>
      <w:sz w:val="16"/>
      <w:szCs w:val="16"/>
    </w:rPr>
  </w:style>
  <w:style w:type="character" w:customStyle="1" w:styleId="22">
    <w:name w:val="Header Char"/>
    <w:basedOn w:val="8"/>
    <w:link w:val="14"/>
    <w:semiHidden/>
    <w:uiPriority w:val="99"/>
  </w:style>
  <w:style w:type="character" w:customStyle="1" w:styleId="23">
    <w:name w:val="Footer Char"/>
    <w:basedOn w:val="8"/>
    <w:link w:val="13"/>
    <w:semiHidden/>
    <w:qFormat/>
    <w:uiPriority w:val="99"/>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14</Pages>
  <Words>3088</Words>
  <Characters>17602</Characters>
  <Lines>146</Lines>
  <Paragraphs>41</Paragraphs>
  <TotalTime>1</TotalTime>
  <ScaleCrop>false</ScaleCrop>
  <LinksUpToDate>false</LinksUpToDate>
  <CharactersWithSpaces>20649</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2025-05-31T11:06:00Z</dcterms:created>
  <dcterms:modified xsi:type="dcterms:W3CDTF">2025-06-03T10:00:57Z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CB35D8244C4C4DC2804477E73B6760F0_12</vt:lpwstr>
  </property>
</Properties>
</file>