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1.xml"/>
  <Override ContentType="application/vnd.openxmlformats-officedocument.drawingml.diagramLayout+xml" PartName="/word/diagrams/layout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w:t>
      </w:r>
    </w:p>
    <w:p w:rsidR="00000000" w:rsidDel="00000000" w:rsidP="00000000" w:rsidRDefault="00000000" w:rsidRPr="00000000" w14:paraId="00000002">
      <w:pPr>
        <w:rPr>
          <w:rFonts w:ascii="Arial" w:cs="Arial" w:eastAsia="Arial" w:hAnsi="Arial"/>
          <w:sz w:val="24"/>
          <w:szCs w:val="24"/>
        </w:rPr>
      </w:pPr>
      <w:r w:rsidDel="00000000" w:rsidR="00000000" w:rsidRPr="00000000">
        <w:rPr>
          <w:rFonts w:ascii="Arial" w:cs="Arial" w:eastAsia="Arial" w:hAnsi="Arial"/>
          <w:sz w:val="24"/>
          <w:szCs w:val="24"/>
          <w:rtl w:val="0"/>
        </w:rPr>
        <w:t xml:space="preserve">The outbreak of the corona virus pandemic in the closing stages of 2019 and its eventual evolution into a global pandemic brought with it disruptive shifts in the field of project management. In spite of global mass vaccinations, there have been reports of new variants of the virus across Europe and beyond. This implies that the pandemic could be here to stay for the foreseeable future, which brings to fore what has been described as the new normal. This includes some level of permanence to the current measures put in place to contain the spread of the virus, including minimising in-person interactions. These developments have meant adoption of new and innovative ways of undertaking projects, including the whole process of project management. For example, there has been adoption of digital technologies such as virtual meetings, especially where remote teams are involved.</w:t>
      </w:r>
    </w:p>
    <w:p w:rsidR="00000000" w:rsidDel="00000000" w:rsidP="00000000" w:rsidRDefault="00000000" w:rsidRPr="00000000" w14:paraId="00000003">
      <w:pPr>
        <w:rPr>
          <w:rFonts w:ascii="Arial" w:cs="Arial" w:eastAsia="Arial" w:hAnsi="Arial"/>
          <w:sz w:val="24"/>
          <w:szCs w:val="24"/>
        </w:rPr>
      </w:pPr>
      <w:r w:rsidDel="00000000" w:rsidR="00000000" w:rsidRPr="00000000">
        <w:rPr>
          <w:rFonts w:ascii="Arial" w:cs="Arial" w:eastAsia="Arial" w:hAnsi="Arial"/>
          <w:sz w:val="24"/>
          <w:szCs w:val="24"/>
          <w:rtl w:val="0"/>
        </w:rPr>
        <w:t xml:space="preserve">It is against this background that this paper will seek to propose a project management plan for Ocado’s staff training project. It is envisioned that this project will need to consider mitigation measures recommended by the NHS towards managing the spread of the virus, which will mean employing technological tools available to the project management team. Included as part of this plan will be an application of models, theories and methods in project management towards formulating and proposing a project management plan. Also included will be a project outline and a stakeholder analysis, which will be followed by work breakdown structure. This will inform a draft of the costs and resources. A Gantt chart will outline the project schedule while the risk assessment section will identify potential risks and mitigation measures.</w:t>
      </w:r>
    </w:p>
    <w:p w:rsidR="00000000" w:rsidDel="00000000" w:rsidP="00000000" w:rsidRDefault="00000000" w:rsidRPr="00000000" w14:paraId="00000004">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 discussion of select models, theories and methods in project management and how they will apply in informing this proposed project management plan</w:t>
      </w:r>
    </w:p>
    <w:p w:rsidR="00000000" w:rsidDel="00000000" w:rsidP="00000000" w:rsidRDefault="00000000" w:rsidRPr="00000000" w14:paraId="00000005">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Project life cycle</w:t>
      </w:r>
    </w:p>
    <w:p w:rsidR="00000000" w:rsidDel="00000000" w:rsidP="00000000" w:rsidRDefault="00000000" w:rsidRPr="00000000" w14:paraId="00000006">
      <w:pPr>
        <w:rPr>
          <w:rFonts w:ascii="Arial" w:cs="Arial" w:eastAsia="Arial" w:hAnsi="Arial"/>
          <w:sz w:val="24"/>
          <w:szCs w:val="24"/>
        </w:rPr>
      </w:pPr>
      <w:r w:rsidDel="00000000" w:rsidR="00000000" w:rsidRPr="00000000">
        <w:rPr>
          <w:rFonts w:ascii="Arial" w:cs="Arial" w:eastAsia="Arial" w:hAnsi="Arial"/>
          <w:sz w:val="24"/>
          <w:szCs w:val="24"/>
          <w:rtl w:val="0"/>
        </w:rPr>
        <w:t xml:space="preserve">Archibald et al. (2012) suggest that while there are numerous sub-categories within the project life cycle models, all these will relate to the four broad generic project phases and decision points. These are identified by Alexander et al. (2019) to include the starting point, organisation and preparation, project implementation and project close-out. These are identified as Concept, Define, Execute, Close. While they appear as distinct phases within the project, Archibald et al. (2012) suggest that these phases across all the project life cycle models will often overlap during the implementation. They argue that this overlapping ensures continuity of the project which also saves significant resources and time. This overlapping also means that one project manager is responsible for the project in the entirety of its project life cycles.</w:t>
      </w:r>
    </w:p>
    <w:p w:rsidR="00000000" w:rsidDel="00000000" w:rsidP="00000000" w:rsidRDefault="00000000" w:rsidRPr="00000000" w14:paraId="00000007">
      <w:pP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5076825" cy="1971675"/>
            <wp:effectExtent b="9525" l="0" r="0" t="0"/>
            <wp:docPr id="1"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rPr>
          <w:rFonts w:ascii="Arial" w:cs="Arial" w:eastAsia="Arial" w:hAnsi="Arial"/>
          <w:sz w:val="24"/>
          <w:szCs w:val="24"/>
        </w:rPr>
      </w:pPr>
      <w:r w:rsidDel="00000000" w:rsidR="00000000" w:rsidRPr="00000000">
        <w:rPr>
          <w:rFonts w:ascii="Arial" w:cs="Arial" w:eastAsia="Arial" w:hAnsi="Arial"/>
          <w:sz w:val="24"/>
          <w:szCs w:val="24"/>
          <w:rtl w:val="0"/>
        </w:rPr>
        <w:t xml:space="preserve">Concept phase: This is the starting point for any project (Archibald et al., 2012). Consequently, this is the point in the project management where the project is identified. This includes project specifications and goals. The breakdown of work schedule and formulation of the business case as well as the project charter are key activities involved in the project conception phase. These are instrumental in obtaining the authorisation for the project.</w:t>
      </w:r>
    </w:p>
    <w:p w:rsidR="00000000" w:rsidDel="00000000" w:rsidP="00000000" w:rsidRDefault="00000000" w:rsidRPr="00000000" w14:paraId="0000000A">
      <w:pPr>
        <w:rPr>
          <w:rFonts w:ascii="Arial" w:cs="Arial" w:eastAsia="Arial" w:hAnsi="Arial"/>
          <w:sz w:val="24"/>
          <w:szCs w:val="24"/>
        </w:rPr>
      </w:pPr>
      <w:r w:rsidDel="00000000" w:rsidR="00000000" w:rsidRPr="00000000">
        <w:rPr>
          <w:rFonts w:ascii="Arial" w:cs="Arial" w:eastAsia="Arial" w:hAnsi="Arial"/>
          <w:sz w:val="24"/>
          <w:szCs w:val="24"/>
          <w:rtl w:val="0"/>
        </w:rPr>
        <w:t xml:space="preserve">Project definition: According to Archibald et al. (2012), this is the organisation and preparation phase of the project. Essentially, this is phase where project parameters are defined. As such, this phase is only undertaken after obtaining authorisation from the management to proceed with the project. In this phase, the guiding statements are defined, such as purpose, vision, mission and deliverables. Feasibility studies to ascertain resource requirements is an important activity in this phase, which then informs the budgeting process of the project planning.</w:t>
      </w:r>
    </w:p>
    <w:p w:rsidR="00000000" w:rsidDel="00000000" w:rsidP="00000000" w:rsidRDefault="00000000" w:rsidRPr="00000000" w14:paraId="0000000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rPr>
          <w:rFonts w:ascii="Arial" w:cs="Arial" w:eastAsia="Arial" w:hAnsi="Arial"/>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10" Type="http://schemas.openxmlformats.org/officeDocument/2006/relationships/styles" Target="styles.xml"/><Relationship Id="rId9" Type="http://schemas.openxmlformats.org/officeDocument/2006/relationships/numbering" Target="numbering.xml"/><Relationship Id="rId5" Type="http://schemas.openxmlformats.org/officeDocument/2006/relationships/theme" Target="theme/theme1.xml"/><Relationship Id="rId6" Type="http://schemas.openxmlformats.org/officeDocument/2006/relationships/settings" Target="settings.xml"/><Relationship Id="rId7" Type="http://schemas.openxmlformats.org/officeDocument/2006/relationships/fontTable" Target="fontTable.xml"/><Relationship Id="rId8"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37A28C-37C2-4CBF-ADA8-250EFC041F0A}"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A04E49C3-DE89-4BAE-8097-40B2ECE8A4E8}">
      <dgm:prSet phldrT="[Text]"/>
      <dgm:spPr/>
      <dgm:t>
        <a:bodyPr/>
        <a:lstStyle/>
        <a:p>
          <a:r>
            <a:rPr lang="en-US">
              <a:latin typeface="Arial" panose="020B0604020202020204" pitchFamily="34" charset="0"/>
              <a:cs typeface="Arial" panose="020B0604020202020204" pitchFamily="34" charset="0"/>
            </a:rPr>
            <a:t>Concept</a:t>
          </a:r>
        </a:p>
      </dgm:t>
    </dgm:pt>
    <dgm:pt modelId="{548AD454-C5EE-4C03-A621-0C5919143C93}" type="parTrans" cxnId="{28E59FE9-AA2C-4681-B552-C2A2515F8B2C}">
      <dgm:prSet/>
      <dgm:spPr/>
      <dgm:t>
        <a:bodyPr/>
        <a:lstStyle/>
        <a:p>
          <a:endParaRPr lang="en-US"/>
        </a:p>
      </dgm:t>
    </dgm:pt>
    <dgm:pt modelId="{F451B5A3-F715-455B-A84F-41F7FDB4E569}" type="sibTrans" cxnId="{28E59FE9-AA2C-4681-B552-C2A2515F8B2C}">
      <dgm:prSet/>
      <dgm:spPr/>
      <dgm:t>
        <a:bodyPr/>
        <a:lstStyle/>
        <a:p>
          <a:endParaRPr lang="en-US"/>
        </a:p>
      </dgm:t>
    </dgm:pt>
    <dgm:pt modelId="{787BB211-C7E8-4D17-A61F-084E331B0CCC}">
      <dgm:prSet phldrT="[Text]"/>
      <dgm:spPr/>
      <dgm:t>
        <a:bodyPr/>
        <a:lstStyle/>
        <a:p>
          <a:r>
            <a:rPr lang="en-US">
              <a:latin typeface="Arial" panose="020B0604020202020204" pitchFamily="34" charset="0"/>
              <a:cs typeface="Arial" panose="020B0604020202020204" pitchFamily="34" charset="0"/>
            </a:rPr>
            <a:t>Define</a:t>
          </a:r>
        </a:p>
      </dgm:t>
    </dgm:pt>
    <dgm:pt modelId="{169EBCF5-60FD-4816-8E61-665F1C77A404}" type="parTrans" cxnId="{D041AAEF-1DAC-4C67-BF4F-EF37BD80BAF2}">
      <dgm:prSet/>
      <dgm:spPr/>
      <dgm:t>
        <a:bodyPr/>
        <a:lstStyle/>
        <a:p>
          <a:endParaRPr lang="en-US"/>
        </a:p>
      </dgm:t>
    </dgm:pt>
    <dgm:pt modelId="{068BC424-D202-4907-B816-3B550D81E3F0}" type="sibTrans" cxnId="{D041AAEF-1DAC-4C67-BF4F-EF37BD80BAF2}">
      <dgm:prSet/>
      <dgm:spPr/>
      <dgm:t>
        <a:bodyPr/>
        <a:lstStyle/>
        <a:p>
          <a:endParaRPr lang="en-US"/>
        </a:p>
      </dgm:t>
    </dgm:pt>
    <dgm:pt modelId="{F2163479-C778-43C2-AA18-BBE61F7E0D5D}">
      <dgm:prSet phldrT="[Text]"/>
      <dgm:spPr/>
      <dgm:t>
        <a:bodyPr/>
        <a:lstStyle/>
        <a:p>
          <a:r>
            <a:rPr lang="en-US">
              <a:latin typeface="Arial" panose="020B0604020202020204" pitchFamily="34" charset="0"/>
              <a:cs typeface="Arial" panose="020B0604020202020204" pitchFamily="34" charset="0"/>
            </a:rPr>
            <a:t>Execute</a:t>
          </a:r>
        </a:p>
      </dgm:t>
    </dgm:pt>
    <dgm:pt modelId="{7AD445B9-799B-43ED-A4AE-131635AB96DA}" type="parTrans" cxnId="{6184EDC5-ECFF-494B-A22A-08EA9EEB65FC}">
      <dgm:prSet/>
      <dgm:spPr/>
      <dgm:t>
        <a:bodyPr/>
        <a:lstStyle/>
        <a:p>
          <a:endParaRPr lang="en-US"/>
        </a:p>
      </dgm:t>
    </dgm:pt>
    <dgm:pt modelId="{9FAF27E4-1029-48F1-9C5D-1A3D7A40F13C}" type="sibTrans" cxnId="{6184EDC5-ECFF-494B-A22A-08EA9EEB65FC}">
      <dgm:prSet/>
      <dgm:spPr/>
      <dgm:t>
        <a:bodyPr/>
        <a:lstStyle/>
        <a:p>
          <a:endParaRPr lang="en-US"/>
        </a:p>
      </dgm:t>
    </dgm:pt>
    <dgm:pt modelId="{4ED877CA-9075-4124-A6BD-BFB1E88A7921}">
      <dgm:prSet phldrT="[Text]"/>
      <dgm:spPr/>
      <dgm:t>
        <a:bodyPr/>
        <a:lstStyle/>
        <a:p>
          <a:r>
            <a:rPr lang="en-US">
              <a:latin typeface="Arial" panose="020B0604020202020204" pitchFamily="34" charset="0"/>
              <a:cs typeface="Arial" panose="020B0604020202020204" pitchFamily="34" charset="0"/>
            </a:rPr>
            <a:t>Close</a:t>
          </a:r>
        </a:p>
      </dgm:t>
    </dgm:pt>
    <dgm:pt modelId="{7F027C6B-E356-4B62-A39C-10C72BB2C1B1}" type="parTrans" cxnId="{FD6231F6-CE59-4668-8029-15B54E605AA0}">
      <dgm:prSet/>
      <dgm:spPr/>
      <dgm:t>
        <a:bodyPr/>
        <a:lstStyle/>
        <a:p>
          <a:endParaRPr lang="en-US"/>
        </a:p>
      </dgm:t>
    </dgm:pt>
    <dgm:pt modelId="{5C564D90-A5A9-4B2B-9981-03470A79B62F}" type="sibTrans" cxnId="{FD6231F6-CE59-4668-8029-15B54E605AA0}">
      <dgm:prSet/>
      <dgm:spPr/>
      <dgm:t>
        <a:bodyPr/>
        <a:lstStyle/>
        <a:p>
          <a:endParaRPr lang="en-US"/>
        </a:p>
      </dgm:t>
    </dgm:pt>
    <dgm:pt modelId="{BCD67C89-DC07-481B-95AC-81D68DD7986C}" type="pres">
      <dgm:prSet presAssocID="{2437A28C-37C2-4CBF-ADA8-250EFC041F0A}" presName="cycle" presStyleCnt="0">
        <dgm:presLayoutVars>
          <dgm:dir/>
          <dgm:resizeHandles val="exact"/>
        </dgm:presLayoutVars>
      </dgm:prSet>
      <dgm:spPr/>
    </dgm:pt>
    <dgm:pt modelId="{B1A0CCD4-47ED-4338-BA0F-5E8858CCC2CE}" type="pres">
      <dgm:prSet presAssocID="{A04E49C3-DE89-4BAE-8097-40B2ECE8A4E8}" presName="node" presStyleLbl="node1" presStyleIdx="0" presStyleCnt="4">
        <dgm:presLayoutVars>
          <dgm:bulletEnabled val="1"/>
        </dgm:presLayoutVars>
      </dgm:prSet>
      <dgm:spPr/>
    </dgm:pt>
    <dgm:pt modelId="{40C1146E-813D-4B89-B096-A55C5457767B}" type="pres">
      <dgm:prSet presAssocID="{F451B5A3-F715-455B-A84F-41F7FDB4E569}" presName="sibTrans" presStyleLbl="sibTrans2D1" presStyleIdx="0" presStyleCnt="4"/>
      <dgm:spPr/>
    </dgm:pt>
    <dgm:pt modelId="{9FDCA5F0-770C-4315-8A5B-21556880A80F}" type="pres">
      <dgm:prSet presAssocID="{F451B5A3-F715-455B-A84F-41F7FDB4E569}" presName="connectorText" presStyleLbl="sibTrans2D1" presStyleIdx="0" presStyleCnt="4"/>
      <dgm:spPr/>
    </dgm:pt>
    <dgm:pt modelId="{331F4C7D-2E6A-465B-82BE-6E80DAC13BD9}" type="pres">
      <dgm:prSet presAssocID="{787BB211-C7E8-4D17-A61F-084E331B0CCC}" presName="node" presStyleLbl="node1" presStyleIdx="1" presStyleCnt="4">
        <dgm:presLayoutVars>
          <dgm:bulletEnabled val="1"/>
        </dgm:presLayoutVars>
      </dgm:prSet>
      <dgm:spPr/>
    </dgm:pt>
    <dgm:pt modelId="{EAB5F13F-83B5-4ED8-871D-9A667F103F94}" type="pres">
      <dgm:prSet presAssocID="{068BC424-D202-4907-B816-3B550D81E3F0}" presName="sibTrans" presStyleLbl="sibTrans2D1" presStyleIdx="1" presStyleCnt="4"/>
      <dgm:spPr/>
    </dgm:pt>
    <dgm:pt modelId="{6C22DAE1-CC3A-4DD5-A797-816776CD5CA6}" type="pres">
      <dgm:prSet presAssocID="{068BC424-D202-4907-B816-3B550D81E3F0}" presName="connectorText" presStyleLbl="sibTrans2D1" presStyleIdx="1" presStyleCnt="4"/>
      <dgm:spPr/>
    </dgm:pt>
    <dgm:pt modelId="{E7E88B90-BCA4-4E6D-8B36-3DFE018457F8}" type="pres">
      <dgm:prSet presAssocID="{F2163479-C778-43C2-AA18-BBE61F7E0D5D}" presName="node" presStyleLbl="node1" presStyleIdx="2" presStyleCnt="4">
        <dgm:presLayoutVars>
          <dgm:bulletEnabled val="1"/>
        </dgm:presLayoutVars>
      </dgm:prSet>
      <dgm:spPr/>
    </dgm:pt>
    <dgm:pt modelId="{07E58BD8-2CC8-478C-98E0-B7BBB7B2569E}" type="pres">
      <dgm:prSet presAssocID="{9FAF27E4-1029-48F1-9C5D-1A3D7A40F13C}" presName="sibTrans" presStyleLbl="sibTrans2D1" presStyleIdx="2" presStyleCnt="4"/>
      <dgm:spPr/>
    </dgm:pt>
    <dgm:pt modelId="{86F40175-BF51-486F-877B-2B0E28B98063}" type="pres">
      <dgm:prSet presAssocID="{9FAF27E4-1029-48F1-9C5D-1A3D7A40F13C}" presName="connectorText" presStyleLbl="sibTrans2D1" presStyleIdx="2" presStyleCnt="4"/>
      <dgm:spPr/>
    </dgm:pt>
    <dgm:pt modelId="{ABF1D751-BB2C-43D8-BBC7-EBBD31990133}" type="pres">
      <dgm:prSet presAssocID="{4ED877CA-9075-4124-A6BD-BFB1E88A7921}" presName="node" presStyleLbl="node1" presStyleIdx="3" presStyleCnt="4">
        <dgm:presLayoutVars>
          <dgm:bulletEnabled val="1"/>
        </dgm:presLayoutVars>
      </dgm:prSet>
      <dgm:spPr/>
    </dgm:pt>
    <dgm:pt modelId="{2B0624E4-BC78-46BB-BF51-BA179A26E669}" type="pres">
      <dgm:prSet presAssocID="{5C564D90-A5A9-4B2B-9981-03470A79B62F}" presName="sibTrans" presStyleLbl="sibTrans2D1" presStyleIdx="3" presStyleCnt="4"/>
      <dgm:spPr/>
    </dgm:pt>
    <dgm:pt modelId="{D4970208-661B-4F8B-8523-AD12940645DA}" type="pres">
      <dgm:prSet presAssocID="{5C564D90-A5A9-4B2B-9981-03470A79B62F}" presName="connectorText" presStyleLbl="sibTrans2D1" presStyleIdx="3" presStyleCnt="4"/>
      <dgm:spPr/>
    </dgm:pt>
  </dgm:ptLst>
  <dgm:cxnLst>
    <dgm:cxn modelId="{B9492905-009F-4DA8-A037-3C60EE6DD19D}" type="presOf" srcId="{5C564D90-A5A9-4B2B-9981-03470A79B62F}" destId="{D4970208-661B-4F8B-8523-AD12940645DA}" srcOrd="1" destOrd="0" presId="urn:microsoft.com/office/officeart/2005/8/layout/cycle2"/>
    <dgm:cxn modelId="{9CBBF82C-77A5-4E6F-8A37-9572F5868AE9}" type="presOf" srcId="{F451B5A3-F715-455B-A84F-41F7FDB4E569}" destId="{9FDCA5F0-770C-4315-8A5B-21556880A80F}" srcOrd="1" destOrd="0" presId="urn:microsoft.com/office/officeart/2005/8/layout/cycle2"/>
    <dgm:cxn modelId="{4BDD9744-7FF3-45FC-A9E2-04D1B4BA065A}" type="presOf" srcId="{A04E49C3-DE89-4BAE-8097-40B2ECE8A4E8}" destId="{B1A0CCD4-47ED-4338-BA0F-5E8858CCC2CE}" srcOrd="0" destOrd="0" presId="urn:microsoft.com/office/officeart/2005/8/layout/cycle2"/>
    <dgm:cxn modelId="{6DDE1A49-0D69-46EB-93F9-0C3B66905149}" type="presOf" srcId="{4ED877CA-9075-4124-A6BD-BFB1E88A7921}" destId="{ABF1D751-BB2C-43D8-BBC7-EBBD31990133}" srcOrd="0" destOrd="0" presId="urn:microsoft.com/office/officeart/2005/8/layout/cycle2"/>
    <dgm:cxn modelId="{C0902E77-9C05-44AF-A9FB-BEDB7DC4E6B9}" type="presOf" srcId="{F2163479-C778-43C2-AA18-BBE61F7E0D5D}" destId="{E7E88B90-BCA4-4E6D-8B36-3DFE018457F8}" srcOrd="0" destOrd="0" presId="urn:microsoft.com/office/officeart/2005/8/layout/cycle2"/>
    <dgm:cxn modelId="{BEAF3D7D-B6AB-4AFE-B8BE-98ABC9A4ACDB}" type="presOf" srcId="{068BC424-D202-4907-B816-3B550D81E3F0}" destId="{6C22DAE1-CC3A-4DD5-A797-816776CD5CA6}" srcOrd="1" destOrd="0" presId="urn:microsoft.com/office/officeart/2005/8/layout/cycle2"/>
    <dgm:cxn modelId="{65E7D285-BA93-43D0-939E-B61D3293FD43}" type="presOf" srcId="{787BB211-C7E8-4D17-A61F-084E331B0CCC}" destId="{331F4C7D-2E6A-465B-82BE-6E80DAC13BD9}" srcOrd="0" destOrd="0" presId="urn:microsoft.com/office/officeart/2005/8/layout/cycle2"/>
    <dgm:cxn modelId="{1FE54DA9-A339-4EE7-9F55-76A751150F72}" type="presOf" srcId="{F451B5A3-F715-455B-A84F-41F7FDB4E569}" destId="{40C1146E-813D-4B89-B096-A55C5457767B}" srcOrd="0" destOrd="0" presId="urn:microsoft.com/office/officeart/2005/8/layout/cycle2"/>
    <dgm:cxn modelId="{14AF4AB8-B18B-48F6-A61E-085D7F7FBCA9}" type="presOf" srcId="{9FAF27E4-1029-48F1-9C5D-1A3D7A40F13C}" destId="{07E58BD8-2CC8-478C-98E0-B7BBB7B2569E}" srcOrd="0" destOrd="0" presId="urn:microsoft.com/office/officeart/2005/8/layout/cycle2"/>
    <dgm:cxn modelId="{4B0620BE-421E-452A-99F2-7BB5A1A02542}" type="presOf" srcId="{068BC424-D202-4907-B816-3B550D81E3F0}" destId="{EAB5F13F-83B5-4ED8-871D-9A667F103F94}" srcOrd="0" destOrd="0" presId="urn:microsoft.com/office/officeart/2005/8/layout/cycle2"/>
    <dgm:cxn modelId="{6184EDC5-ECFF-494B-A22A-08EA9EEB65FC}" srcId="{2437A28C-37C2-4CBF-ADA8-250EFC041F0A}" destId="{F2163479-C778-43C2-AA18-BBE61F7E0D5D}" srcOrd="2" destOrd="0" parTransId="{7AD445B9-799B-43ED-A4AE-131635AB96DA}" sibTransId="{9FAF27E4-1029-48F1-9C5D-1A3D7A40F13C}"/>
    <dgm:cxn modelId="{7CC230DC-D644-4A82-AC2E-67CBC9497DC4}" type="presOf" srcId="{5C564D90-A5A9-4B2B-9981-03470A79B62F}" destId="{2B0624E4-BC78-46BB-BF51-BA179A26E669}" srcOrd="0" destOrd="0" presId="urn:microsoft.com/office/officeart/2005/8/layout/cycle2"/>
    <dgm:cxn modelId="{E2B294E3-4528-409E-8BB7-82E0682D5A6B}" type="presOf" srcId="{9FAF27E4-1029-48F1-9C5D-1A3D7A40F13C}" destId="{86F40175-BF51-486F-877B-2B0E28B98063}" srcOrd="1" destOrd="0" presId="urn:microsoft.com/office/officeart/2005/8/layout/cycle2"/>
    <dgm:cxn modelId="{B48D7FE4-A1CC-4918-A29C-8C3B9D6FEECC}" type="presOf" srcId="{2437A28C-37C2-4CBF-ADA8-250EFC041F0A}" destId="{BCD67C89-DC07-481B-95AC-81D68DD7986C}" srcOrd="0" destOrd="0" presId="urn:microsoft.com/office/officeart/2005/8/layout/cycle2"/>
    <dgm:cxn modelId="{28E59FE9-AA2C-4681-B552-C2A2515F8B2C}" srcId="{2437A28C-37C2-4CBF-ADA8-250EFC041F0A}" destId="{A04E49C3-DE89-4BAE-8097-40B2ECE8A4E8}" srcOrd="0" destOrd="0" parTransId="{548AD454-C5EE-4C03-A621-0C5919143C93}" sibTransId="{F451B5A3-F715-455B-A84F-41F7FDB4E569}"/>
    <dgm:cxn modelId="{D041AAEF-1DAC-4C67-BF4F-EF37BD80BAF2}" srcId="{2437A28C-37C2-4CBF-ADA8-250EFC041F0A}" destId="{787BB211-C7E8-4D17-A61F-084E331B0CCC}" srcOrd="1" destOrd="0" parTransId="{169EBCF5-60FD-4816-8E61-665F1C77A404}" sibTransId="{068BC424-D202-4907-B816-3B550D81E3F0}"/>
    <dgm:cxn modelId="{FD6231F6-CE59-4668-8029-15B54E605AA0}" srcId="{2437A28C-37C2-4CBF-ADA8-250EFC041F0A}" destId="{4ED877CA-9075-4124-A6BD-BFB1E88A7921}" srcOrd="3" destOrd="0" parTransId="{7F027C6B-E356-4B62-A39C-10C72BB2C1B1}" sibTransId="{5C564D90-A5A9-4B2B-9981-03470A79B62F}"/>
    <dgm:cxn modelId="{65337FD2-C5E2-44DB-9AA9-F7596A99251E}" type="presParOf" srcId="{BCD67C89-DC07-481B-95AC-81D68DD7986C}" destId="{B1A0CCD4-47ED-4338-BA0F-5E8858CCC2CE}" srcOrd="0" destOrd="0" presId="urn:microsoft.com/office/officeart/2005/8/layout/cycle2"/>
    <dgm:cxn modelId="{D010A8AF-A13D-4B4F-9544-3E9C99921940}" type="presParOf" srcId="{BCD67C89-DC07-481B-95AC-81D68DD7986C}" destId="{40C1146E-813D-4B89-B096-A55C5457767B}" srcOrd="1" destOrd="0" presId="urn:microsoft.com/office/officeart/2005/8/layout/cycle2"/>
    <dgm:cxn modelId="{3DE76F7B-0801-40D9-BBAC-53D4A57D1085}" type="presParOf" srcId="{40C1146E-813D-4B89-B096-A55C5457767B}" destId="{9FDCA5F0-770C-4315-8A5B-21556880A80F}" srcOrd="0" destOrd="0" presId="urn:microsoft.com/office/officeart/2005/8/layout/cycle2"/>
    <dgm:cxn modelId="{CC5F5C61-E4F6-4928-8917-74EC8CCE3265}" type="presParOf" srcId="{BCD67C89-DC07-481B-95AC-81D68DD7986C}" destId="{331F4C7D-2E6A-465B-82BE-6E80DAC13BD9}" srcOrd="2" destOrd="0" presId="urn:microsoft.com/office/officeart/2005/8/layout/cycle2"/>
    <dgm:cxn modelId="{499B6271-BE48-433B-84FC-84E7DB7F64AE}" type="presParOf" srcId="{BCD67C89-DC07-481B-95AC-81D68DD7986C}" destId="{EAB5F13F-83B5-4ED8-871D-9A667F103F94}" srcOrd="3" destOrd="0" presId="urn:microsoft.com/office/officeart/2005/8/layout/cycle2"/>
    <dgm:cxn modelId="{46A83651-E0E7-4ED4-95DC-3F1BFC2AACE8}" type="presParOf" srcId="{EAB5F13F-83B5-4ED8-871D-9A667F103F94}" destId="{6C22DAE1-CC3A-4DD5-A797-816776CD5CA6}" srcOrd="0" destOrd="0" presId="urn:microsoft.com/office/officeart/2005/8/layout/cycle2"/>
    <dgm:cxn modelId="{23E214B9-9177-4478-A39F-6CFDE48BFF3E}" type="presParOf" srcId="{BCD67C89-DC07-481B-95AC-81D68DD7986C}" destId="{E7E88B90-BCA4-4E6D-8B36-3DFE018457F8}" srcOrd="4" destOrd="0" presId="urn:microsoft.com/office/officeart/2005/8/layout/cycle2"/>
    <dgm:cxn modelId="{B9ABED15-659D-4D1E-9E81-DA093678F8A2}" type="presParOf" srcId="{BCD67C89-DC07-481B-95AC-81D68DD7986C}" destId="{07E58BD8-2CC8-478C-98E0-B7BBB7B2569E}" srcOrd="5" destOrd="0" presId="urn:microsoft.com/office/officeart/2005/8/layout/cycle2"/>
    <dgm:cxn modelId="{F265C65A-EEE2-4677-9238-0E8EA57C6976}" type="presParOf" srcId="{07E58BD8-2CC8-478C-98E0-B7BBB7B2569E}" destId="{86F40175-BF51-486F-877B-2B0E28B98063}" srcOrd="0" destOrd="0" presId="urn:microsoft.com/office/officeart/2005/8/layout/cycle2"/>
    <dgm:cxn modelId="{818CEFDF-9A1D-4999-8D4E-F77A67B26171}" type="presParOf" srcId="{BCD67C89-DC07-481B-95AC-81D68DD7986C}" destId="{ABF1D751-BB2C-43D8-BBC7-EBBD31990133}" srcOrd="6" destOrd="0" presId="urn:microsoft.com/office/officeart/2005/8/layout/cycle2"/>
    <dgm:cxn modelId="{67AB4CE9-A8AF-4593-B17D-5EDC82F074F5}" type="presParOf" srcId="{BCD67C89-DC07-481B-95AC-81D68DD7986C}" destId="{2B0624E4-BC78-46BB-BF51-BA179A26E669}" srcOrd="7" destOrd="0" presId="urn:microsoft.com/office/officeart/2005/8/layout/cycle2"/>
    <dgm:cxn modelId="{616BAF33-E845-4D23-AFF8-E1E283D5A066}" type="presParOf" srcId="{2B0624E4-BC78-46BB-BF51-BA179A26E669}" destId="{D4970208-661B-4F8B-8523-AD12940645DA}" srcOrd="0" destOrd="0" presId="urn:microsoft.com/office/officeart/2005/8/layout/cycle2"/>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A0CCD4-47ED-4338-BA0F-5E8858CCC2CE}">
      <dsp:nvSpPr>
        <dsp:cNvPr id="0" name=""/>
        <dsp:cNvSpPr/>
      </dsp:nvSpPr>
      <dsp:spPr>
        <a:xfrm>
          <a:off x="2222970" y="79"/>
          <a:ext cx="630884" cy="63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Concept</a:t>
          </a:r>
        </a:p>
      </dsp:txBody>
      <dsp:txXfrm>
        <a:off x="2315361" y="92470"/>
        <a:ext cx="446102" cy="446102"/>
      </dsp:txXfrm>
    </dsp:sp>
    <dsp:sp modelId="{40C1146E-813D-4B89-B096-A55C5457767B}">
      <dsp:nvSpPr>
        <dsp:cNvPr id="0" name=""/>
        <dsp:cNvSpPr/>
      </dsp:nvSpPr>
      <dsp:spPr>
        <a:xfrm rot="2700000">
          <a:off x="2786179" y="540854"/>
          <a:ext cx="168054" cy="2129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793562" y="565614"/>
        <a:ext cx="117638" cy="127753"/>
      </dsp:txXfrm>
    </dsp:sp>
    <dsp:sp modelId="{331F4C7D-2E6A-465B-82BE-6E80DAC13BD9}">
      <dsp:nvSpPr>
        <dsp:cNvPr id="0" name=""/>
        <dsp:cNvSpPr/>
      </dsp:nvSpPr>
      <dsp:spPr>
        <a:xfrm>
          <a:off x="2893285" y="670395"/>
          <a:ext cx="630884" cy="63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Define</a:t>
          </a:r>
        </a:p>
      </dsp:txBody>
      <dsp:txXfrm>
        <a:off x="2985676" y="762786"/>
        <a:ext cx="446102" cy="446102"/>
      </dsp:txXfrm>
    </dsp:sp>
    <dsp:sp modelId="{EAB5F13F-83B5-4ED8-871D-9A667F103F94}">
      <dsp:nvSpPr>
        <dsp:cNvPr id="0" name=""/>
        <dsp:cNvSpPr/>
      </dsp:nvSpPr>
      <dsp:spPr>
        <a:xfrm rot="8100000">
          <a:off x="2792906" y="1211170"/>
          <a:ext cx="168054" cy="2129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835939" y="1235930"/>
        <a:ext cx="117638" cy="127753"/>
      </dsp:txXfrm>
    </dsp:sp>
    <dsp:sp modelId="{E7E88B90-BCA4-4E6D-8B36-3DFE018457F8}">
      <dsp:nvSpPr>
        <dsp:cNvPr id="0" name=""/>
        <dsp:cNvSpPr/>
      </dsp:nvSpPr>
      <dsp:spPr>
        <a:xfrm>
          <a:off x="2222970" y="1340710"/>
          <a:ext cx="630884" cy="63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Execute</a:t>
          </a:r>
        </a:p>
      </dsp:txBody>
      <dsp:txXfrm>
        <a:off x="2315361" y="1433101"/>
        <a:ext cx="446102" cy="446102"/>
      </dsp:txXfrm>
    </dsp:sp>
    <dsp:sp modelId="{07E58BD8-2CC8-478C-98E0-B7BBB7B2569E}">
      <dsp:nvSpPr>
        <dsp:cNvPr id="0" name=""/>
        <dsp:cNvSpPr/>
      </dsp:nvSpPr>
      <dsp:spPr>
        <a:xfrm rot="13500000">
          <a:off x="2122590" y="1217896"/>
          <a:ext cx="168054" cy="2129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165623" y="1278306"/>
        <a:ext cx="117638" cy="127753"/>
      </dsp:txXfrm>
    </dsp:sp>
    <dsp:sp modelId="{ABF1D751-BB2C-43D8-BBC7-EBBD31990133}">
      <dsp:nvSpPr>
        <dsp:cNvPr id="0" name=""/>
        <dsp:cNvSpPr/>
      </dsp:nvSpPr>
      <dsp:spPr>
        <a:xfrm>
          <a:off x="1552654" y="670395"/>
          <a:ext cx="630884" cy="63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Close</a:t>
          </a:r>
        </a:p>
      </dsp:txBody>
      <dsp:txXfrm>
        <a:off x="1645045" y="762786"/>
        <a:ext cx="446102" cy="446102"/>
      </dsp:txXfrm>
    </dsp:sp>
    <dsp:sp modelId="{2B0624E4-BC78-46BB-BF51-BA179A26E669}">
      <dsp:nvSpPr>
        <dsp:cNvPr id="0" name=""/>
        <dsp:cNvSpPr/>
      </dsp:nvSpPr>
      <dsp:spPr>
        <a:xfrm rot="18900000">
          <a:off x="2115864" y="547581"/>
          <a:ext cx="168054" cy="2129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123247" y="607991"/>
        <a:ext cx="117638" cy="12775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