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01564" w14:textId="77777777" w:rsidR="00C25028" w:rsidRDefault="00C25028" w:rsidP="00C25028">
      <w:pPr>
        <w:spacing w:line="276" w:lineRule="auto"/>
        <w:jc w:val="center"/>
        <w:rPr>
          <w:b/>
          <w:sz w:val="28"/>
        </w:rPr>
      </w:pPr>
    </w:p>
    <w:p w14:paraId="4E019BBB" w14:textId="77777777" w:rsidR="00C25028" w:rsidRDefault="00C25028" w:rsidP="00C25028">
      <w:pPr>
        <w:spacing w:line="276" w:lineRule="auto"/>
        <w:jc w:val="center"/>
        <w:rPr>
          <w:b/>
          <w:sz w:val="28"/>
        </w:rPr>
      </w:pPr>
    </w:p>
    <w:p w14:paraId="2EC03F42" w14:textId="77777777" w:rsidR="00C25028" w:rsidRDefault="00C25028" w:rsidP="00C25028">
      <w:pPr>
        <w:spacing w:line="276" w:lineRule="auto"/>
        <w:rPr>
          <w:b/>
          <w:sz w:val="28"/>
        </w:rPr>
      </w:pPr>
    </w:p>
    <w:p w14:paraId="757E7447" w14:textId="5425A0E6" w:rsidR="00C25028" w:rsidRDefault="00C25028" w:rsidP="00C25028">
      <w:pPr>
        <w:spacing w:line="276" w:lineRule="auto"/>
        <w:rPr>
          <w:b/>
          <w:sz w:val="48"/>
        </w:rPr>
      </w:pPr>
    </w:p>
    <w:p w14:paraId="1C053D87" w14:textId="53AF65F1" w:rsidR="00C25028" w:rsidRDefault="00413E11" w:rsidP="00C25028">
      <w:pPr>
        <w:spacing w:line="276" w:lineRule="auto"/>
        <w:rPr>
          <w:b/>
          <w:sz w:val="48"/>
        </w:rPr>
      </w:pPr>
      <w:r>
        <w:rPr>
          <w:b/>
          <w:sz w:val="48"/>
        </w:rPr>
        <w:t>SOFTBANK AND ARM</w:t>
      </w:r>
    </w:p>
    <w:p w14:paraId="101629BB" w14:textId="77777777" w:rsidR="00C25028" w:rsidRDefault="00C25028" w:rsidP="00C25028">
      <w:pPr>
        <w:spacing w:line="276" w:lineRule="auto"/>
      </w:pPr>
    </w:p>
    <w:p w14:paraId="3D4B9B90" w14:textId="77777777" w:rsidR="00C25028" w:rsidRDefault="00C25028" w:rsidP="00C25028">
      <w:pPr>
        <w:spacing w:line="276" w:lineRule="auto"/>
      </w:pPr>
    </w:p>
    <w:p w14:paraId="189BB8BC" w14:textId="77777777" w:rsidR="00C25028" w:rsidRDefault="00C25028" w:rsidP="00C25028">
      <w:pPr>
        <w:spacing w:line="276" w:lineRule="auto"/>
      </w:pPr>
    </w:p>
    <w:p w14:paraId="290ABA79" w14:textId="77777777" w:rsidR="00C25028" w:rsidRDefault="00C25028" w:rsidP="00C25028">
      <w:pPr>
        <w:spacing w:line="276" w:lineRule="auto"/>
      </w:pPr>
    </w:p>
    <w:p w14:paraId="1BA073F3" w14:textId="77777777" w:rsidR="00C25028" w:rsidRDefault="00C25028" w:rsidP="00C25028">
      <w:pPr>
        <w:spacing w:line="276" w:lineRule="auto"/>
      </w:pPr>
    </w:p>
    <w:p w14:paraId="758CE965" w14:textId="4ECE34B3" w:rsidR="00C25028" w:rsidRDefault="00C25028" w:rsidP="00C25028">
      <w:pPr>
        <w:spacing w:line="276" w:lineRule="auto"/>
      </w:pPr>
    </w:p>
    <w:p w14:paraId="57C8A120" w14:textId="46DA2A42" w:rsidR="00CD6A3F" w:rsidRDefault="00CD6A3F" w:rsidP="00C25028">
      <w:pPr>
        <w:spacing w:line="276" w:lineRule="auto"/>
      </w:pPr>
    </w:p>
    <w:p w14:paraId="3A93F374" w14:textId="58EF7BEF" w:rsidR="00CD6A3F" w:rsidRDefault="00CD6A3F" w:rsidP="00C25028">
      <w:pPr>
        <w:spacing w:line="276" w:lineRule="auto"/>
      </w:pPr>
    </w:p>
    <w:p w14:paraId="3660B998" w14:textId="77777777" w:rsidR="00CD6A3F" w:rsidRDefault="00CD6A3F" w:rsidP="00C25028">
      <w:pPr>
        <w:spacing w:line="276" w:lineRule="auto"/>
      </w:pPr>
    </w:p>
    <w:p w14:paraId="39E2C9C5" w14:textId="77777777" w:rsidR="00C25028" w:rsidRDefault="00C25028" w:rsidP="00C25028">
      <w:pPr>
        <w:spacing w:line="276" w:lineRule="auto"/>
      </w:pPr>
    </w:p>
    <w:p w14:paraId="4C634AA1" w14:textId="77777777" w:rsidR="00C25028" w:rsidRDefault="00C25028" w:rsidP="00C25028">
      <w:pPr>
        <w:spacing w:line="276" w:lineRule="auto"/>
      </w:pPr>
    </w:p>
    <w:p w14:paraId="1832E7F2" w14:textId="7856C21E" w:rsidR="00C25028" w:rsidRDefault="00C25028" w:rsidP="00C25028">
      <w:pPr>
        <w:tabs>
          <w:tab w:val="left" w:pos="3420"/>
        </w:tabs>
        <w:spacing w:line="276" w:lineRule="auto"/>
      </w:pPr>
      <w:r>
        <w:t>Program:</w:t>
      </w:r>
      <w:r>
        <w:tab/>
      </w:r>
      <w:r>
        <w:rPr>
          <w:i/>
        </w:rPr>
        <w:t>Doctor of Business Administration</w:t>
      </w:r>
      <w:r>
        <w:rPr>
          <w:i/>
        </w:rPr>
        <w:tab/>
      </w:r>
    </w:p>
    <w:p w14:paraId="73F8E024" w14:textId="5153D887" w:rsidR="00C25028" w:rsidRDefault="00C25028" w:rsidP="00C25028">
      <w:pPr>
        <w:tabs>
          <w:tab w:val="left" w:pos="3420"/>
        </w:tabs>
        <w:spacing w:line="276" w:lineRule="auto"/>
      </w:pPr>
      <w:r>
        <w:t>Module name:</w:t>
      </w:r>
      <w:r>
        <w:tab/>
      </w:r>
      <w:r w:rsidR="00063FA1">
        <w:rPr>
          <w:i/>
        </w:rPr>
        <w:t>St</w:t>
      </w:r>
      <w:r w:rsidR="00063FA1" w:rsidRPr="00063FA1">
        <w:rPr>
          <w:i/>
        </w:rPr>
        <w:t>rategic Change and Organi</w:t>
      </w:r>
      <w:r w:rsidR="00F25415">
        <w:rPr>
          <w:i/>
        </w:rPr>
        <w:t>z</w:t>
      </w:r>
      <w:r w:rsidR="00063FA1" w:rsidRPr="00063FA1">
        <w:rPr>
          <w:i/>
        </w:rPr>
        <w:t>ations (LCDB7005</w:t>
      </w:r>
      <w:r w:rsidR="00172F6E">
        <w:rPr>
          <w:i/>
        </w:rPr>
        <w:t>)</w:t>
      </w:r>
    </w:p>
    <w:p w14:paraId="2DBBABE2" w14:textId="52EA9C56" w:rsidR="00C25028" w:rsidRDefault="00C25028" w:rsidP="00C25028">
      <w:pPr>
        <w:tabs>
          <w:tab w:val="left" w:pos="3420"/>
        </w:tabs>
        <w:spacing w:line="276" w:lineRule="auto"/>
      </w:pPr>
      <w:r>
        <w:t>Schedule:</w:t>
      </w:r>
      <w:r>
        <w:tab/>
      </w:r>
      <w:r>
        <w:rPr>
          <w:i/>
        </w:rPr>
        <w:t xml:space="preserve">Term </w:t>
      </w:r>
      <w:r w:rsidR="00AF761C">
        <w:rPr>
          <w:i/>
        </w:rPr>
        <w:t>2</w:t>
      </w:r>
    </w:p>
    <w:p w14:paraId="13BDB8AC" w14:textId="77777777" w:rsidR="00C25028" w:rsidRDefault="00C25028" w:rsidP="00C25028">
      <w:pPr>
        <w:tabs>
          <w:tab w:val="left" w:pos="3420"/>
        </w:tabs>
        <w:spacing w:line="276" w:lineRule="auto"/>
      </w:pPr>
      <w:r>
        <w:t>Student ID:</w:t>
      </w:r>
      <w:r>
        <w:tab/>
      </w:r>
      <w:r>
        <w:rPr>
          <w:i/>
        </w:rPr>
        <w:t>1900036</w:t>
      </w:r>
    </w:p>
    <w:p w14:paraId="70626178" w14:textId="3FDDF0B5" w:rsidR="00C25028" w:rsidRDefault="00C25028" w:rsidP="00C25028">
      <w:pPr>
        <w:tabs>
          <w:tab w:val="left" w:pos="3420"/>
        </w:tabs>
        <w:spacing w:line="276" w:lineRule="auto"/>
        <w:rPr>
          <w:i/>
        </w:rPr>
      </w:pPr>
      <w:r>
        <w:t>Assignment Title:</w:t>
      </w:r>
      <w:r>
        <w:tab/>
      </w:r>
      <w:r w:rsidR="00A765DA" w:rsidRPr="00FC6CEB">
        <w:rPr>
          <w:i/>
        </w:rPr>
        <w:t>Softbank and ARM</w:t>
      </w:r>
    </w:p>
    <w:p w14:paraId="09422146" w14:textId="7F1D1468" w:rsidR="00C25028" w:rsidRDefault="00C25028" w:rsidP="00C25028">
      <w:pPr>
        <w:tabs>
          <w:tab w:val="left" w:pos="3420"/>
        </w:tabs>
        <w:spacing w:line="276" w:lineRule="auto"/>
        <w:rPr>
          <w:i/>
        </w:rPr>
      </w:pPr>
      <w:r>
        <w:rPr>
          <w:rFonts w:cs="Calibri"/>
        </w:rPr>
        <w:t>The word count:</w:t>
      </w:r>
      <w:r>
        <w:rPr>
          <w:rFonts w:cs="Calibri"/>
        </w:rPr>
        <w:tab/>
      </w:r>
      <w:r w:rsidR="005848A5" w:rsidRPr="00FC6CEB">
        <w:rPr>
          <w:rFonts w:cs="Calibri"/>
          <w:i/>
        </w:rPr>
        <w:t>3826</w:t>
      </w:r>
    </w:p>
    <w:p w14:paraId="49032477" w14:textId="032EE243" w:rsidR="00884C61" w:rsidRPr="00736077" w:rsidRDefault="00C25028" w:rsidP="00C25028">
      <w:pPr>
        <w:tabs>
          <w:tab w:val="left" w:pos="3420"/>
        </w:tabs>
        <w:spacing w:line="276" w:lineRule="auto"/>
        <w:rPr>
          <w:b/>
          <w:i/>
        </w:rPr>
      </w:pPr>
      <w:r>
        <w:t xml:space="preserve">Date of Submission: </w:t>
      </w:r>
      <w:r>
        <w:tab/>
      </w:r>
      <w:r w:rsidR="00457FD9">
        <w:rPr>
          <w:i/>
        </w:rPr>
        <w:t>2</w:t>
      </w:r>
      <w:r w:rsidR="00531EB6">
        <w:rPr>
          <w:i/>
        </w:rPr>
        <w:t>0</w:t>
      </w:r>
      <w:r>
        <w:rPr>
          <w:i/>
          <w:vertAlign w:val="superscript"/>
        </w:rPr>
        <w:t>th</w:t>
      </w:r>
      <w:r>
        <w:rPr>
          <w:i/>
        </w:rPr>
        <w:t xml:space="preserve"> </w:t>
      </w:r>
      <w:r w:rsidR="00531EB6">
        <w:rPr>
          <w:i/>
        </w:rPr>
        <w:t>Sep</w:t>
      </w:r>
      <w:r>
        <w:rPr>
          <w:i/>
        </w:rPr>
        <w:t xml:space="preserve"> 2019</w:t>
      </w:r>
    </w:p>
    <w:p w14:paraId="008BF0F4" w14:textId="77777777" w:rsidR="00884C61" w:rsidRDefault="00884C61">
      <w:pPr>
        <w:spacing w:line="259" w:lineRule="auto"/>
        <w:rPr>
          <w:i/>
        </w:rPr>
      </w:pPr>
      <w:r>
        <w:rPr>
          <w:i/>
        </w:rPr>
        <w:br w:type="page"/>
      </w:r>
    </w:p>
    <w:p w14:paraId="38FAF0DE" w14:textId="77777777" w:rsidR="005C5229" w:rsidRDefault="005C5229" w:rsidP="0010357D">
      <w:pPr>
        <w:tabs>
          <w:tab w:val="left" w:pos="3420"/>
        </w:tabs>
        <w:spacing w:line="276" w:lineRule="auto"/>
        <w:jc w:val="center"/>
        <w:rPr>
          <w:b/>
          <w:sz w:val="28"/>
          <w:szCs w:val="28"/>
        </w:rPr>
      </w:pPr>
    </w:p>
    <w:p w14:paraId="63824378" w14:textId="77777777" w:rsidR="005C5229" w:rsidRDefault="005C5229" w:rsidP="0010357D">
      <w:pPr>
        <w:tabs>
          <w:tab w:val="left" w:pos="3420"/>
        </w:tabs>
        <w:spacing w:line="276" w:lineRule="auto"/>
        <w:jc w:val="center"/>
        <w:rPr>
          <w:b/>
          <w:sz w:val="28"/>
          <w:szCs w:val="28"/>
        </w:rPr>
      </w:pPr>
    </w:p>
    <w:p w14:paraId="54757B6F" w14:textId="77777777" w:rsidR="005C5229" w:rsidRDefault="005C5229" w:rsidP="0010357D">
      <w:pPr>
        <w:tabs>
          <w:tab w:val="left" w:pos="3420"/>
        </w:tabs>
        <w:spacing w:line="276" w:lineRule="auto"/>
        <w:jc w:val="center"/>
        <w:rPr>
          <w:b/>
          <w:sz w:val="28"/>
          <w:szCs w:val="28"/>
        </w:rPr>
      </w:pPr>
    </w:p>
    <w:p w14:paraId="25B6A203" w14:textId="7C850951" w:rsidR="005C5229" w:rsidRDefault="005C5229" w:rsidP="0010357D">
      <w:pPr>
        <w:tabs>
          <w:tab w:val="left" w:pos="3420"/>
        </w:tabs>
        <w:spacing w:line="276" w:lineRule="auto"/>
        <w:jc w:val="center"/>
        <w:rPr>
          <w:b/>
          <w:sz w:val="28"/>
          <w:szCs w:val="28"/>
        </w:rPr>
      </w:pPr>
    </w:p>
    <w:p w14:paraId="16C362DD" w14:textId="77777777" w:rsidR="000C0A5B" w:rsidRDefault="000C0A5B" w:rsidP="0010357D">
      <w:pPr>
        <w:tabs>
          <w:tab w:val="left" w:pos="3420"/>
        </w:tabs>
        <w:spacing w:line="276" w:lineRule="auto"/>
        <w:jc w:val="center"/>
        <w:rPr>
          <w:b/>
          <w:sz w:val="28"/>
          <w:szCs w:val="28"/>
        </w:rPr>
      </w:pPr>
    </w:p>
    <w:p w14:paraId="32C329E4" w14:textId="77777777" w:rsidR="005C5229" w:rsidRDefault="005C5229" w:rsidP="0010357D">
      <w:pPr>
        <w:tabs>
          <w:tab w:val="left" w:pos="3420"/>
        </w:tabs>
        <w:spacing w:line="276" w:lineRule="auto"/>
        <w:jc w:val="center"/>
        <w:rPr>
          <w:b/>
          <w:sz w:val="28"/>
          <w:szCs w:val="28"/>
        </w:rPr>
      </w:pPr>
    </w:p>
    <w:p w14:paraId="16792CB7" w14:textId="6A7201FD" w:rsidR="0010357D" w:rsidRDefault="00DA7D30" w:rsidP="00E55C94">
      <w:pPr>
        <w:tabs>
          <w:tab w:val="left" w:pos="3420"/>
          <w:tab w:val="left" w:pos="9180"/>
        </w:tabs>
        <w:spacing w:line="276" w:lineRule="auto"/>
        <w:jc w:val="center"/>
        <w:rPr>
          <w:b/>
          <w:sz w:val="28"/>
          <w:szCs w:val="28"/>
        </w:rPr>
      </w:pPr>
      <w:r w:rsidRPr="00DA7D30">
        <w:rPr>
          <w:b/>
          <w:sz w:val="28"/>
          <w:szCs w:val="28"/>
        </w:rPr>
        <w:t>CONTENT</w:t>
      </w:r>
    </w:p>
    <w:p w14:paraId="7519111B" w14:textId="137882C5" w:rsidR="006544DE" w:rsidRPr="00574DA4" w:rsidRDefault="00C071F5" w:rsidP="00E55C94">
      <w:pPr>
        <w:tabs>
          <w:tab w:val="left" w:leader="dot" w:pos="8640"/>
          <w:tab w:val="left" w:pos="9180"/>
        </w:tabs>
        <w:spacing w:line="259" w:lineRule="auto"/>
        <w:rPr>
          <w:b/>
        </w:rPr>
      </w:pPr>
      <w:r w:rsidRPr="00574DA4">
        <w:rPr>
          <w:b/>
        </w:rPr>
        <w:t>1. Introductio</w:t>
      </w:r>
      <w:r w:rsidR="00BF29BD" w:rsidRPr="00574DA4">
        <w:rPr>
          <w:b/>
        </w:rPr>
        <w:t>n</w:t>
      </w:r>
      <w:r w:rsidR="00A5563E" w:rsidRPr="00574DA4">
        <w:rPr>
          <w:b/>
        </w:rPr>
        <w:tab/>
      </w:r>
      <w:r w:rsidR="00A938BA" w:rsidRPr="00574DA4">
        <w:rPr>
          <w:b/>
        </w:rPr>
        <w:t>2</w:t>
      </w:r>
    </w:p>
    <w:p w14:paraId="76092922" w14:textId="113D6B7A" w:rsidR="00E0186A" w:rsidRPr="00574DA4" w:rsidRDefault="006544DE" w:rsidP="00E55C94">
      <w:pPr>
        <w:tabs>
          <w:tab w:val="left" w:leader="dot" w:pos="8640"/>
          <w:tab w:val="left" w:pos="9180"/>
        </w:tabs>
        <w:spacing w:line="259" w:lineRule="auto"/>
        <w:rPr>
          <w:b/>
        </w:rPr>
      </w:pPr>
      <w:r w:rsidRPr="00574DA4">
        <w:rPr>
          <w:b/>
        </w:rPr>
        <w:t xml:space="preserve">2. </w:t>
      </w:r>
      <w:r w:rsidR="00B26A64" w:rsidRPr="00574DA4">
        <w:rPr>
          <w:b/>
        </w:rPr>
        <w:t>Motives and theories (M&amp;A)</w:t>
      </w:r>
      <w:r w:rsidR="00A5563E" w:rsidRPr="00574DA4">
        <w:rPr>
          <w:b/>
        </w:rPr>
        <w:tab/>
      </w:r>
      <w:r w:rsidR="00A938BA" w:rsidRPr="00574DA4">
        <w:rPr>
          <w:b/>
        </w:rPr>
        <w:t>2</w:t>
      </w:r>
    </w:p>
    <w:p w14:paraId="1D1079F7" w14:textId="74BD5080" w:rsidR="00A938BA" w:rsidRDefault="00E0186A" w:rsidP="00E55C94">
      <w:pPr>
        <w:tabs>
          <w:tab w:val="left" w:leader="dot" w:pos="8640"/>
          <w:tab w:val="left" w:pos="9180"/>
        </w:tabs>
        <w:spacing w:line="259" w:lineRule="auto"/>
      </w:pPr>
      <w:r>
        <w:t>2.1 M</w:t>
      </w:r>
      <w:r w:rsidRPr="00E0186A">
        <w:t>ergers and acquisition</w:t>
      </w:r>
      <w:r w:rsidR="009E7F8C">
        <w:t>s</w:t>
      </w:r>
      <w:r w:rsidR="00A5563E">
        <w:tab/>
      </w:r>
      <w:r w:rsidR="00A938BA">
        <w:t>2</w:t>
      </w:r>
    </w:p>
    <w:p w14:paraId="3A668A8F" w14:textId="4770388E" w:rsidR="000E5A56" w:rsidRDefault="00A938BA" w:rsidP="00E55C94">
      <w:pPr>
        <w:tabs>
          <w:tab w:val="left" w:leader="dot" w:pos="8640"/>
          <w:tab w:val="left" w:pos="9180"/>
        </w:tabs>
        <w:spacing w:line="259" w:lineRule="auto"/>
      </w:pPr>
      <w:r>
        <w:t>2.2 Motives and theories of M&amp;A</w:t>
      </w:r>
      <w:r w:rsidR="00A5563E">
        <w:tab/>
      </w:r>
      <w:r>
        <w:t>3</w:t>
      </w:r>
    </w:p>
    <w:p w14:paraId="2E44D216" w14:textId="3E33AF69" w:rsidR="000E5A56" w:rsidRPr="00574DA4" w:rsidRDefault="000E5A56" w:rsidP="00E55C94">
      <w:pPr>
        <w:tabs>
          <w:tab w:val="left" w:leader="dot" w:pos="8640"/>
          <w:tab w:val="left" w:pos="9180"/>
        </w:tabs>
        <w:spacing w:line="259" w:lineRule="auto"/>
        <w:rPr>
          <w:b/>
        </w:rPr>
      </w:pPr>
      <w:r w:rsidRPr="00574DA4">
        <w:rPr>
          <w:b/>
        </w:rPr>
        <w:t>3. Analysis of Softbank and ARM acquisition</w:t>
      </w:r>
      <w:r w:rsidR="00A5563E" w:rsidRPr="00574DA4">
        <w:rPr>
          <w:b/>
        </w:rPr>
        <w:tab/>
      </w:r>
      <w:r w:rsidRPr="00574DA4">
        <w:rPr>
          <w:b/>
        </w:rPr>
        <w:t>6</w:t>
      </w:r>
    </w:p>
    <w:p w14:paraId="008593B9" w14:textId="32B72AA1" w:rsidR="000E5A56" w:rsidRDefault="000E5A56" w:rsidP="00E55C94">
      <w:pPr>
        <w:tabs>
          <w:tab w:val="left" w:leader="dot" w:pos="8640"/>
          <w:tab w:val="left" w:pos="9180"/>
        </w:tabs>
        <w:spacing w:line="259" w:lineRule="auto"/>
      </w:pPr>
      <w:r>
        <w:t>3.1 Softbank and ARM</w:t>
      </w:r>
      <w:r w:rsidR="00A5563E">
        <w:tab/>
      </w:r>
      <w:r w:rsidR="00DE349A">
        <w:t>6</w:t>
      </w:r>
    </w:p>
    <w:p w14:paraId="27AEC70E" w14:textId="65CBC913" w:rsidR="00B93D4E" w:rsidRDefault="00C7398F" w:rsidP="00E55C94">
      <w:pPr>
        <w:tabs>
          <w:tab w:val="left" w:leader="dot" w:pos="8640"/>
          <w:tab w:val="left" w:pos="9180"/>
        </w:tabs>
        <w:spacing w:line="259" w:lineRule="auto"/>
      </w:pPr>
      <w:r>
        <w:t>3.2 Acquisition deal</w:t>
      </w:r>
      <w:r w:rsidR="00A5563E">
        <w:tab/>
      </w:r>
      <w:r w:rsidR="00B93D4E">
        <w:t>6</w:t>
      </w:r>
    </w:p>
    <w:p w14:paraId="16CBA130" w14:textId="37EB1E5B" w:rsidR="00CC3902" w:rsidRDefault="00CC3902" w:rsidP="00E55C94">
      <w:pPr>
        <w:tabs>
          <w:tab w:val="left" w:leader="dot" w:pos="8640"/>
          <w:tab w:val="left" w:pos="9180"/>
        </w:tabs>
        <w:spacing w:line="259" w:lineRule="auto"/>
      </w:pPr>
      <w:r>
        <w:t>3.3 Soft</w:t>
      </w:r>
      <w:r w:rsidRPr="00CC3902">
        <w:t>bank’s strategic imperatives</w:t>
      </w:r>
      <w:r w:rsidR="00A5563E">
        <w:tab/>
      </w:r>
      <w:r w:rsidR="00DE349A">
        <w:t>7</w:t>
      </w:r>
    </w:p>
    <w:p w14:paraId="1A287C3F" w14:textId="51F867EB" w:rsidR="00CA019B" w:rsidRDefault="00061432" w:rsidP="000B2F63">
      <w:pPr>
        <w:tabs>
          <w:tab w:val="left" w:leader="dot" w:pos="8640"/>
          <w:tab w:val="left" w:pos="9180"/>
        </w:tabs>
        <w:spacing w:line="259" w:lineRule="auto"/>
      </w:pPr>
      <w:r>
        <w:t xml:space="preserve">3.4 Changes </w:t>
      </w:r>
      <w:r w:rsidR="009C142F">
        <w:t>inside Softbank and ARM</w:t>
      </w:r>
      <w:r w:rsidR="00A5563E">
        <w:tab/>
      </w:r>
      <w:r w:rsidR="00DE349A">
        <w:t>8</w:t>
      </w:r>
    </w:p>
    <w:p w14:paraId="3832C521" w14:textId="55B03BE2" w:rsidR="00CA019B" w:rsidRPr="00574DA4" w:rsidRDefault="00CA019B" w:rsidP="00E55C94">
      <w:pPr>
        <w:tabs>
          <w:tab w:val="left" w:leader="dot" w:pos="8640"/>
          <w:tab w:val="left" w:pos="9180"/>
        </w:tabs>
        <w:spacing w:line="259" w:lineRule="auto"/>
        <w:rPr>
          <w:b/>
        </w:rPr>
      </w:pPr>
      <w:r w:rsidRPr="00574DA4">
        <w:rPr>
          <w:b/>
        </w:rPr>
        <w:t>4</w:t>
      </w:r>
      <w:r w:rsidR="007B5FEF">
        <w:rPr>
          <w:b/>
        </w:rPr>
        <w:t xml:space="preserve">. </w:t>
      </w:r>
      <w:r w:rsidRPr="00574DA4">
        <w:rPr>
          <w:b/>
        </w:rPr>
        <w:t>Conclusion</w:t>
      </w:r>
      <w:r w:rsidR="00A5563E" w:rsidRPr="00574DA4">
        <w:rPr>
          <w:b/>
        </w:rPr>
        <w:tab/>
      </w:r>
      <w:r w:rsidR="00DE349A" w:rsidRPr="00574DA4">
        <w:rPr>
          <w:b/>
        </w:rPr>
        <w:t>9</w:t>
      </w:r>
    </w:p>
    <w:p w14:paraId="74C984EB" w14:textId="30919009" w:rsidR="002F154B" w:rsidRPr="006544DE" w:rsidRDefault="00317B1A" w:rsidP="00E55C94">
      <w:pPr>
        <w:tabs>
          <w:tab w:val="left" w:leader="dot" w:pos="8640"/>
          <w:tab w:val="left" w:pos="9180"/>
        </w:tabs>
        <w:spacing w:line="259" w:lineRule="auto"/>
      </w:pPr>
      <w:r>
        <w:t>Reference</w:t>
      </w:r>
      <w:r w:rsidR="00E97A46">
        <w:t>s</w:t>
      </w:r>
      <w:r w:rsidR="00A5563E">
        <w:tab/>
      </w:r>
      <w:r w:rsidR="00DE349A">
        <w:t>10</w:t>
      </w:r>
      <w:r w:rsidR="000A2CE1" w:rsidRPr="006544DE">
        <w:br w:type="page"/>
      </w:r>
    </w:p>
    <w:p w14:paraId="41B5215A" w14:textId="77777777" w:rsidR="002F154B" w:rsidRPr="001C50B6" w:rsidRDefault="002F154B" w:rsidP="002F154B">
      <w:pPr>
        <w:pStyle w:val="Heading1"/>
        <w:numPr>
          <w:ilvl w:val="0"/>
          <w:numId w:val="1"/>
        </w:numPr>
        <w:spacing w:before="120" w:after="120" w:line="360" w:lineRule="auto"/>
        <w:rPr>
          <w:rFonts w:asciiTheme="minorHAnsi" w:hAnsiTheme="minorHAnsi" w:cstheme="minorHAnsi"/>
          <w:sz w:val="20"/>
          <w:szCs w:val="20"/>
        </w:rPr>
      </w:pPr>
      <w:r w:rsidRPr="001C50B6">
        <w:rPr>
          <w:rFonts w:asciiTheme="minorHAnsi" w:hAnsiTheme="minorHAnsi" w:cstheme="minorHAnsi"/>
          <w:sz w:val="20"/>
          <w:szCs w:val="20"/>
        </w:rPr>
        <w:lastRenderedPageBreak/>
        <w:t>Introduction</w:t>
      </w:r>
    </w:p>
    <w:p w14:paraId="5CCD4E5D"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According to Deloitte (2019), in the past five years there is an accelerating trend in merger &amp; acquisition practices from 2015-2019, both in the number of M&amp;A deals and transaction values, despite the M&amp;A failures. M&amp;A is selected as a strategic measure to expand their growth and profitability not only by small private firms but also by world leading corporations. Particularly, despite the extreme market volatility and uncertainties, there are various multibillion-dollar successful deals of M&amp;A in 2016 such as AT&amp;T and Time Warner, Qualcomm and NXP ($47B), Microsoft and LinkedIn, etc. It is stated by </w:t>
      </w:r>
      <w:proofErr w:type="spellStart"/>
      <w:r w:rsidRPr="00B85D89">
        <w:rPr>
          <w:rFonts w:cstheme="minorHAnsi"/>
          <w:sz w:val="20"/>
          <w:szCs w:val="20"/>
        </w:rPr>
        <w:t>Lunden</w:t>
      </w:r>
      <w:proofErr w:type="spellEnd"/>
      <w:r w:rsidRPr="00B85D89">
        <w:rPr>
          <w:rFonts w:cstheme="minorHAnsi"/>
          <w:sz w:val="20"/>
          <w:szCs w:val="20"/>
        </w:rPr>
        <w:t xml:space="preserve"> (2016) that 2016 witnessed the biggest deal in the tech world when Softbank Group, a giant Japanese tech company, announced their acquisition with ARM Holdings, a word leading semiconductor firm of the UK, with the value of £24 billion in cash. This step is marked as the milestone in the strategic development journey of Softbank, striving to become the market leader in the IoT era. According to </w:t>
      </w:r>
      <w:proofErr w:type="spellStart"/>
      <w:r w:rsidRPr="00B85D89">
        <w:rPr>
          <w:rFonts w:cstheme="minorHAnsi"/>
          <w:sz w:val="20"/>
          <w:szCs w:val="20"/>
        </w:rPr>
        <w:t>Dugar</w:t>
      </w:r>
      <w:proofErr w:type="spellEnd"/>
      <w:r w:rsidRPr="00B85D89">
        <w:rPr>
          <w:rFonts w:cstheme="minorHAnsi"/>
          <w:sz w:val="20"/>
          <w:szCs w:val="20"/>
        </w:rPr>
        <w:t xml:space="preserve"> et al. (2016), there are different strategic imperatives motivating Softbank’s acquisition decision which generates different impacts on the Softbank and ARM. This research paper </w:t>
      </w:r>
      <w:proofErr w:type="gramStart"/>
      <w:r w:rsidRPr="00B85D89">
        <w:rPr>
          <w:rFonts w:cstheme="minorHAnsi"/>
          <w:sz w:val="20"/>
          <w:szCs w:val="20"/>
        </w:rPr>
        <w:t>looks into</w:t>
      </w:r>
      <w:proofErr w:type="gramEnd"/>
      <w:r w:rsidRPr="00B85D89">
        <w:rPr>
          <w:rFonts w:cstheme="minorHAnsi"/>
          <w:sz w:val="20"/>
          <w:szCs w:val="20"/>
        </w:rPr>
        <w:t xml:space="preserve"> this acquisition case to explore and evaluate Softbank and ARM deals from different perspectives. There are three major sections included in this research paper, including 1) motives and related theories to mergers and acquisitions (M&amp;A); 2) an examination into strategic imperatives of the acquisition from the perspective of Softbank as the acquirer; and 3) an evaluation of possible changes in organizational structure, culture, business strategy, etc. of Softbank and ARM generated from the acquisition.</w:t>
      </w:r>
    </w:p>
    <w:p w14:paraId="4B44295D" w14:textId="77777777" w:rsidR="002F154B" w:rsidRPr="001C50B6" w:rsidRDefault="002F154B" w:rsidP="002F154B">
      <w:pPr>
        <w:pStyle w:val="Heading1"/>
        <w:numPr>
          <w:ilvl w:val="0"/>
          <w:numId w:val="1"/>
        </w:numPr>
        <w:spacing w:before="120" w:after="120" w:line="360" w:lineRule="auto"/>
        <w:rPr>
          <w:rFonts w:asciiTheme="minorHAnsi" w:hAnsiTheme="minorHAnsi" w:cstheme="minorHAnsi"/>
          <w:sz w:val="20"/>
          <w:szCs w:val="20"/>
        </w:rPr>
      </w:pPr>
      <w:r w:rsidRPr="001C50B6">
        <w:rPr>
          <w:rFonts w:asciiTheme="minorHAnsi" w:hAnsiTheme="minorHAnsi" w:cstheme="minorHAnsi"/>
          <w:sz w:val="20"/>
          <w:szCs w:val="20"/>
        </w:rPr>
        <w:t>Motives and theories (M&amp;A)</w:t>
      </w:r>
    </w:p>
    <w:p w14:paraId="10F3BDFD" w14:textId="77777777" w:rsidR="002F154B" w:rsidRPr="00B85D89" w:rsidRDefault="002F154B" w:rsidP="002F154B">
      <w:pPr>
        <w:pStyle w:val="Heading2"/>
        <w:numPr>
          <w:ilvl w:val="1"/>
          <w:numId w:val="1"/>
        </w:numPr>
        <w:spacing w:before="120" w:after="120" w:line="360" w:lineRule="auto"/>
        <w:rPr>
          <w:rFonts w:asciiTheme="minorHAnsi" w:hAnsiTheme="minorHAnsi" w:cstheme="minorHAnsi"/>
          <w:b w:val="0"/>
          <w:i w:val="0"/>
          <w:sz w:val="20"/>
          <w:szCs w:val="20"/>
        </w:rPr>
      </w:pPr>
      <w:r w:rsidRPr="00B85D89">
        <w:rPr>
          <w:rFonts w:asciiTheme="minorHAnsi" w:hAnsiTheme="minorHAnsi" w:cstheme="minorHAnsi"/>
          <w:b w:val="0"/>
          <w:i w:val="0"/>
          <w:sz w:val="20"/>
          <w:szCs w:val="20"/>
        </w:rPr>
        <w:t>M</w:t>
      </w:r>
      <w:bookmarkStart w:id="0" w:name="_Hlk19792273"/>
      <w:r w:rsidRPr="00B85D89">
        <w:rPr>
          <w:rFonts w:asciiTheme="minorHAnsi" w:hAnsiTheme="minorHAnsi" w:cstheme="minorHAnsi"/>
          <w:b w:val="0"/>
          <w:i w:val="0"/>
          <w:sz w:val="20"/>
          <w:szCs w:val="20"/>
        </w:rPr>
        <w:t>ergers and acquisitions</w:t>
      </w:r>
    </w:p>
    <w:bookmarkEnd w:id="0"/>
    <w:p w14:paraId="71CC4748"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It is stated by Prakash and Balakrishna (2016) that under the pressure of increasing complexity and uncertainty of business environment, companies have generated great efforts to obtain excellence of goods and services to optimize their profitability and growth. Companies target to achieve both internal and external growth through business strategies. While companies can develop strategies relating to new product or service launch or production enlargement to increase the revenues generated from sales to strengthen the internal growth (</w:t>
      </w:r>
      <w:proofErr w:type="spellStart"/>
      <w:r w:rsidRPr="00B85D89">
        <w:rPr>
          <w:rFonts w:cstheme="minorHAnsi"/>
          <w:sz w:val="20"/>
          <w:szCs w:val="20"/>
        </w:rPr>
        <w:t>Mallikarjunappa</w:t>
      </w:r>
      <w:proofErr w:type="spellEnd"/>
      <w:r w:rsidRPr="00B85D89">
        <w:rPr>
          <w:rFonts w:cstheme="minorHAnsi"/>
          <w:sz w:val="20"/>
          <w:szCs w:val="20"/>
        </w:rPr>
        <w:t xml:space="preserve"> and Nayak, 2007), the external growth is obtained through the mergers and acquisitions with other existing businesses in the same or different industry (Ghosh and Das, 2003). According to the empirical findings by </w:t>
      </w:r>
      <w:proofErr w:type="spellStart"/>
      <w:r w:rsidRPr="00B85D89">
        <w:rPr>
          <w:rFonts w:cstheme="minorHAnsi"/>
          <w:sz w:val="20"/>
          <w:szCs w:val="20"/>
        </w:rPr>
        <w:t>Mallikarjunappa</w:t>
      </w:r>
      <w:proofErr w:type="spellEnd"/>
      <w:r w:rsidRPr="00B85D89">
        <w:rPr>
          <w:rFonts w:cstheme="minorHAnsi"/>
          <w:sz w:val="20"/>
          <w:szCs w:val="20"/>
        </w:rPr>
        <w:t xml:space="preserve"> and Nayak (2007), M&amp;A has become one of the most effective strategies employed by businesses for their growth because M&amp;A is the source for the achievement of asset base, penetration of new market, increase in manufacturing capacity and product portfolio, more business competencies, etc. </w:t>
      </w:r>
      <w:proofErr w:type="spellStart"/>
      <w:r w:rsidRPr="00B85D89">
        <w:rPr>
          <w:rFonts w:cstheme="minorHAnsi"/>
          <w:sz w:val="20"/>
          <w:szCs w:val="20"/>
        </w:rPr>
        <w:t>Mantravadi</w:t>
      </w:r>
      <w:proofErr w:type="spellEnd"/>
      <w:r w:rsidRPr="00B85D89">
        <w:rPr>
          <w:rFonts w:cstheme="minorHAnsi"/>
          <w:sz w:val="20"/>
          <w:szCs w:val="20"/>
        </w:rPr>
        <w:t xml:space="preserve"> and Reddy (2007) emphasized that those benefits which are achieved from M&amp;A enables companies to achieve more competitive advantages over their rivals. </w:t>
      </w:r>
    </w:p>
    <w:p w14:paraId="44D79416"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Prakash and Balakrishna (2016) and Prasad (2007) </w:t>
      </w:r>
      <w:proofErr w:type="gramStart"/>
      <w:r w:rsidRPr="00B85D89">
        <w:rPr>
          <w:rFonts w:cstheme="minorHAnsi"/>
          <w:sz w:val="20"/>
          <w:szCs w:val="20"/>
        </w:rPr>
        <w:t>looked into</w:t>
      </w:r>
      <w:proofErr w:type="gramEnd"/>
      <w:r w:rsidRPr="00B85D89">
        <w:rPr>
          <w:rFonts w:cstheme="minorHAnsi"/>
          <w:sz w:val="20"/>
          <w:szCs w:val="20"/>
        </w:rPr>
        <w:t xml:space="preserve"> M&amp;A as a way of business restructuring for more effective business operations. According to Prakash &amp; Balakrishna (2016), during the past 20 years the business world has witnessed thousands of successful M&amp;A deals from both private equity companies and multinational </w:t>
      </w:r>
      <w:r w:rsidRPr="00B85D89">
        <w:rPr>
          <w:rFonts w:cstheme="minorHAnsi"/>
          <w:sz w:val="20"/>
          <w:szCs w:val="20"/>
        </w:rPr>
        <w:lastRenderedPageBreak/>
        <w:t>corporations. Particularly, the changes in globalization and market liberalization have encouraged companies to cooperate M&amp;A as their leading core business strategies. For example, it is revealed by Rizvi (2008) that more than two thirds of Indian companies have currently employed M&amp;A as their growth strategy.</w:t>
      </w:r>
    </w:p>
    <w:p w14:paraId="1D58DE72"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Prakash and Balakrishna (2016) listed the reasons contributing to the emergence of M&amp;A as one of the most prominent growth strategies, including globalization, market deregulation, market maturation, and business privatization. Under these forces’ effects, M&amp;A is selected by companies as an effective tool to </w:t>
      </w:r>
      <w:proofErr w:type="gramStart"/>
      <w:r w:rsidRPr="00B85D89">
        <w:rPr>
          <w:rFonts w:cstheme="minorHAnsi"/>
          <w:sz w:val="20"/>
          <w:szCs w:val="20"/>
        </w:rPr>
        <w:t>penetrate into</w:t>
      </w:r>
      <w:proofErr w:type="gramEnd"/>
      <w:r w:rsidRPr="00B85D89">
        <w:rPr>
          <w:rFonts w:cstheme="minorHAnsi"/>
          <w:sz w:val="20"/>
          <w:szCs w:val="20"/>
        </w:rPr>
        <w:t xml:space="preserve"> new markets, expend business lines, diversity product portfolio, leverage research &amp; development, more access to resources, etc. (Jansen, 2017). Besides value maximization, some M&amp;A deals target to achieve such non-value maximization objectives as reputation and prestige and cultural diversity (</w:t>
      </w:r>
      <w:proofErr w:type="spellStart"/>
      <w:r w:rsidRPr="00B85D89">
        <w:rPr>
          <w:rFonts w:cstheme="minorHAnsi"/>
          <w:sz w:val="20"/>
          <w:szCs w:val="20"/>
        </w:rPr>
        <w:t>Sudarsanam</w:t>
      </w:r>
      <w:proofErr w:type="spellEnd"/>
      <w:r w:rsidRPr="00B85D89">
        <w:rPr>
          <w:rFonts w:cstheme="minorHAnsi"/>
          <w:sz w:val="20"/>
          <w:szCs w:val="20"/>
        </w:rPr>
        <w:t>, 2005; Prakash and Balakrishna, 2016). The study by Andrade &amp; Stafford (2004) explored and compared economic gains of M&amp;As and other business forms to determine the role of M&amp;As as a growth strategy. Their research findings produced the conclusion that many corporations decided to select M&amp;A as the medium for changes, which enables to solve their business difficulties.</w:t>
      </w:r>
    </w:p>
    <w:p w14:paraId="755A75B5" w14:textId="77777777" w:rsidR="002F154B" w:rsidRPr="00B85D89" w:rsidRDefault="002F154B" w:rsidP="002F154B">
      <w:pPr>
        <w:pStyle w:val="Heading2"/>
        <w:numPr>
          <w:ilvl w:val="1"/>
          <w:numId w:val="1"/>
        </w:numPr>
        <w:spacing w:before="120" w:after="120" w:line="360" w:lineRule="auto"/>
        <w:rPr>
          <w:rFonts w:asciiTheme="minorHAnsi" w:hAnsiTheme="minorHAnsi" w:cstheme="minorHAnsi"/>
          <w:b w:val="0"/>
          <w:i w:val="0"/>
          <w:sz w:val="20"/>
          <w:szCs w:val="20"/>
        </w:rPr>
      </w:pPr>
      <w:r w:rsidRPr="00B85D89">
        <w:rPr>
          <w:rFonts w:asciiTheme="minorHAnsi" w:hAnsiTheme="minorHAnsi" w:cstheme="minorHAnsi"/>
          <w:b w:val="0"/>
          <w:i w:val="0"/>
          <w:sz w:val="20"/>
          <w:szCs w:val="20"/>
        </w:rPr>
        <w:t>Motives and theories of M&amp;A</w:t>
      </w:r>
    </w:p>
    <w:p w14:paraId="2A6286BC" w14:textId="77777777" w:rsidR="002F154B" w:rsidRPr="00B85D89" w:rsidRDefault="002F154B" w:rsidP="002F154B">
      <w:pPr>
        <w:pStyle w:val="Heading3"/>
        <w:numPr>
          <w:ilvl w:val="2"/>
          <w:numId w:val="1"/>
        </w:numPr>
        <w:spacing w:before="120" w:after="120" w:line="360" w:lineRule="auto"/>
        <w:rPr>
          <w:rFonts w:asciiTheme="minorHAnsi" w:hAnsiTheme="minorHAnsi" w:cstheme="minorHAnsi"/>
          <w:i w:val="0"/>
          <w:sz w:val="20"/>
          <w:szCs w:val="20"/>
        </w:rPr>
      </w:pPr>
      <w:r w:rsidRPr="00B85D89">
        <w:rPr>
          <w:rFonts w:asciiTheme="minorHAnsi" w:hAnsiTheme="minorHAnsi" w:cstheme="minorHAnsi"/>
          <w:i w:val="0"/>
          <w:sz w:val="20"/>
          <w:szCs w:val="20"/>
        </w:rPr>
        <w:t>Motives</w:t>
      </w:r>
    </w:p>
    <w:p w14:paraId="20D79604"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According to </w:t>
      </w:r>
      <w:proofErr w:type="spellStart"/>
      <w:r w:rsidRPr="00B85D89">
        <w:rPr>
          <w:rFonts w:cstheme="minorHAnsi"/>
          <w:sz w:val="20"/>
          <w:szCs w:val="20"/>
        </w:rPr>
        <w:t>Reuer</w:t>
      </w:r>
      <w:proofErr w:type="spellEnd"/>
      <w:r w:rsidRPr="00B85D89">
        <w:rPr>
          <w:rFonts w:cstheme="minorHAnsi"/>
          <w:sz w:val="20"/>
          <w:szCs w:val="20"/>
        </w:rPr>
        <w:t xml:space="preserve"> </w:t>
      </w:r>
      <w:r>
        <w:rPr>
          <w:rFonts w:cstheme="minorHAnsi"/>
          <w:sz w:val="20"/>
          <w:szCs w:val="20"/>
        </w:rPr>
        <w:t>and</w:t>
      </w:r>
      <w:r w:rsidRPr="00B85D89">
        <w:rPr>
          <w:rFonts w:cstheme="minorHAnsi"/>
          <w:sz w:val="20"/>
          <w:szCs w:val="20"/>
        </w:rPr>
        <w:t xml:space="preserve"> </w:t>
      </w:r>
      <w:proofErr w:type="spellStart"/>
      <w:r w:rsidRPr="00B85D89">
        <w:rPr>
          <w:rFonts w:cstheme="minorHAnsi"/>
          <w:sz w:val="20"/>
          <w:szCs w:val="20"/>
        </w:rPr>
        <w:t>Ragozzino</w:t>
      </w:r>
      <w:proofErr w:type="spellEnd"/>
      <w:r w:rsidRPr="00B85D89">
        <w:rPr>
          <w:rFonts w:cstheme="minorHAnsi"/>
          <w:sz w:val="20"/>
          <w:szCs w:val="20"/>
        </w:rPr>
        <w:t xml:space="preserve"> (2012), the motives for M&amp;As are sorted into the following categories: strategic motives, financial motives and organizational motives. Strategic motives refer to the objectives which are related to business operations and growth, including profitable and sustainable growth, national or global business expansion, eliminating competition, increasing market sales, economies of scales, higher efficiency of supply chain, shared risks, more competitive advantages, product diversification, successful penetration into new markets, etc. M&amp;As also involves in such financial motives including profitable investment of shareholders’ surplus, more possibility of market capitalization, gains of tax benefits, growth of EPS, cost reduction, growth in shareholder value, etc. Lastly, organizational motives are also the influencing drivers of M&amp;A, including entrepreneur’s personal compulsions, human resources retention, organizational restructuring, elimination of inefficient management, cultural diversification, and emergence as a multinational company.</w:t>
      </w:r>
    </w:p>
    <w:p w14:paraId="09A2E861" w14:textId="77777777" w:rsidR="002F154B" w:rsidRPr="00B85D89" w:rsidRDefault="002F154B" w:rsidP="002F154B">
      <w:pPr>
        <w:pStyle w:val="Heading3"/>
        <w:numPr>
          <w:ilvl w:val="2"/>
          <w:numId w:val="1"/>
        </w:numPr>
        <w:spacing w:before="120" w:after="120" w:line="360" w:lineRule="auto"/>
        <w:rPr>
          <w:rFonts w:asciiTheme="minorHAnsi" w:hAnsiTheme="minorHAnsi" w:cstheme="minorHAnsi"/>
          <w:i w:val="0"/>
          <w:sz w:val="20"/>
          <w:szCs w:val="20"/>
        </w:rPr>
      </w:pPr>
      <w:r w:rsidRPr="00B85D89">
        <w:rPr>
          <w:rFonts w:asciiTheme="minorHAnsi" w:hAnsiTheme="minorHAnsi" w:cstheme="minorHAnsi"/>
          <w:i w:val="0"/>
          <w:sz w:val="20"/>
          <w:szCs w:val="20"/>
        </w:rPr>
        <w:t xml:space="preserve">Theories </w:t>
      </w:r>
    </w:p>
    <w:p w14:paraId="49B98B4F"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Many theories have been developed </w:t>
      </w:r>
      <w:r>
        <w:rPr>
          <w:rFonts w:cstheme="minorHAnsi"/>
          <w:sz w:val="20"/>
          <w:szCs w:val="20"/>
        </w:rPr>
        <w:t>to</w:t>
      </w:r>
      <w:r w:rsidRPr="00B85D89">
        <w:rPr>
          <w:rFonts w:cstheme="minorHAnsi"/>
          <w:sz w:val="20"/>
          <w:szCs w:val="20"/>
        </w:rPr>
        <w:t xml:space="preserve"> </w:t>
      </w:r>
      <w:r>
        <w:rPr>
          <w:rFonts w:cstheme="minorHAnsi"/>
          <w:sz w:val="20"/>
          <w:szCs w:val="20"/>
        </w:rPr>
        <w:t>clarify</w:t>
      </w:r>
      <w:r w:rsidRPr="00B85D89">
        <w:rPr>
          <w:rFonts w:cstheme="minorHAnsi"/>
          <w:sz w:val="20"/>
          <w:szCs w:val="20"/>
        </w:rPr>
        <w:t xml:space="preserve"> the </w:t>
      </w:r>
      <w:r>
        <w:rPr>
          <w:rFonts w:cstheme="minorHAnsi"/>
          <w:sz w:val="20"/>
          <w:szCs w:val="20"/>
        </w:rPr>
        <w:t>motive</w:t>
      </w:r>
      <w:r w:rsidRPr="00B85D89">
        <w:rPr>
          <w:rFonts w:cstheme="minorHAnsi"/>
          <w:sz w:val="20"/>
          <w:szCs w:val="20"/>
        </w:rPr>
        <w:t xml:space="preserve">s </w:t>
      </w:r>
      <w:r>
        <w:rPr>
          <w:rFonts w:cstheme="minorHAnsi"/>
          <w:sz w:val="20"/>
          <w:szCs w:val="20"/>
        </w:rPr>
        <w:t>of</w:t>
      </w:r>
      <w:r w:rsidRPr="00B85D89">
        <w:rPr>
          <w:rFonts w:cstheme="minorHAnsi"/>
          <w:sz w:val="20"/>
          <w:szCs w:val="20"/>
        </w:rPr>
        <w:t xml:space="preserve"> conducing M&amp;A activity.</w:t>
      </w:r>
      <w:r>
        <w:rPr>
          <w:rFonts w:cstheme="minorHAnsi"/>
          <w:sz w:val="20"/>
          <w:szCs w:val="20"/>
        </w:rPr>
        <w:t xml:space="preserve"> </w:t>
      </w:r>
      <w:r w:rsidRPr="00B85D89">
        <w:rPr>
          <w:rFonts w:cstheme="minorHAnsi"/>
          <w:sz w:val="20"/>
          <w:szCs w:val="20"/>
        </w:rPr>
        <w:t>Currently, there are six major theories: efficiency theory, agency theory, free cash flow hypothesis, market power hypothesis, diversification hypothesis, and bankruptcy hypothesis.</w:t>
      </w:r>
      <w:r>
        <w:rPr>
          <w:rFonts w:cstheme="minorHAnsi"/>
          <w:sz w:val="20"/>
          <w:szCs w:val="20"/>
        </w:rPr>
        <w:t xml:space="preserve"> </w:t>
      </w:r>
      <w:r w:rsidRPr="00B85D89">
        <w:rPr>
          <w:rFonts w:cstheme="minorHAnsi"/>
          <w:sz w:val="20"/>
          <w:szCs w:val="20"/>
        </w:rPr>
        <w:t xml:space="preserve">However, there is no optimal theory with which to </w:t>
      </w:r>
      <w:r>
        <w:rPr>
          <w:rFonts w:cstheme="minorHAnsi"/>
          <w:sz w:val="20"/>
          <w:szCs w:val="20"/>
        </w:rPr>
        <w:t>clarify</w:t>
      </w:r>
      <w:r w:rsidRPr="00B85D89">
        <w:rPr>
          <w:rFonts w:cstheme="minorHAnsi"/>
          <w:sz w:val="20"/>
          <w:szCs w:val="20"/>
        </w:rPr>
        <w:t xml:space="preserve"> the motives behind </w:t>
      </w:r>
      <w:r>
        <w:rPr>
          <w:rFonts w:cstheme="minorHAnsi"/>
          <w:sz w:val="20"/>
          <w:szCs w:val="20"/>
        </w:rPr>
        <w:t>this</w:t>
      </w:r>
      <w:r w:rsidRPr="00B85D89">
        <w:rPr>
          <w:rFonts w:cstheme="minorHAnsi"/>
          <w:sz w:val="20"/>
          <w:szCs w:val="20"/>
        </w:rPr>
        <w:t xml:space="preserve"> activity, supporting the importance of understanding each theory and hypothesis (Brealey et al., 2001; </w:t>
      </w:r>
      <w:proofErr w:type="spellStart"/>
      <w:r w:rsidRPr="00B85D89">
        <w:rPr>
          <w:rFonts w:cstheme="minorHAnsi"/>
          <w:sz w:val="20"/>
          <w:szCs w:val="20"/>
        </w:rPr>
        <w:t>Piesse</w:t>
      </w:r>
      <w:proofErr w:type="spellEnd"/>
      <w:r w:rsidRPr="00B85D89">
        <w:rPr>
          <w:rFonts w:cstheme="minorHAnsi"/>
          <w:sz w:val="20"/>
          <w:szCs w:val="20"/>
        </w:rPr>
        <w:t xml:space="preserve">, Lee, </w:t>
      </w:r>
      <w:r>
        <w:rPr>
          <w:rFonts w:cstheme="minorHAnsi"/>
          <w:sz w:val="20"/>
          <w:szCs w:val="20"/>
        </w:rPr>
        <w:t>and</w:t>
      </w:r>
      <w:r w:rsidRPr="00B85D89">
        <w:rPr>
          <w:rFonts w:cstheme="minorHAnsi"/>
          <w:sz w:val="20"/>
          <w:szCs w:val="20"/>
        </w:rPr>
        <w:t xml:space="preserve"> </w:t>
      </w:r>
      <w:proofErr w:type="spellStart"/>
      <w:r w:rsidRPr="00B85D89">
        <w:rPr>
          <w:rFonts w:cstheme="minorHAnsi"/>
          <w:sz w:val="20"/>
          <w:szCs w:val="20"/>
        </w:rPr>
        <w:t>Kuo</w:t>
      </w:r>
      <w:proofErr w:type="spellEnd"/>
      <w:r w:rsidRPr="00B85D89">
        <w:rPr>
          <w:rFonts w:cstheme="minorHAnsi"/>
          <w:sz w:val="20"/>
          <w:szCs w:val="20"/>
        </w:rPr>
        <w:t xml:space="preserve">, 2005; Ross, </w:t>
      </w:r>
      <w:proofErr w:type="spellStart"/>
      <w:r w:rsidRPr="00B85D89">
        <w:rPr>
          <w:rFonts w:cstheme="minorHAnsi"/>
          <w:sz w:val="20"/>
          <w:szCs w:val="20"/>
        </w:rPr>
        <w:t>Westerfield</w:t>
      </w:r>
      <w:proofErr w:type="spellEnd"/>
      <w:r w:rsidRPr="00B85D89">
        <w:rPr>
          <w:rFonts w:cstheme="minorHAnsi"/>
          <w:sz w:val="20"/>
          <w:szCs w:val="20"/>
        </w:rPr>
        <w:t xml:space="preserve"> </w:t>
      </w:r>
      <w:r>
        <w:rPr>
          <w:rFonts w:cstheme="minorHAnsi"/>
          <w:sz w:val="20"/>
          <w:szCs w:val="20"/>
        </w:rPr>
        <w:t>and</w:t>
      </w:r>
      <w:r w:rsidRPr="00B85D89">
        <w:rPr>
          <w:rFonts w:cstheme="minorHAnsi"/>
          <w:sz w:val="20"/>
          <w:szCs w:val="20"/>
        </w:rPr>
        <w:t xml:space="preserve"> Jordan, 2002).</w:t>
      </w:r>
      <w:r>
        <w:rPr>
          <w:rFonts w:cstheme="minorHAnsi"/>
          <w:sz w:val="20"/>
          <w:szCs w:val="20"/>
        </w:rPr>
        <w:t xml:space="preserve"> </w:t>
      </w:r>
      <w:r w:rsidRPr="00B85D89">
        <w:rPr>
          <w:rFonts w:cstheme="minorHAnsi"/>
          <w:sz w:val="20"/>
          <w:szCs w:val="20"/>
        </w:rPr>
        <w:t>This section, therefore, contains an exploration of the theories and hypotheses that are relevant to the M&amp;A context.</w:t>
      </w:r>
      <w:r>
        <w:rPr>
          <w:rFonts w:cstheme="minorHAnsi"/>
          <w:sz w:val="20"/>
          <w:szCs w:val="20"/>
        </w:rPr>
        <w:t xml:space="preserve"> </w:t>
      </w:r>
    </w:p>
    <w:p w14:paraId="6E2226C5" w14:textId="77777777" w:rsidR="002F154B" w:rsidRPr="00A87546" w:rsidRDefault="002F154B" w:rsidP="002F154B">
      <w:pPr>
        <w:spacing w:before="120" w:after="120" w:line="360" w:lineRule="auto"/>
        <w:ind w:firstLine="720"/>
        <w:rPr>
          <w:rFonts w:cstheme="minorHAnsi"/>
          <w:i/>
          <w:sz w:val="20"/>
          <w:szCs w:val="20"/>
        </w:rPr>
      </w:pPr>
      <w:r w:rsidRPr="00A87546">
        <w:rPr>
          <w:rFonts w:cstheme="minorHAnsi"/>
          <w:i/>
          <w:sz w:val="20"/>
          <w:szCs w:val="20"/>
        </w:rPr>
        <w:t xml:space="preserve">Efficiency </w:t>
      </w:r>
      <w:r>
        <w:rPr>
          <w:rFonts w:cstheme="minorHAnsi"/>
          <w:i/>
          <w:sz w:val="20"/>
          <w:szCs w:val="20"/>
        </w:rPr>
        <w:t>t</w:t>
      </w:r>
      <w:r w:rsidRPr="00A87546">
        <w:rPr>
          <w:rFonts w:cstheme="minorHAnsi"/>
          <w:i/>
          <w:sz w:val="20"/>
          <w:szCs w:val="20"/>
        </w:rPr>
        <w:t>heory</w:t>
      </w:r>
    </w:p>
    <w:p w14:paraId="2F3641F0" w14:textId="689B4F38" w:rsidR="002F154B" w:rsidRPr="00B85D89" w:rsidRDefault="002F154B" w:rsidP="002F154B">
      <w:pPr>
        <w:spacing w:before="120" w:after="120" w:line="360" w:lineRule="auto"/>
        <w:rPr>
          <w:rFonts w:cstheme="minorHAnsi"/>
          <w:sz w:val="20"/>
          <w:szCs w:val="20"/>
        </w:rPr>
      </w:pPr>
      <w:r w:rsidRPr="00B85D89">
        <w:rPr>
          <w:rFonts w:cstheme="minorHAnsi"/>
          <w:sz w:val="20"/>
          <w:szCs w:val="20"/>
        </w:rPr>
        <w:lastRenderedPageBreak/>
        <w:t>Efficiency theory consists of two subsets: inefficiency management theory and differential efficiency theory (</w:t>
      </w:r>
      <w:proofErr w:type="spellStart"/>
      <w:r w:rsidRPr="00B85D89">
        <w:rPr>
          <w:rFonts w:cstheme="minorHAnsi"/>
          <w:sz w:val="20"/>
          <w:szCs w:val="20"/>
        </w:rPr>
        <w:t>Piesse</w:t>
      </w:r>
      <w:proofErr w:type="spellEnd"/>
      <w:r w:rsidRPr="00B85D89">
        <w:rPr>
          <w:rFonts w:cstheme="minorHAnsi"/>
          <w:sz w:val="20"/>
          <w:szCs w:val="20"/>
        </w:rPr>
        <w:t xml:space="preserve"> et al., 2005).</w:t>
      </w:r>
      <w:r>
        <w:rPr>
          <w:rFonts w:cstheme="minorHAnsi"/>
          <w:sz w:val="20"/>
          <w:szCs w:val="20"/>
        </w:rPr>
        <w:t xml:space="preserve"> </w:t>
      </w:r>
      <w:r w:rsidRPr="00B85D89">
        <w:rPr>
          <w:rFonts w:cstheme="minorHAnsi"/>
          <w:sz w:val="20"/>
          <w:szCs w:val="20"/>
        </w:rPr>
        <w:t>Both theories developed under the circumstances that there is an efficient company (A) and an inefficient company (B), and each theory addresses different contexts.</w:t>
      </w:r>
      <w:r>
        <w:rPr>
          <w:rFonts w:cstheme="minorHAnsi"/>
          <w:sz w:val="20"/>
          <w:szCs w:val="20"/>
        </w:rPr>
        <w:t xml:space="preserve"> </w:t>
      </w:r>
      <w:r w:rsidRPr="00B85D89">
        <w:rPr>
          <w:rFonts w:cstheme="minorHAnsi"/>
          <w:sz w:val="20"/>
          <w:szCs w:val="20"/>
        </w:rPr>
        <w:t>Differential efficiency theory indicates A and B are doing business in the same industry and B can gain the same business and operational efficiency as A through takeover action.</w:t>
      </w:r>
      <w:r>
        <w:rPr>
          <w:rFonts w:cstheme="minorHAnsi"/>
          <w:sz w:val="20"/>
          <w:szCs w:val="20"/>
        </w:rPr>
        <w:t xml:space="preserve"> </w:t>
      </w:r>
      <w:r w:rsidRPr="00B85D89">
        <w:rPr>
          <w:rFonts w:cstheme="minorHAnsi"/>
          <w:sz w:val="20"/>
          <w:szCs w:val="20"/>
        </w:rPr>
        <w:t>Inefficiency management theory emphasizes that B’s efficiency is known not only by A but also by other companies in the industry and B’s efficiency is gained through takeover action.</w:t>
      </w:r>
      <w:r>
        <w:rPr>
          <w:rFonts w:cstheme="minorHAnsi"/>
          <w:sz w:val="20"/>
          <w:szCs w:val="20"/>
        </w:rPr>
        <w:t xml:space="preserve"> </w:t>
      </w:r>
      <w:r w:rsidRPr="00B85D89">
        <w:rPr>
          <w:rFonts w:cstheme="minorHAnsi"/>
          <w:sz w:val="20"/>
          <w:szCs w:val="20"/>
        </w:rPr>
        <w:t xml:space="preserve">According to Copeland </w:t>
      </w:r>
      <w:r w:rsidR="008F6982">
        <w:rPr>
          <w:rFonts w:cstheme="minorHAnsi"/>
          <w:sz w:val="20"/>
          <w:szCs w:val="20"/>
        </w:rPr>
        <w:t xml:space="preserve">et al. </w:t>
      </w:r>
      <w:r w:rsidRPr="00B85D89">
        <w:rPr>
          <w:rFonts w:cstheme="minorHAnsi"/>
          <w:sz w:val="20"/>
          <w:szCs w:val="20"/>
        </w:rPr>
        <w:t>(</w:t>
      </w:r>
      <w:r w:rsidR="008F6982">
        <w:rPr>
          <w:rFonts w:cstheme="minorHAnsi"/>
          <w:sz w:val="20"/>
          <w:szCs w:val="20"/>
        </w:rPr>
        <w:t>2014</w:t>
      </w:r>
      <w:r w:rsidRPr="00B85D89">
        <w:rPr>
          <w:rFonts w:cstheme="minorHAnsi"/>
          <w:sz w:val="20"/>
          <w:szCs w:val="20"/>
        </w:rPr>
        <w:t>), inefficiency management theory is often used in the case of conglomerate M&amp;A and differential efficiency theory is suitable in the case of horizontal M&amp;A.</w:t>
      </w:r>
      <w:r>
        <w:rPr>
          <w:rFonts w:cstheme="minorHAnsi"/>
          <w:sz w:val="20"/>
          <w:szCs w:val="20"/>
        </w:rPr>
        <w:t xml:space="preserve"> </w:t>
      </w:r>
      <w:r w:rsidRPr="00B85D89">
        <w:rPr>
          <w:rFonts w:cstheme="minorHAnsi"/>
          <w:sz w:val="20"/>
          <w:szCs w:val="20"/>
        </w:rPr>
        <w:t xml:space="preserve">Further, efficiency theory in M&amp;A activity indicates that successful M&amp;A deals happen when the sum of the value of the two companies is greater than the standalone value (Copeland </w:t>
      </w:r>
      <w:r w:rsidR="00D70ABF">
        <w:rPr>
          <w:rFonts w:cstheme="minorHAnsi"/>
          <w:sz w:val="20"/>
          <w:szCs w:val="20"/>
        </w:rPr>
        <w:t>et al.,</w:t>
      </w:r>
      <w:r w:rsidRPr="00B85D89">
        <w:rPr>
          <w:rFonts w:cstheme="minorHAnsi"/>
          <w:sz w:val="20"/>
          <w:szCs w:val="20"/>
        </w:rPr>
        <w:t xml:space="preserve"> </w:t>
      </w:r>
      <w:r w:rsidR="00D70ABF">
        <w:rPr>
          <w:rFonts w:cstheme="minorHAnsi"/>
          <w:sz w:val="20"/>
          <w:szCs w:val="20"/>
        </w:rPr>
        <w:t>2014)</w:t>
      </w:r>
      <w:r w:rsidRPr="00B85D89">
        <w:rPr>
          <w:rFonts w:cstheme="minorHAnsi"/>
          <w:sz w:val="20"/>
          <w:szCs w:val="20"/>
        </w:rPr>
        <w:t>. This is compatible with the Modigliani-Miller (MM) model introduced by Modigliani and Miller (1958) in which the market value of two merged companies is equal to the sum of their individual values.</w:t>
      </w:r>
      <w:r>
        <w:rPr>
          <w:rFonts w:cstheme="minorHAnsi"/>
          <w:sz w:val="20"/>
          <w:szCs w:val="20"/>
        </w:rPr>
        <w:t xml:space="preserve"> </w:t>
      </w:r>
      <w:r w:rsidRPr="00B85D89">
        <w:rPr>
          <w:rFonts w:cstheme="minorHAnsi"/>
          <w:sz w:val="20"/>
          <w:szCs w:val="20"/>
        </w:rPr>
        <w:t>However, the MM model is developed based on the assumptions of a perfect capital market and no corporate taxes, which are not realistic in a capital market (</w:t>
      </w:r>
      <w:proofErr w:type="spellStart"/>
      <w:r w:rsidRPr="00B85D89">
        <w:rPr>
          <w:rFonts w:cstheme="minorHAnsi"/>
          <w:sz w:val="20"/>
          <w:szCs w:val="20"/>
        </w:rPr>
        <w:t>Piesse</w:t>
      </w:r>
      <w:proofErr w:type="spellEnd"/>
      <w:r w:rsidRPr="00B85D89">
        <w:rPr>
          <w:rFonts w:cstheme="minorHAnsi"/>
          <w:sz w:val="20"/>
          <w:szCs w:val="20"/>
        </w:rPr>
        <w:t xml:space="preserve"> et al., 2005).</w:t>
      </w:r>
    </w:p>
    <w:p w14:paraId="4F8C5D18" w14:textId="77777777" w:rsidR="002F154B" w:rsidRPr="00E64D66" w:rsidRDefault="002F154B" w:rsidP="002F154B">
      <w:pPr>
        <w:spacing w:before="120" w:after="120" w:line="360" w:lineRule="auto"/>
        <w:ind w:firstLine="720"/>
        <w:rPr>
          <w:rFonts w:cstheme="minorHAnsi"/>
          <w:i/>
          <w:sz w:val="20"/>
          <w:szCs w:val="20"/>
        </w:rPr>
      </w:pPr>
      <w:r w:rsidRPr="00E64D66">
        <w:rPr>
          <w:rFonts w:cstheme="minorHAnsi"/>
          <w:i/>
          <w:sz w:val="20"/>
          <w:szCs w:val="20"/>
        </w:rPr>
        <w:t xml:space="preserve">Agency </w:t>
      </w:r>
      <w:r>
        <w:rPr>
          <w:rFonts w:cstheme="minorHAnsi"/>
          <w:i/>
          <w:sz w:val="20"/>
          <w:szCs w:val="20"/>
        </w:rPr>
        <w:t>t</w:t>
      </w:r>
      <w:r w:rsidRPr="00E64D66">
        <w:rPr>
          <w:rFonts w:cstheme="minorHAnsi"/>
          <w:i/>
          <w:sz w:val="20"/>
          <w:szCs w:val="20"/>
        </w:rPr>
        <w:t>heory</w:t>
      </w:r>
    </w:p>
    <w:p w14:paraId="56DC3171"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Jensen </w:t>
      </w:r>
      <w:r>
        <w:rPr>
          <w:rFonts w:cstheme="minorHAnsi"/>
          <w:sz w:val="20"/>
          <w:szCs w:val="20"/>
        </w:rPr>
        <w:t>and</w:t>
      </w:r>
      <w:r w:rsidRPr="00B85D89">
        <w:rPr>
          <w:rFonts w:cstheme="minorHAnsi"/>
          <w:sz w:val="20"/>
          <w:szCs w:val="20"/>
        </w:rPr>
        <w:t xml:space="preserve"> </w:t>
      </w:r>
      <w:proofErr w:type="spellStart"/>
      <w:r w:rsidRPr="00B85D89">
        <w:rPr>
          <w:rFonts w:cstheme="minorHAnsi"/>
          <w:sz w:val="20"/>
          <w:szCs w:val="20"/>
        </w:rPr>
        <w:t>Meckling</w:t>
      </w:r>
      <w:proofErr w:type="spellEnd"/>
      <w:r>
        <w:rPr>
          <w:rFonts w:cstheme="minorHAnsi"/>
          <w:sz w:val="20"/>
          <w:szCs w:val="20"/>
        </w:rPr>
        <w:t xml:space="preserve"> (</w:t>
      </w:r>
      <w:r w:rsidRPr="00B85D89">
        <w:rPr>
          <w:rFonts w:cstheme="minorHAnsi"/>
          <w:sz w:val="20"/>
          <w:szCs w:val="20"/>
        </w:rPr>
        <w:t>1978)</w:t>
      </w:r>
      <w:r>
        <w:rPr>
          <w:rFonts w:cstheme="minorHAnsi"/>
          <w:sz w:val="20"/>
          <w:szCs w:val="20"/>
        </w:rPr>
        <w:t xml:space="preserve"> used a</w:t>
      </w:r>
      <w:r w:rsidRPr="00B85D89">
        <w:rPr>
          <w:rFonts w:cstheme="minorHAnsi"/>
          <w:sz w:val="20"/>
          <w:szCs w:val="20"/>
        </w:rPr>
        <w:t>gency theory to explain the conflict of interest between owners and managers in a company.</w:t>
      </w:r>
      <w:r>
        <w:rPr>
          <w:rFonts w:cstheme="minorHAnsi"/>
          <w:sz w:val="20"/>
          <w:szCs w:val="20"/>
        </w:rPr>
        <w:t xml:space="preserve"> </w:t>
      </w:r>
      <w:r w:rsidRPr="00B85D89">
        <w:rPr>
          <w:rFonts w:cstheme="minorHAnsi"/>
          <w:sz w:val="20"/>
          <w:szCs w:val="20"/>
        </w:rPr>
        <w:t>This theory includes an assumption that owners and managers always try to maximize their rational interests.</w:t>
      </w:r>
      <w:r>
        <w:rPr>
          <w:rFonts w:cstheme="minorHAnsi"/>
          <w:sz w:val="20"/>
          <w:szCs w:val="20"/>
        </w:rPr>
        <w:t xml:space="preserve"> </w:t>
      </w:r>
      <w:r w:rsidRPr="00B85D89">
        <w:rPr>
          <w:rFonts w:cstheme="minorHAnsi"/>
          <w:sz w:val="20"/>
          <w:szCs w:val="20"/>
        </w:rPr>
        <w:t>In fact, the owner and the manager of a company share different demands.</w:t>
      </w:r>
      <w:r>
        <w:rPr>
          <w:rFonts w:cstheme="minorHAnsi"/>
          <w:sz w:val="20"/>
          <w:szCs w:val="20"/>
        </w:rPr>
        <w:t xml:space="preserve"> </w:t>
      </w:r>
      <w:r w:rsidRPr="00B85D89">
        <w:rPr>
          <w:rFonts w:cstheme="minorHAnsi"/>
          <w:sz w:val="20"/>
          <w:szCs w:val="20"/>
        </w:rPr>
        <w:t>Owners seek higher company value through greater profits and lower operating costs, whereas managers demand higher remuneration and better working conditions and they are more related to the extra cost incurred as a result of the higher payments to the employees and higher investments to improve working conditions (</w:t>
      </w:r>
      <w:proofErr w:type="spellStart"/>
      <w:r w:rsidRPr="00B85D89">
        <w:rPr>
          <w:rFonts w:cstheme="minorHAnsi"/>
          <w:sz w:val="20"/>
          <w:szCs w:val="20"/>
        </w:rPr>
        <w:t>Piesse</w:t>
      </w:r>
      <w:proofErr w:type="spellEnd"/>
      <w:r w:rsidRPr="00B85D89">
        <w:rPr>
          <w:rFonts w:cstheme="minorHAnsi"/>
          <w:sz w:val="20"/>
          <w:szCs w:val="20"/>
        </w:rPr>
        <w:t xml:space="preserve"> et al., 2005).</w:t>
      </w:r>
      <w:r>
        <w:rPr>
          <w:rFonts w:cstheme="minorHAnsi"/>
          <w:sz w:val="20"/>
          <w:szCs w:val="20"/>
        </w:rPr>
        <w:t xml:space="preserve"> </w:t>
      </w:r>
      <w:r w:rsidRPr="00B85D89">
        <w:rPr>
          <w:rFonts w:cstheme="minorHAnsi"/>
          <w:sz w:val="20"/>
          <w:szCs w:val="20"/>
        </w:rPr>
        <w:t xml:space="preserve">It is stated by Malmstrom (2011) that as in agency theory the firms targeted at mergers and acquisitions as a solution to interest conflicts between the shareholders and managers. In other words, the managers may make some decisions which negatively affect the shareholders’ value because they do not have significant ownership in the business. Managers attempt to increase their financial and non-financial benefits, not to enrich the shareholders’ wealth. Referring to agency theory, </w:t>
      </w:r>
      <w:proofErr w:type="spellStart"/>
      <w:r w:rsidRPr="00B85D89">
        <w:rPr>
          <w:rFonts w:cstheme="minorHAnsi"/>
          <w:sz w:val="20"/>
          <w:szCs w:val="20"/>
        </w:rPr>
        <w:t>Hannus</w:t>
      </w:r>
      <w:proofErr w:type="spellEnd"/>
      <w:r w:rsidRPr="00B85D89">
        <w:rPr>
          <w:rFonts w:cstheme="minorHAnsi"/>
          <w:sz w:val="20"/>
          <w:szCs w:val="20"/>
        </w:rPr>
        <w:t xml:space="preserve"> (2015) highlighted the managers’ concerns towards their job security which may be threatened by the acquisition; therefore, the managers may act in the way which can harm the business profitability. </w:t>
      </w:r>
    </w:p>
    <w:p w14:paraId="5861A014" w14:textId="77777777" w:rsidR="002F154B" w:rsidRPr="00654280" w:rsidRDefault="002F154B" w:rsidP="002F154B">
      <w:pPr>
        <w:spacing w:before="120" w:after="120" w:line="360" w:lineRule="auto"/>
        <w:ind w:firstLine="720"/>
        <w:rPr>
          <w:rFonts w:cstheme="minorHAnsi"/>
          <w:i/>
          <w:sz w:val="20"/>
          <w:szCs w:val="20"/>
        </w:rPr>
      </w:pPr>
      <w:r w:rsidRPr="00654280">
        <w:rPr>
          <w:rFonts w:cstheme="minorHAnsi"/>
          <w:i/>
          <w:sz w:val="20"/>
          <w:szCs w:val="20"/>
        </w:rPr>
        <w:t>Free cash flow hypothesis</w:t>
      </w:r>
    </w:p>
    <w:p w14:paraId="34470BEA"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Jensen (1986) </w:t>
      </w:r>
      <w:r>
        <w:rPr>
          <w:rFonts w:cstheme="minorHAnsi"/>
          <w:sz w:val="20"/>
          <w:szCs w:val="20"/>
        </w:rPr>
        <w:t xml:space="preserve">stated </w:t>
      </w:r>
      <w:r w:rsidRPr="00B85D89">
        <w:rPr>
          <w:rFonts w:cstheme="minorHAnsi"/>
          <w:sz w:val="20"/>
          <w:szCs w:val="20"/>
        </w:rPr>
        <w:t>that the cash flow which is assumed as a free cash flow when the amount of money exceed</w:t>
      </w:r>
      <w:r>
        <w:rPr>
          <w:rFonts w:cstheme="minorHAnsi"/>
          <w:sz w:val="20"/>
          <w:szCs w:val="20"/>
        </w:rPr>
        <w:t>ing</w:t>
      </w:r>
      <w:r w:rsidRPr="00B85D89">
        <w:rPr>
          <w:rFonts w:cstheme="minorHAnsi"/>
          <w:sz w:val="20"/>
          <w:szCs w:val="20"/>
        </w:rPr>
        <w:t xml:space="preserve"> the required amount for a project with positive net present values at the acceptable cost of capital. In basis, this </w:t>
      </w:r>
      <w:r>
        <w:rPr>
          <w:rFonts w:cstheme="minorHAnsi"/>
          <w:sz w:val="20"/>
          <w:szCs w:val="20"/>
        </w:rPr>
        <w:t>idea</w:t>
      </w:r>
      <w:r w:rsidRPr="00B85D89">
        <w:rPr>
          <w:rFonts w:cstheme="minorHAnsi"/>
          <w:sz w:val="20"/>
          <w:szCs w:val="20"/>
        </w:rPr>
        <w:t xml:space="preserve"> is somewhat </w:t>
      </w:r>
      <w:proofErr w:type="gramStart"/>
      <w:r w:rsidRPr="00B85D89">
        <w:rPr>
          <w:rFonts w:cstheme="minorHAnsi"/>
          <w:sz w:val="20"/>
          <w:szCs w:val="20"/>
        </w:rPr>
        <w:t>similar to</w:t>
      </w:r>
      <w:proofErr w:type="gramEnd"/>
      <w:r w:rsidRPr="00B85D89">
        <w:rPr>
          <w:rFonts w:cstheme="minorHAnsi"/>
          <w:sz w:val="20"/>
          <w:szCs w:val="20"/>
        </w:rPr>
        <w:t xml:space="preserve"> the agency theory which states that managers of the acquiring company do not want to distribute free cash flow to the shareholders </w:t>
      </w:r>
      <w:r>
        <w:rPr>
          <w:rFonts w:cstheme="minorHAnsi"/>
          <w:sz w:val="20"/>
          <w:szCs w:val="20"/>
        </w:rPr>
        <w:t>since</w:t>
      </w:r>
      <w:r w:rsidRPr="00B85D89">
        <w:rPr>
          <w:rFonts w:cstheme="minorHAnsi"/>
          <w:sz w:val="20"/>
          <w:szCs w:val="20"/>
        </w:rPr>
        <w:t xml:space="preserve"> this distribution reduces the company’s resources and does not increase their benefits (Jensen, 1986). Because managers do not receive dividends like the shareholders do, they are looking at their bonuses as their main interests when working for the company (Jensen, </w:t>
      </w:r>
      <w:r w:rsidRPr="00B85D89">
        <w:rPr>
          <w:rFonts w:cstheme="minorHAnsi"/>
          <w:sz w:val="20"/>
          <w:szCs w:val="20"/>
        </w:rPr>
        <w:lastRenderedPageBreak/>
        <w:t>1986). However, agency theory emphasizes that the conflict of interest between managers and owners is reduced through the establishment of an incentive scheme that encourages managers to act based on the owner’s interests, which leads to the motivation of using free cash flow to conduct takeover activities (Jensen, 1986). Free cash flow hypothesizes that a company with high free cash flow is not efficient and is considered a target for takeover action (Jensen, 1986). Higher free cash flow from this company reduces the debt burden to the acquiring company (Gibbs, 1983).</w:t>
      </w:r>
      <w:r>
        <w:rPr>
          <w:rFonts w:cstheme="minorHAnsi"/>
          <w:sz w:val="20"/>
          <w:szCs w:val="20"/>
        </w:rPr>
        <w:t xml:space="preserve"> </w:t>
      </w:r>
    </w:p>
    <w:p w14:paraId="24A0D206" w14:textId="77777777" w:rsidR="002F154B" w:rsidRPr="0077242E" w:rsidRDefault="002F154B" w:rsidP="002F154B">
      <w:pPr>
        <w:spacing w:before="120" w:after="120" w:line="360" w:lineRule="auto"/>
        <w:ind w:firstLine="720"/>
        <w:rPr>
          <w:rFonts w:cstheme="minorHAnsi"/>
          <w:i/>
          <w:sz w:val="20"/>
          <w:szCs w:val="20"/>
        </w:rPr>
      </w:pPr>
      <w:r w:rsidRPr="0077242E">
        <w:rPr>
          <w:rFonts w:cstheme="minorHAnsi"/>
          <w:i/>
          <w:sz w:val="20"/>
          <w:szCs w:val="20"/>
        </w:rPr>
        <w:t>Market power hypothesis</w:t>
      </w:r>
    </w:p>
    <w:p w14:paraId="48A5E4A1"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One of the most important theories related to M&amp;A is market power hypothesis in which market power is defined as the ability of a company to control the entities in its value chain network (</w:t>
      </w:r>
      <w:proofErr w:type="spellStart"/>
      <w:r w:rsidRPr="00B85D89">
        <w:rPr>
          <w:rFonts w:cstheme="minorHAnsi"/>
          <w:sz w:val="20"/>
          <w:szCs w:val="20"/>
        </w:rPr>
        <w:t>Piesse</w:t>
      </w:r>
      <w:proofErr w:type="spellEnd"/>
      <w:r w:rsidRPr="00B85D89">
        <w:rPr>
          <w:rFonts w:cstheme="minorHAnsi"/>
          <w:sz w:val="20"/>
          <w:szCs w:val="20"/>
        </w:rPr>
        <w:t xml:space="preserve"> et al., 2005).</w:t>
      </w:r>
      <w:r>
        <w:rPr>
          <w:rFonts w:cstheme="minorHAnsi"/>
          <w:sz w:val="20"/>
          <w:szCs w:val="20"/>
        </w:rPr>
        <w:t xml:space="preserve"> </w:t>
      </w:r>
      <w:r w:rsidRPr="00B85D89">
        <w:rPr>
          <w:rFonts w:cstheme="minorHAnsi"/>
          <w:sz w:val="20"/>
          <w:szCs w:val="20"/>
        </w:rPr>
        <w:t xml:space="preserve">Because M&amp;A activity is used to help the acquiring company reach a higher business and operation scale, it is seen as a strategic action to increase the market power of the company (Leigh </w:t>
      </w:r>
      <w:r>
        <w:rPr>
          <w:rFonts w:cstheme="minorHAnsi"/>
          <w:sz w:val="20"/>
          <w:szCs w:val="20"/>
        </w:rPr>
        <w:t>and</w:t>
      </w:r>
      <w:r w:rsidRPr="00B85D89">
        <w:rPr>
          <w:rFonts w:cstheme="minorHAnsi"/>
          <w:sz w:val="20"/>
          <w:szCs w:val="20"/>
        </w:rPr>
        <w:t xml:space="preserve"> North, 1978).</w:t>
      </w:r>
      <w:r>
        <w:rPr>
          <w:rFonts w:cstheme="minorHAnsi"/>
          <w:sz w:val="20"/>
          <w:szCs w:val="20"/>
        </w:rPr>
        <w:t xml:space="preserve"> </w:t>
      </w:r>
      <w:r w:rsidRPr="00B85D89">
        <w:rPr>
          <w:rFonts w:cstheme="minorHAnsi"/>
          <w:sz w:val="20"/>
          <w:szCs w:val="20"/>
        </w:rPr>
        <w:t xml:space="preserve">According to </w:t>
      </w:r>
      <w:proofErr w:type="spellStart"/>
      <w:r w:rsidRPr="00B85D89">
        <w:rPr>
          <w:rFonts w:cstheme="minorHAnsi"/>
          <w:sz w:val="20"/>
          <w:szCs w:val="20"/>
        </w:rPr>
        <w:t>Piesse</w:t>
      </w:r>
      <w:proofErr w:type="spellEnd"/>
      <w:r w:rsidRPr="00B85D89">
        <w:rPr>
          <w:rFonts w:cstheme="minorHAnsi"/>
          <w:sz w:val="20"/>
          <w:szCs w:val="20"/>
        </w:rPr>
        <w:t xml:space="preserve"> et al. (2005), the market power hypothesis examines whether the acquiring company can achieve higher market power through horizontal M&amp;A; this theory is very useful to explain the peak of horizontal M&amp;A activities that occurred during the 1960s.</w:t>
      </w:r>
      <w:r>
        <w:rPr>
          <w:rFonts w:cstheme="minorHAnsi"/>
          <w:sz w:val="20"/>
          <w:szCs w:val="20"/>
        </w:rPr>
        <w:t xml:space="preserve"> </w:t>
      </w:r>
      <w:r w:rsidRPr="00B85D89">
        <w:rPr>
          <w:rFonts w:cstheme="minorHAnsi"/>
          <w:sz w:val="20"/>
          <w:szCs w:val="20"/>
        </w:rPr>
        <w:t>However, the number of horizontal M&amp;A deals decreased since the introduction of antitrust legislation implemented by governments (</w:t>
      </w:r>
      <w:proofErr w:type="spellStart"/>
      <w:r w:rsidRPr="00B85D89">
        <w:rPr>
          <w:rFonts w:cstheme="minorHAnsi"/>
          <w:sz w:val="20"/>
          <w:szCs w:val="20"/>
        </w:rPr>
        <w:t>Utton</w:t>
      </w:r>
      <w:proofErr w:type="spellEnd"/>
      <w:r w:rsidRPr="00B85D89">
        <w:rPr>
          <w:rFonts w:cstheme="minorHAnsi"/>
          <w:sz w:val="20"/>
          <w:szCs w:val="20"/>
        </w:rPr>
        <w:t>, 1982). A business example is an M&amp;A deal between two companies in the brewery industry in the United States that was prohibited by the Department of Justice because the combined company posed a competitive threat to other companies in this industry (</w:t>
      </w:r>
      <w:proofErr w:type="spellStart"/>
      <w:r w:rsidRPr="00B85D89">
        <w:rPr>
          <w:rFonts w:cstheme="minorHAnsi"/>
          <w:sz w:val="20"/>
          <w:szCs w:val="20"/>
        </w:rPr>
        <w:t>Piesse</w:t>
      </w:r>
      <w:proofErr w:type="spellEnd"/>
      <w:r w:rsidRPr="00B85D89">
        <w:rPr>
          <w:rFonts w:cstheme="minorHAnsi"/>
          <w:sz w:val="20"/>
          <w:szCs w:val="20"/>
        </w:rPr>
        <w:t xml:space="preserve"> et al., 2005).</w:t>
      </w:r>
      <w:r>
        <w:rPr>
          <w:rFonts w:cstheme="minorHAnsi"/>
          <w:sz w:val="20"/>
          <w:szCs w:val="20"/>
        </w:rPr>
        <w:t xml:space="preserve"> </w:t>
      </w:r>
    </w:p>
    <w:p w14:paraId="1F40D406" w14:textId="77777777" w:rsidR="002F154B" w:rsidRPr="00053C14" w:rsidRDefault="002F154B" w:rsidP="002F154B">
      <w:pPr>
        <w:spacing w:before="120" w:after="120" w:line="360" w:lineRule="auto"/>
        <w:ind w:firstLine="720"/>
        <w:rPr>
          <w:rFonts w:cstheme="minorHAnsi"/>
          <w:i/>
          <w:sz w:val="20"/>
          <w:szCs w:val="20"/>
        </w:rPr>
      </w:pPr>
      <w:r w:rsidRPr="00053C14">
        <w:rPr>
          <w:rFonts w:cstheme="minorHAnsi"/>
          <w:i/>
          <w:sz w:val="20"/>
          <w:szCs w:val="20"/>
        </w:rPr>
        <w:t>Diversification hypothesis</w:t>
      </w:r>
    </w:p>
    <w:p w14:paraId="1512B45D" w14:textId="7FF6E02B" w:rsidR="002F154B" w:rsidRPr="00B85D89" w:rsidRDefault="002F154B" w:rsidP="002F154B">
      <w:pPr>
        <w:spacing w:before="120" w:after="120" w:line="360" w:lineRule="auto"/>
        <w:rPr>
          <w:rFonts w:cstheme="minorHAnsi"/>
          <w:sz w:val="20"/>
          <w:szCs w:val="20"/>
        </w:rPr>
      </w:pPr>
      <w:r w:rsidRPr="00B85D89">
        <w:rPr>
          <w:rFonts w:cstheme="minorHAnsi"/>
          <w:sz w:val="20"/>
          <w:szCs w:val="20"/>
        </w:rPr>
        <w:t>The diversification hypothesis can be used to explain the increase in conglomerate M&amp;A (</w:t>
      </w:r>
      <w:proofErr w:type="spellStart"/>
      <w:r w:rsidRPr="00B85D89">
        <w:rPr>
          <w:rFonts w:cstheme="minorHAnsi"/>
          <w:sz w:val="20"/>
          <w:szCs w:val="20"/>
        </w:rPr>
        <w:t>Piesse</w:t>
      </w:r>
      <w:proofErr w:type="spellEnd"/>
      <w:r w:rsidRPr="00B85D89">
        <w:rPr>
          <w:rFonts w:cstheme="minorHAnsi"/>
          <w:sz w:val="20"/>
          <w:szCs w:val="20"/>
        </w:rPr>
        <w:t xml:space="preserve"> et al., 2005).</w:t>
      </w:r>
      <w:r>
        <w:rPr>
          <w:rFonts w:cstheme="minorHAnsi"/>
          <w:sz w:val="20"/>
          <w:szCs w:val="20"/>
        </w:rPr>
        <w:t xml:space="preserve"> </w:t>
      </w:r>
      <w:r w:rsidRPr="00B85D89">
        <w:rPr>
          <w:rFonts w:cstheme="minorHAnsi"/>
          <w:sz w:val="20"/>
          <w:szCs w:val="20"/>
        </w:rPr>
        <w:t>Conglomerate M&amp;A is used as a diversification strategy as it helps a company stabilize future income and reduce business risks (</w:t>
      </w:r>
      <w:proofErr w:type="spellStart"/>
      <w:r w:rsidRPr="00B85D89">
        <w:rPr>
          <w:rFonts w:cstheme="minorHAnsi"/>
          <w:sz w:val="20"/>
          <w:szCs w:val="20"/>
        </w:rPr>
        <w:t>Stallworthy</w:t>
      </w:r>
      <w:proofErr w:type="spellEnd"/>
      <w:r w:rsidRPr="00B85D89">
        <w:rPr>
          <w:rFonts w:cstheme="minorHAnsi"/>
          <w:sz w:val="20"/>
          <w:szCs w:val="20"/>
        </w:rPr>
        <w:t xml:space="preserve"> </w:t>
      </w:r>
      <w:r>
        <w:rPr>
          <w:rFonts w:cstheme="minorHAnsi"/>
          <w:sz w:val="20"/>
          <w:szCs w:val="20"/>
        </w:rPr>
        <w:t>and</w:t>
      </w:r>
      <w:r w:rsidRPr="00B85D89">
        <w:rPr>
          <w:rFonts w:cstheme="minorHAnsi"/>
          <w:sz w:val="20"/>
          <w:szCs w:val="20"/>
        </w:rPr>
        <w:t xml:space="preserve"> Kharbanda, 1988; Weston</w:t>
      </w:r>
      <w:r w:rsidR="00D67B6C">
        <w:rPr>
          <w:rFonts w:cstheme="minorHAnsi"/>
          <w:sz w:val="20"/>
          <w:szCs w:val="20"/>
        </w:rPr>
        <w:t xml:space="preserve">, </w:t>
      </w:r>
      <w:r w:rsidRPr="00B85D89">
        <w:rPr>
          <w:rFonts w:cstheme="minorHAnsi"/>
          <w:sz w:val="20"/>
          <w:szCs w:val="20"/>
        </w:rPr>
        <w:t>19</w:t>
      </w:r>
      <w:r w:rsidR="00D67B6C">
        <w:rPr>
          <w:rFonts w:cstheme="minorHAnsi"/>
          <w:sz w:val="20"/>
          <w:szCs w:val="20"/>
        </w:rPr>
        <w:t>85</w:t>
      </w:r>
      <w:r w:rsidRPr="00B85D89">
        <w:rPr>
          <w:rFonts w:cstheme="minorHAnsi"/>
          <w:sz w:val="20"/>
          <w:szCs w:val="20"/>
        </w:rPr>
        <w:t>).</w:t>
      </w:r>
      <w:r>
        <w:rPr>
          <w:rFonts w:cstheme="minorHAnsi"/>
          <w:sz w:val="20"/>
          <w:szCs w:val="20"/>
        </w:rPr>
        <w:t xml:space="preserve"> </w:t>
      </w:r>
      <w:r w:rsidRPr="00B85D89">
        <w:rPr>
          <w:rFonts w:cstheme="minorHAnsi"/>
          <w:sz w:val="20"/>
          <w:szCs w:val="20"/>
        </w:rPr>
        <w:t>This theory asserts that the appropriate diversification strategy increases the value of a company that is formulated from an M&amp;A transaction (Ross et al., 2002).</w:t>
      </w:r>
      <w:r>
        <w:rPr>
          <w:rFonts w:cstheme="minorHAnsi"/>
          <w:sz w:val="20"/>
          <w:szCs w:val="20"/>
        </w:rPr>
        <w:t xml:space="preserve"> </w:t>
      </w:r>
      <w:r w:rsidRPr="00B85D89">
        <w:rPr>
          <w:rFonts w:cstheme="minorHAnsi"/>
          <w:sz w:val="20"/>
          <w:szCs w:val="20"/>
        </w:rPr>
        <w:t>In addition, diversification theory helps the company create a higher barrier to entry for future players (</w:t>
      </w:r>
      <w:proofErr w:type="spellStart"/>
      <w:r w:rsidRPr="00B85D89">
        <w:rPr>
          <w:rFonts w:cstheme="minorHAnsi"/>
          <w:sz w:val="20"/>
          <w:szCs w:val="20"/>
        </w:rPr>
        <w:t>Utton</w:t>
      </w:r>
      <w:proofErr w:type="spellEnd"/>
      <w:r w:rsidRPr="00B85D89">
        <w:rPr>
          <w:rFonts w:cstheme="minorHAnsi"/>
          <w:sz w:val="20"/>
          <w:szCs w:val="20"/>
        </w:rPr>
        <w:t>, 1982).</w:t>
      </w:r>
      <w:r>
        <w:rPr>
          <w:rFonts w:cstheme="minorHAnsi"/>
          <w:sz w:val="20"/>
          <w:szCs w:val="20"/>
        </w:rPr>
        <w:t xml:space="preserve"> </w:t>
      </w:r>
      <w:r w:rsidRPr="00B85D89">
        <w:rPr>
          <w:rFonts w:cstheme="minorHAnsi"/>
          <w:sz w:val="20"/>
          <w:szCs w:val="20"/>
        </w:rPr>
        <w:t>The use of the diversification theory to explain M&amp;A motives has been justified by different researchers.</w:t>
      </w:r>
      <w:r>
        <w:rPr>
          <w:rFonts w:cstheme="minorHAnsi"/>
          <w:sz w:val="20"/>
          <w:szCs w:val="20"/>
        </w:rPr>
        <w:t xml:space="preserve"> </w:t>
      </w:r>
      <w:r w:rsidRPr="00B85D89">
        <w:rPr>
          <w:rFonts w:cstheme="minorHAnsi"/>
          <w:sz w:val="20"/>
          <w:szCs w:val="20"/>
        </w:rPr>
        <w:t>For example, McCardle and Viswanathan (1994) obtained empirical evidence to support that diversification theory does not explain a company’s motivation to engage in an M&amp;A deal.</w:t>
      </w:r>
      <w:r>
        <w:rPr>
          <w:rFonts w:cstheme="minorHAnsi"/>
          <w:sz w:val="20"/>
          <w:szCs w:val="20"/>
        </w:rPr>
        <w:t xml:space="preserve"> </w:t>
      </w:r>
    </w:p>
    <w:p w14:paraId="099E0085" w14:textId="77777777" w:rsidR="002F154B" w:rsidRPr="00FB4E6A" w:rsidRDefault="002F154B" w:rsidP="002F154B">
      <w:pPr>
        <w:spacing w:before="120" w:after="120" w:line="360" w:lineRule="auto"/>
        <w:ind w:firstLine="720"/>
        <w:rPr>
          <w:rFonts w:cstheme="minorHAnsi"/>
          <w:i/>
          <w:sz w:val="20"/>
          <w:szCs w:val="20"/>
        </w:rPr>
      </w:pPr>
      <w:r w:rsidRPr="00FB4E6A">
        <w:rPr>
          <w:rFonts w:cstheme="minorHAnsi"/>
          <w:i/>
          <w:sz w:val="20"/>
          <w:szCs w:val="20"/>
        </w:rPr>
        <w:t>Bankruptcy avoidance hypothesis</w:t>
      </w:r>
    </w:p>
    <w:p w14:paraId="0D86B2A8"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The bankruptcy avoidance theory is based on the hypothesis that there is a potential link between M&amp;A activity and bankruptcy (Altman, 1971). According to Stiglitz (1972), a company can avoid bankruptcy through engagement in a takeover action. </w:t>
      </w:r>
      <w:proofErr w:type="spellStart"/>
      <w:r w:rsidRPr="00B85D89">
        <w:rPr>
          <w:rFonts w:cstheme="minorHAnsi"/>
          <w:sz w:val="20"/>
          <w:szCs w:val="20"/>
        </w:rPr>
        <w:t>Sherives</w:t>
      </w:r>
      <w:proofErr w:type="spellEnd"/>
      <w:r w:rsidRPr="00B85D89">
        <w:rPr>
          <w:rFonts w:cstheme="minorHAnsi"/>
          <w:sz w:val="20"/>
          <w:szCs w:val="20"/>
        </w:rPr>
        <w:t xml:space="preserve"> </w:t>
      </w:r>
      <w:r>
        <w:rPr>
          <w:rFonts w:cstheme="minorHAnsi"/>
          <w:sz w:val="20"/>
          <w:szCs w:val="20"/>
        </w:rPr>
        <w:t>and</w:t>
      </w:r>
      <w:r w:rsidRPr="00B85D89">
        <w:rPr>
          <w:rFonts w:cstheme="minorHAnsi"/>
          <w:sz w:val="20"/>
          <w:szCs w:val="20"/>
        </w:rPr>
        <w:t xml:space="preserve"> Stevens (1979) identified that a company can avoid bankruptcy through a carefully conducted takeover action.</w:t>
      </w:r>
      <w:r>
        <w:rPr>
          <w:rFonts w:cstheme="minorHAnsi"/>
          <w:sz w:val="20"/>
          <w:szCs w:val="20"/>
        </w:rPr>
        <w:t xml:space="preserve"> </w:t>
      </w:r>
      <w:proofErr w:type="spellStart"/>
      <w:r w:rsidRPr="00B85D89">
        <w:rPr>
          <w:rFonts w:cstheme="minorHAnsi"/>
          <w:sz w:val="20"/>
          <w:szCs w:val="20"/>
        </w:rPr>
        <w:t>Pastena</w:t>
      </w:r>
      <w:proofErr w:type="spellEnd"/>
      <w:r w:rsidRPr="00B85D89">
        <w:rPr>
          <w:rFonts w:cstheme="minorHAnsi"/>
          <w:sz w:val="20"/>
          <w:szCs w:val="20"/>
        </w:rPr>
        <w:t xml:space="preserve"> </w:t>
      </w:r>
      <w:r>
        <w:rPr>
          <w:rFonts w:cstheme="minorHAnsi"/>
          <w:sz w:val="20"/>
          <w:szCs w:val="20"/>
        </w:rPr>
        <w:t>and</w:t>
      </w:r>
      <w:r w:rsidRPr="00B85D89">
        <w:rPr>
          <w:rFonts w:cstheme="minorHAnsi"/>
          <w:sz w:val="20"/>
          <w:szCs w:val="20"/>
        </w:rPr>
        <w:t xml:space="preserve"> </w:t>
      </w:r>
      <w:proofErr w:type="spellStart"/>
      <w:r w:rsidRPr="00B85D89">
        <w:rPr>
          <w:rFonts w:cstheme="minorHAnsi"/>
          <w:sz w:val="20"/>
          <w:szCs w:val="20"/>
        </w:rPr>
        <w:t>Ruland</w:t>
      </w:r>
      <w:proofErr w:type="spellEnd"/>
      <w:r w:rsidRPr="00B85D89">
        <w:rPr>
          <w:rFonts w:cstheme="minorHAnsi"/>
          <w:sz w:val="20"/>
          <w:szCs w:val="20"/>
        </w:rPr>
        <w:t xml:space="preserve"> (1986) asserted that in many situations, the shareholders of a company prefer conducting a takeover action rather than letting the company claim bankruptcy because the takeover allows them to receive cash or stock payment whereas the bankruptcy nets them nothing.</w:t>
      </w:r>
      <w:r>
        <w:rPr>
          <w:rFonts w:cstheme="minorHAnsi"/>
          <w:sz w:val="20"/>
          <w:szCs w:val="20"/>
        </w:rPr>
        <w:t xml:space="preserve"> </w:t>
      </w:r>
      <w:r w:rsidRPr="00B85D89">
        <w:rPr>
          <w:rFonts w:cstheme="minorHAnsi"/>
          <w:sz w:val="20"/>
          <w:szCs w:val="20"/>
        </w:rPr>
        <w:t xml:space="preserve">Acquiring a </w:t>
      </w:r>
      <w:r w:rsidRPr="00B85D89">
        <w:rPr>
          <w:rFonts w:cstheme="minorHAnsi"/>
          <w:sz w:val="20"/>
          <w:szCs w:val="20"/>
        </w:rPr>
        <w:lastRenderedPageBreak/>
        <w:t>distressed company brings advantages such as lower purchase price and disadvantages such as many managerial and business problems after the takeover is complete (Walker, 1992).</w:t>
      </w:r>
    </w:p>
    <w:p w14:paraId="03807D53" w14:textId="77777777" w:rsidR="002F154B" w:rsidRPr="00F531BE" w:rsidRDefault="002F154B" w:rsidP="002F154B">
      <w:pPr>
        <w:pStyle w:val="Heading1"/>
        <w:numPr>
          <w:ilvl w:val="0"/>
          <w:numId w:val="1"/>
        </w:numPr>
        <w:spacing w:before="120" w:after="120" w:line="360" w:lineRule="auto"/>
        <w:rPr>
          <w:rFonts w:asciiTheme="minorHAnsi" w:hAnsiTheme="minorHAnsi" w:cstheme="minorHAnsi"/>
          <w:sz w:val="20"/>
          <w:szCs w:val="20"/>
        </w:rPr>
      </w:pPr>
      <w:r w:rsidRPr="00F531BE">
        <w:rPr>
          <w:rFonts w:asciiTheme="minorHAnsi" w:hAnsiTheme="minorHAnsi" w:cstheme="minorHAnsi"/>
          <w:sz w:val="20"/>
          <w:szCs w:val="20"/>
        </w:rPr>
        <w:t>Analysis of Softbank and ARM acquisition</w:t>
      </w:r>
    </w:p>
    <w:p w14:paraId="735485A8" w14:textId="77777777" w:rsidR="002F154B" w:rsidRPr="00B85D89" w:rsidRDefault="002F154B" w:rsidP="002F154B">
      <w:pPr>
        <w:pStyle w:val="Heading2"/>
        <w:numPr>
          <w:ilvl w:val="1"/>
          <w:numId w:val="1"/>
        </w:numPr>
        <w:spacing w:before="120" w:after="120" w:line="360" w:lineRule="auto"/>
        <w:rPr>
          <w:rFonts w:asciiTheme="minorHAnsi" w:hAnsiTheme="minorHAnsi" w:cstheme="minorHAnsi"/>
          <w:b w:val="0"/>
          <w:i w:val="0"/>
          <w:sz w:val="20"/>
          <w:szCs w:val="20"/>
        </w:rPr>
      </w:pPr>
      <w:r w:rsidRPr="00B85D89">
        <w:rPr>
          <w:rFonts w:asciiTheme="minorHAnsi" w:hAnsiTheme="minorHAnsi" w:cstheme="minorHAnsi"/>
          <w:b w:val="0"/>
          <w:i w:val="0"/>
          <w:sz w:val="20"/>
          <w:szCs w:val="20"/>
        </w:rPr>
        <w:t>Softbank and ARM</w:t>
      </w:r>
    </w:p>
    <w:p w14:paraId="0C987A31"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Softbank Group Corporation (Softbank) is established as a mobile and Internet services provider which have invested in a wide range of ICT relate companies which contributes to the strong growth of Softbank in recent years. For the long-term profitability and growth, Softbank has carried out various mergers and acquisitions to expand their global expansion and sustained growth. Owning to the successful mergers and acquisitions, Softbank has currently owned the majority of Japanese Telco Softbank, US Telco Sprint, and Japanese ISP Yahoo! Japan and has diverse investments in firms such as the Chinese e-commerce company Alibaba Group, South Korean e-commerce company </w:t>
      </w:r>
      <w:proofErr w:type="spellStart"/>
      <w:r w:rsidRPr="00B85D89">
        <w:rPr>
          <w:rFonts w:cstheme="minorHAnsi"/>
          <w:sz w:val="20"/>
          <w:szCs w:val="20"/>
        </w:rPr>
        <w:t>Coupang</w:t>
      </w:r>
      <w:proofErr w:type="spellEnd"/>
      <w:r w:rsidRPr="00B85D89">
        <w:rPr>
          <w:rFonts w:cstheme="minorHAnsi"/>
          <w:sz w:val="20"/>
          <w:szCs w:val="20"/>
        </w:rPr>
        <w:t>, and Indian hotel room booking site Oyo, among others. The annual report by Softbank in 2015 revealed that the total revenue generated by sales of Softbank reached US$87 billion in its fiscal year 2015.</w:t>
      </w:r>
    </w:p>
    <w:p w14:paraId="50945C87"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ARM Holdings Plc. is an UK located firm which focuses on the development and licensing of intellectual property for microprocessor and microcontroller cores, graphics cores, on-chip interconnects, and other hardware and software platforms and systems-on-chips leveraging ARM IP. Due to the strong development of technology sector in recent years, ARM has experienced strong and continuous growth in the past five year. Revenue of ARM in 2015 reached US$1.5 billion. ARM has obtained the position as one of the leaders in the market of mobile processor, storages and chips. Particularly, for portfolio diversification and enlargement, in recent years, ARM has focused on developing new product line of Internet services such as broadband and wireless infrastructure, networking, and servers. As the end of 2015, ARM accounted for nearly 1% of the market of server processor and 15% of the networking market. There are many products of ARM which are integrated into the server and networking systems worldwide for example a series of ARM applications assisting the Internet services through </w:t>
      </w:r>
      <w:proofErr w:type="spellStart"/>
      <w:r w:rsidRPr="00B85D89">
        <w:rPr>
          <w:rFonts w:cstheme="minorHAnsi"/>
          <w:sz w:val="20"/>
          <w:szCs w:val="20"/>
        </w:rPr>
        <w:t>WiFi</w:t>
      </w:r>
      <w:proofErr w:type="spellEnd"/>
      <w:r w:rsidRPr="00B85D89">
        <w:rPr>
          <w:rFonts w:cstheme="minorHAnsi"/>
          <w:sz w:val="20"/>
          <w:szCs w:val="20"/>
        </w:rPr>
        <w:t xml:space="preserve"> gateways. Particularly, the development of 64-bit v8 architecture by ARM which is integrated with SoCs by silicon vendors such as Broadcom, Cavium, </w:t>
      </w:r>
      <w:proofErr w:type="spellStart"/>
      <w:r w:rsidRPr="00B85D89">
        <w:rPr>
          <w:rFonts w:cstheme="minorHAnsi"/>
          <w:sz w:val="20"/>
          <w:szCs w:val="20"/>
        </w:rPr>
        <w:t>HiSilicon</w:t>
      </w:r>
      <w:proofErr w:type="spellEnd"/>
      <w:r w:rsidRPr="00B85D89">
        <w:rPr>
          <w:rFonts w:cstheme="minorHAnsi"/>
          <w:sz w:val="20"/>
          <w:szCs w:val="20"/>
        </w:rPr>
        <w:t xml:space="preserve"> (Huawei) and NXP (formerly Freescale's Digital Networking Group), has totally changed the position of ARM in the sector of mobile processor Internet connectivity. The acquisition by Softbank with the permission to maintain ARM’s organization and strategic business operations will </w:t>
      </w:r>
      <w:proofErr w:type="gramStart"/>
      <w:r w:rsidRPr="00B85D89">
        <w:rPr>
          <w:rFonts w:cstheme="minorHAnsi"/>
          <w:sz w:val="20"/>
          <w:szCs w:val="20"/>
        </w:rPr>
        <w:t>definitely support</w:t>
      </w:r>
      <w:proofErr w:type="gramEnd"/>
      <w:r w:rsidRPr="00B85D89">
        <w:rPr>
          <w:rFonts w:cstheme="minorHAnsi"/>
          <w:sz w:val="20"/>
          <w:szCs w:val="20"/>
        </w:rPr>
        <w:t xml:space="preserve"> the long-term growth and profitability of both Softbank and ARM.</w:t>
      </w:r>
    </w:p>
    <w:p w14:paraId="66AE7FC2" w14:textId="77777777" w:rsidR="002F154B" w:rsidRPr="00B85D89" w:rsidRDefault="002F154B" w:rsidP="002F154B">
      <w:pPr>
        <w:pStyle w:val="Heading2"/>
        <w:numPr>
          <w:ilvl w:val="1"/>
          <w:numId w:val="1"/>
        </w:numPr>
        <w:spacing w:before="120" w:after="120" w:line="360" w:lineRule="auto"/>
        <w:rPr>
          <w:rFonts w:asciiTheme="minorHAnsi" w:hAnsiTheme="minorHAnsi" w:cstheme="minorHAnsi"/>
          <w:b w:val="0"/>
          <w:i w:val="0"/>
          <w:sz w:val="20"/>
          <w:szCs w:val="20"/>
        </w:rPr>
      </w:pPr>
      <w:r w:rsidRPr="00B85D89">
        <w:rPr>
          <w:rFonts w:asciiTheme="minorHAnsi" w:hAnsiTheme="minorHAnsi" w:cstheme="minorHAnsi"/>
          <w:b w:val="0"/>
          <w:i w:val="0"/>
          <w:sz w:val="20"/>
          <w:szCs w:val="20"/>
        </w:rPr>
        <w:t>Acquisition deal</w:t>
      </w:r>
    </w:p>
    <w:p w14:paraId="4F6811B6"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It is expected by the industrial and market experts that the acquisition by Softbank would generate significant impacts on the market of mobile phone processor and Internet connectivity. Starting as a holding company, until now Softbank has expanded their investment in many other fields. The acquisition with ARM is considered as one of the most important and largest investments of Softbank which facilitates Softbank to transform into a global </w:t>
      </w:r>
      <w:r w:rsidRPr="00B85D89">
        <w:rPr>
          <w:rFonts w:cstheme="minorHAnsi"/>
          <w:sz w:val="20"/>
          <w:szCs w:val="20"/>
        </w:rPr>
        <w:lastRenderedPageBreak/>
        <w:t xml:space="preserve">business. In the acquisition deal with ARM, it is agreed by Softbank that there </w:t>
      </w:r>
      <w:proofErr w:type="gramStart"/>
      <w:r w:rsidRPr="00B85D89">
        <w:rPr>
          <w:rFonts w:cstheme="minorHAnsi"/>
          <w:sz w:val="20"/>
          <w:szCs w:val="20"/>
        </w:rPr>
        <w:t>is</w:t>
      </w:r>
      <w:proofErr w:type="gramEnd"/>
      <w:r w:rsidRPr="00B85D89">
        <w:rPr>
          <w:rFonts w:cstheme="minorHAnsi"/>
          <w:sz w:val="20"/>
          <w:szCs w:val="20"/>
        </w:rPr>
        <w:t xml:space="preserve"> no significant changes in ARM’s organization, strategic business operation, and senior management team. Moreover, it is committed by Softbank that in order to support business expansion of ARM, the human resources of ARM in the UK headquarter and outside the UK will be doubled to enhance the talent strengths for research and development of Internet of Things. From the perspective of Softbank, it is believed that this acquisition deal significantly contributes to the long-term investment and development path of the company. This acquisition will enable Softbank to participate in the supply chain of the global mobile processor.</w:t>
      </w:r>
    </w:p>
    <w:p w14:paraId="667C63F5" w14:textId="77777777" w:rsidR="002F154B" w:rsidRPr="00025BE5" w:rsidRDefault="002F154B" w:rsidP="002F154B">
      <w:pPr>
        <w:spacing w:before="120" w:after="120" w:line="360" w:lineRule="auto"/>
        <w:rPr>
          <w:rFonts w:cstheme="minorHAnsi"/>
          <w:sz w:val="20"/>
          <w:szCs w:val="20"/>
        </w:rPr>
      </w:pPr>
      <w:r w:rsidRPr="00B85D89">
        <w:rPr>
          <w:rFonts w:cstheme="minorHAnsi"/>
          <w:sz w:val="20"/>
          <w:szCs w:val="20"/>
        </w:rPr>
        <w:t>From the perspective of ARM, the acquisition provides the company the great opportunities to enhance their R&amp;D activities with the investment from Softbank. As a part of this agreement, Softbank decided to invest nearly US$150 and added more than 200 employees in ARM to promote ARM to become the leader in the field of mobile processor and IoT. Before the acquisition by Softbank, ARM is limited with both financial and non-financial resources in R&amp;D and infrastructure to develop their ecosystems.</w:t>
      </w:r>
      <w:r>
        <w:rPr>
          <w:rFonts w:cstheme="minorHAnsi"/>
          <w:sz w:val="20"/>
          <w:szCs w:val="20"/>
        </w:rPr>
        <w:t xml:space="preserve"> ARM is forced to shatter their spending across industry verticals due to their ability to changes in market demand – restricting reach and access to a wider set of industries beyond mobile, consequently threatening to </w:t>
      </w:r>
      <w:r w:rsidRPr="007C38DE">
        <w:rPr>
          <w:rFonts w:cstheme="minorHAnsi"/>
          <w:sz w:val="20"/>
          <w:szCs w:val="20"/>
        </w:rPr>
        <w:t>direct ARM towards one part of ARM’s customer base or another.</w:t>
      </w:r>
    </w:p>
    <w:p w14:paraId="4D139CF9"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However, it is challenging for Softbank that the business model and scale of business of ARM are totally different from Softbank. Despite the attempts by Softbank to maintain the organization and business operations of ARM, there are many tasks requiring the cooperation of both Softbank and ARM so that the acquirer and target company can leverage the benefits from the acquisition to obtain the strategic objectives by Softbank and ARM.</w:t>
      </w:r>
    </w:p>
    <w:p w14:paraId="0479D6AD" w14:textId="77777777" w:rsidR="002F154B" w:rsidRPr="00B85D89" w:rsidRDefault="002F154B" w:rsidP="002F154B">
      <w:pPr>
        <w:pStyle w:val="Heading2"/>
        <w:numPr>
          <w:ilvl w:val="1"/>
          <w:numId w:val="1"/>
        </w:numPr>
        <w:spacing w:before="120" w:after="120" w:line="360" w:lineRule="auto"/>
        <w:rPr>
          <w:rFonts w:asciiTheme="minorHAnsi" w:hAnsiTheme="minorHAnsi" w:cstheme="minorHAnsi"/>
          <w:b w:val="0"/>
          <w:i w:val="0"/>
          <w:sz w:val="20"/>
          <w:szCs w:val="20"/>
        </w:rPr>
      </w:pPr>
      <w:r w:rsidRPr="00B85D89">
        <w:rPr>
          <w:rFonts w:asciiTheme="minorHAnsi" w:hAnsiTheme="minorHAnsi" w:cstheme="minorHAnsi"/>
          <w:b w:val="0"/>
          <w:i w:val="0"/>
          <w:sz w:val="20"/>
          <w:szCs w:val="20"/>
        </w:rPr>
        <w:t>Softbank’s strategic imperatives</w:t>
      </w:r>
    </w:p>
    <w:p w14:paraId="512D52A2"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It is realized that there are many imperative strategic behind Softbank’s acquisition. Firstly, Softbank has experienced more than thirty years of operations; it is normally assumed as Japanese company despite the mergers and acquisitions with many companies worldwide. Therefore, it is expected by the management of Softbank that the acquisition with ARM as the leadership in the sector of science and technology with enable Softbank to successfully go to the second stage of Softbank - “Softbank 2.0” as a global firm with a sustained and long-term growth strategy. In recent years, Softbank has been in the transition period in which Softbank should develop and implement new business initiatives and business model to obtain the sustained and profitable growth. Normally, a 30-year production cycle of a technology firm marks the gradual decrease in revenue and retained income. This decrease is caused by the obsolescence of business model and R&amp;D, emergence of new competitors, and over-reliance on founders. Therefore, it is critical that Softbank should invest in generating new organizational structure and business models to solve their business declines. As a result, the acquisition with ARM is a strategic solution.</w:t>
      </w:r>
    </w:p>
    <w:p w14:paraId="52C7FC00"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Secondly, this acquisition deal indicates the expectation to become the market leader in the Internet of Things of Softbank. The press release made no comments on synergies or the impact on Softbank’s earnings per share. This </w:t>
      </w:r>
      <w:r w:rsidRPr="00B85D89">
        <w:rPr>
          <w:rFonts w:cstheme="minorHAnsi"/>
          <w:sz w:val="20"/>
          <w:szCs w:val="20"/>
        </w:rPr>
        <w:lastRenderedPageBreak/>
        <w:t xml:space="preserve">looks to be a bolt-on acquisition without much in the way of synergy potential. It is stated by the Management of Softbank that their decision to acquire ARM depends on their recognition of ARM as one of the most famous and innovation driven technology company which can facilitate their long-term objective to become the market leader in the field of science and technology. It cannot be denied that ARM’s mission and vision are ideally matched with the attempts to the market of y the ‘Internet of Things’ of Softbank. Additionally, this acquisition presents Softbank’s desire to capture the talent pool of science and technology in the UK, the leader of science and technology world. Softbank not only targets at ARM as a manufacturer of smartphones or processors but also the intellectual properties which allows the company to become the hub of IoT and innovation. </w:t>
      </w:r>
    </w:p>
    <w:p w14:paraId="5D1B5C19" w14:textId="77777777" w:rsidR="002F154B" w:rsidRPr="00B85D89" w:rsidRDefault="002F154B" w:rsidP="002F154B">
      <w:pPr>
        <w:pStyle w:val="NormalWeb"/>
        <w:shd w:val="clear" w:color="auto" w:fill="FFFFFF"/>
        <w:spacing w:before="120" w:beforeAutospacing="0" w:after="120" w:afterAutospacing="0" w:line="360" w:lineRule="auto"/>
        <w:jc w:val="both"/>
        <w:rPr>
          <w:rFonts w:asciiTheme="minorHAnsi" w:hAnsiTheme="minorHAnsi" w:cstheme="minorHAnsi"/>
          <w:sz w:val="20"/>
          <w:szCs w:val="20"/>
        </w:rPr>
      </w:pPr>
      <w:r w:rsidRPr="00B85D89">
        <w:rPr>
          <w:rFonts w:asciiTheme="minorHAnsi" w:hAnsiTheme="minorHAnsi" w:cstheme="minorHAnsi"/>
          <w:sz w:val="20"/>
          <w:szCs w:val="20"/>
        </w:rPr>
        <w:t>It is expected by Softbank that with their investment, ARM will become the center of the next global revolution of IoT and ICT which would bring a “paradigm shift in human history”. To sum up, the acquisition with ARM is the meaningful medium for Softbank to obtain the long-term and strategic business orientation for sustained profitability and the leader in the IoT revolution.</w:t>
      </w:r>
    </w:p>
    <w:p w14:paraId="7DA90B96" w14:textId="21057904" w:rsidR="002F154B" w:rsidRPr="00B85D89" w:rsidRDefault="002F154B" w:rsidP="002F154B">
      <w:pPr>
        <w:pStyle w:val="Heading2"/>
        <w:numPr>
          <w:ilvl w:val="1"/>
          <w:numId w:val="1"/>
        </w:numPr>
        <w:spacing w:before="120" w:after="120" w:line="360" w:lineRule="auto"/>
        <w:rPr>
          <w:rFonts w:asciiTheme="minorHAnsi" w:hAnsiTheme="minorHAnsi" w:cstheme="minorHAnsi"/>
          <w:b w:val="0"/>
          <w:i w:val="0"/>
          <w:sz w:val="20"/>
          <w:szCs w:val="20"/>
        </w:rPr>
      </w:pPr>
      <w:r w:rsidRPr="00B85D89">
        <w:rPr>
          <w:rFonts w:asciiTheme="minorHAnsi" w:hAnsiTheme="minorHAnsi" w:cstheme="minorHAnsi"/>
          <w:b w:val="0"/>
          <w:i w:val="0"/>
          <w:sz w:val="20"/>
          <w:szCs w:val="20"/>
        </w:rPr>
        <w:t>Changes in</w:t>
      </w:r>
      <w:r w:rsidR="00AF6052">
        <w:rPr>
          <w:rFonts w:asciiTheme="minorHAnsi" w:hAnsiTheme="minorHAnsi" w:cstheme="minorHAnsi"/>
          <w:b w:val="0"/>
          <w:i w:val="0"/>
          <w:sz w:val="20"/>
          <w:szCs w:val="20"/>
        </w:rPr>
        <w:t>side</w:t>
      </w:r>
      <w:r w:rsidRPr="00B85D89">
        <w:rPr>
          <w:rFonts w:asciiTheme="minorHAnsi" w:hAnsiTheme="minorHAnsi" w:cstheme="minorHAnsi"/>
          <w:b w:val="0"/>
          <w:i w:val="0"/>
          <w:sz w:val="20"/>
          <w:szCs w:val="20"/>
        </w:rPr>
        <w:t xml:space="preserve"> Softbank and ARM</w:t>
      </w:r>
    </w:p>
    <w:p w14:paraId="592E77E5" w14:textId="0C3D8BF6" w:rsidR="002F154B" w:rsidRPr="00B85D89" w:rsidRDefault="002F154B" w:rsidP="002F154B">
      <w:pPr>
        <w:pStyle w:val="Heading3"/>
        <w:numPr>
          <w:ilvl w:val="2"/>
          <w:numId w:val="1"/>
        </w:numPr>
        <w:spacing w:before="120" w:after="120" w:line="360" w:lineRule="auto"/>
        <w:rPr>
          <w:rFonts w:asciiTheme="minorHAnsi" w:hAnsiTheme="minorHAnsi" w:cstheme="minorHAnsi"/>
          <w:i w:val="0"/>
          <w:sz w:val="20"/>
          <w:szCs w:val="20"/>
        </w:rPr>
      </w:pPr>
      <w:r w:rsidRPr="00B85D89">
        <w:rPr>
          <w:rFonts w:asciiTheme="minorHAnsi" w:hAnsiTheme="minorHAnsi" w:cstheme="minorHAnsi"/>
          <w:i w:val="0"/>
          <w:sz w:val="20"/>
          <w:szCs w:val="20"/>
        </w:rPr>
        <w:t>Changes in</w:t>
      </w:r>
      <w:r w:rsidR="00AF6052">
        <w:rPr>
          <w:rFonts w:asciiTheme="minorHAnsi" w:hAnsiTheme="minorHAnsi" w:cstheme="minorHAnsi"/>
          <w:i w:val="0"/>
          <w:sz w:val="20"/>
          <w:szCs w:val="20"/>
        </w:rPr>
        <w:t>side</w:t>
      </w:r>
      <w:r w:rsidRPr="00B85D89">
        <w:rPr>
          <w:rFonts w:asciiTheme="minorHAnsi" w:hAnsiTheme="minorHAnsi" w:cstheme="minorHAnsi"/>
          <w:i w:val="0"/>
          <w:sz w:val="20"/>
          <w:szCs w:val="20"/>
        </w:rPr>
        <w:t xml:space="preserve"> ARM</w:t>
      </w:r>
    </w:p>
    <w:p w14:paraId="66BA7683"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 xml:space="preserve">It is agreed by both Softbank and ARM as a part of the acquisition agreement that after the acquisition: </w:t>
      </w:r>
      <w:proofErr w:type="spellStart"/>
      <w:r w:rsidRPr="00B85D89">
        <w:rPr>
          <w:rFonts w:cstheme="minorHAnsi"/>
          <w:sz w:val="20"/>
          <w:szCs w:val="20"/>
        </w:rPr>
        <w:t>i</w:t>
      </w:r>
      <w:proofErr w:type="spellEnd"/>
      <w:r w:rsidRPr="00B85D89">
        <w:rPr>
          <w:rFonts w:cstheme="minorHAnsi"/>
          <w:sz w:val="20"/>
          <w:szCs w:val="20"/>
        </w:rPr>
        <w:t xml:space="preserve">) Softbank is committed to maintaining the current business organization and operational processes without the changes in the Board of Directors, business model and business culture; and ii) There is no change in the location of ARM’s headquarter which is situated in Cambridge, England. Hence, there will be no significant changes in the business organization and processes of ARM after the acquisition by Softbank. </w:t>
      </w:r>
    </w:p>
    <w:p w14:paraId="1A617621"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However, in order to align with the growth strategy by Softbank in the next five years it is determined by Softbank that they will double the number of ARM’s employees in both the headquarter and outside the UK to meet the human resources needs.</w:t>
      </w:r>
    </w:p>
    <w:p w14:paraId="27FD911A" w14:textId="3C8EB3FC" w:rsidR="002F154B" w:rsidRPr="00B85D89" w:rsidRDefault="002F154B" w:rsidP="00FA5650">
      <w:pPr>
        <w:pStyle w:val="Heading3"/>
        <w:tabs>
          <w:tab w:val="left" w:pos="1080"/>
        </w:tabs>
        <w:spacing w:before="120" w:after="120" w:line="360" w:lineRule="auto"/>
        <w:ind w:firstLine="360"/>
        <w:rPr>
          <w:rFonts w:asciiTheme="minorHAnsi" w:hAnsiTheme="minorHAnsi" w:cstheme="minorHAnsi"/>
          <w:i w:val="0"/>
          <w:sz w:val="20"/>
          <w:szCs w:val="20"/>
        </w:rPr>
      </w:pPr>
      <w:r>
        <w:rPr>
          <w:rFonts w:asciiTheme="minorHAnsi" w:hAnsiTheme="minorHAnsi" w:cstheme="minorHAnsi"/>
          <w:i w:val="0"/>
          <w:sz w:val="20"/>
          <w:szCs w:val="20"/>
        </w:rPr>
        <w:t>3</w:t>
      </w:r>
      <w:r w:rsidRPr="00B85D89">
        <w:rPr>
          <w:rFonts w:asciiTheme="minorHAnsi" w:hAnsiTheme="minorHAnsi" w:cstheme="minorHAnsi"/>
          <w:i w:val="0"/>
          <w:sz w:val="20"/>
          <w:szCs w:val="20"/>
        </w:rPr>
        <w:t>.4.2</w:t>
      </w:r>
      <w:r w:rsidR="00FA5650">
        <w:rPr>
          <w:rFonts w:asciiTheme="minorHAnsi" w:hAnsiTheme="minorHAnsi" w:cstheme="minorHAnsi"/>
          <w:i w:val="0"/>
          <w:sz w:val="20"/>
          <w:szCs w:val="20"/>
        </w:rPr>
        <w:tab/>
      </w:r>
      <w:r w:rsidRPr="00B85D89">
        <w:rPr>
          <w:rFonts w:asciiTheme="minorHAnsi" w:hAnsiTheme="minorHAnsi" w:cstheme="minorHAnsi"/>
          <w:i w:val="0"/>
          <w:sz w:val="20"/>
          <w:szCs w:val="20"/>
        </w:rPr>
        <w:t>Changes in</w:t>
      </w:r>
      <w:r>
        <w:rPr>
          <w:rFonts w:asciiTheme="minorHAnsi" w:hAnsiTheme="minorHAnsi" w:cstheme="minorHAnsi"/>
          <w:i w:val="0"/>
          <w:sz w:val="20"/>
          <w:szCs w:val="20"/>
        </w:rPr>
        <w:t>side</w:t>
      </w:r>
      <w:r w:rsidRPr="00B85D89">
        <w:rPr>
          <w:rFonts w:asciiTheme="minorHAnsi" w:hAnsiTheme="minorHAnsi" w:cstheme="minorHAnsi"/>
          <w:i w:val="0"/>
          <w:sz w:val="20"/>
          <w:szCs w:val="20"/>
        </w:rPr>
        <w:t xml:space="preserve"> Softbank</w:t>
      </w:r>
    </w:p>
    <w:p w14:paraId="45B4665D" w14:textId="77777777" w:rsidR="002F154B" w:rsidRPr="00B85D89" w:rsidRDefault="002F154B" w:rsidP="002F154B">
      <w:pPr>
        <w:spacing w:before="120" w:after="120" w:line="360" w:lineRule="auto"/>
        <w:rPr>
          <w:rFonts w:cstheme="minorHAnsi"/>
          <w:sz w:val="20"/>
          <w:szCs w:val="20"/>
        </w:rPr>
      </w:pPr>
      <w:r w:rsidRPr="00B85D89">
        <w:rPr>
          <w:rFonts w:cstheme="minorHAnsi"/>
          <w:sz w:val="20"/>
          <w:szCs w:val="20"/>
        </w:rPr>
        <w:t>As for Softbank, the acquisition with ARM also generates significant benefits, including:</w:t>
      </w:r>
    </w:p>
    <w:p w14:paraId="34C7E869" w14:textId="77777777" w:rsidR="002F154B" w:rsidRPr="00B85D89" w:rsidRDefault="002F154B" w:rsidP="002F154B">
      <w:pPr>
        <w:pStyle w:val="ListParagraph"/>
        <w:numPr>
          <w:ilvl w:val="0"/>
          <w:numId w:val="2"/>
        </w:numPr>
        <w:spacing w:before="120" w:after="120" w:line="360" w:lineRule="auto"/>
        <w:rPr>
          <w:rFonts w:asciiTheme="minorHAnsi" w:hAnsiTheme="minorHAnsi" w:cstheme="minorHAnsi"/>
          <w:sz w:val="20"/>
          <w:szCs w:val="20"/>
        </w:rPr>
      </w:pPr>
      <w:r w:rsidRPr="00B85D89">
        <w:rPr>
          <w:rFonts w:asciiTheme="minorHAnsi" w:hAnsiTheme="minorHAnsi" w:cstheme="minorHAnsi"/>
          <w:sz w:val="20"/>
          <w:szCs w:val="20"/>
        </w:rPr>
        <w:t>It is evident that ARM is the global leader in the field of intellectual property for microprocessor and microcontroller cores, graphics cores, on-chip interconnects, and other hardware and software platforms; therefore, the acquisition with ARM not only strengthens the ICT competencies of Softbank as the market leader but also enlarge the network of Softbank in the global supply chain.</w:t>
      </w:r>
    </w:p>
    <w:p w14:paraId="742BC9D3" w14:textId="77777777" w:rsidR="002F154B" w:rsidRPr="00B85D89" w:rsidRDefault="002F154B" w:rsidP="002F154B">
      <w:pPr>
        <w:pStyle w:val="ListParagraph"/>
        <w:numPr>
          <w:ilvl w:val="0"/>
          <w:numId w:val="2"/>
        </w:numPr>
        <w:spacing w:before="120" w:after="120" w:line="360" w:lineRule="auto"/>
        <w:rPr>
          <w:rFonts w:asciiTheme="minorHAnsi" w:hAnsiTheme="minorHAnsi" w:cstheme="minorHAnsi"/>
          <w:sz w:val="20"/>
          <w:szCs w:val="20"/>
        </w:rPr>
      </w:pPr>
      <w:r w:rsidRPr="00B85D89">
        <w:rPr>
          <w:rFonts w:asciiTheme="minorHAnsi" w:hAnsiTheme="minorHAnsi" w:cstheme="minorHAnsi"/>
          <w:sz w:val="20"/>
          <w:szCs w:val="20"/>
        </w:rPr>
        <w:t>There is no doubt that ARM’s core strength depends on their research and development competency; therefore, Softbank has acquired R&amp;D capacity of ARM when they successfully merged with ARM. It is necessary to emphasize that there are many engineering talents of ARM which can be become the valuable assets to the growth of Softbank as a global company.</w:t>
      </w:r>
    </w:p>
    <w:p w14:paraId="4EEAA102" w14:textId="77777777" w:rsidR="002F154B" w:rsidRPr="00B85D89" w:rsidRDefault="002F154B" w:rsidP="002F154B">
      <w:pPr>
        <w:pStyle w:val="ListParagraph"/>
        <w:numPr>
          <w:ilvl w:val="0"/>
          <w:numId w:val="2"/>
        </w:numPr>
        <w:spacing w:before="120" w:after="120" w:line="360" w:lineRule="auto"/>
        <w:rPr>
          <w:rFonts w:asciiTheme="minorHAnsi" w:hAnsiTheme="minorHAnsi" w:cstheme="minorHAnsi"/>
          <w:sz w:val="20"/>
          <w:szCs w:val="20"/>
        </w:rPr>
      </w:pPr>
      <w:r w:rsidRPr="00B85D89">
        <w:rPr>
          <w:rFonts w:asciiTheme="minorHAnsi" w:hAnsiTheme="minorHAnsi" w:cstheme="minorHAnsi"/>
          <w:sz w:val="20"/>
          <w:szCs w:val="20"/>
        </w:rPr>
        <w:lastRenderedPageBreak/>
        <w:t>Softbank has carried out the last steps to become “Softbank 2.0” as a multinational company with innovation strengths. Previous mergers with such firms as Yahoo, Tesco, Sprint prepared the global expansion of Softbank. The acquisition with ARM is considered as one of the last and important milestones in the long-term path of Softbank.</w:t>
      </w:r>
    </w:p>
    <w:p w14:paraId="1A2F9F39" w14:textId="77777777" w:rsidR="002F154B" w:rsidRPr="00B85D89" w:rsidRDefault="002F154B" w:rsidP="002F154B">
      <w:pPr>
        <w:pStyle w:val="ListParagraph"/>
        <w:numPr>
          <w:ilvl w:val="0"/>
          <w:numId w:val="2"/>
        </w:numPr>
        <w:spacing w:before="120" w:after="120" w:line="360" w:lineRule="auto"/>
        <w:rPr>
          <w:rFonts w:asciiTheme="minorHAnsi" w:hAnsiTheme="minorHAnsi" w:cstheme="minorHAnsi"/>
          <w:sz w:val="20"/>
          <w:szCs w:val="20"/>
        </w:rPr>
      </w:pPr>
      <w:r w:rsidRPr="00B85D89">
        <w:rPr>
          <w:rFonts w:asciiTheme="minorHAnsi" w:hAnsiTheme="minorHAnsi" w:cstheme="minorHAnsi"/>
          <w:sz w:val="20"/>
          <w:szCs w:val="20"/>
        </w:rPr>
        <w:t>The acquisition with ARM means the integration of business culture, mission, vision and value. It is believed that Softbank and ARM can share the commitment and focus on talent development and innovation orientation. These shared values will enable Softbank to develop the effective growth strategies to catch the market opportunities for sustained growth and profitability.</w:t>
      </w:r>
    </w:p>
    <w:p w14:paraId="2FFC0ADA" w14:textId="77777777" w:rsidR="002F154B" w:rsidRPr="00B85D89" w:rsidRDefault="002F154B" w:rsidP="002F154B">
      <w:pPr>
        <w:pStyle w:val="ListParagraph"/>
        <w:numPr>
          <w:ilvl w:val="0"/>
          <w:numId w:val="2"/>
        </w:numPr>
        <w:spacing w:before="120" w:after="120" w:line="360" w:lineRule="auto"/>
        <w:rPr>
          <w:rFonts w:asciiTheme="minorHAnsi" w:hAnsiTheme="minorHAnsi" w:cstheme="minorHAnsi"/>
          <w:sz w:val="20"/>
          <w:szCs w:val="20"/>
        </w:rPr>
      </w:pPr>
      <w:r w:rsidRPr="00B85D89">
        <w:rPr>
          <w:rFonts w:asciiTheme="minorHAnsi" w:hAnsiTheme="minorHAnsi" w:cstheme="minorHAnsi"/>
          <w:sz w:val="20"/>
          <w:szCs w:val="20"/>
        </w:rPr>
        <w:t xml:space="preserve">Lastly, the UK has maintained the position as the leader in the science and technology sector; therefore, the acquisition with ARM will allow Softbank to participate in the field of science of technology as the leader. </w:t>
      </w:r>
    </w:p>
    <w:p w14:paraId="7339090F" w14:textId="77777777" w:rsidR="002F154B" w:rsidRPr="006840F1" w:rsidRDefault="002F154B" w:rsidP="002F154B">
      <w:pPr>
        <w:pStyle w:val="Heading1"/>
        <w:numPr>
          <w:ilvl w:val="0"/>
          <w:numId w:val="1"/>
        </w:numPr>
        <w:spacing w:before="120" w:after="120" w:line="360" w:lineRule="auto"/>
        <w:rPr>
          <w:rFonts w:asciiTheme="minorHAnsi" w:hAnsiTheme="minorHAnsi" w:cstheme="minorHAnsi"/>
          <w:sz w:val="20"/>
          <w:szCs w:val="20"/>
        </w:rPr>
      </w:pPr>
      <w:r w:rsidRPr="006840F1">
        <w:rPr>
          <w:rFonts w:asciiTheme="minorHAnsi" w:hAnsiTheme="minorHAnsi" w:cstheme="minorHAnsi"/>
          <w:sz w:val="20"/>
          <w:szCs w:val="20"/>
        </w:rPr>
        <w:t>Conclusion</w:t>
      </w:r>
    </w:p>
    <w:p w14:paraId="6E1D89AB" w14:textId="77777777" w:rsidR="002F154B" w:rsidRDefault="002F154B" w:rsidP="002F154B">
      <w:pPr>
        <w:spacing w:before="120" w:after="120" w:line="360" w:lineRule="auto"/>
        <w:jc w:val="both"/>
        <w:rPr>
          <w:rFonts w:cstheme="minorHAnsi"/>
          <w:sz w:val="20"/>
          <w:szCs w:val="20"/>
        </w:rPr>
      </w:pPr>
      <w:r w:rsidRPr="00B85D89">
        <w:rPr>
          <w:rFonts w:cstheme="minorHAnsi"/>
          <w:sz w:val="20"/>
          <w:szCs w:val="20"/>
        </w:rPr>
        <w:t xml:space="preserve">Conclusively, the acquisition of Softbank and ARM is considered as one of the most important stages in the long-term development plan of Softbank. In order to transform Softbank into a global company with the participation into different phases of ICT supply chain, in recent years Softbank has merged with different companies in the field of Internet services, IoT, and advanced telecommunications. The acquisition with ARM significantly assists the long-term vision of Softbank to become the market leader in the IoT market. The investigation into Softbank and ARM deal revealed that there are different strategic motives behind the decision to merge of Softbank in which achieving sustained and long-term growth and becoming the market leader in the field of IoT are the most powerful imperatives. Depending on the merger terms, it can be concluded that while ARM has not experienced great changes in their organization and business operations, except from the increasing number of staffs, Softbank will leverage this acquisition to make a significant transformation in their structure, scale of business and operations. The most important point of this deal is that this decision to acquire will </w:t>
      </w:r>
      <w:proofErr w:type="gramStart"/>
      <w:r w:rsidRPr="00B85D89">
        <w:rPr>
          <w:rFonts w:cstheme="minorHAnsi"/>
          <w:sz w:val="20"/>
          <w:szCs w:val="20"/>
        </w:rPr>
        <w:t>definitely bring</w:t>
      </w:r>
      <w:proofErr w:type="gramEnd"/>
      <w:r w:rsidRPr="00B85D89">
        <w:rPr>
          <w:rFonts w:cstheme="minorHAnsi"/>
          <w:sz w:val="20"/>
          <w:szCs w:val="20"/>
        </w:rPr>
        <w:t xml:space="preserve"> the long-term benefits for both Softbank and ARM.</w:t>
      </w:r>
      <w:r>
        <w:rPr>
          <w:rFonts w:cstheme="minorHAnsi"/>
          <w:sz w:val="20"/>
          <w:szCs w:val="20"/>
        </w:rPr>
        <w:br w:type="page"/>
      </w:r>
    </w:p>
    <w:p w14:paraId="2DFD757D" w14:textId="77777777" w:rsidR="002F154B" w:rsidRPr="00A07EE3" w:rsidRDefault="002F154B" w:rsidP="002F154B">
      <w:pPr>
        <w:pStyle w:val="Heading1"/>
        <w:rPr>
          <w:rFonts w:asciiTheme="minorHAnsi" w:hAnsiTheme="minorHAnsi" w:cstheme="minorHAnsi"/>
          <w:sz w:val="20"/>
          <w:szCs w:val="20"/>
        </w:rPr>
      </w:pPr>
      <w:r w:rsidRPr="00A07EE3">
        <w:rPr>
          <w:rFonts w:asciiTheme="minorHAnsi" w:hAnsiTheme="minorHAnsi" w:cstheme="minorHAnsi"/>
          <w:sz w:val="20"/>
          <w:szCs w:val="20"/>
        </w:rPr>
        <w:lastRenderedPageBreak/>
        <w:t>References</w:t>
      </w:r>
    </w:p>
    <w:p w14:paraId="3BD1F326" w14:textId="18790F75" w:rsidR="009F605D" w:rsidRPr="0097364A" w:rsidRDefault="004026EE" w:rsidP="002F154B">
      <w:pPr>
        <w:spacing w:before="120" w:after="120" w:line="240" w:lineRule="auto"/>
        <w:rPr>
          <w:rFonts w:cstheme="minorHAnsi"/>
          <w:sz w:val="20"/>
          <w:szCs w:val="20"/>
        </w:rPr>
      </w:pPr>
      <w:r w:rsidRPr="0097364A">
        <w:rPr>
          <w:rFonts w:cstheme="minorHAnsi"/>
          <w:sz w:val="20"/>
          <w:szCs w:val="20"/>
        </w:rPr>
        <w:t>Altman, E. (1971). Railroad Bankruptcy Propensity. </w:t>
      </w:r>
      <w:r w:rsidRPr="0097364A">
        <w:rPr>
          <w:rFonts w:cstheme="minorHAnsi"/>
          <w:iCs/>
          <w:sz w:val="20"/>
          <w:szCs w:val="20"/>
        </w:rPr>
        <w:t>The Journal of Finance</w:t>
      </w:r>
      <w:r w:rsidRPr="0097364A">
        <w:rPr>
          <w:rFonts w:cstheme="minorHAnsi"/>
          <w:sz w:val="20"/>
          <w:szCs w:val="20"/>
        </w:rPr>
        <w:t>, 26(2), p.333.</w:t>
      </w:r>
      <w:r w:rsidR="009F605D" w:rsidRPr="0097364A">
        <w:rPr>
          <w:rFonts w:cstheme="minorHAnsi"/>
          <w:sz w:val="20"/>
          <w:szCs w:val="20"/>
        </w:rPr>
        <w:t xml:space="preserve"> </w:t>
      </w:r>
    </w:p>
    <w:p w14:paraId="2A7D89B1" w14:textId="164CF392" w:rsidR="004026EE" w:rsidRPr="0097364A" w:rsidRDefault="004026EE" w:rsidP="002F154B">
      <w:pPr>
        <w:spacing w:before="120" w:after="120" w:line="240" w:lineRule="auto"/>
        <w:rPr>
          <w:rFonts w:cstheme="minorHAnsi"/>
          <w:sz w:val="20"/>
          <w:szCs w:val="20"/>
        </w:rPr>
      </w:pPr>
      <w:r w:rsidRPr="0097364A">
        <w:rPr>
          <w:rFonts w:cstheme="minorHAnsi"/>
          <w:sz w:val="20"/>
          <w:szCs w:val="20"/>
        </w:rPr>
        <w:t>Brealey, R., Myers, S. and Allen, F. (2011). </w:t>
      </w:r>
      <w:r w:rsidRPr="0097364A">
        <w:rPr>
          <w:rFonts w:cstheme="minorHAnsi"/>
          <w:iCs/>
          <w:sz w:val="20"/>
          <w:szCs w:val="20"/>
        </w:rPr>
        <w:t>Principles of Corporate Finance</w:t>
      </w:r>
      <w:r w:rsidRPr="0097364A">
        <w:rPr>
          <w:rFonts w:cstheme="minorHAnsi"/>
          <w:sz w:val="20"/>
          <w:szCs w:val="20"/>
        </w:rPr>
        <w:t>. New York: McGraw-Hill/Irwin.</w:t>
      </w:r>
    </w:p>
    <w:p w14:paraId="1C8002CA" w14:textId="77777777" w:rsidR="004A57B9" w:rsidRPr="00E05551" w:rsidRDefault="004A57B9" w:rsidP="002F154B">
      <w:pPr>
        <w:spacing w:before="120" w:after="120" w:line="240" w:lineRule="auto"/>
        <w:rPr>
          <w:rFonts w:cstheme="minorHAnsi"/>
          <w:sz w:val="20"/>
          <w:szCs w:val="20"/>
        </w:rPr>
      </w:pPr>
      <w:r w:rsidRPr="0097364A">
        <w:rPr>
          <w:rFonts w:cstheme="minorHAnsi"/>
          <w:sz w:val="20"/>
          <w:szCs w:val="20"/>
        </w:rPr>
        <w:t>Copeland, T., Weston, J. and Shastri, K. (2014). </w:t>
      </w:r>
      <w:r w:rsidRPr="0097364A">
        <w:rPr>
          <w:rFonts w:cstheme="minorHAnsi"/>
          <w:iCs/>
          <w:sz w:val="20"/>
          <w:szCs w:val="20"/>
        </w:rPr>
        <w:t>Financial Theory and Corporate Policy</w:t>
      </w:r>
      <w:r w:rsidRPr="0097364A">
        <w:rPr>
          <w:rFonts w:cstheme="minorHAnsi"/>
          <w:sz w:val="20"/>
          <w:szCs w:val="20"/>
        </w:rPr>
        <w:t xml:space="preserve">. 4th ed. Harlow: Pearson Education. </w:t>
      </w:r>
    </w:p>
    <w:p w14:paraId="28041D30" w14:textId="3B4569EF" w:rsidR="002D3DC9" w:rsidRPr="00E05551" w:rsidRDefault="002D3DC9" w:rsidP="002F154B">
      <w:pPr>
        <w:spacing w:before="120" w:after="120" w:line="240" w:lineRule="auto"/>
        <w:rPr>
          <w:rFonts w:cstheme="minorHAnsi"/>
          <w:sz w:val="20"/>
          <w:szCs w:val="20"/>
        </w:rPr>
      </w:pPr>
      <w:r w:rsidRPr="00E05551">
        <w:rPr>
          <w:rFonts w:cstheme="minorHAnsi"/>
          <w:sz w:val="20"/>
          <w:szCs w:val="20"/>
        </w:rPr>
        <w:t>Deloitte (2019). </w:t>
      </w:r>
      <w:r w:rsidRPr="00E05551">
        <w:rPr>
          <w:rFonts w:cstheme="minorHAnsi"/>
          <w:iCs/>
          <w:sz w:val="20"/>
          <w:szCs w:val="20"/>
        </w:rPr>
        <w:t>M&amp;A Trends Report 2019</w:t>
      </w:r>
      <w:r w:rsidRPr="00E05551">
        <w:rPr>
          <w:rFonts w:cstheme="minorHAnsi"/>
          <w:sz w:val="20"/>
          <w:szCs w:val="20"/>
        </w:rPr>
        <w:t xml:space="preserve">. [online] Deloitte. Available at: </w:t>
      </w:r>
      <w:hyperlink r:id="rId8" w:history="1">
        <w:r w:rsidR="00E05551" w:rsidRPr="00E05551">
          <w:rPr>
            <w:rStyle w:val="Hyperlink"/>
            <w:rFonts w:cstheme="minorHAnsi"/>
            <w:color w:val="auto"/>
            <w:sz w:val="20"/>
            <w:szCs w:val="20"/>
          </w:rPr>
          <w:t>https://www2.deloitte.com/us/en/pages/mergers-and-acquisitions/articles/ma-trends-report.html</w:t>
        </w:r>
      </w:hyperlink>
      <w:r w:rsidRPr="00E05551">
        <w:rPr>
          <w:rFonts w:cstheme="minorHAnsi"/>
          <w:sz w:val="20"/>
          <w:szCs w:val="20"/>
        </w:rPr>
        <w:t>.</w:t>
      </w:r>
    </w:p>
    <w:p w14:paraId="57A34878" w14:textId="3184BDCA" w:rsidR="002F154B" w:rsidRPr="00E05551" w:rsidRDefault="002F154B" w:rsidP="002F154B">
      <w:pPr>
        <w:spacing w:before="120" w:after="120" w:line="240" w:lineRule="auto"/>
        <w:rPr>
          <w:rFonts w:cstheme="minorHAnsi"/>
          <w:sz w:val="20"/>
          <w:szCs w:val="20"/>
        </w:rPr>
      </w:pPr>
      <w:proofErr w:type="spellStart"/>
      <w:r w:rsidRPr="00E05551">
        <w:rPr>
          <w:rFonts w:cstheme="minorHAnsi"/>
          <w:sz w:val="20"/>
          <w:szCs w:val="20"/>
        </w:rPr>
        <w:t>Dugar</w:t>
      </w:r>
      <w:proofErr w:type="spellEnd"/>
      <w:r w:rsidRPr="00E05551">
        <w:rPr>
          <w:rFonts w:cstheme="minorHAnsi"/>
          <w:sz w:val="20"/>
          <w:szCs w:val="20"/>
        </w:rPr>
        <w:t xml:space="preserve">, A., Morales, M., Rau, S., Santiago, L., </w:t>
      </w:r>
      <w:r w:rsidR="002776BF" w:rsidRPr="00E05551">
        <w:rPr>
          <w:rFonts w:cstheme="minorHAnsi"/>
          <w:sz w:val="20"/>
          <w:szCs w:val="20"/>
        </w:rPr>
        <w:t>and</w:t>
      </w:r>
      <w:r w:rsidRPr="00E05551">
        <w:rPr>
          <w:rFonts w:cstheme="minorHAnsi"/>
          <w:sz w:val="20"/>
          <w:szCs w:val="20"/>
        </w:rPr>
        <w:t xml:space="preserve"> Turner, N. (2016). SoftBank Bids US$31.4 Billion to Acquire ARM, Market Watches for Additional Bidders. International Data Corporation (IDC).</w:t>
      </w:r>
    </w:p>
    <w:p w14:paraId="2E1FFAF6" w14:textId="4317D739" w:rsidR="002F154B" w:rsidRPr="0097364A" w:rsidRDefault="002F154B" w:rsidP="002F154B">
      <w:pPr>
        <w:spacing w:before="120" w:after="120" w:line="240" w:lineRule="auto"/>
        <w:rPr>
          <w:rFonts w:cstheme="minorHAnsi"/>
          <w:sz w:val="20"/>
          <w:szCs w:val="20"/>
        </w:rPr>
      </w:pPr>
      <w:r w:rsidRPr="0097364A">
        <w:rPr>
          <w:rFonts w:cstheme="minorHAnsi"/>
          <w:sz w:val="20"/>
          <w:szCs w:val="20"/>
        </w:rPr>
        <w:t xml:space="preserve">Ghosh, A. </w:t>
      </w:r>
      <w:r w:rsidR="00281F76">
        <w:rPr>
          <w:rFonts w:cstheme="minorHAnsi"/>
          <w:sz w:val="20"/>
          <w:szCs w:val="20"/>
        </w:rPr>
        <w:t>and</w:t>
      </w:r>
      <w:r w:rsidRPr="0097364A">
        <w:rPr>
          <w:rFonts w:cstheme="minorHAnsi"/>
          <w:sz w:val="20"/>
          <w:szCs w:val="20"/>
        </w:rPr>
        <w:t xml:space="preserve"> Das, B. (2003). Mergers and takeovers. The Management Accountant, 38(7), 543- 545.</w:t>
      </w:r>
    </w:p>
    <w:p w14:paraId="1BEB8144" w14:textId="77777777" w:rsidR="002F154B" w:rsidRPr="0097364A" w:rsidRDefault="002F154B" w:rsidP="002F154B">
      <w:pPr>
        <w:spacing w:before="120" w:after="120" w:line="240" w:lineRule="auto"/>
        <w:rPr>
          <w:rFonts w:cstheme="minorHAnsi"/>
          <w:sz w:val="20"/>
          <w:szCs w:val="20"/>
        </w:rPr>
      </w:pPr>
      <w:r w:rsidRPr="0097364A">
        <w:rPr>
          <w:rFonts w:cstheme="minorHAnsi"/>
          <w:sz w:val="20"/>
          <w:szCs w:val="20"/>
        </w:rPr>
        <w:t>Gibbs, P. A. (1983). Determinants of corporate restructuring: The relative importance of corporate governance, takeover threat, and free cash flow. Strategic Management Journal, 14, 51–68. doi:10.1002/smj.4250140906</w:t>
      </w:r>
    </w:p>
    <w:p w14:paraId="34CAD5A3" w14:textId="77777777" w:rsidR="002F154B" w:rsidRPr="0097364A" w:rsidRDefault="002F154B" w:rsidP="002F154B">
      <w:pPr>
        <w:spacing w:before="120" w:after="120" w:line="240" w:lineRule="auto"/>
        <w:rPr>
          <w:rFonts w:cstheme="minorHAnsi"/>
          <w:sz w:val="20"/>
          <w:szCs w:val="20"/>
        </w:rPr>
      </w:pPr>
      <w:proofErr w:type="spellStart"/>
      <w:r w:rsidRPr="0097364A">
        <w:rPr>
          <w:rFonts w:cstheme="minorHAnsi"/>
          <w:sz w:val="20"/>
          <w:szCs w:val="20"/>
        </w:rPr>
        <w:t>Hannus</w:t>
      </w:r>
      <w:proofErr w:type="spellEnd"/>
      <w:r w:rsidRPr="0097364A">
        <w:rPr>
          <w:rFonts w:cstheme="minorHAnsi"/>
          <w:sz w:val="20"/>
          <w:szCs w:val="20"/>
        </w:rPr>
        <w:t xml:space="preserve">, S. G. (2015). The Agency Theory, Parenting Advantage, and Information Asymmetries: A Review </w:t>
      </w:r>
      <w:proofErr w:type="gramStart"/>
      <w:r w:rsidRPr="0097364A">
        <w:rPr>
          <w:rFonts w:cstheme="minorHAnsi"/>
          <w:sz w:val="20"/>
          <w:szCs w:val="20"/>
        </w:rPr>
        <w:t>From</w:t>
      </w:r>
      <w:proofErr w:type="gramEnd"/>
      <w:r w:rsidRPr="0097364A">
        <w:rPr>
          <w:rFonts w:cstheme="minorHAnsi"/>
          <w:sz w:val="20"/>
          <w:szCs w:val="20"/>
        </w:rPr>
        <w:t xml:space="preserve"> The Lens Of Leveraged Buyouts. </w:t>
      </w:r>
      <w:proofErr w:type="spellStart"/>
      <w:r w:rsidRPr="0097364A">
        <w:rPr>
          <w:rFonts w:cstheme="minorHAnsi"/>
          <w:sz w:val="20"/>
          <w:szCs w:val="20"/>
        </w:rPr>
        <w:t>Econometrica</w:t>
      </w:r>
      <w:proofErr w:type="spellEnd"/>
      <w:r w:rsidRPr="0097364A">
        <w:rPr>
          <w:rFonts w:cstheme="minorHAnsi"/>
          <w:sz w:val="20"/>
          <w:szCs w:val="20"/>
        </w:rPr>
        <w:t xml:space="preserve">, 51(1), 7-45. doi:10.2139/ssrn.2619808 </w:t>
      </w:r>
    </w:p>
    <w:p w14:paraId="64729013" w14:textId="77777777" w:rsidR="002F154B" w:rsidRPr="0097364A" w:rsidRDefault="002F154B" w:rsidP="002F154B">
      <w:pPr>
        <w:spacing w:before="120" w:after="120" w:line="240" w:lineRule="auto"/>
        <w:rPr>
          <w:rFonts w:cstheme="minorHAnsi"/>
          <w:sz w:val="20"/>
          <w:szCs w:val="20"/>
        </w:rPr>
      </w:pPr>
      <w:r w:rsidRPr="0097364A">
        <w:rPr>
          <w:rFonts w:cstheme="minorHAnsi"/>
          <w:sz w:val="20"/>
          <w:szCs w:val="20"/>
        </w:rPr>
        <w:t>Jansen, M.C. (2017). Mergers &amp; acquisitions. Journal of Finance, 13(2), 831-880.</w:t>
      </w:r>
    </w:p>
    <w:p w14:paraId="1A0E1C25" w14:textId="77777777" w:rsidR="002F154B" w:rsidRPr="0097364A" w:rsidRDefault="002F154B" w:rsidP="002F154B">
      <w:pPr>
        <w:spacing w:before="120" w:after="120" w:line="240" w:lineRule="auto"/>
        <w:rPr>
          <w:rFonts w:cstheme="minorHAnsi"/>
          <w:sz w:val="20"/>
          <w:szCs w:val="20"/>
        </w:rPr>
      </w:pPr>
      <w:r w:rsidRPr="0097364A">
        <w:rPr>
          <w:rFonts w:cstheme="minorHAnsi"/>
          <w:sz w:val="20"/>
          <w:szCs w:val="20"/>
        </w:rPr>
        <w:t>Jensen, M. C. (1986). The takeover controversy: Analysis and evidence. Midland Corporate Finance Journal, 4(2), 6–27. doi:10.2139/ssrn.173452</w:t>
      </w:r>
    </w:p>
    <w:p w14:paraId="0D956CFF" w14:textId="200AF06B" w:rsidR="00146CE5" w:rsidRPr="0097364A" w:rsidRDefault="00146CE5" w:rsidP="002F154B">
      <w:pPr>
        <w:spacing w:before="120" w:after="120" w:line="240" w:lineRule="auto"/>
        <w:rPr>
          <w:rFonts w:cstheme="minorHAnsi"/>
          <w:sz w:val="20"/>
          <w:szCs w:val="20"/>
        </w:rPr>
      </w:pPr>
      <w:r w:rsidRPr="0097364A">
        <w:rPr>
          <w:rFonts w:cstheme="minorHAnsi"/>
          <w:sz w:val="20"/>
          <w:szCs w:val="20"/>
        </w:rPr>
        <w:t xml:space="preserve">Jensen, M. and </w:t>
      </w:r>
      <w:proofErr w:type="spellStart"/>
      <w:r w:rsidRPr="0097364A">
        <w:rPr>
          <w:rFonts w:cstheme="minorHAnsi"/>
          <w:sz w:val="20"/>
          <w:szCs w:val="20"/>
        </w:rPr>
        <w:t>Meckling</w:t>
      </w:r>
      <w:proofErr w:type="spellEnd"/>
      <w:r w:rsidRPr="0097364A">
        <w:rPr>
          <w:rFonts w:cstheme="minorHAnsi"/>
          <w:sz w:val="20"/>
          <w:szCs w:val="20"/>
        </w:rPr>
        <w:t>, W. (1978). Can the Corporation Survive?.</w:t>
      </w:r>
      <w:bookmarkStart w:id="1" w:name="_GoBack"/>
      <w:bookmarkEnd w:id="1"/>
      <w:r w:rsidRPr="0097364A">
        <w:rPr>
          <w:rFonts w:cstheme="minorHAnsi"/>
          <w:sz w:val="20"/>
          <w:szCs w:val="20"/>
        </w:rPr>
        <w:t xml:space="preserve"> Financial Analysts Journal, 34(1), pp.31-37.</w:t>
      </w:r>
    </w:p>
    <w:p w14:paraId="6BDB32FC" w14:textId="78FE9A71" w:rsidR="002F154B" w:rsidRPr="0097364A" w:rsidRDefault="002F154B" w:rsidP="002F154B">
      <w:pPr>
        <w:spacing w:before="120" w:after="120" w:line="240" w:lineRule="auto"/>
        <w:rPr>
          <w:rFonts w:cstheme="minorHAnsi"/>
          <w:sz w:val="20"/>
          <w:szCs w:val="20"/>
        </w:rPr>
      </w:pPr>
      <w:r w:rsidRPr="0097364A">
        <w:rPr>
          <w:rFonts w:cstheme="minorHAnsi"/>
          <w:sz w:val="20"/>
          <w:szCs w:val="20"/>
        </w:rPr>
        <w:t xml:space="preserve">Leigh, R., </w:t>
      </w:r>
      <w:r w:rsidR="00281F76">
        <w:rPr>
          <w:rFonts w:cstheme="minorHAnsi"/>
          <w:sz w:val="20"/>
          <w:szCs w:val="20"/>
        </w:rPr>
        <w:t>and</w:t>
      </w:r>
      <w:r w:rsidRPr="0097364A">
        <w:rPr>
          <w:rFonts w:cstheme="minorHAnsi"/>
          <w:sz w:val="20"/>
          <w:szCs w:val="20"/>
        </w:rPr>
        <w:t xml:space="preserve"> North, D. J. (1978). Acquisitions in British industries. In F. E. I. Hamilton (Ed.), Contemporary industrialization (pp. 158–181). London, England: Longman.</w:t>
      </w:r>
    </w:p>
    <w:p w14:paraId="533FEE0C" w14:textId="77777777" w:rsidR="002F154B" w:rsidRPr="0097364A" w:rsidRDefault="002F154B" w:rsidP="002F154B">
      <w:pPr>
        <w:spacing w:before="120" w:after="120" w:line="240" w:lineRule="auto"/>
        <w:rPr>
          <w:rFonts w:cstheme="minorHAnsi"/>
          <w:sz w:val="20"/>
          <w:szCs w:val="20"/>
        </w:rPr>
      </w:pPr>
      <w:proofErr w:type="spellStart"/>
      <w:r w:rsidRPr="0097364A">
        <w:rPr>
          <w:rFonts w:cstheme="minorHAnsi"/>
          <w:sz w:val="20"/>
          <w:szCs w:val="20"/>
        </w:rPr>
        <w:t>Lunden</w:t>
      </w:r>
      <w:proofErr w:type="spellEnd"/>
      <w:r w:rsidRPr="0097364A">
        <w:rPr>
          <w:rFonts w:cstheme="minorHAnsi"/>
          <w:sz w:val="20"/>
          <w:szCs w:val="20"/>
        </w:rPr>
        <w:t xml:space="preserve">, I. (2016). Softbank has completed its £24B cash acquisition of ARM Holdings. Tech </w:t>
      </w:r>
      <w:proofErr w:type="spellStart"/>
      <w:r w:rsidRPr="0097364A">
        <w:rPr>
          <w:rFonts w:cstheme="minorHAnsi"/>
          <w:sz w:val="20"/>
          <w:szCs w:val="20"/>
        </w:rPr>
        <w:t>Cruch</w:t>
      </w:r>
      <w:proofErr w:type="spellEnd"/>
      <w:r w:rsidRPr="0097364A">
        <w:rPr>
          <w:rFonts w:cstheme="minorHAnsi"/>
          <w:sz w:val="20"/>
          <w:szCs w:val="20"/>
        </w:rPr>
        <w:t xml:space="preserve">. Retrieved from </w:t>
      </w:r>
      <w:hyperlink r:id="rId9" w:history="1">
        <w:r w:rsidRPr="0097364A">
          <w:rPr>
            <w:rStyle w:val="Hyperlink"/>
            <w:rFonts w:cstheme="minorHAnsi"/>
            <w:color w:val="auto"/>
            <w:sz w:val="20"/>
            <w:szCs w:val="20"/>
          </w:rPr>
          <w:t>https://techcrunch.com/2016/09/05/softbank-has-completed-its-24b-cash-acquisition-of-arm-holdings/</w:t>
        </w:r>
      </w:hyperlink>
    </w:p>
    <w:p w14:paraId="569C2FFA" w14:textId="6D6FB056" w:rsidR="002F154B" w:rsidRPr="0097364A" w:rsidRDefault="002F154B" w:rsidP="002F154B">
      <w:pPr>
        <w:spacing w:before="120" w:after="120" w:line="240" w:lineRule="auto"/>
        <w:rPr>
          <w:rFonts w:cstheme="minorHAnsi"/>
          <w:sz w:val="20"/>
          <w:szCs w:val="20"/>
        </w:rPr>
      </w:pPr>
      <w:proofErr w:type="spellStart"/>
      <w:r w:rsidRPr="0097364A">
        <w:rPr>
          <w:rFonts w:cstheme="minorHAnsi"/>
          <w:sz w:val="20"/>
          <w:szCs w:val="20"/>
        </w:rPr>
        <w:t>Mallikarjunappa</w:t>
      </w:r>
      <w:proofErr w:type="spellEnd"/>
      <w:r w:rsidRPr="0097364A">
        <w:rPr>
          <w:rFonts w:cstheme="minorHAnsi"/>
          <w:sz w:val="20"/>
          <w:szCs w:val="20"/>
        </w:rPr>
        <w:t>, T.</w:t>
      </w:r>
      <w:r w:rsidR="00281F76" w:rsidRPr="00281F76">
        <w:rPr>
          <w:rFonts w:cstheme="minorHAnsi"/>
          <w:sz w:val="20"/>
          <w:szCs w:val="20"/>
        </w:rPr>
        <w:t xml:space="preserve"> </w:t>
      </w:r>
      <w:r w:rsidR="00281F76">
        <w:rPr>
          <w:rFonts w:cstheme="minorHAnsi"/>
          <w:sz w:val="20"/>
          <w:szCs w:val="20"/>
        </w:rPr>
        <w:t>and</w:t>
      </w:r>
      <w:r w:rsidR="00281F76" w:rsidRPr="0097364A">
        <w:rPr>
          <w:rFonts w:cstheme="minorHAnsi"/>
          <w:sz w:val="20"/>
          <w:szCs w:val="20"/>
        </w:rPr>
        <w:t xml:space="preserve"> </w:t>
      </w:r>
      <w:r w:rsidRPr="0097364A">
        <w:rPr>
          <w:rFonts w:cstheme="minorHAnsi"/>
          <w:sz w:val="20"/>
          <w:szCs w:val="20"/>
        </w:rPr>
        <w:t xml:space="preserve">Nayak, P. (2007). Why do Mergers and Acquisitions quite often </w:t>
      </w:r>
      <w:proofErr w:type="gramStart"/>
      <w:r w:rsidRPr="0097364A">
        <w:rPr>
          <w:rFonts w:cstheme="minorHAnsi"/>
          <w:sz w:val="20"/>
          <w:szCs w:val="20"/>
        </w:rPr>
        <w:t>fail?.</w:t>
      </w:r>
      <w:proofErr w:type="gramEnd"/>
      <w:r w:rsidRPr="0097364A">
        <w:rPr>
          <w:rFonts w:cstheme="minorHAnsi"/>
          <w:sz w:val="20"/>
          <w:szCs w:val="20"/>
        </w:rPr>
        <w:t xml:space="preserve"> AIMS International, 1(1), 53-69.</w:t>
      </w:r>
    </w:p>
    <w:p w14:paraId="40E9800F" w14:textId="3DBE8E56" w:rsidR="002F154B" w:rsidRPr="0097364A" w:rsidRDefault="002F154B" w:rsidP="002F154B">
      <w:pPr>
        <w:spacing w:before="120" w:after="120" w:line="240" w:lineRule="auto"/>
        <w:rPr>
          <w:rFonts w:cstheme="minorHAnsi"/>
          <w:sz w:val="20"/>
          <w:szCs w:val="20"/>
        </w:rPr>
      </w:pPr>
      <w:proofErr w:type="spellStart"/>
      <w:r w:rsidRPr="0097364A">
        <w:rPr>
          <w:rFonts w:cstheme="minorHAnsi"/>
          <w:sz w:val="20"/>
          <w:szCs w:val="20"/>
        </w:rPr>
        <w:t>Mantravadi</w:t>
      </w:r>
      <w:proofErr w:type="spellEnd"/>
      <w:r w:rsidRPr="0097364A">
        <w:rPr>
          <w:rFonts w:cstheme="minorHAnsi"/>
          <w:sz w:val="20"/>
          <w:szCs w:val="20"/>
        </w:rPr>
        <w:t xml:space="preserve">, P. </w:t>
      </w:r>
      <w:r w:rsidR="00281F76">
        <w:rPr>
          <w:rFonts w:cstheme="minorHAnsi"/>
          <w:sz w:val="20"/>
          <w:szCs w:val="20"/>
        </w:rPr>
        <w:t>and</w:t>
      </w:r>
      <w:r w:rsidRPr="0097364A">
        <w:rPr>
          <w:rFonts w:cstheme="minorHAnsi"/>
          <w:sz w:val="20"/>
          <w:szCs w:val="20"/>
        </w:rPr>
        <w:t xml:space="preserve"> Reddy, A. (2007). Relative Size in Mergers and Operating Performance: Indian Experience. Economic and Political Weekly, 3(12), 39-136.</w:t>
      </w:r>
    </w:p>
    <w:p w14:paraId="58E28B0D" w14:textId="30B6A162" w:rsidR="002F154B" w:rsidRPr="0097364A" w:rsidRDefault="002F154B" w:rsidP="002F154B">
      <w:pPr>
        <w:spacing w:before="120" w:after="120" w:line="240" w:lineRule="auto"/>
        <w:rPr>
          <w:rFonts w:cstheme="minorHAnsi"/>
          <w:sz w:val="20"/>
          <w:szCs w:val="20"/>
        </w:rPr>
      </w:pPr>
      <w:r w:rsidRPr="0097364A">
        <w:rPr>
          <w:rFonts w:cstheme="minorHAnsi"/>
          <w:sz w:val="20"/>
          <w:szCs w:val="20"/>
        </w:rPr>
        <w:t xml:space="preserve">McCardle, K. F., </w:t>
      </w:r>
      <w:r w:rsidR="00281F76">
        <w:rPr>
          <w:rFonts w:cstheme="minorHAnsi"/>
          <w:sz w:val="20"/>
          <w:szCs w:val="20"/>
        </w:rPr>
        <w:t>and</w:t>
      </w:r>
      <w:r w:rsidR="00281F76" w:rsidRPr="0097364A">
        <w:rPr>
          <w:rFonts w:cstheme="minorHAnsi"/>
          <w:sz w:val="20"/>
          <w:szCs w:val="20"/>
        </w:rPr>
        <w:t xml:space="preserve"> </w:t>
      </w:r>
      <w:r w:rsidRPr="0097364A">
        <w:rPr>
          <w:rFonts w:cstheme="minorHAnsi"/>
          <w:sz w:val="20"/>
          <w:szCs w:val="20"/>
        </w:rPr>
        <w:t>Viswanathan, S. (1994). The direct entry versus takeover decision and stock price performance around takeovers. Journal of Business, 67(1), 1–43. doi:10.1086/296622</w:t>
      </w:r>
    </w:p>
    <w:p w14:paraId="05FD5621" w14:textId="5E662A12" w:rsidR="002F154B" w:rsidRPr="0097364A" w:rsidRDefault="002F154B" w:rsidP="002F154B">
      <w:pPr>
        <w:spacing w:before="120" w:after="120" w:line="240" w:lineRule="auto"/>
        <w:rPr>
          <w:rFonts w:cstheme="minorHAnsi"/>
          <w:sz w:val="20"/>
          <w:szCs w:val="20"/>
        </w:rPr>
      </w:pPr>
      <w:r w:rsidRPr="0097364A">
        <w:rPr>
          <w:rFonts w:cstheme="minorHAnsi"/>
          <w:sz w:val="20"/>
          <w:szCs w:val="20"/>
        </w:rPr>
        <w:t xml:space="preserve">Modigliani, F., </w:t>
      </w:r>
      <w:r w:rsidR="00281F76">
        <w:rPr>
          <w:rFonts w:cstheme="minorHAnsi"/>
          <w:sz w:val="20"/>
          <w:szCs w:val="20"/>
        </w:rPr>
        <w:t>and</w:t>
      </w:r>
      <w:r w:rsidRPr="0097364A">
        <w:rPr>
          <w:rFonts w:cstheme="minorHAnsi"/>
          <w:sz w:val="20"/>
          <w:szCs w:val="20"/>
        </w:rPr>
        <w:t xml:space="preserve"> Miller, M. H. (1958). The cost of capital, corporation finance, and the theory of investment. American Economic Review, </w:t>
      </w:r>
      <w:proofErr w:type="gramStart"/>
      <w:r w:rsidRPr="0097364A">
        <w:rPr>
          <w:rFonts w:cstheme="minorHAnsi"/>
          <w:sz w:val="20"/>
          <w:szCs w:val="20"/>
        </w:rPr>
        <w:t>XLVIII(</w:t>
      </w:r>
      <w:proofErr w:type="gramEnd"/>
      <w:r w:rsidRPr="0097364A">
        <w:rPr>
          <w:rFonts w:cstheme="minorHAnsi"/>
          <w:sz w:val="20"/>
          <w:szCs w:val="20"/>
        </w:rPr>
        <w:t>3), 261–297.</w:t>
      </w:r>
    </w:p>
    <w:p w14:paraId="62DDF2BF" w14:textId="3152701E" w:rsidR="002F154B" w:rsidRPr="0097364A" w:rsidRDefault="002F154B" w:rsidP="002F154B">
      <w:pPr>
        <w:spacing w:before="120" w:after="120" w:line="240" w:lineRule="auto"/>
        <w:rPr>
          <w:rFonts w:cstheme="minorHAnsi"/>
          <w:sz w:val="20"/>
          <w:szCs w:val="20"/>
        </w:rPr>
      </w:pPr>
      <w:proofErr w:type="spellStart"/>
      <w:r w:rsidRPr="0097364A">
        <w:rPr>
          <w:rFonts w:cstheme="minorHAnsi"/>
          <w:sz w:val="20"/>
          <w:szCs w:val="20"/>
        </w:rPr>
        <w:t>Pastena</w:t>
      </w:r>
      <w:proofErr w:type="spellEnd"/>
      <w:r w:rsidRPr="0097364A">
        <w:rPr>
          <w:rFonts w:cstheme="minorHAnsi"/>
          <w:sz w:val="20"/>
          <w:szCs w:val="20"/>
        </w:rPr>
        <w:t xml:space="preserve">, V., </w:t>
      </w:r>
      <w:r w:rsidR="00281F76">
        <w:rPr>
          <w:rFonts w:cstheme="minorHAnsi"/>
          <w:sz w:val="20"/>
          <w:szCs w:val="20"/>
        </w:rPr>
        <w:t>and</w:t>
      </w:r>
      <w:r w:rsidRPr="0097364A">
        <w:rPr>
          <w:rFonts w:cstheme="minorHAnsi"/>
          <w:sz w:val="20"/>
          <w:szCs w:val="20"/>
        </w:rPr>
        <w:t xml:space="preserve"> </w:t>
      </w:r>
      <w:proofErr w:type="spellStart"/>
      <w:r w:rsidRPr="0097364A">
        <w:rPr>
          <w:rFonts w:cstheme="minorHAnsi"/>
          <w:sz w:val="20"/>
          <w:szCs w:val="20"/>
        </w:rPr>
        <w:t>Ruland</w:t>
      </w:r>
      <w:proofErr w:type="spellEnd"/>
      <w:r w:rsidRPr="0097364A">
        <w:rPr>
          <w:rFonts w:cstheme="minorHAnsi"/>
          <w:sz w:val="20"/>
          <w:szCs w:val="20"/>
        </w:rPr>
        <w:t xml:space="preserve">, W. (1986). The merger/bankruptcy alternative. Accounting Review, 61(2), 288–301. Retrieved from </w:t>
      </w:r>
      <w:hyperlink r:id="rId10" w:anchor="page_scan_tab_contents" w:history="1">
        <w:r w:rsidRPr="0097364A">
          <w:rPr>
            <w:rStyle w:val="Hyperlink"/>
            <w:rFonts w:cstheme="minorHAnsi"/>
            <w:color w:val="auto"/>
            <w:sz w:val="20"/>
            <w:szCs w:val="20"/>
          </w:rPr>
          <w:t>https://www.jstor.org/stable/pdf/247259.pdf?seq=1#page_scan_tab_contents</w:t>
        </w:r>
      </w:hyperlink>
    </w:p>
    <w:p w14:paraId="77B68384" w14:textId="63ADE67A" w:rsidR="002F154B" w:rsidRPr="0097364A" w:rsidRDefault="002F154B" w:rsidP="002F154B">
      <w:pPr>
        <w:spacing w:before="120" w:after="120" w:line="240" w:lineRule="auto"/>
        <w:rPr>
          <w:rFonts w:cstheme="minorHAnsi"/>
          <w:sz w:val="20"/>
          <w:szCs w:val="20"/>
        </w:rPr>
      </w:pPr>
      <w:proofErr w:type="spellStart"/>
      <w:r w:rsidRPr="0097364A">
        <w:rPr>
          <w:rFonts w:cstheme="minorHAnsi"/>
          <w:sz w:val="20"/>
          <w:szCs w:val="20"/>
        </w:rPr>
        <w:t>Piesse</w:t>
      </w:r>
      <w:proofErr w:type="spellEnd"/>
      <w:r w:rsidRPr="0097364A">
        <w:rPr>
          <w:rFonts w:cstheme="minorHAnsi"/>
          <w:sz w:val="20"/>
          <w:szCs w:val="20"/>
        </w:rPr>
        <w:t xml:space="preserve">, J., Lee, C. F., </w:t>
      </w:r>
      <w:r w:rsidR="009B0702">
        <w:rPr>
          <w:rFonts w:cstheme="minorHAnsi"/>
          <w:sz w:val="20"/>
          <w:szCs w:val="20"/>
        </w:rPr>
        <w:t>and</w:t>
      </w:r>
      <w:r w:rsidRPr="0097364A">
        <w:rPr>
          <w:rFonts w:cstheme="minorHAnsi"/>
          <w:sz w:val="20"/>
          <w:szCs w:val="20"/>
        </w:rPr>
        <w:t xml:space="preserve"> </w:t>
      </w:r>
      <w:proofErr w:type="spellStart"/>
      <w:r w:rsidRPr="0097364A">
        <w:rPr>
          <w:rFonts w:cstheme="minorHAnsi"/>
          <w:sz w:val="20"/>
          <w:szCs w:val="20"/>
        </w:rPr>
        <w:t>Kuo</w:t>
      </w:r>
      <w:proofErr w:type="spellEnd"/>
      <w:r w:rsidRPr="0097364A">
        <w:rPr>
          <w:rFonts w:cstheme="minorHAnsi"/>
          <w:sz w:val="20"/>
          <w:szCs w:val="20"/>
        </w:rPr>
        <w:t xml:space="preserve">, H. C. (2005). Chapter 27: Merger and acquisition: Definitions, motives, and market responses. Retrieved from </w:t>
      </w:r>
      <w:hyperlink r:id="rId11" w:history="1">
        <w:r w:rsidRPr="0097364A">
          <w:rPr>
            <w:rStyle w:val="Hyperlink"/>
            <w:rFonts w:cstheme="minorHAnsi"/>
            <w:color w:val="auto"/>
            <w:sz w:val="20"/>
            <w:szCs w:val="20"/>
          </w:rPr>
          <w:t>https://nscpolteksby.ac.id/ebook/files/Ebook/Accounting/Encyclopedia%20of%20Finance%20(2006)/52.%20Chapter%2027%20%20MERGER%20AND%20ACQ%20UISITION%20DEFINITIONS-MOTIVES%20AND%20MARKET%20RESPONSES.pdf</w:t>
        </w:r>
      </w:hyperlink>
    </w:p>
    <w:p w14:paraId="2FE06201" w14:textId="72882DFB" w:rsidR="002F154B" w:rsidRPr="0097364A" w:rsidRDefault="002F154B" w:rsidP="002F154B">
      <w:pPr>
        <w:spacing w:before="120" w:after="120" w:line="240" w:lineRule="auto"/>
        <w:rPr>
          <w:rFonts w:cstheme="minorHAnsi"/>
          <w:sz w:val="20"/>
          <w:szCs w:val="20"/>
        </w:rPr>
      </w:pPr>
      <w:r w:rsidRPr="0097364A">
        <w:rPr>
          <w:rFonts w:cstheme="minorHAnsi"/>
          <w:sz w:val="20"/>
          <w:szCs w:val="20"/>
        </w:rPr>
        <w:t xml:space="preserve">Prakash, P. </w:t>
      </w:r>
      <w:r w:rsidR="004C6FBB">
        <w:rPr>
          <w:rFonts w:cstheme="minorHAnsi"/>
          <w:sz w:val="20"/>
          <w:szCs w:val="20"/>
        </w:rPr>
        <w:t>and</w:t>
      </w:r>
      <w:r w:rsidRPr="0097364A">
        <w:rPr>
          <w:rFonts w:cstheme="minorHAnsi"/>
          <w:sz w:val="20"/>
          <w:szCs w:val="20"/>
        </w:rPr>
        <w:t xml:space="preserve"> Balakrishna C.H. (2016). Mergers and Acquisitions: Human and Cultural Issues. SCMS Journal of Indian Management, 12(2), 29-35.</w:t>
      </w:r>
    </w:p>
    <w:p w14:paraId="4E1C8E5D" w14:textId="77777777" w:rsidR="002F154B" w:rsidRPr="0097364A" w:rsidRDefault="002F154B" w:rsidP="002F154B">
      <w:pPr>
        <w:spacing w:before="120" w:after="120" w:line="240" w:lineRule="auto"/>
        <w:rPr>
          <w:rFonts w:cstheme="minorHAnsi"/>
          <w:sz w:val="20"/>
          <w:szCs w:val="20"/>
        </w:rPr>
      </w:pPr>
      <w:r w:rsidRPr="0097364A">
        <w:rPr>
          <w:rFonts w:cstheme="minorHAnsi"/>
          <w:sz w:val="20"/>
          <w:szCs w:val="20"/>
        </w:rPr>
        <w:t>Prasad, S. (2007). Cross-Border Mergers and Acquisitions in India: Some Issues. AIMA Journal of Management and Research, 1(2/4), 12-37.</w:t>
      </w:r>
    </w:p>
    <w:p w14:paraId="388E62FF" w14:textId="77777777" w:rsidR="002F154B" w:rsidRPr="0097364A" w:rsidRDefault="002F154B" w:rsidP="002F154B">
      <w:pPr>
        <w:spacing w:before="120" w:after="120" w:line="240" w:lineRule="auto"/>
        <w:rPr>
          <w:rFonts w:cstheme="minorHAnsi"/>
          <w:sz w:val="20"/>
          <w:szCs w:val="20"/>
        </w:rPr>
      </w:pPr>
      <w:proofErr w:type="spellStart"/>
      <w:r w:rsidRPr="0097364A">
        <w:rPr>
          <w:rFonts w:cstheme="minorHAnsi"/>
          <w:sz w:val="20"/>
          <w:szCs w:val="20"/>
        </w:rPr>
        <w:lastRenderedPageBreak/>
        <w:t>Reuer</w:t>
      </w:r>
      <w:proofErr w:type="spellEnd"/>
      <w:r w:rsidRPr="0097364A">
        <w:rPr>
          <w:rFonts w:cstheme="minorHAnsi"/>
          <w:sz w:val="20"/>
          <w:szCs w:val="20"/>
        </w:rPr>
        <w:t xml:space="preserve">, J.J. and </w:t>
      </w:r>
      <w:proofErr w:type="spellStart"/>
      <w:r w:rsidRPr="0097364A">
        <w:rPr>
          <w:rFonts w:cstheme="minorHAnsi"/>
          <w:sz w:val="20"/>
          <w:szCs w:val="20"/>
        </w:rPr>
        <w:t>Ragozzino</w:t>
      </w:r>
      <w:proofErr w:type="spellEnd"/>
      <w:r w:rsidRPr="0097364A">
        <w:rPr>
          <w:rFonts w:cstheme="minorHAnsi"/>
          <w:sz w:val="20"/>
          <w:szCs w:val="20"/>
        </w:rPr>
        <w:t>, R. (2012). The choice between joint ventures and acquisitions: Insights from signaling theory. Organization Science, 23(4), 1175-1190.</w:t>
      </w:r>
    </w:p>
    <w:p w14:paraId="4978A8FA" w14:textId="3ABFB6E9" w:rsidR="002F154B" w:rsidRPr="0097364A" w:rsidRDefault="002F154B" w:rsidP="002F154B">
      <w:pPr>
        <w:spacing w:before="120" w:after="120" w:line="240" w:lineRule="auto"/>
        <w:rPr>
          <w:rFonts w:cstheme="minorHAnsi"/>
          <w:sz w:val="20"/>
          <w:szCs w:val="20"/>
        </w:rPr>
      </w:pPr>
      <w:r w:rsidRPr="0097364A">
        <w:rPr>
          <w:rFonts w:cstheme="minorHAnsi"/>
          <w:sz w:val="20"/>
          <w:szCs w:val="20"/>
        </w:rPr>
        <w:t xml:space="preserve">Ross, S. A., </w:t>
      </w:r>
      <w:proofErr w:type="spellStart"/>
      <w:r w:rsidRPr="0097364A">
        <w:rPr>
          <w:rFonts w:cstheme="minorHAnsi"/>
          <w:sz w:val="20"/>
          <w:szCs w:val="20"/>
        </w:rPr>
        <w:t>Westerfield</w:t>
      </w:r>
      <w:proofErr w:type="spellEnd"/>
      <w:r w:rsidRPr="0097364A">
        <w:rPr>
          <w:rFonts w:cstheme="minorHAnsi"/>
          <w:sz w:val="20"/>
          <w:szCs w:val="20"/>
        </w:rPr>
        <w:t xml:space="preserve">, R. W., </w:t>
      </w:r>
      <w:r w:rsidR="00EA03C5">
        <w:rPr>
          <w:rFonts w:cstheme="minorHAnsi"/>
          <w:sz w:val="20"/>
          <w:szCs w:val="20"/>
        </w:rPr>
        <w:t>and</w:t>
      </w:r>
      <w:r w:rsidRPr="0097364A">
        <w:rPr>
          <w:rFonts w:cstheme="minorHAnsi"/>
          <w:sz w:val="20"/>
          <w:szCs w:val="20"/>
        </w:rPr>
        <w:t xml:space="preserve"> Jordan, B. D. (2002). Corporate finance fundamentals (8th ed.). New York, NY: McGraw Hill/Irwin.</w:t>
      </w:r>
    </w:p>
    <w:p w14:paraId="34F75E94" w14:textId="77777777" w:rsidR="002F154B" w:rsidRPr="0097364A" w:rsidRDefault="002F154B" w:rsidP="002F154B">
      <w:pPr>
        <w:spacing w:before="120" w:after="120" w:line="240" w:lineRule="auto"/>
        <w:rPr>
          <w:rFonts w:cstheme="minorHAnsi"/>
          <w:sz w:val="20"/>
          <w:szCs w:val="20"/>
        </w:rPr>
      </w:pPr>
      <w:r w:rsidRPr="0097364A">
        <w:rPr>
          <w:rFonts w:cstheme="minorHAnsi"/>
          <w:sz w:val="20"/>
          <w:szCs w:val="20"/>
        </w:rPr>
        <w:t>Rizvi, Y. (2008). Picking the flowers’; Acquisition strategy as a tool for survival and growth. A case analysis of the acquisition of Gillette India Limited by Procter &amp; Gamble. 11th Strategic Management Forum, 2008, IIT Kanpur.</w:t>
      </w:r>
    </w:p>
    <w:p w14:paraId="10F432DA" w14:textId="19DF7658" w:rsidR="002F154B" w:rsidRPr="0097364A" w:rsidRDefault="002F154B" w:rsidP="002F154B">
      <w:pPr>
        <w:spacing w:before="120" w:after="120" w:line="240" w:lineRule="auto"/>
        <w:rPr>
          <w:rFonts w:cstheme="minorHAnsi"/>
          <w:sz w:val="20"/>
          <w:szCs w:val="20"/>
        </w:rPr>
      </w:pPr>
      <w:proofErr w:type="spellStart"/>
      <w:r w:rsidRPr="0097364A">
        <w:rPr>
          <w:rFonts w:cstheme="minorHAnsi"/>
          <w:sz w:val="20"/>
          <w:szCs w:val="20"/>
        </w:rPr>
        <w:t>Sherives</w:t>
      </w:r>
      <w:proofErr w:type="spellEnd"/>
      <w:r w:rsidRPr="0097364A">
        <w:rPr>
          <w:rFonts w:cstheme="minorHAnsi"/>
          <w:sz w:val="20"/>
          <w:szCs w:val="20"/>
        </w:rPr>
        <w:t xml:space="preserve">, R. E., </w:t>
      </w:r>
      <w:r w:rsidR="00C3760F">
        <w:rPr>
          <w:rFonts w:cstheme="minorHAnsi"/>
          <w:sz w:val="20"/>
          <w:szCs w:val="20"/>
        </w:rPr>
        <w:t>and</w:t>
      </w:r>
      <w:r w:rsidRPr="0097364A">
        <w:rPr>
          <w:rFonts w:cstheme="minorHAnsi"/>
          <w:sz w:val="20"/>
          <w:szCs w:val="20"/>
        </w:rPr>
        <w:t xml:space="preserve"> Stevens, D. L. (1979). Bankruptcy avoidance as a motive for mergers. Journal of Financial and Quantitative Analysis, 14(3), 501–515. doi:10.2307/2330183</w:t>
      </w:r>
    </w:p>
    <w:p w14:paraId="034F9BEF" w14:textId="67D595EA" w:rsidR="002F154B" w:rsidRPr="0097364A" w:rsidRDefault="002F154B" w:rsidP="002F154B">
      <w:pPr>
        <w:spacing w:before="120" w:after="120" w:line="240" w:lineRule="auto"/>
        <w:rPr>
          <w:rFonts w:cstheme="minorHAnsi"/>
          <w:sz w:val="20"/>
          <w:szCs w:val="20"/>
        </w:rPr>
      </w:pPr>
      <w:proofErr w:type="spellStart"/>
      <w:r w:rsidRPr="0097364A">
        <w:rPr>
          <w:rFonts w:cstheme="minorHAnsi"/>
          <w:sz w:val="20"/>
          <w:szCs w:val="20"/>
        </w:rPr>
        <w:t>Stallworthy</w:t>
      </w:r>
      <w:proofErr w:type="spellEnd"/>
      <w:r w:rsidRPr="0097364A">
        <w:rPr>
          <w:rFonts w:cstheme="minorHAnsi"/>
          <w:sz w:val="20"/>
          <w:szCs w:val="20"/>
        </w:rPr>
        <w:t xml:space="preserve">, E. A., </w:t>
      </w:r>
      <w:r w:rsidR="00980DCC">
        <w:rPr>
          <w:rFonts w:cstheme="minorHAnsi"/>
          <w:sz w:val="20"/>
          <w:szCs w:val="20"/>
        </w:rPr>
        <w:t>and</w:t>
      </w:r>
      <w:r w:rsidRPr="0097364A">
        <w:rPr>
          <w:rFonts w:cstheme="minorHAnsi"/>
          <w:sz w:val="20"/>
          <w:szCs w:val="20"/>
        </w:rPr>
        <w:t xml:space="preserve"> Kharbanda, O. P. (1988). Takeovers, acquisitions and mergers. Strategies for rescuing companies in distress. London, England: Konan Page.</w:t>
      </w:r>
    </w:p>
    <w:p w14:paraId="201DBEEC" w14:textId="77777777" w:rsidR="002F154B" w:rsidRPr="0097364A" w:rsidRDefault="002F154B" w:rsidP="002F154B">
      <w:pPr>
        <w:spacing w:before="120" w:after="120" w:line="240" w:lineRule="auto"/>
        <w:rPr>
          <w:rFonts w:cstheme="minorHAnsi"/>
          <w:sz w:val="20"/>
          <w:szCs w:val="20"/>
        </w:rPr>
      </w:pPr>
      <w:r w:rsidRPr="0097364A">
        <w:rPr>
          <w:rFonts w:cstheme="minorHAnsi"/>
          <w:sz w:val="20"/>
          <w:szCs w:val="20"/>
        </w:rPr>
        <w:t>Stiglitz, J. (1972). Some aspects of the pure theory of corporate finance: Bankruptcies and takeover. Bell Journal of Economics and Management Science, 3(2), 458–482. doi:10.2307/3003033</w:t>
      </w:r>
    </w:p>
    <w:p w14:paraId="6944B733" w14:textId="09BDABE0" w:rsidR="000B0A93" w:rsidRPr="0097364A" w:rsidRDefault="000B0A93" w:rsidP="002F154B">
      <w:pPr>
        <w:spacing w:before="120" w:after="120" w:line="240" w:lineRule="auto"/>
        <w:rPr>
          <w:rFonts w:cstheme="minorHAnsi"/>
          <w:sz w:val="20"/>
          <w:szCs w:val="20"/>
        </w:rPr>
      </w:pPr>
      <w:proofErr w:type="spellStart"/>
      <w:r w:rsidRPr="0097364A">
        <w:rPr>
          <w:rFonts w:cstheme="minorHAnsi"/>
          <w:sz w:val="20"/>
          <w:szCs w:val="20"/>
        </w:rPr>
        <w:t>Utton</w:t>
      </w:r>
      <w:proofErr w:type="spellEnd"/>
      <w:r w:rsidRPr="0097364A">
        <w:rPr>
          <w:rFonts w:cstheme="minorHAnsi"/>
          <w:sz w:val="20"/>
          <w:szCs w:val="20"/>
        </w:rPr>
        <w:t>, M. (1982). </w:t>
      </w:r>
      <w:r w:rsidRPr="0097364A">
        <w:rPr>
          <w:rFonts w:cstheme="minorHAnsi"/>
          <w:iCs/>
          <w:sz w:val="20"/>
          <w:szCs w:val="20"/>
        </w:rPr>
        <w:t>The Political Economy of Big Business</w:t>
      </w:r>
      <w:r w:rsidRPr="0097364A">
        <w:rPr>
          <w:rFonts w:cstheme="minorHAnsi"/>
          <w:sz w:val="20"/>
          <w:szCs w:val="20"/>
        </w:rPr>
        <w:t>. 1st ed. Palgrave Macmillan.</w:t>
      </w:r>
    </w:p>
    <w:p w14:paraId="0EE1E214" w14:textId="77777777" w:rsidR="002F154B" w:rsidRPr="0097364A" w:rsidRDefault="002F154B" w:rsidP="002F154B">
      <w:pPr>
        <w:spacing w:before="120" w:after="120" w:line="240" w:lineRule="auto"/>
        <w:rPr>
          <w:rFonts w:cstheme="minorHAnsi"/>
          <w:sz w:val="20"/>
          <w:szCs w:val="20"/>
        </w:rPr>
      </w:pPr>
      <w:r w:rsidRPr="0097364A">
        <w:rPr>
          <w:rFonts w:cstheme="minorHAnsi"/>
          <w:sz w:val="20"/>
          <w:szCs w:val="20"/>
        </w:rPr>
        <w:t xml:space="preserve">Walker, I. E. (1992). Buying a company in trouble: A practical guide. </w:t>
      </w:r>
      <w:proofErr w:type="spellStart"/>
      <w:r w:rsidRPr="0097364A">
        <w:rPr>
          <w:rFonts w:cstheme="minorHAnsi"/>
          <w:sz w:val="20"/>
          <w:szCs w:val="20"/>
        </w:rPr>
        <w:t>Aldershot</w:t>
      </w:r>
      <w:proofErr w:type="spellEnd"/>
      <w:r w:rsidRPr="0097364A">
        <w:rPr>
          <w:rFonts w:cstheme="minorHAnsi"/>
          <w:sz w:val="20"/>
          <w:szCs w:val="20"/>
        </w:rPr>
        <w:t>, Hants: Gower.</w:t>
      </w:r>
    </w:p>
    <w:p w14:paraId="301C61D8" w14:textId="11D619DB" w:rsidR="00414CF6" w:rsidRPr="0097364A" w:rsidRDefault="00996A0C" w:rsidP="00996A0C">
      <w:pPr>
        <w:spacing w:before="120" w:after="120" w:line="240" w:lineRule="auto"/>
        <w:rPr>
          <w:rFonts w:cstheme="minorHAnsi"/>
          <w:sz w:val="20"/>
          <w:szCs w:val="20"/>
        </w:rPr>
      </w:pPr>
      <w:r w:rsidRPr="0097364A">
        <w:rPr>
          <w:rFonts w:cstheme="minorHAnsi"/>
          <w:sz w:val="20"/>
          <w:szCs w:val="20"/>
        </w:rPr>
        <w:t>Weston, J. (1985). </w:t>
      </w:r>
      <w:r w:rsidRPr="0097364A">
        <w:rPr>
          <w:rFonts w:cstheme="minorHAnsi"/>
          <w:iCs/>
          <w:sz w:val="20"/>
          <w:szCs w:val="20"/>
        </w:rPr>
        <w:t>Essentials of Managerial Finance</w:t>
      </w:r>
      <w:r w:rsidRPr="0097364A">
        <w:rPr>
          <w:rFonts w:cstheme="minorHAnsi"/>
          <w:sz w:val="20"/>
          <w:szCs w:val="20"/>
        </w:rPr>
        <w:t>. Chicago Dryden Press.</w:t>
      </w:r>
    </w:p>
    <w:sectPr w:rsidR="00414CF6" w:rsidRPr="0097364A" w:rsidSect="003D5D65">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8284E" w14:textId="77777777" w:rsidR="009E6D11" w:rsidRDefault="009E6D11" w:rsidP="003D5D65">
      <w:pPr>
        <w:spacing w:after="0" w:line="240" w:lineRule="auto"/>
      </w:pPr>
      <w:r>
        <w:separator/>
      </w:r>
    </w:p>
  </w:endnote>
  <w:endnote w:type="continuationSeparator" w:id="0">
    <w:p w14:paraId="2CE22575" w14:textId="77777777" w:rsidR="009E6D11" w:rsidRDefault="009E6D11" w:rsidP="003D5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3507599"/>
      <w:docPartObj>
        <w:docPartGallery w:val="Page Numbers (Bottom of Page)"/>
        <w:docPartUnique/>
      </w:docPartObj>
    </w:sdtPr>
    <w:sdtEndPr>
      <w:rPr>
        <w:noProof/>
      </w:rPr>
    </w:sdtEndPr>
    <w:sdtContent>
      <w:p w14:paraId="495B64E1" w14:textId="107FC395" w:rsidR="003D5D65" w:rsidRDefault="003D5D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88D79D" w14:textId="77777777" w:rsidR="003D5D65" w:rsidRDefault="003D5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BFB48" w14:textId="77777777" w:rsidR="009E6D11" w:rsidRDefault="009E6D11" w:rsidP="003D5D65">
      <w:pPr>
        <w:spacing w:after="0" w:line="240" w:lineRule="auto"/>
      </w:pPr>
      <w:r>
        <w:separator/>
      </w:r>
    </w:p>
  </w:footnote>
  <w:footnote w:type="continuationSeparator" w:id="0">
    <w:p w14:paraId="0BA56205" w14:textId="77777777" w:rsidR="009E6D11" w:rsidRDefault="009E6D11" w:rsidP="003D5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2971"/>
    <w:multiLevelType w:val="hybridMultilevel"/>
    <w:tmpl w:val="1FD0E4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2A3A2C"/>
    <w:multiLevelType w:val="multilevel"/>
    <w:tmpl w:val="6C58C9D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A52"/>
    <w:rsid w:val="00061432"/>
    <w:rsid w:val="00063FA1"/>
    <w:rsid w:val="00073E00"/>
    <w:rsid w:val="000A2CE1"/>
    <w:rsid w:val="000B0A93"/>
    <w:rsid w:val="000B2F63"/>
    <w:rsid w:val="000C0A5B"/>
    <w:rsid w:val="000C6052"/>
    <w:rsid w:val="000E5A56"/>
    <w:rsid w:val="0010357D"/>
    <w:rsid w:val="00135928"/>
    <w:rsid w:val="00146CE5"/>
    <w:rsid w:val="00172F6E"/>
    <w:rsid w:val="001B09F4"/>
    <w:rsid w:val="001C1122"/>
    <w:rsid w:val="00246075"/>
    <w:rsid w:val="002776BF"/>
    <w:rsid w:val="00281F76"/>
    <w:rsid w:val="00293925"/>
    <w:rsid w:val="002D3DC9"/>
    <w:rsid w:val="002F154B"/>
    <w:rsid w:val="00317B1A"/>
    <w:rsid w:val="00326A34"/>
    <w:rsid w:val="003B7BFC"/>
    <w:rsid w:val="003D5D65"/>
    <w:rsid w:val="004026EE"/>
    <w:rsid w:val="00413E11"/>
    <w:rsid w:val="004310E1"/>
    <w:rsid w:val="00433393"/>
    <w:rsid w:val="00457FD9"/>
    <w:rsid w:val="00474589"/>
    <w:rsid w:val="00477704"/>
    <w:rsid w:val="004A57B9"/>
    <w:rsid w:val="004C6FBB"/>
    <w:rsid w:val="00531EB6"/>
    <w:rsid w:val="005545DE"/>
    <w:rsid w:val="00574DA4"/>
    <w:rsid w:val="005848A5"/>
    <w:rsid w:val="005A4D6F"/>
    <w:rsid w:val="005C5229"/>
    <w:rsid w:val="005E42DD"/>
    <w:rsid w:val="006544DE"/>
    <w:rsid w:val="00703C28"/>
    <w:rsid w:val="00734A06"/>
    <w:rsid w:val="00736077"/>
    <w:rsid w:val="007B5FEF"/>
    <w:rsid w:val="007F65D3"/>
    <w:rsid w:val="00884C61"/>
    <w:rsid w:val="008F6982"/>
    <w:rsid w:val="0097364A"/>
    <w:rsid w:val="00980DCC"/>
    <w:rsid w:val="00996A0C"/>
    <w:rsid w:val="009B0702"/>
    <w:rsid w:val="009C142F"/>
    <w:rsid w:val="009E6D11"/>
    <w:rsid w:val="009E7F8C"/>
    <w:rsid w:val="009F605D"/>
    <w:rsid w:val="00A54504"/>
    <w:rsid w:val="00A5563E"/>
    <w:rsid w:val="00A765DA"/>
    <w:rsid w:val="00A938BA"/>
    <w:rsid w:val="00AE5413"/>
    <w:rsid w:val="00AF6052"/>
    <w:rsid w:val="00AF761C"/>
    <w:rsid w:val="00B26A64"/>
    <w:rsid w:val="00B93D4E"/>
    <w:rsid w:val="00B96F37"/>
    <w:rsid w:val="00BF29BD"/>
    <w:rsid w:val="00C071F5"/>
    <w:rsid w:val="00C20A57"/>
    <w:rsid w:val="00C2313A"/>
    <w:rsid w:val="00C25028"/>
    <w:rsid w:val="00C3760F"/>
    <w:rsid w:val="00C7398F"/>
    <w:rsid w:val="00CA019B"/>
    <w:rsid w:val="00CC3902"/>
    <w:rsid w:val="00CD6A3F"/>
    <w:rsid w:val="00D67B6C"/>
    <w:rsid w:val="00D70ABF"/>
    <w:rsid w:val="00DA7D30"/>
    <w:rsid w:val="00DC2A0E"/>
    <w:rsid w:val="00DE349A"/>
    <w:rsid w:val="00E0186A"/>
    <w:rsid w:val="00E05551"/>
    <w:rsid w:val="00E14A52"/>
    <w:rsid w:val="00E27F63"/>
    <w:rsid w:val="00E55C94"/>
    <w:rsid w:val="00E70164"/>
    <w:rsid w:val="00E90E70"/>
    <w:rsid w:val="00E9457D"/>
    <w:rsid w:val="00E97A46"/>
    <w:rsid w:val="00EA03C5"/>
    <w:rsid w:val="00ED323E"/>
    <w:rsid w:val="00F25415"/>
    <w:rsid w:val="00F54044"/>
    <w:rsid w:val="00F77811"/>
    <w:rsid w:val="00FA5650"/>
    <w:rsid w:val="00FC6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6DB22"/>
  <w15:chartTrackingRefBased/>
  <w15:docId w15:val="{B590AD5F-8CEC-4169-B462-053CE2F2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5028"/>
    <w:pPr>
      <w:spacing w:line="256" w:lineRule="auto"/>
    </w:pPr>
  </w:style>
  <w:style w:type="paragraph" w:styleId="Heading1">
    <w:name w:val="heading 1"/>
    <w:basedOn w:val="Normal"/>
    <w:next w:val="Normal"/>
    <w:link w:val="Heading1Char"/>
    <w:uiPriority w:val="9"/>
    <w:qFormat/>
    <w:rsid w:val="002F154B"/>
    <w:pPr>
      <w:keepNext/>
      <w:keepLines/>
      <w:spacing w:before="480" w:after="0" w:line="276"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2F154B"/>
    <w:pPr>
      <w:keepNext/>
      <w:keepLines/>
      <w:spacing w:before="200" w:after="0" w:line="276" w:lineRule="auto"/>
      <w:jc w:val="both"/>
      <w:outlineLvl w:val="1"/>
    </w:pPr>
    <w:rPr>
      <w:rFonts w:ascii="Times New Roman" w:eastAsiaTheme="majorEastAsia" w:hAnsi="Times New Roman" w:cstheme="majorBidi"/>
      <w:b/>
      <w:bCs/>
      <w:i/>
      <w:sz w:val="24"/>
      <w:szCs w:val="26"/>
    </w:rPr>
  </w:style>
  <w:style w:type="paragraph" w:styleId="Heading3">
    <w:name w:val="heading 3"/>
    <w:basedOn w:val="Normal"/>
    <w:next w:val="Normal"/>
    <w:link w:val="Heading3Char"/>
    <w:uiPriority w:val="9"/>
    <w:unhideWhenUsed/>
    <w:qFormat/>
    <w:rsid w:val="002F154B"/>
    <w:pPr>
      <w:keepNext/>
      <w:keepLines/>
      <w:spacing w:before="200" w:after="0" w:line="276" w:lineRule="auto"/>
      <w:jc w:val="both"/>
      <w:outlineLvl w:val="2"/>
    </w:pPr>
    <w:rPr>
      <w:rFonts w:ascii="Times New Roman" w:eastAsiaTheme="majorEastAsia" w:hAnsi="Times New Roman" w:cstheme="majorBidi"/>
      <w:bCs/>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54B"/>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2F154B"/>
    <w:rPr>
      <w:rFonts w:ascii="Times New Roman" w:eastAsiaTheme="majorEastAsia" w:hAnsi="Times New Roman" w:cstheme="majorBidi"/>
      <w:b/>
      <w:bCs/>
      <w:i/>
      <w:sz w:val="24"/>
      <w:szCs w:val="26"/>
    </w:rPr>
  </w:style>
  <w:style w:type="character" w:customStyle="1" w:styleId="Heading3Char">
    <w:name w:val="Heading 3 Char"/>
    <w:basedOn w:val="DefaultParagraphFont"/>
    <w:link w:val="Heading3"/>
    <w:uiPriority w:val="9"/>
    <w:rsid w:val="002F154B"/>
    <w:rPr>
      <w:rFonts w:ascii="Times New Roman" w:eastAsiaTheme="majorEastAsia" w:hAnsi="Times New Roman" w:cstheme="majorBidi"/>
      <w:bCs/>
      <w:i/>
      <w:sz w:val="24"/>
    </w:rPr>
  </w:style>
  <w:style w:type="paragraph" w:styleId="ListParagraph">
    <w:name w:val="List Paragraph"/>
    <w:basedOn w:val="Normal"/>
    <w:uiPriority w:val="34"/>
    <w:qFormat/>
    <w:rsid w:val="002F154B"/>
    <w:pPr>
      <w:spacing w:after="200" w:line="276" w:lineRule="auto"/>
      <w:ind w:left="720"/>
      <w:contextualSpacing/>
      <w:jc w:val="both"/>
    </w:pPr>
    <w:rPr>
      <w:rFonts w:ascii="Times New Roman" w:hAnsi="Times New Roman"/>
      <w:sz w:val="24"/>
    </w:rPr>
  </w:style>
  <w:style w:type="paragraph" w:styleId="NormalWeb">
    <w:name w:val="Normal (Web)"/>
    <w:basedOn w:val="Normal"/>
    <w:uiPriority w:val="99"/>
    <w:semiHidden/>
    <w:unhideWhenUsed/>
    <w:rsid w:val="002F154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F154B"/>
    <w:rPr>
      <w:color w:val="0000FF"/>
      <w:u w:val="single"/>
    </w:rPr>
  </w:style>
  <w:style w:type="paragraph" w:styleId="Header">
    <w:name w:val="header"/>
    <w:basedOn w:val="Normal"/>
    <w:link w:val="HeaderChar"/>
    <w:uiPriority w:val="99"/>
    <w:unhideWhenUsed/>
    <w:rsid w:val="003D5D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D65"/>
  </w:style>
  <w:style w:type="paragraph" w:styleId="Footer">
    <w:name w:val="footer"/>
    <w:basedOn w:val="Normal"/>
    <w:link w:val="FooterChar"/>
    <w:uiPriority w:val="99"/>
    <w:unhideWhenUsed/>
    <w:rsid w:val="003D5D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D65"/>
  </w:style>
  <w:style w:type="paragraph" w:styleId="BalloonText">
    <w:name w:val="Balloon Text"/>
    <w:basedOn w:val="Normal"/>
    <w:link w:val="BalloonTextChar"/>
    <w:uiPriority w:val="99"/>
    <w:semiHidden/>
    <w:unhideWhenUsed/>
    <w:rsid w:val="00CC3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3902"/>
    <w:rPr>
      <w:rFonts w:ascii="Segoe UI" w:hAnsi="Segoe UI" w:cs="Segoe UI"/>
      <w:sz w:val="18"/>
      <w:szCs w:val="18"/>
    </w:rPr>
  </w:style>
  <w:style w:type="character" w:styleId="UnresolvedMention">
    <w:name w:val="Unresolved Mention"/>
    <w:basedOn w:val="DefaultParagraphFont"/>
    <w:uiPriority w:val="99"/>
    <w:semiHidden/>
    <w:unhideWhenUsed/>
    <w:rsid w:val="00E055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023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us/en/pages/mergers-and-acquisitions/articles/ma-trends-report.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scpolteksby.ac.id/ebook/files/Ebook/Accounting/Encyclopedia%20of%20Finance%20(2006)/52.%20Chapter%2027%20%20MERGER%20AND%20ACQ%20UISITION%20DEFINITIONS-MOTIVES%20AND%20MARKET%20RESPONSES.pdf" TargetMode="External"/><Relationship Id="rId5" Type="http://schemas.openxmlformats.org/officeDocument/2006/relationships/webSettings" Target="webSettings.xml"/><Relationship Id="rId10" Type="http://schemas.openxmlformats.org/officeDocument/2006/relationships/hyperlink" Target="https://www.jstor.org/stable/pdf/247259.pdf?seq=1" TargetMode="External"/><Relationship Id="rId4" Type="http://schemas.openxmlformats.org/officeDocument/2006/relationships/settings" Target="settings.xml"/><Relationship Id="rId9" Type="http://schemas.openxmlformats.org/officeDocument/2006/relationships/hyperlink" Target="https://techcrunch.com/2016/09/05/softbank-has-completed-its-24b-cash-acquisition-of-arm-holding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F5C10B-DC1A-40BB-9A0E-1AD98F1DD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4588</Words>
  <Characters>26154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Thang Vu</dc:creator>
  <cp:keywords/>
  <dc:description/>
  <cp:lastModifiedBy>Cao Thang Vu</cp:lastModifiedBy>
  <cp:revision>91</cp:revision>
  <dcterms:created xsi:type="dcterms:W3CDTF">2019-08-28T02:09:00Z</dcterms:created>
  <dcterms:modified xsi:type="dcterms:W3CDTF">2019-09-20T01:26:00Z</dcterms:modified>
</cp:coreProperties>
</file>