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6"/>
        <w:ind w:right="0" w:left="0" w:firstLine="0"/>
        <w:jc w:val="center"/>
        <w:rPr>
          <w:rFonts w:ascii="Times New Roman" w:hAnsi="Times New Roman" w:cs="Times New Roman" w:eastAsia="Times New Roman"/>
          <w:b/>
          <w:color w:val="auto"/>
          <w:spacing w:val="-10"/>
          <w:position w:val="0"/>
          <w:sz w:val="44"/>
          <w:shd w:fill="FFFFFF" w:val="clear"/>
        </w:rPr>
      </w:pPr>
      <w:r>
        <w:rPr>
          <w:rFonts w:ascii="Times New Roman" w:hAnsi="Times New Roman" w:cs="Times New Roman" w:eastAsia="Times New Roman"/>
          <w:b/>
          <w:color w:val="auto"/>
          <w:spacing w:val="-10"/>
          <w:position w:val="0"/>
          <w:sz w:val="44"/>
          <w:shd w:fill="FFFFFF" w:val="clear"/>
        </w:rPr>
        <w:t xml:space="preserve">Skills Development in the Workplace</w:t>
      </w:r>
    </w:p>
    <w:p>
      <w:pPr>
        <w:spacing w:before="0" w:after="160" w:line="256"/>
        <w:ind w:right="0" w:left="0" w:firstLine="0"/>
        <w:jc w:val="center"/>
        <w:rPr>
          <w:rFonts w:ascii="Times New Roman" w:hAnsi="Times New Roman" w:cs="Times New Roman" w:eastAsia="Times New Roman"/>
          <w:color w:val="auto"/>
          <w:spacing w:val="-10"/>
          <w:position w:val="0"/>
          <w:sz w:val="36"/>
          <w:shd w:fill="FFFFFF" w:val="clear"/>
        </w:rPr>
      </w:pPr>
      <w:r>
        <w:rPr>
          <w:rFonts w:ascii="Times New Roman" w:hAnsi="Times New Roman" w:cs="Times New Roman" w:eastAsia="Times New Roman"/>
          <w:color w:val="auto"/>
          <w:spacing w:val="-10"/>
          <w:position w:val="0"/>
          <w:sz w:val="36"/>
          <w:shd w:fill="FFFFFF" w:val="clear"/>
        </w:rPr>
        <w:t xml:space="preserve">Module code: ACMA 4013</w:t>
      </w:r>
    </w:p>
    <w:p>
      <w:pPr>
        <w:spacing w:before="0" w:after="160" w:line="256"/>
        <w:ind w:right="0" w:left="0" w:firstLine="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10"/>
          <w:position w:val="0"/>
          <w:sz w:val="36"/>
          <w:shd w:fill="FFFFFF" w:val="clear"/>
        </w:rPr>
        <w:t xml:space="preserve">Assignment Title: Reflective Journal</w:t>
      </w:r>
    </w:p>
    <w:p>
      <w:pPr>
        <w:spacing w:before="0" w:after="160" w:line="256"/>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Task 1 and Task 2</w:t>
      </w:r>
    </w:p>
    <w:p>
      <w:pPr>
        <w:spacing w:before="0" w:after="160" w:line="256"/>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256"/>
        <w:ind w:right="0" w:left="0" w:firstLine="0"/>
        <w:jc w:val="left"/>
        <w:rPr>
          <w:rFonts w:ascii="Times New Roman" w:hAnsi="Times New Roman" w:cs="Times New Roman" w:eastAsia="Times New Roman"/>
          <w:color w:val="auto"/>
          <w:spacing w:val="0"/>
          <w:position w:val="0"/>
          <w:sz w:val="36"/>
          <w:shd w:fill="auto" w:val="clear"/>
        </w:rPr>
      </w:pPr>
    </w:p>
    <w:p>
      <w:pPr>
        <w:spacing w:before="0" w:after="160" w:line="256"/>
        <w:ind w:right="0" w:left="1440" w:firstLine="72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Student Name</w:t>
        <w:tab/>
        <w:tab/>
        <w:t xml:space="preserve">: Gejza Kandra</w:t>
      </w:r>
    </w:p>
    <w:p>
      <w:pPr>
        <w:spacing w:before="0" w:after="160" w:line="256"/>
        <w:ind w:right="0" w:left="1440" w:firstLine="72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Student ID</w:t>
        <w:tab/>
        <w:tab/>
        <w:t xml:space="preserve">:  2232661</w:t>
      </w:r>
    </w:p>
    <w:p>
      <w:pPr>
        <w:spacing w:before="0" w:after="160" w:line="256"/>
        <w:ind w:right="0" w:left="144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Lecturer’s name</w:t>
        <w:tab/>
        <w:t xml:space="preserve">:Dr. Moutushi Tanha</w:t>
      </w:r>
      <w:r>
        <w:rPr>
          <w:rFonts w:ascii="Times New Roman" w:hAnsi="Times New Roman" w:cs="Times New Roman" w:eastAsia="Times New Roman"/>
          <w:color w:val="auto"/>
          <w:spacing w:val="0"/>
          <w:position w:val="0"/>
          <w:sz w:val="24"/>
          <w:shd w:fill="auto" w:val="clear"/>
        </w:rPr>
        <w:t xml:space="preserve"> </w:t>
      </w:r>
    </w:p>
    <w:p>
      <w:pPr>
        <w:spacing w:before="0" w:after="160" w:line="256"/>
        <w:ind w:right="0" w:left="1440" w:firstLine="72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Introduction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ideas of Innovation and Society and Value Creation Pedagogy will be crucial structures to build on as we navigate the ever-changing landscapes in learning, business, and society. Renewable energy, vertical farming, inexpensive harvest storage, telecommunication services, and many other forms of innovation have drastically altered the way modern society functions. The Value Creation Pedagogy represents a revolutionary change in the classroom. This report will present my reflection based on the learning of these two topics.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Task 01</w:t>
      </w:r>
    </w:p>
    <w:p>
      <w:pPr>
        <w:keepNext w:val="true"/>
        <w:keepLines w:val="true"/>
        <w:spacing w:before="40" w:after="0" w:line="360"/>
        <w:ind w:right="0" w:left="0" w:firstLine="0"/>
        <w:jc w:val="both"/>
        <w:rPr>
          <w:rFonts w:ascii="Times New Roman" w:hAnsi="Times New Roman" w:cs="Times New Roman" w:eastAsia="Times New Roman"/>
          <w:b/>
          <w:color w:val="44546A"/>
          <w:spacing w:val="0"/>
          <w:position w:val="0"/>
          <w:sz w:val="28"/>
          <w:shd w:fill="auto" w:val="clear"/>
        </w:rPr>
      </w:pPr>
      <w:r>
        <w:rPr>
          <w:rFonts w:ascii="Times New Roman" w:hAnsi="Times New Roman" w:cs="Times New Roman" w:eastAsia="Times New Roman"/>
          <w:b/>
          <w:color w:val="44546A"/>
          <w:spacing w:val="0"/>
          <w:position w:val="0"/>
          <w:sz w:val="28"/>
          <w:shd w:fill="auto" w:val="clear"/>
        </w:rPr>
        <w:t xml:space="preserve">Reflection of Innovation and Society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People's lives and societies have changed a lot because of novel concepts and innovations. The way humans have been living has just changed in the last couple of centuries. The technical advancements of the 21st century have been enormous, and their effects are far-reaching. Innovation appears to be the driving force behind this societal shift on a worldwide scale. So here, I will consider what I have learned about Unit 1's focus topic, Innovation and Society.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 think about this topic, I frequently consider renewable sources of energy. I first heard of solar power in a high school physics class, where we discussed the enormous potential of sunshine to generate electricity. Renewable sources of energy, such as solar, wind, and hydro, have had a profound impact on modern life. Our electricity infrastructure is rapidly moving away from fossil fuels, and my home now has solar panels for backup power (Si et al., 2020). Although these inventions were first slow paced to be adopted due to high expenses and infrastructure limitations, their usefulness in fighting climate change eventually gained widespread acceptance and support.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impact of innovation can also be seen in the way that I eat. The idea of vertical farming, in which crops are produced in stacked layers (Tursunovich, 2023) inside a controlled environment, has recently piqued my interest. When I started buying vegetables from a nearby vertical farm, I was blown away by how fresh and delicious they were. These technologies are not only environmentally friendly, but they also offer a solution to the problem of food shortages and lessen our dependency on conventional farming methods. Besides, sustainability has become one of the key factors in the innovations that these new methods have mainly focused the environmental sustainability into the use of less land, water, and pesticides (Bogers et al., 2019).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creation of inexpensive methods of preserving harvests is another breakthrough that has had far-reaching effects on civilization. Improved supply of food and lower poverty levels are the results of this innovation for people living in developing regions (Aquilani et al., 2020). During my time as a volunteer in a firm, I saw how small-scale farmers there were using storage silos to keep their harvest safe from animals and the elements. This encouraging example of local innovation adoption taught me that even modest technological progress could have far-reaching social effects.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become prompted by thinking about how advances in communication technologies have altered both my own life and the world at large. Long-distance communication used to be a time-consuming and laborious process. I can have an instant conversation with anyone around the globe because of modern conveniences like smartphones, teleconferencing, and high-speed internet (Dahlander et al., 2021). The widespread adoption of these innovations has accelerated globalisation and facilitated the free flow of information and ideas. This shift has been facilitated by the rise of 5G networks, the IoT, and machine-to-machine interaction (Dahlander et al., 2021), all of which have been critical in the digitalisation of various industries. Not only have corporations benefited from this change, but so have other sectors, such as distance learning, healthcare, and interpersonal relationships (Bogers et al., 2019). Hence, I have become fascinated with the impact of innovation here on society.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Still, civilization has evolved with every invention. The rise of renewable energy has required adjustments to be made to infrastructure, legislation, and mindsets. While passing on information to farmers in outlying areas was necessary for cheap harvest storage, embracing non-traditional agricultural practices was necessary for vertical farming. Changes in social behaviour and the emergence of new academic disciplines like digital sociology can be traced back to the advent of modern communication technologies.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Looking back on my own experience with new technologies, I can see how they have profoundly altered our culture. The success of these inventions depends critically on the degree to which society is able to adopt and adapt to them. We are all interconnected parts of a symbiotic system in which invention propels societal transformation and societal shifts shape the future of innovation. I am looking forward to seeing where our growing synergy takes us in the decades to come as I keep an eye on our developing relationship.</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Task 02</w:t>
      </w:r>
    </w:p>
    <w:p>
      <w:pPr>
        <w:keepNext w:val="true"/>
        <w:keepLines w:val="true"/>
        <w:spacing w:before="40" w:after="0" w:line="360"/>
        <w:ind w:right="0" w:left="0" w:firstLine="0"/>
        <w:jc w:val="both"/>
        <w:rPr>
          <w:rFonts w:ascii="Times New Roman" w:hAnsi="Times New Roman" w:cs="Times New Roman" w:eastAsia="Times New Roman"/>
          <w:b/>
          <w:color w:val="44546A"/>
          <w:spacing w:val="0"/>
          <w:position w:val="0"/>
          <w:sz w:val="28"/>
          <w:shd w:fill="auto" w:val="clear"/>
        </w:rPr>
      </w:pPr>
      <w:r>
        <w:rPr>
          <w:rFonts w:ascii="Times New Roman" w:hAnsi="Times New Roman" w:cs="Times New Roman" w:eastAsia="Times New Roman"/>
          <w:b/>
          <w:color w:val="44546A"/>
          <w:spacing w:val="0"/>
          <w:position w:val="0"/>
          <w:sz w:val="28"/>
          <w:shd w:fill="auto" w:val="clear"/>
        </w:rPr>
        <w:t xml:space="preserve">Reflection of Value Creation Pedagogy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Throughout my studies so far in "Skills Development in the Workplace," the concept of Value Creation Pedagogy has been both fascinating and illuminating. I found that learning, according to proponents of Value Creation Pedagogy (Gabrielsson et al., 2020), is not simply a matter of taking in facts and figures, but rather an active, transforming process in which students, through their relationships with one another and the world around them, generate value for the greater good. This is consistent with changemaking initiatives, which advocates for people to make positive changes in their communities.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investigating this, I came across some fascinating findings about the influence of value creation education. Through my research, I have found that exposing students to the real world boosts their sense of agency, willingness to take the lead, and ability to communicate effectively. The process of adding value to the lives of others has boosted my motivation, deepened my understanding of the material, and shown me where I still need to improve. In addition, the framework promotes introspection by emphasising the value of group effort. A student's bravery and determination benefit from this paradigm when working in an unsteady academic setting (Wenger and Wenger-Trayner, 2020). In conclusion, I have noticed that students gain self-assurance and motivation when they receive feedback and benefit from outside resources.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 look back on my educational journey, I realise that the most meaningful educational experiences I have had were not the result of rote memorization or the rigorous adherence to conventional academic frameworks; rather, they were the result of the development of change-making abilities. Fundamentally, the goal of value creation pedagogy is to inspire students to become agents of change in the world by teaching them how to generate benefits for themselves and others (Peschl et al., 2021). I took a college course in social enterprise that provided one especially striking illustration. The lectures were replaced with the requirement that we find a problem in our community, develop a solution, and then put it into action as a business. Taking on this project challenged my creativity, made me more resourceful, and helped me become a stronger leader. A vital component of value creation pedagogy, it also highlighted the relationship between knowledge and application.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my research, I found that the fundamentals of value creation pedagogy have recently taken on a new form, but they continue to be just as innovative in the workplace. Employees are motivated to think and act like innovators within the company by seizing opportunities for innovation, developing creative solutions to problems, and taking charge of their own implementation. This approach is known as intrapreneurship (Johnston et al., 2019). By encouraging the invention of original ideas, accepting responsibility, and striving for ongoing improvement, this mindset is consistent with the value creation pedagogy. As a result of adopting these procedures, there is now a virtuous cycle that benefits the individual and the company (Dreamson, 2020). My outlook on development as a whole has been influenced by this concern for value creation. Learning, in my opinion, is now more of a circular process with various feedback loops than a straight line to a predetermined destination. Effective learning, according to the principle of transformative learning, necessitates a shift in one's preexisting worldview or set of assumptions.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 my own experiences, I have come to realise how much value creation pedagogy can offer. By emphasising the importance of creating change, it encourages students to become agents of their own learning and the world around them. It's a great environment for developing original ideas, a sense of initiative, and a concern for others. In addition, it encourages a mindset of continuous education, wherein people are motivated to study because they want to make a difference in the world. Hence, with the idea, I will be able to change the world with better policymaking activities.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Conclusion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Reflecting on innovation and society, as well as Value Creation Pedagogy's beneficial potential, has illuminated how the world is shifting and how we, as students and members, are adjusting. Technological and pedagogical innovations have a major impact on work, school, and personal life. Hence, with the proper knowledge and implementation of the matters, we will be able to prosper individually and collectively. </w:t>
        <w:t xml:space="preserve"> </w:t>
      </w:r>
    </w:p>
    <w:p>
      <w:pPr>
        <w:spacing w:before="0" w:after="160" w:line="360"/>
        <w:ind w:right="0" w:left="0" w:firstLine="0"/>
        <w:jc w:val="both"/>
        <w:rPr>
          <w:rFonts w:ascii="Times New Roman" w:hAnsi="Times New Roman" w:cs="Times New Roman" w:eastAsia="Times New Roman"/>
          <w:color w:val="2F5496"/>
          <w:spacing w:val="0"/>
          <w:position w:val="0"/>
          <w:sz w:val="36"/>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Reference</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Aquilani, B., Piccarozzi, M., Abbate, T. and Codini, A., 2020. The role of open innovation and value co-creation in the challenging transition from industry 4.0 to society 5.0: Toward a theoretical framework. </w:t>
      </w:r>
      <w:r>
        <w:rPr>
          <w:rFonts w:ascii="Times New Roman" w:hAnsi="Times New Roman" w:cs="Times New Roman" w:eastAsia="Times New Roman"/>
          <w:i/>
          <w:color w:val="222222"/>
          <w:spacing w:val="0"/>
          <w:position w:val="0"/>
          <w:sz w:val="24"/>
          <w:shd w:fill="FFFFFF" w:val="clear"/>
        </w:rPr>
        <w:t xml:space="preserve">Sustainability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12</w:t>
      </w:r>
      <w:r>
        <w:rPr>
          <w:rFonts w:ascii="Times New Roman" w:hAnsi="Times New Roman" w:cs="Times New Roman" w:eastAsia="Times New Roman"/>
          <w:color w:val="222222"/>
          <w:spacing w:val="0"/>
          <w:position w:val="0"/>
          <w:sz w:val="24"/>
          <w:shd w:fill="FFFFFF" w:val="clear"/>
        </w:rPr>
        <w:t xml:space="preserve">(21), p.8943.</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Bogers, M., Chesbrough, H., Heaton, S. and Teece, D.J., 2019. Strategic management of open innovation: A dynamic capabilities perspective. </w:t>
      </w:r>
      <w:r>
        <w:rPr>
          <w:rFonts w:ascii="Times New Roman" w:hAnsi="Times New Roman" w:cs="Times New Roman" w:eastAsia="Times New Roman"/>
          <w:i/>
          <w:color w:val="222222"/>
          <w:spacing w:val="0"/>
          <w:position w:val="0"/>
          <w:sz w:val="24"/>
          <w:shd w:fill="FFFFFF" w:val="clear"/>
        </w:rPr>
        <w:t xml:space="preserve">California Management Review</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62</w:t>
      </w:r>
      <w:r>
        <w:rPr>
          <w:rFonts w:ascii="Times New Roman" w:hAnsi="Times New Roman" w:cs="Times New Roman" w:eastAsia="Times New Roman"/>
          <w:color w:val="222222"/>
          <w:spacing w:val="0"/>
          <w:position w:val="0"/>
          <w:sz w:val="24"/>
          <w:shd w:fill="FFFFFF" w:val="clear"/>
        </w:rPr>
        <w:t xml:space="preserve">(1), pp.77-94.</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Dahlander, L., Gann, D.M. and Wallin, M.W., 2021. How open is innovation? A retrospective and ideas forward. </w:t>
      </w:r>
      <w:r>
        <w:rPr>
          <w:rFonts w:ascii="Times New Roman" w:hAnsi="Times New Roman" w:cs="Times New Roman" w:eastAsia="Times New Roman"/>
          <w:i/>
          <w:color w:val="222222"/>
          <w:spacing w:val="0"/>
          <w:position w:val="0"/>
          <w:sz w:val="24"/>
          <w:shd w:fill="FFFFFF" w:val="clear"/>
        </w:rPr>
        <w:t xml:space="preserve">Research Policy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50</w:t>
      </w:r>
      <w:r>
        <w:rPr>
          <w:rFonts w:ascii="Times New Roman" w:hAnsi="Times New Roman" w:cs="Times New Roman" w:eastAsia="Times New Roman"/>
          <w:color w:val="222222"/>
          <w:spacing w:val="0"/>
          <w:position w:val="0"/>
          <w:sz w:val="24"/>
          <w:shd w:fill="FFFFFF" w:val="clear"/>
        </w:rPr>
        <w:t xml:space="preserve">(4), p.104218.</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Dreamson, N., 2020. Online design education: meta</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connective pedagogy.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International Journal of Art &amp; Design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39</w:t>
      </w:r>
      <w:r>
        <w:rPr>
          <w:rFonts w:ascii="Times New Roman" w:hAnsi="Times New Roman" w:cs="Times New Roman" w:eastAsia="Times New Roman"/>
          <w:color w:val="222222"/>
          <w:spacing w:val="0"/>
          <w:position w:val="0"/>
          <w:sz w:val="24"/>
          <w:shd w:fill="FFFFFF" w:val="clear"/>
        </w:rPr>
        <w:t xml:space="preserve">(3), pp.483-497.</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Gabrielsson, J., Hägg, G., Landström, H. and Politis, D., 2020. Connecting the past with the present: the development of research on pedagogy in entrepreneurial education. </w:t>
      </w:r>
      <w:r>
        <w:rPr>
          <w:rFonts w:ascii="Times New Roman" w:hAnsi="Times New Roman" w:cs="Times New Roman" w:eastAsia="Times New Roman"/>
          <w:i/>
          <w:color w:val="222222"/>
          <w:spacing w:val="0"/>
          <w:position w:val="0"/>
          <w:sz w:val="24"/>
          <w:shd w:fill="FFFFFF" w:val="clear"/>
        </w:rPr>
        <w:t xml:space="preserve">Education+ Training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62</w:t>
      </w:r>
      <w:r>
        <w:rPr>
          <w:rFonts w:ascii="Times New Roman" w:hAnsi="Times New Roman" w:cs="Times New Roman" w:eastAsia="Times New Roman"/>
          <w:color w:val="222222"/>
          <w:spacing w:val="0"/>
          <w:position w:val="0"/>
          <w:sz w:val="24"/>
          <w:shd w:fill="FFFFFF" w:val="clear"/>
        </w:rPr>
        <w:t xml:space="preserve">(9), pp.1061-1086.</w:t>
      </w:r>
    </w:p>
    <w:p>
      <w:pPr>
        <w:spacing w:before="0" w:after="16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222222"/>
          <w:spacing w:val="0"/>
          <w:position w:val="0"/>
          <w:sz w:val="24"/>
          <w:shd w:fill="FFFFFF" w:val="clear"/>
        </w:rPr>
        <w:t xml:space="preserve">Johnston, B., MacNeill, S. and Smyth, K., 2019. </w:t>
      </w:r>
      <w:r>
        <w:rPr>
          <w:rFonts w:ascii="Times New Roman" w:hAnsi="Times New Roman" w:cs="Times New Roman" w:eastAsia="Times New Roman"/>
          <w:i/>
          <w:color w:val="222222"/>
          <w:spacing w:val="0"/>
          <w:position w:val="0"/>
          <w:sz w:val="24"/>
          <w:shd w:fill="FFFFFF" w:val="clear"/>
        </w:rPr>
        <w:t xml:space="preserve">Conceptualising the digital university: The intersection of policy, pedagogy and practice</w:t>
      </w:r>
      <w:r>
        <w:rPr>
          <w:rFonts w:ascii="Times New Roman" w:hAnsi="Times New Roman" w:cs="Times New Roman" w:eastAsia="Times New Roman"/>
          <w:color w:val="222222"/>
          <w:spacing w:val="0"/>
          <w:position w:val="0"/>
          <w:sz w:val="24"/>
          <w:shd w:fill="FFFFFF" w:val="clear"/>
        </w:rPr>
        <w:t xml:space="preserve">. Springer.</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Peschl, H., Deng, C. and Larson, N., 2021. Entrepreneurial thinking: A signature pedagogy for an uncertain 21st century. </w:t>
      </w:r>
      <w:r>
        <w:rPr>
          <w:rFonts w:ascii="Times New Roman" w:hAnsi="Times New Roman" w:cs="Times New Roman" w:eastAsia="Times New Roman"/>
          <w:i/>
          <w:color w:val="222222"/>
          <w:spacing w:val="0"/>
          <w:position w:val="0"/>
          <w:sz w:val="24"/>
          <w:shd w:fill="FFFFFF" w:val="clear"/>
        </w:rPr>
        <w:t xml:space="preserve">The International Journal of Management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19</w:t>
      </w:r>
      <w:r>
        <w:rPr>
          <w:rFonts w:ascii="Times New Roman" w:hAnsi="Times New Roman" w:cs="Times New Roman" w:eastAsia="Times New Roman"/>
          <w:color w:val="222222"/>
          <w:spacing w:val="0"/>
          <w:position w:val="0"/>
          <w:sz w:val="24"/>
          <w:shd w:fill="FFFFFF" w:val="clear"/>
        </w:rPr>
        <w:t xml:space="preserve">(1), p.100427.</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Si, S., Ahlstrom, D., Wei, J. and Cullen, J., 2020. Business, entrepreneurship and innovation toward poverty reduction. </w:t>
      </w:r>
      <w:r>
        <w:rPr>
          <w:rFonts w:ascii="Times New Roman" w:hAnsi="Times New Roman" w:cs="Times New Roman" w:eastAsia="Times New Roman"/>
          <w:i/>
          <w:color w:val="222222"/>
          <w:spacing w:val="0"/>
          <w:position w:val="0"/>
          <w:sz w:val="24"/>
          <w:shd w:fill="FFFFFF" w:val="clear"/>
        </w:rPr>
        <w:t xml:space="preserve">Entrepreneurship &amp; Regional Development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32</w:t>
      </w:r>
      <w:r>
        <w:rPr>
          <w:rFonts w:ascii="Times New Roman" w:hAnsi="Times New Roman" w:cs="Times New Roman" w:eastAsia="Times New Roman"/>
          <w:color w:val="222222"/>
          <w:spacing w:val="0"/>
          <w:position w:val="0"/>
          <w:sz w:val="24"/>
          <w:shd w:fill="FFFFFF" w:val="clear"/>
        </w:rPr>
        <w:t xml:space="preserve">(1-2), pp.1-20.</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Tursunovich, R.I., 2023. Development of Communicative Competence in Teaching Foreign Language for Professional Purposes. In </w:t>
      </w:r>
      <w:r>
        <w:rPr>
          <w:rFonts w:ascii="Times New Roman" w:hAnsi="Times New Roman" w:cs="Times New Roman" w:eastAsia="Times New Roman"/>
          <w:i/>
          <w:color w:val="222222"/>
          <w:spacing w:val="0"/>
          <w:position w:val="0"/>
          <w:sz w:val="24"/>
          <w:shd w:fill="FFFFFF" w:val="clear"/>
        </w:rPr>
        <w:t xml:space="preserve">Proceedings of International Conference on Scientific Research in Natural and Social Sciences</w:t>
      </w:r>
      <w:r>
        <w:rPr>
          <w:rFonts w:ascii="Times New Roman" w:hAnsi="Times New Roman" w:cs="Times New Roman" w:eastAsia="Times New Roman"/>
          <w:color w:val="222222"/>
          <w:spacing w:val="0"/>
          <w:position w:val="0"/>
          <w:sz w:val="24"/>
          <w:shd w:fill="FFFFFF" w:val="clear"/>
        </w:rPr>
        <w:t xml:space="preserve"> (Vol. 2, No. 1, pp. 26-33).</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Wenger, E. and Wenger-Trayner, B., 2020. </w:t>
      </w:r>
      <w:r>
        <w:rPr>
          <w:rFonts w:ascii="Times New Roman" w:hAnsi="Times New Roman" w:cs="Times New Roman" w:eastAsia="Times New Roman"/>
          <w:i/>
          <w:color w:val="222222"/>
          <w:spacing w:val="0"/>
          <w:position w:val="0"/>
          <w:sz w:val="24"/>
          <w:shd w:fill="FFFFFF" w:val="clear"/>
        </w:rPr>
        <w:t xml:space="preserve">Learning to make a difference: Value creation in social learning spaces</w:t>
      </w:r>
      <w:r>
        <w:rPr>
          <w:rFonts w:ascii="Times New Roman" w:hAnsi="Times New Roman" w:cs="Times New Roman" w:eastAsia="Times New Roman"/>
          <w:color w:val="222222"/>
          <w:spacing w:val="0"/>
          <w:position w:val="0"/>
          <w:sz w:val="24"/>
          <w:shd w:fill="FFFFFF" w:val="clear"/>
        </w:rPr>
        <w:t xml:space="preserve">. Cambridge university press.</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