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5FD8" w14:textId="0E05393C" w:rsidR="0038109C" w:rsidRPr="003529AC" w:rsidRDefault="003529AC" w:rsidP="003529AC">
      <w:pPr>
        <w:jc w:val="center"/>
        <w:rPr>
          <w:b/>
          <w:bCs/>
          <w:i/>
          <w:iCs/>
          <w:u w:val="single"/>
        </w:rPr>
      </w:pPr>
      <w:r w:rsidRPr="003529AC">
        <w:rPr>
          <w:b/>
          <w:bCs/>
          <w:i/>
          <w:iCs/>
          <w:u w:val="single"/>
        </w:rPr>
        <w:t>PC 2315 Callum Lee Higgins</w:t>
      </w:r>
    </w:p>
    <w:p w14:paraId="61824F4A" w14:textId="38EA427B" w:rsidR="003529AC" w:rsidRPr="003529AC" w:rsidRDefault="003529AC" w:rsidP="003529AC">
      <w:pPr>
        <w:jc w:val="center"/>
        <w:rPr>
          <w:b/>
          <w:bCs/>
          <w:i/>
          <w:iCs/>
          <w:u w:val="single"/>
        </w:rPr>
      </w:pPr>
      <w:r w:rsidRPr="003529AC">
        <w:rPr>
          <w:b/>
          <w:bCs/>
          <w:i/>
          <w:iCs/>
          <w:u w:val="single"/>
        </w:rPr>
        <w:t>Student 2029651</w:t>
      </w:r>
    </w:p>
    <w:p w14:paraId="14B68A09" w14:textId="79717062" w:rsidR="003529AC" w:rsidRPr="003529AC" w:rsidRDefault="003529AC" w:rsidP="003529AC">
      <w:pPr>
        <w:jc w:val="center"/>
        <w:rPr>
          <w:b/>
          <w:bCs/>
          <w:i/>
          <w:iCs/>
          <w:u w:val="single"/>
        </w:rPr>
      </w:pPr>
      <w:r w:rsidRPr="003529AC">
        <w:rPr>
          <w:b/>
          <w:bCs/>
          <w:i/>
          <w:iCs/>
          <w:u w:val="single"/>
        </w:rPr>
        <w:t>Cohort 4/21</w:t>
      </w:r>
    </w:p>
    <w:p w14:paraId="24440B63" w14:textId="1C04A086" w:rsidR="003529AC" w:rsidRDefault="003529AC" w:rsidP="003529AC">
      <w:pPr>
        <w:jc w:val="center"/>
        <w:rPr>
          <w:b/>
          <w:bCs/>
          <w:i/>
          <w:iCs/>
          <w:u w:val="single"/>
        </w:rPr>
      </w:pPr>
      <w:r w:rsidRPr="003529AC">
        <w:rPr>
          <w:b/>
          <w:bCs/>
          <w:i/>
          <w:iCs/>
          <w:u w:val="single"/>
        </w:rPr>
        <w:t>Academic Assignment 1</w:t>
      </w:r>
    </w:p>
    <w:p w14:paraId="788EF7F6" w14:textId="6B1AAA2B" w:rsidR="003529AC" w:rsidRDefault="003529AC" w:rsidP="003529AC">
      <w:pPr>
        <w:jc w:val="center"/>
        <w:rPr>
          <w:b/>
          <w:bCs/>
          <w:i/>
          <w:iCs/>
          <w:u w:val="single"/>
        </w:rPr>
      </w:pPr>
      <w:r>
        <w:rPr>
          <w:b/>
          <w:bCs/>
          <w:i/>
          <w:iCs/>
          <w:u w:val="single"/>
        </w:rPr>
        <w:t>Due 7</w:t>
      </w:r>
      <w:r w:rsidRPr="003529AC">
        <w:rPr>
          <w:b/>
          <w:bCs/>
          <w:i/>
          <w:iCs/>
          <w:u w:val="single"/>
          <w:vertAlign w:val="superscript"/>
        </w:rPr>
        <w:t>th</w:t>
      </w:r>
      <w:r>
        <w:rPr>
          <w:b/>
          <w:bCs/>
          <w:i/>
          <w:iCs/>
          <w:u w:val="single"/>
        </w:rPr>
        <w:t xml:space="preserve"> March 2023</w:t>
      </w:r>
    </w:p>
    <w:p w14:paraId="1E3E1637" w14:textId="4EE6F48D" w:rsidR="003529AC" w:rsidRDefault="003529AC" w:rsidP="003529AC">
      <w:pPr>
        <w:jc w:val="center"/>
        <w:rPr>
          <w:b/>
          <w:bCs/>
          <w:i/>
          <w:iCs/>
          <w:u w:val="single"/>
        </w:rPr>
      </w:pPr>
    </w:p>
    <w:p w14:paraId="0D40A463" w14:textId="03EF114E" w:rsidR="003529AC" w:rsidRDefault="003529AC" w:rsidP="003529AC">
      <w:pPr>
        <w:jc w:val="center"/>
        <w:rPr>
          <w:b/>
          <w:bCs/>
          <w:i/>
          <w:iCs/>
          <w:u w:val="single"/>
        </w:rPr>
      </w:pPr>
    </w:p>
    <w:p w14:paraId="05779EAD" w14:textId="5100853F" w:rsidR="003529AC" w:rsidRPr="003529AC" w:rsidRDefault="003529AC" w:rsidP="003529AC">
      <w:pPr>
        <w:jc w:val="center"/>
        <w:rPr>
          <w:b/>
          <w:bCs/>
          <w:i/>
          <w:iCs/>
          <w:u w:val="single"/>
        </w:rPr>
      </w:pPr>
      <w:r>
        <w:rPr>
          <w:b/>
          <w:bCs/>
          <w:i/>
          <w:iCs/>
          <w:u w:val="single"/>
        </w:rPr>
        <w:t>Question One</w:t>
      </w:r>
    </w:p>
    <w:p w14:paraId="7C3BD275" w14:textId="17C0F9DD" w:rsidR="003529AC" w:rsidRDefault="003529AC"/>
    <w:p w14:paraId="3001D7EC" w14:textId="77777777" w:rsidR="003529AC" w:rsidRDefault="003529AC" w:rsidP="003529AC">
      <w:pPr>
        <w:spacing w:after="0" w:line="276" w:lineRule="auto"/>
        <w:ind w:left="567" w:right="531"/>
        <w:jc w:val="center"/>
        <w:rPr>
          <w:rFonts w:ascii="Arial" w:eastAsia="Times New Roman" w:hAnsi="Arial" w:cs="Arial"/>
          <w:b/>
          <w:bCs/>
          <w:i/>
          <w:iCs/>
          <w:u w:val="single"/>
          <w:lang w:eastAsia="en-GB"/>
        </w:rPr>
      </w:pPr>
      <w:r w:rsidRPr="009D4885">
        <w:rPr>
          <w:rFonts w:ascii="Arial" w:eastAsia="Times New Roman" w:hAnsi="Arial" w:cs="Arial"/>
          <w:b/>
          <w:bCs/>
          <w:i/>
          <w:iCs/>
          <w:u w:val="single"/>
          <w:lang w:eastAsia="en-GB"/>
        </w:rPr>
        <w:t>Introduction</w:t>
      </w:r>
    </w:p>
    <w:p w14:paraId="51C54F6D" w14:textId="77777777" w:rsidR="003529AC" w:rsidRPr="009D4885" w:rsidRDefault="003529AC" w:rsidP="003529AC">
      <w:pPr>
        <w:spacing w:after="0" w:line="276" w:lineRule="auto"/>
        <w:ind w:left="567" w:right="531"/>
        <w:jc w:val="center"/>
        <w:rPr>
          <w:rFonts w:ascii="Arial" w:eastAsia="Times New Roman" w:hAnsi="Arial" w:cs="Arial"/>
          <w:b/>
          <w:bCs/>
          <w:i/>
          <w:iCs/>
          <w:u w:val="single"/>
          <w:lang w:eastAsia="en-GB"/>
        </w:rPr>
      </w:pPr>
    </w:p>
    <w:p w14:paraId="1984E882" w14:textId="77777777" w:rsidR="003529AC" w:rsidRDefault="003529AC" w:rsidP="003529AC">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This essay will explore and analyse the effectiveness of the independent organisations responsible for the examination of policing organisations operating within the United Kingdom, and their responsive impact on these policing organisations, including the effect that the outcomes of their analyses have on the policing organisations, utilising sources that demonstrate this effect. </w:t>
      </w:r>
    </w:p>
    <w:p w14:paraId="1AD889E3" w14:textId="77777777" w:rsidR="003529AC" w:rsidRDefault="003529AC" w:rsidP="003529AC">
      <w:pPr>
        <w:spacing w:after="0" w:line="276" w:lineRule="auto"/>
        <w:ind w:left="567" w:right="531"/>
        <w:rPr>
          <w:rFonts w:ascii="Arial" w:eastAsia="Times New Roman" w:hAnsi="Arial" w:cs="Arial"/>
          <w:lang w:eastAsia="en-GB"/>
        </w:rPr>
      </w:pPr>
    </w:p>
    <w:p w14:paraId="002E87F6" w14:textId="77777777" w:rsidR="003529AC" w:rsidRPr="00792073" w:rsidRDefault="003529AC" w:rsidP="003529AC">
      <w:pPr>
        <w:spacing w:after="0" w:line="276" w:lineRule="auto"/>
        <w:ind w:left="567" w:right="531"/>
        <w:jc w:val="center"/>
        <w:rPr>
          <w:rFonts w:ascii="Arial" w:eastAsia="Times New Roman" w:hAnsi="Arial" w:cs="Arial"/>
          <w:b/>
          <w:bCs/>
          <w:i/>
          <w:iCs/>
          <w:u w:val="single"/>
          <w:lang w:eastAsia="en-GB"/>
        </w:rPr>
      </w:pPr>
      <w:r>
        <w:rPr>
          <w:rFonts w:ascii="Arial" w:eastAsia="Times New Roman" w:hAnsi="Arial" w:cs="Arial"/>
          <w:b/>
          <w:bCs/>
          <w:i/>
          <w:iCs/>
          <w:u w:val="single"/>
          <w:lang w:eastAsia="en-GB"/>
        </w:rPr>
        <w:t xml:space="preserve"> HMIC (Her Majesty’s Inspectorate of Constabulary) </w:t>
      </w:r>
    </w:p>
    <w:p w14:paraId="14228837" w14:textId="77777777" w:rsidR="003529AC" w:rsidRDefault="003529AC" w:rsidP="003529AC">
      <w:pPr>
        <w:spacing w:after="0" w:line="276" w:lineRule="auto"/>
        <w:ind w:left="567" w:right="531"/>
        <w:rPr>
          <w:rFonts w:ascii="Arial" w:eastAsia="Times New Roman" w:hAnsi="Arial" w:cs="Arial"/>
          <w:lang w:eastAsia="en-GB"/>
        </w:rPr>
      </w:pPr>
    </w:p>
    <w:p w14:paraId="0BD06107" w14:textId="77777777" w:rsidR="003529AC" w:rsidRDefault="003529AC" w:rsidP="003529AC">
      <w:pPr>
        <w:spacing w:after="0" w:line="276" w:lineRule="auto"/>
        <w:ind w:left="567" w:right="531"/>
        <w:rPr>
          <w:rFonts w:ascii="Arial" w:eastAsia="Times New Roman" w:hAnsi="Arial" w:cs="Arial"/>
          <w:i/>
          <w:iCs/>
          <w:lang w:eastAsia="en-GB"/>
        </w:rPr>
      </w:pPr>
      <w:r w:rsidRPr="00931EAB">
        <w:rPr>
          <w:rFonts w:ascii="Arial" w:eastAsia="Times New Roman" w:hAnsi="Arial" w:cs="Arial"/>
          <w:i/>
          <w:iCs/>
          <w:lang w:eastAsia="en-GB"/>
        </w:rPr>
        <w:t xml:space="preserve">HMIC are an external inspecting body of the police, </w:t>
      </w:r>
      <w:r w:rsidRPr="00931EAB">
        <w:rPr>
          <w:rFonts w:ascii="Arial" w:eastAsia="Times New Roman" w:hAnsi="Arial" w:cs="Arial"/>
          <w:lang w:eastAsia="en-GB"/>
        </w:rPr>
        <w:t>(UK Government 2023</w:t>
      </w:r>
      <w:r>
        <w:rPr>
          <w:rFonts w:ascii="Arial" w:eastAsia="Times New Roman" w:hAnsi="Arial" w:cs="Arial"/>
          <w:lang w:eastAsia="en-GB"/>
        </w:rPr>
        <w:t>.</w:t>
      </w:r>
      <w:r w:rsidRPr="00931EAB">
        <w:rPr>
          <w:rFonts w:ascii="Arial" w:eastAsia="Times New Roman" w:hAnsi="Arial" w:cs="Arial"/>
          <w:i/>
          <w:iCs/>
          <w:lang w:eastAsia="en-GB"/>
        </w:rPr>
        <w:t xml:space="preserve"> the necessity for an external body of investigation into the functionality and performance of policing actions is brought into question (Dr.</w:t>
      </w:r>
      <w:r>
        <w:rPr>
          <w:rFonts w:ascii="Arial" w:eastAsia="Times New Roman" w:hAnsi="Arial" w:cs="Arial"/>
          <w:i/>
          <w:iCs/>
          <w:lang w:eastAsia="en-GB"/>
        </w:rPr>
        <w:t xml:space="preserve"> </w:t>
      </w:r>
      <w:r w:rsidRPr="00931EAB">
        <w:rPr>
          <w:rFonts w:ascii="Arial" w:eastAsia="Times New Roman" w:hAnsi="Arial" w:cs="Arial"/>
          <w:i/>
          <w:iCs/>
          <w:lang w:eastAsia="en-GB"/>
        </w:rPr>
        <w:t>Rob Mawby</w:t>
      </w:r>
      <w:r>
        <w:rPr>
          <w:rFonts w:ascii="Arial" w:eastAsia="Times New Roman" w:hAnsi="Arial" w:cs="Arial"/>
          <w:i/>
          <w:iCs/>
          <w:lang w:eastAsia="en-GB"/>
        </w:rPr>
        <w:t xml:space="preserve"> </w:t>
      </w:r>
      <w:r w:rsidRPr="00931EAB">
        <w:rPr>
          <w:rFonts w:ascii="Arial" w:eastAsia="Times New Roman" w:hAnsi="Arial" w:cs="Arial"/>
          <w:i/>
          <w:iCs/>
          <w:lang w:eastAsia="en-GB"/>
        </w:rPr>
        <w:t xml:space="preserve">2005). It is demonstrated that police accountability stems from the crown and public expectations in service delivery, not through political responsibility; negative precedent in the purpose of policing where the government currently determines key national policing objectives as outlined by the tripartite system 1994 and the police reform act of 2002 (Mawby and Wright 2003). </w:t>
      </w:r>
    </w:p>
    <w:p w14:paraId="5427107B" w14:textId="77777777" w:rsidR="003529AC" w:rsidRDefault="003529AC" w:rsidP="003529AC">
      <w:pPr>
        <w:spacing w:after="0" w:line="276" w:lineRule="auto"/>
        <w:ind w:left="567" w:right="531"/>
        <w:rPr>
          <w:rFonts w:ascii="Arial" w:eastAsia="Times New Roman" w:hAnsi="Arial" w:cs="Arial"/>
          <w:i/>
          <w:iCs/>
          <w:lang w:eastAsia="en-GB"/>
        </w:rPr>
      </w:pPr>
      <w:r>
        <w:rPr>
          <w:rFonts w:ascii="Arial" w:eastAsia="Times New Roman" w:hAnsi="Arial" w:cs="Arial"/>
          <w:i/>
          <w:iCs/>
          <w:lang w:eastAsia="en-GB"/>
        </w:rPr>
        <w:t xml:space="preserve">The expectation that police misconduct investigations should be conducted by external agencies is an example as to how public confidence in policing has been damaged, whereby external agencies have found the police being held responsible on the basis of mistakes in the methodology of actions. </w:t>
      </w:r>
    </w:p>
    <w:p w14:paraId="79B020E5" w14:textId="77777777" w:rsidR="003529AC" w:rsidRDefault="003529AC" w:rsidP="003529AC">
      <w:pPr>
        <w:spacing w:after="0" w:line="276" w:lineRule="auto"/>
        <w:ind w:left="567" w:right="531"/>
        <w:rPr>
          <w:rFonts w:ascii="Arial" w:eastAsia="Times New Roman" w:hAnsi="Arial" w:cs="Arial"/>
          <w:i/>
          <w:iCs/>
          <w:lang w:eastAsia="en-GB"/>
        </w:rPr>
      </w:pPr>
    </w:p>
    <w:p w14:paraId="74EAD7EA" w14:textId="77777777" w:rsidR="003529AC" w:rsidRPr="00931EAB" w:rsidRDefault="003529AC" w:rsidP="003529AC">
      <w:pPr>
        <w:spacing w:after="0" w:line="276" w:lineRule="auto"/>
        <w:ind w:left="567" w:right="531"/>
        <w:rPr>
          <w:rFonts w:ascii="Arial" w:eastAsia="Times New Roman" w:hAnsi="Arial" w:cs="Arial"/>
          <w:lang w:eastAsia="en-GB"/>
        </w:rPr>
      </w:pPr>
      <w:r>
        <w:rPr>
          <w:rFonts w:ascii="Arial" w:eastAsia="Times New Roman" w:hAnsi="Arial" w:cs="Arial"/>
          <w:i/>
          <w:iCs/>
          <w:lang w:eastAsia="en-GB"/>
        </w:rPr>
        <w:t xml:space="preserve">Poor confidence in the police has led to lack of cooperation on the basis of poor confidence displayed by the public. </w:t>
      </w:r>
    </w:p>
    <w:p w14:paraId="706A2D68" w14:textId="77777777" w:rsidR="003529AC" w:rsidRDefault="003529AC" w:rsidP="003529AC">
      <w:pPr>
        <w:spacing w:after="0" w:line="276" w:lineRule="auto"/>
        <w:ind w:right="531"/>
        <w:rPr>
          <w:rFonts w:ascii="Arial" w:eastAsia="Times New Roman" w:hAnsi="Arial" w:cs="Arial"/>
          <w:lang w:eastAsia="en-GB"/>
        </w:rPr>
      </w:pPr>
    </w:p>
    <w:p w14:paraId="345CE34C" w14:textId="77777777" w:rsidR="003529AC" w:rsidRDefault="003529AC" w:rsidP="003529AC">
      <w:pPr>
        <w:spacing w:after="0" w:line="276" w:lineRule="auto"/>
        <w:ind w:left="567" w:right="531"/>
        <w:rPr>
          <w:rFonts w:ascii="Arial" w:eastAsia="Times New Roman" w:hAnsi="Arial" w:cs="Arial"/>
          <w:lang w:eastAsia="en-GB"/>
        </w:rPr>
      </w:pPr>
    </w:p>
    <w:p w14:paraId="6A889F77" w14:textId="77777777" w:rsidR="003529AC" w:rsidRDefault="003529AC" w:rsidP="003529AC">
      <w:pPr>
        <w:spacing w:after="0" w:line="276" w:lineRule="auto"/>
        <w:ind w:left="567" w:right="531"/>
        <w:jc w:val="center"/>
        <w:rPr>
          <w:rFonts w:ascii="Arial" w:eastAsia="Times New Roman" w:hAnsi="Arial" w:cs="Arial"/>
          <w:b/>
          <w:bCs/>
          <w:i/>
          <w:iCs/>
          <w:u w:val="single"/>
          <w:lang w:eastAsia="en-GB"/>
        </w:rPr>
      </w:pPr>
      <w:r w:rsidRPr="006000F7">
        <w:rPr>
          <w:rFonts w:ascii="Arial" w:eastAsia="Times New Roman" w:hAnsi="Arial" w:cs="Arial"/>
          <w:b/>
          <w:bCs/>
          <w:i/>
          <w:iCs/>
          <w:u w:val="single"/>
          <w:lang w:eastAsia="en-GB"/>
        </w:rPr>
        <w:t>IOPC</w:t>
      </w:r>
      <w:r>
        <w:rPr>
          <w:rFonts w:ascii="Arial" w:eastAsia="Times New Roman" w:hAnsi="Arial" w:cs="Arial"/>
          <w:b/>
          <w:bCs/>
          <w:i/>
          <w:iCs/>
          <w:u w:val="single"/>
          <w:lang w:eastAsia="en-GB"/>
        </w:rPr>
        <w:t xml:space="preserve"> Case Study</w:t>
      </w:r>
    </w:p>
    <w:p w14:paraId="165A95AA" w14:textId="77777777" w:rsidR="003529AC" w:rsidRDefault="003529AC" w:rsidP="003529AC">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Police Officers from the Metropolitan Police received a report of a male in possession of a screwdriver, causing a disturbance on Chelsea Bridge in London. (BBC News 2022) The male became hostile towards officers, displaying active resistance. One of two responding officers then drew his Thomas. A. Swift Electrical Rifle (TASER) and fired at the male. The male did not react to the TASER, climbed onto the barrier of the bridge and jumped into the river Thames whilst the prongs from the TASER were still </w:t>
      </w:r>
      <w:r>
        <w:rPr>
          <w:rFonts w:ascii="Arial" w:eastAsia="Times New Roman" w:hAnsi="Arial" w:cs="Arial"/>
          <w:lang w:eastAsia="en-GB"/>
        </w:rPr>
        <w:lastRenderedPageBreak/>
        <w:t xml:space="preserve">attached to him. In this case, it was concluded by the IOPC that the officer was correct in the use of force under the circumstances, however the public lost confidence in the police as a result of this incident. </w:t>
      </w:r>
    </w:p>
    <w:p w14:paraId="2C2C50C8" w14:textId="77777777" w:rsidR="003529AC" w:rsidRDefault="003529AC" w:rsidP="003529AC">
      <w:pPr>
        <w:spacing w:after="0" w:line="276" w:lineRule="auto"/>
        <w:ind w:left="567" w:right="531"/>
        <w:rPr>
          <w:rFonts w:ascii="Arial" w:eastAsia="Times New Roman" w:hAnsi="Arial" w:cs="Arial"/>
          <w:lang w:eastAsia="en-GB"/>
        </w:rPr>
      </w:pPr>
    </w:p>
    <w:p w14:paraId="3B23E112" w14:textId="77777777" w:rsidR="003529AC" w:rsidRDefault="003529AC" w:rsidP="003529AC">
      <w:pPr>
        <w:spacing w:after="0" w:line="276" w:lineRule="auto"/>
        <w:ind w:right="531"/>
        <w:jc w:val="both"/>
        <w:rPr>
          <w:rFonts w:ascii="Arial" w:eastAsia="Times New Roman" w:hAnsi="Arial" w:cs="Arial"/>
          <w:lang w:eastAsia="en-GB"/>
        </w:rPr>
      </w:pPr>
      <w:r>
        <w:rPr>
          <w:rFonts w:ascii="Arial" w:eastAsia="Times New Roman" w:hAnsi="Arial" w:cs="Arial"/>
          <w:lang w:eastAsia="en-GB"/>
        </w:rPr>
        <w:t xml:space="preserve">The IOPC only investigate the worst-case scenario or outcome which is potentially the result of or linked to police activity. In the case of Chelsea Bridge, the Metropolitan Police referred itself to the IOPC for investigation. (IOPC 2022). The self-referral to an independent body demonstrates to the public that the police are unable to handle investigations into their own incidents, let alone the investigations entrusted to them by the public. This is evident following the fallout of the Hillsborough Disaster, whereby the police were held directly accountable for the incident, though this was not deemed the case by South Yorkshire Police, the independent body (The right Bishop James JONES) concluded this.   </w:t>
      </w:r>
    </w:p>
    <w:p w14:paraId="6A7E5643" w14:textId="77777777" w:rsidR="003529AC" w:rsidRDefault="003529AC" w:rsidP="003529AC">
      <w:pPr>
        <w:spacing w:after="0" w:line="276" w:lineRule="auto"/>
        <w:ind w:right="531"/>
        <w:rPr>
          <w:rFonts w:ascii="Arial" w:eastAsia="Times New Roman" w:hAnsi="Arial" w:cs="Arial"/>
          <w:lang w:eastAsia="en-GB"/>
        </w:rPr>
      </w:pPr>
    </w:p>
    <w:p w14:paraId="0BC049AB" w14:textId="77777777" w:rsidR="003529AC" w:rsidRDefault="003529AC" w:rsidP="003529AC">
      <w:pPr>
        <w:spacing w:after="0" w:line="276" w:lineRule="auto"/>
        <w:ind w:right="531"/>
        <w:rPr>
          <w:rFonts w:ascii="Arial" w:eastAsia="Times New Roman" w:hAnsi="Arial" w:cs="Arial"/>
          <w:lang w:eastAsia="en-GB"/>
        </w:rPr>
      </w:pPr>
    </w:p>
    <w:p w14:paraId="6AD6EC3A" w14:textId="77777777" w:rsidR="003529AC" w:rsidRDefault="003529AC" w:rsidP="003529AC">
      <w:pPr>
        <w:spacing w:after="0" w:line="276" w:lineRule="auto"/>
        <w:ind w:right="531"/>
        <w:jc w:val="center"/>
        <w:rPr>
          <w:rFonts w:ascii="Arial" w:eastAsia="Times New Roman" w:hAnsi="Arial" w:cs="Arial"/>
          <w:b/>
          <w:bCs/>
          <w:i/>
          <w:iCs/>
          <w:u w:val="single"/>
          <w:lang w:eastAsia="en-GB"/>
        </w:rPr>
      </w:pPr>
      <w:r>
        <w:rPr>
          <w:rFonts w:ascii="Arial" w:eastAsia="Times New Roman" w:hAnsi="Arial" w:cs="Arial"/>
          <w:b/>
          <w:bCs/>
          <w:i/>
          <w:iCs/>
          <w:u w:val="single"/>
          <w:lang w:eastAsia="en-GB"/>
        </w:rPr>
        <w:t xml:space="preserve">Independant Oversight: A Necessity? </w:t>
      </w:r>
    </w:p>
    <w:p w14:paraId="5231555F" w14:textId="77777777" w:rsidR="003529AC" w:rsidRDefault="003529AC" w:rsidP="003529AC">
      <w:pPr>
        <w:spacing w:after="0" w:line="276" w:lineRule="auto"/>
        <w:ind w:right="531"/>
        <w:jc w:val="center"/>
        <w:rPr>
          <w:rFonts w:ascii="Arial" w:eastAsia="Times New Roman" w:hAnsi="Arial" w:cs="Arial"/>
          <w:b/>
          <w:bCs/>
          <w:i/>
          <w:iCs/>
          <w:u w:val="single"/>
          <w:lang w:eastAsia="en-GB"/>
        </w:rPr>
      </w:pPr>
    </w:p>
    <w:p w14:paraId="49A4F15B" w14:textId="77777777" w:rsidR="003529AC" w:rsidRDefault="003529AC" w:rsidP="003529AC">
      <w:pPr>
        <w:spacing w:after="0" w:line="276" w:lineRule="auto"/>
        <w:ind w:right="531"/>
        <w:rPr>
          <w:rFonts w:ascii="Arial" w:eastAsia="Times New Roman" w:hAnsi="Arial" w:cs="Arial"/>
          <w:lang w:eastAsia="en-GB"/>
        </w:rPr>
      </w:pPr>
      <w:r w:rsidRPr="002D2187">
        <w:rPr>
          <w:rFonts w:ascii="Arial" w:eastAsia="Times New Roman" w:hAnsi="Arial" w:cs="Arial"/>
          <w:lang w:eastAsia="en-GB"/>
        </w:rPr>
        <w:t>In view of the above points, external bodies of investigation into the actions of police forces could be more harmful to public perceptions in policing, damaging credibility</w:t>
      </w:r>
      <w:r>
        <w:rPr>
          <w:rFonts w:ascii="Arial" w:eastAsia="Times New Roman" w:hAnsi="Arial" w:cs="Arial"/>
          <w:lang w:eastAsia="en-GB"/>
        </w:rPr>
        <w:t xml:space="preserve">, where the police complaints process is a necessary tool in promoting public confidence </w:t>
      </w:r>
      <w:r>
        <w:t xml:space="preserve">(Goldsmith and Lewis 2000, Prenzler 2016, Schulenberg et al 2018) </w:t>
      </w:r>
      <w:r w:rsidRPr="002D2187">
        <w:rPr>
          <w:rFonts w:ascii="Arial" w:eastAsia="Times New Roman" w:hAnsi="Arial" w:cs="Arial"/>
          <w:lang w:eastAsia="en-GB"/>
        </w:rPr>
        <w:t xml:space="preserve">In the case of the Hillsborough disaster, police negligence has been acknowledged through an independent panel, whereby the findings had been obtained by the media resulting in the publishing of a damning report (Griskova) concluding that the disaster was a failure of police control. </w:t>
      </w:r>
    </w:p>
    <w:p w14:paraId="57CC13B6" w14:textId="77777777" w:rsidR="003529AC" w:rsidRDefault="003529AC" w:rsidP="003529AC">
      <w:pPr>
        <w:spacing w:after="0" w:line="276" w:lineRule="auto"/>
        <w:ind w:right="531"/>
        <w:rPr>
          <w:rFonts w:ascii="Arial" w:eastAsia="Times New Roman" w:hAnsi="Arial" w:cs="Arial"/>
          <w:lang w:eastAsia="en-GB"/>
        </w:rPr>
      </w:pPr>
    </w:p>
    <w:p w14:paraId="4B1D1D49" w14:textId="77777777" w:rsidR="003529AC" w:rsidRDefault="003529AC" w:rsidP="003529AC">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Where an external investigating body has determined that the police were at fault of this incident, public outcry from the findings is an example of how the police have suffered in an attempt to maintain a safety critical incident of unique circumstance. Similar to the MACPHERSON report (Macpherson 1999) a report was compiled from the findings on this incident, completed by The right bishop James Jones, reinforcing that the police were responsible. </w:t>
      </w:r>
    </w:p>
    <w:p w14:paraId="36F95023" w14:textId="77777777" w:rsidR="003529AC" w:rsidRDefault="003529AC" w:rsidP="003529AC">
      <w:pPr>
        <w:spacing w:after="0" w:line="276" w:lineRule="auto"/>
        <w:ind w:right="531"/>
        <w:rPr>
          <w:rFonts w:ascii="Arial" w:eastAsia="Times New Roman" w:hAnsi="Arial" w:cs="Arial"/>
          <w:lang w:eastAsia="en-GB"/>
        </w:rPr>
      </w:pPr>
    </w:p>
    <w:p w14:paraId="158427A8" w14:textId="77777777" w:rsidR="003529AC" w:rsidRDefault="003529AC" w:rsidP="003529AC">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Were South Yorkshire Police able to defend themselves in regard to these findings? No, as this was deemed a suitable conclusion, causing a statement promising self-improvement and offering sympathy to those involved. Similar to the Brixton riots following the case of public perceived police brutality, this shows that public confidence in policing will suffer if the police are deemed responsible for incidents just as the reputation of the police will suffer from the findings that are published to the public. </w:t>
      </w:r>
    </w:p>
    <w:p w14:paraId="09F222D0" w14:textId="77777777" w:rsidR="003529AC" w:rsidRDefault="003529AC" w:rsidP="003529AC">
      <w:pPr>
        <w:spacing w:after="0" w:line="276" w:lineRule="auto"/>
        <w:ind w:right="531"/>
        <w:rPr>
          <w:rFonts w:ascii="Arial" w:eastAsia="Times New Roman" w:hAnsi="Arial" w:cs="Arial"/>
          <w:lang w:eastAsia="en-GB"/>
        </w:rPr>
      </w:pPr>
    </w:p>
    <w:p w14:paraId="292E43AE" w14:textId="77777777" w:rsidR="003529AC" w:rsidRDefault="003529AC" w:rsidP="003529AC">
      <w:pPr>
        <w:spacing w:after="0" w:line="276" w:lineRule="auto"/>
        <w:ind w:right="531"/>
        <w:rPr>
          <w:rFonts w:ascii="Arial" w:eastAsia="Times New Roman" w:hAnsi="Arial" w:cs="Arial"/>
          <w:lang w:eastAsia="en-GB"/>
        </w:rPr>
      </w:pPr>
      <w:r>
        <w:rPr>
          <w:rFonts w:ascii="Arial" w:eastAsia="Times New Roman" w:hAnsi="Arial" w:cs="Arial"/>
          <w:lang w:eastAsia="en-GB"/>
        </w:rPr>
        <w:t>Transparency is a right given to the public and originates from the Peel Principle (Peel 1829)</w:t>
      </w:r>
    </w:p>
    <w:p w14:paraId="6EE733F0" w14:textId="77777777" w:rsidR="003529AC" w:rsidRDefault="003529AC" w:rsidP="003529AC">
      <w:pPr>
        <w:spacing w:after="0" w:line="276" w:lineRule="auto"/>
        <w:ind w:right="531"/>
        <w:rPr>
          <w:rFonts w:ascii="Arial" w:eastAsia="Times New Roman" w:hAnsi="Arial" w:cs="Arial"/>
          <w:lang w:eastAsia="en-GB"/>
        </w:rPr>
      </w:pPr>
      <w:r>
        <w:rPr>
          <w:rFonts w:ascii="Arial" w:eastAsia="Times New Roman" w:hAnsi="Arial" w:cs="Arial"/>
          <w:lang w:eastAsia="en-GB"/>
        </w:rPr>
        <w:t>“The Police Are the People and the People are the Police”</w:t>
      </w:r>
    </w:p>
    <w:p w14:paraId="36C07433" w14:textId="77777777" w:rsidR="003529AC" w:rsidRPr="00807812" w:rsidRDefault="003529AC" w:rsidP="003529AC">
      <w:pPr>
        <w:spacing w:after="0" w:line="276" w:lineRule="auto"/>
        <w:ind w:right="531"/>
        <w:rPr>
          <w:rFonts w:ascii="Arial" w:eastAsia="Times New Roman" w:hAnsi="Arial" w:cs="Arial"/>
          <w:lang w:eastAsia="en-GB"/>
        </w:rPr>
      </w:pPr>
      <w:r>
        <w:rPr>
          <w:rFonts w:ascii="Arial" w:eastAsia="Times New Roman" w:hAnsi="Arial" w:cs="Arial"/>
          <w:lang w:eastAsia="en-GB"/>
        </w:rPr>
        <w:t>-</w:t>
      </w:r>
      <w:r w:rsidRPr="00807812">
        <w:rPr>
          <w:rFonts w:ascii="Arial" w:eastAsia="Times New Roman" w:hAnsi="Arial" w:cs="Arial"/>
          <w:lang w:eastAsia="en-GB"/>
        </w:rPr>
        <w:t>Sir Robert Peel 1829</w:t>
      </w:r>
    </w:p>
    <w:p w14:paraId="1036A5AB" w14:textId="77777777" w:rsidR="003529AC" w:rsidRDefault="003529AC" w:rsidP="003529AC">
      <w:pPr>
        <w:spacing w:after="0" w:line="276" w:lineRule="auto"/>
        <w:ind w:right="531"/>
        <w:rPr>
          <w:rFonts w:ascii="Arial" w:eastAsia="Times New Roman" w:hAnsi="Arial" w:cs="Arial"/>
          <w:lang w:eastAsia="en-GB"/>
        </w:rPr>
      </w:pPr>
    </w:p>
    <w:p w14:paraId="1B7E3C22" w14:textId="77777777" w:rsidR="003529AC" w:rsidRDefault="003529AC" w:rsidP="003529AC">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Independent oversight following the PACA legislation attempts to provide confidence to the police and the public in providing this element of the police complaints process acknowledging that with nobility, comes danger however the PACA reforms arguably </w:t>
      </w:r>
      <w:r>
        <w:rPr>
          <w:rFonts w:ascii="Arial" w:eastAsia="Times New Roman" w:hAnsi="Arial" w:cs="Arial"/>
          <w:lang w:eastAsia="en-GB"/>
        </w:rPr>
        <w:lastRenderedPageBreak/>
        <w:t xml:space="preserve">undermine the process entirely by offsetting police accountability to the hands of independent investigating body (C.N. Torrible 2020) </w:t>
      </w:r>
    </w:p>
    <w:p w14:paraId="54D5A1DE" w14:textId="77777777" w:rsidR="003529AC" w:rsidRDefault="003529AC" w:rsidP="003529AC">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‘s as opposed to dealing with any investigations in-house. </w:t>
      </w:r>
    </w:p>
    <w:p w14:paraId="22AFA05C" w14:textId="77777777" w:rsidR="003529AC" w:rsidRDefault="003529AC" w:rsidP="003529AC">
      <w:pPr>
        <w:spacing w:after="0" w:line="276" w:lineRule="auto"/>
        <w:ind w:right="531"/>
        <w:rPr>
          <w:rFonts w:ascii="Arial" w:eastAsia="Times New Roman" w:hAnsi="Arial" w:cs="Arial"/>
          <w:lang w:eastAsia="en-GB"/>
        </w:rPr>
      </w:pPr>
    </w:p>
    <w:p w14:paraId="46A7B3AD" w14:textId="77777777" w:rsidR="003529AC" w:rsidRPr="002D2187" w:rsidRDefault="003529AC" w:rsidP="003529AC">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An argument is made when pondering as to where the fairness of such processes lays when considering that the police are not able to express their own views or findings to the public on such matters in an attempt to repair recognised damage to public confidence as a result of independent conclusion unless through the case of officer misconduct, a process that would be carried out internally by the Professional Standards Department. </w:t>
      </w:r>
    </w:p>
    <w:p w14:paraId="2AA4CDEA" w14:textId="77777777" w:rsidR="003529AC" w:rsidRDefault="003529AC" w:rsidP="003529AC">
      <w:pPr>
        <w:spacing w:after="0" w:line="276" w:lineRule="auto"/>
        <w:ind w:right="531"/>
        <w:jc w:val="center"/>
        <w:rPr>
          <w:rFonts w:ascii="Arial" w:eastAsia="Times New Roman" w:hAnsi="Arial" w:cs="Arial"/>
          <w:b/>
          <w:bCs/>
          <w:i/>
          <w:iCs/>
          <w:u w:val="single"/>
          <w:lang w:eastAsia="en-GB"/>
        </w:rPr>
      </w:pPr>
    </w:p>
    <w:p w14:paraId="0F7C4A3A" w14:textId="77777777" w:rsidR="003529AC" w:rsidRDefault="003529AC" w:rsidP="003529AC">
      <w:pPr>
        <w:spacing w:after="0" w:line="276" w:lineRule="auto"/>
        <w:ind w:right="531"/>
      </w:pPr>
      <w:r>
        <w:rPr>
          <w:rFonts w:ascii="Arial" w:eastAsia="Times New Roman" w:hAnsi="Arial" w:cs="Arial"/>
          <w:lang w:eastAsia="en-GB"/>
        </w:rPr>
        <w:t xml:space="preserve">Arguably the conclusions determined by independent body’s does not reflect the logic or nature of policing, simply falling over to the expectations of the public without considering the crucial elements of policing and understanding its infallibility. Notably, officers are conscious of their powers and their right to exercise them correctly in complex and difficult incidents with motivation </w:t>
      </w:r>
      <w:r>
        <w:t>(Goldsmith 1991: 14, Herbert 2006: 488).</w:t>
      </w:r>
    </w:p>
    <w:p w14:paraId="2E3839BC" w14:textId="77777777" w:rsidR="003529AC" w:rsidRDefault="003529AC" w:rsidP="003529AC">
      <w:pPr>
        <w:spacing w:after="0" w:line="276" w:lineRule="auto"/>
        <w:ind w:right="531"/>
      </w:pPr>
    </w:p>
    <w:p w14:paraId="3E0BB0A5" w14:textId="77777777" w:rsidR="003529AC" w:rsidRPr="007346EF" w:rsidRDefault="003529AC" w:rsidP="003529AC">
      <w:pPr>
        <w:spacing w:after="0" w:line="276" w:lineRule="auto"/>
        <w:ind w:right="531"/>
        <w:rPr>
          <w:rFonts w:ascii="Arial" w:hAnsi="Arial" w:cs="Arial"/>
        </w:rPr>
      </w:pPr>
      <w:r w:rsidRPr="007346EF">
        <w:rPr>
          <w:rFonts w:ascii="Arial" w:hAnsi="Arial" w:cs="Arial"/>
        </w:rPr>
        <w:t xml:space="preserve">In relevance to the case studies introduced in this essay, it is clear that the case studies utilised, whereby examined through independent bodies, do not have any policing experience. One could argue that this would be deemed inappropriate and unfair towards the police when investigating such incidents, as there would be no understanding of police practices when determining police related fault in an investigation (Savage 2013b: 896, Schulenberg et al 2018: 786). </w:t>
      </w:r>
    </w:p>
    <w:p w14:paraId="6184917E" w14:textId="77777777" w:rsidR="003529AC" w:rsidRPr="00281ED7" w:rsidRDefault="003529AC" w:rsidP="003529AC">
      <w:pPr>
        <w:spacing w:after="0" w:line="276" w:lineRule="auto"/>
        <w:ind w:right="531"/>
        <w:rPr>
          <w:sz w:val="24"/>
          <w:szCs w:val="24"/>
        </w:rPr>
      </w:pPr>
    </w:p>
    <w:p w14:paraId="35CE69AA" w14:textId="77777777" w:rsidR="003529AC" w:rsidRDefault="003529AC" w:rsidP="003529AC">
      <w:pPr>
        <w:spacing w:after="0" w:line="276" w:lineRule="auto"/>
        <w:ind w:right="531"/>
        <w:jc w:val="center"/>
        <w:rPr>
          <w:rFonts w:ascii="Arial" w:eastAsia="Times New Roman" w:hAnsi="Arial" w:cs="Arial"/>
          <w:b/>
          <w:bCs/>
          <w:i/>
          <w:iCs/>
          <w:u w:val="single"/>
          <w:lang w:eastAsia="en-GB"/>
        </w:rPr>
      </w:pPr>
    </w:p>
    <w:p w14:paraId="4AB85EE5" w14:textId="77777777" w:rsidR="003529AC" w:rsidRDefault="003529AC" w:rsidP="003529AC">
      <w:pPr>
        <w:spacing w:after="0" w:line="276" w:lineRule="auto"/>
        <w:ind w:left="567" w:right="531"/>
        <w:rPr>
          <w:rFonts w:ascii="Arial" w:eastAsia="Times New Roman" w:hAnsi="Arial" w:cs="Arial"/>
          <w:lang w:eastAsia="en-GB"/>
        </w:rPr>
      </w:pPr>
    </w:p>
    <w:p w14:paraId="1E1D639D" w14:textId="77777777" w:rsidR="003529AC" w:rsidRPr="00E62FAB" w:rsidRDefault="003529AC" w:rsidP="003529AC">
      <w:pPr>
        <w:spacing w:after="0" w:line="276" w:lineRule="auto"/>
        <w:ind w:left="567" w:right="531"/>
        <w:jc w:val="center"/>
        <w:rPr>
          <w:rFonts w:ascii="Arial" w:eastAsia="Times New Roman" w:hAnsi="Arial" w:cs="Arial"/>
          <w:b/>
          <w:bCs/>
          <w:i/>
          <w:iCs/>
          <w:u w:val="single"/>
          <w:lang w:eastAsia="en-GB"/>
        </w:rPr>
      </w:pPr>
      <w:r w:rsidRPr="00E62FAB">
        <w:rPr>
          <w:rFonts w:ascii="Arial" w:eastAsia="Times New Roman" w:hAnsi="Arial" w:cs="Arial"/>
          <w:b/>
          <w:bCs/>
          <w:i/>
          <w:iCs/>
          <w:u w:val="single"/>
          <w:lang w:eastAsia="en-GB"/>
        </w:rPr>
        <w:t>Conclusion</w:t>
      </w:r>
    </w:p>
    <w:p w14:paraId="68835181" w14:textId="77777777" w:rsidR="003529AC" w:rsidRDefault="003529AC" w:rsidP="003529AC">
      <w:pPr>
        <w:spacing w:after="0" w:line="276" w:lineRule="auto"/>
        <w:ind w:left="567" w:right="531"/>
        <w:rPr>
          <w:rFonts w:ascii="Arial" w:eastAsia="Times New Roman" w:hAnsi="Arial" w:cs="Arial"/>
          <w:lang w:eastAsia="en-GB"/>
        </w:rPr>
      </w:pPr>
    </w:p>
    <w:p w14:paraId="10DAA90B" w14:textId="77777777" w:rsidR="003529AC" w:rsidRDefault="003529AC" w:rsidP="003529AC">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effectiveness of external body’s investigating incidents that hold the police accountable has a damning effect on public confidence, portraying that police forces are not to be trusted with their own investigations. </w:t>
      </w:r>
    </w:p>
    <w:p w14:paraId="2F93C30B" w14:textId="77777777" w:rsidR="003529AC" w:rsidRDefault="003529AC" w:rsidP="003529AC">
      <w:pPr>
        <w:spacing w:after="0" w:line="276" w:lineRule="auto"/>
        <w:ind w:left="567" w:right="531"/>
        <w:rPr>
          <w:rFonts w:ascii="Arial" w:eastAsia="Times New Roman" w:hAnsi="Arial" w:cs="Arial"/>
          <w:lang w:eastAsia="en-GB"/>
        </w:rPr>
      </w:pPr>
      <w:r>
        <w:rPr>
          <w:rFonts w:ascii="Arial" w:eastAsia="Times New Roman" w:hAnsi="Arial" w:cs="Arial"/>
          <w:lang w:eastAsia="en-GB"/>
        </w:rPr>
        <w:t>-1037</w:t>
      </w:r>
    </w:p>
    <w:p w14:paraId="52AE51BD" w14:textId="77777777" w:rsidR="003529AC" w:rsidRPr="00531805" w:rsidRDefault="003529AC" w:rsidP="003529AC">
      <w:pPr>
        <w:spacing w:after="0" w:line="276" w:lineRule="auto"/>
        <w:ind w:left="567" w:right="531"/>
        <w:rPr>
          <w:rFonts w:ascii="Arial" w:eastAsia="Times New Roman" w:hAnsi="Arial" w:cs="Arial"/>
          <w:lang w:eastAsia="en-GB"/>
        </w:rPr>
      </w:pPr>
    </w:p>
    <w:p w14:paraId="0482AA36" w14:textId="77777777" w:rsidR="003529AC" w:rsidRPr="003718D3" w:rsidRDefault="003529AC" w:rsidP="003529AC">
      <w:pPr>
        <w:spacing w:after="0" w:line="276" w:lineRule="auto"/>
        <w:ind w:left="567" w:right="531"/>
        <w:jc w:val="center"/>
        <w:rPr>
          <w:rFonts w:ascii="Arial" w:eastAsia="Times New Roman" w:hAnsi="Arial" w:cs="Arial"/>
          <w:lang w:eastAsia="en-GB"/>
        </w:rPr>
      </w:pPr>
    </w:p>
    <w:p w14:paraId="23C89856" w14:textId="77777777" w:rsidR="003529AC" w:rsidRDefault="003529AC" w:rsidP="003529AC">
      <w:pPr>
        <w:spacing w:after="0" w:line="276" w:lineRule="auto"/>
        <w:ind w:left="567" w:right="531"/>
        <w:jc w:val="center"/>
        <w:rPr>
          <w:rFonts w:ascii="Arial" w:eastAsia="Times New Roman" w:hAnsi="Arial" w:cs="Arial"/>
          <w:b/>
          <w:bCs/>
          <w:i/>
          <w:iCs/>
          <w:u w:val="single"/>
          <w:lang w:eastAsia="en-GB"/>
        </w:rPr>
      </w:pPr>
      <w:r w:rsidRPr="00531805">
        <w:rPr>
          <w:rFonts w:ascii="Arial" w:eastAsia="Times New Roman" w:hAnsi="Arial" w:cs="Arial"/>
          <w:b/>
          <w:bCs/>
          <w:i/>
          <w:iCs/>
          <w:u w:val="single"/>
          <w:lang w:eastAsia="en-GB"/>
        </w:rPr>
        <w:t>References</w:t>
      </w:r>
    </w:p>
    <w:p w14:paraId="6188CFFD" w14:textId="77777777" w:rsidR="003529AC" w:rsidRDefault="003529AC" w:rsidP="003529AC">
      <w:pPr>
        <w:spacing w:after="0" w:line="276" w:lineRule="auto"/>
        <w:ind w:left="567" w:right="531"/>
        <w:rPr>
          <w:rFonts w:ascii="Arial" w:eastAsia="Times New Roman" w:hAnsi="Arial" w:cs="Arial"/>
          <w:b/>
          <w:bCs/>
          <w:i/>
          <w:iCs/>
          <w:u w:val="single"/>
          <w:lang w:eastAsia="en-GB"/>
        </w:rPr>
      </w:pPr>
    </w:p>
    <w:p w14:paraId="58A01851" w14:textId="77777777" w:rsidR="003529AC" w:rsidRDefault="003529AC" w:rsidP="003529AC">
      <w:pPr>
        <w:pStyle w:val="ListParagraph"/>
        <w:spacing w:after="0" w:line="276" w:lineRule="auto"/>
        <w:ind w:left="1287" w:right="531"/>
        <w:rPr>
          <w:rStyle w:val="Hyperlink"/>
        </w:rPr>
      </w:pPr>
    </w:p>
    <w:p w14:paraId="10D1BB7D" w14:textId="77777777" w:rsidR="003529AC" w:rsidRPr="00CB7656" w:rsidRDefault="003529AC" w:rsidP="003529AC">
      <w:pPr>
        <w:pStyle w:val="ListParagraph"/>
        <w:spacing w:after="0" w:line="276" w:lineRule="auto"/>
        <w:ind w:left="1287" w:right="531"/>
        <w:rPr>
          <w:rStyle w:val="Hyperlink"/>
        </w:rPr>
      </w:pPr>
    </w:p>
    <w:p w14:paraId="591258A4" w14:textId="77777777" w:rsidR="003529AC" w:rsidRDefault="003529AC" w:rsidP="003529AC">
      <w:pPr>
        <w:pStyle w:val="ListParagraph"/>
        <w:spacing w:after="0" w:line="276" w:lineRule="auto"/>
        <w:ind w:left="1287" w:right="531"/>
      </w:pPr>
    </w:p>
    <w:p w14:paraId="2FDF6831" w14:textId="77777777" w:rsidR="003529AC" w:rsidRPr="005C7C1A" w:rsidRDefault="003529AC" w:rsidP="003529AC">
      <w:pPr>
        <w:pStyle w:val="ListParagraph"/>
        <w:spacing w:after="0" w:line="276" w:lineRule="auto"/>
        <w:ind w:left="1287" w:right="531"/>
        <w:rPr>
          <w:rStyle w:val="Hyperlink"/>
          <w:rFonts w:ascii="Arial" w:eastAsia="Times New Roman" w:hAnsi="Arial" w:cs="Arial"/>
          <w:b/>
          <w:bCs/>
          <w:i/>
          <w:iCs/>
          <w:color w:val="000000" w:themeColor="text1"/>
          <w:u w:val="none"/>
          <w:lang w:eastAsia="en-GB"/>
        </w:rPr>
      </w:pPr>
    </w:p>
    <w:p w14:paraId="28ACE6C2" w14:textId="77777777" w:rsidR="003529AC" w:rsidRPr="00A27231" w:rsidRDefault="003529AC" w:rsidP="003529AC">
      <w:pPr>
        <w:spacing w:after="0" w:line="276" w:lineRule="auto"/>
        <w:ind w:right="531"/>
        <w:rPr>
          <w:rFonts w:ascii="Arial" w:eastAsia="Times New Roman" w:hAnsi="Arial" w:cs="Arial"/>
          <w:b/>
          <w:bCs/>
          <w:i/>
          <w:iCs/>
          <w:u w:val="single"/>
          <w:lang w:eastAsia="en-GB"/>
        </w:rPr>
      </w:pPr>
    </w:p>
    <w:p w14:paraId="0C1D7AD8" w14:textId="77777777" w:rsidR="003529AC" w:rsidRPr="00A27231" w:rsidRDefault="003529AC" w:rsidP="003529AC">
      <w:pPr>
        <w:pStyle w:val="ListParagraph"/>
        <w:numPr>
          <w:ilvl w:val="0"/>
          <w:numId w:val="1"/>
        </w:numPr>
        <w:spacing w:after="0" w:line="276" w:lineRule="auto"/>
        <w:ind w:right="531"/>
        <w:rPr>
          <w:rStyle w:val="Hyperlink"/>
        </w:rPr>
      </w:pPr>
      <w:r>
        <w:t xml:space="preserve">BBC News (Online). June 2022. “Chelsea Bridge: Man rescued from Thames after Being Tasered Dies”. Available at URL:  </w:t>
      </w:r>
      <w:hyperlink r:id="rId7" w:history="1">
        <w:r>
          <w:rPr>
            <w:rStyle w:val="Hyperlink"/>
          </w:rPr>
          <w:t>Chelsea Bridge: Man rescued from Thames after being Tasered dies - BBC News</w:t>
        </w:r>
      </w:hyperlink>
      <w:r>
        <w:rPr>
          <w:rStyle w:val="Hyperlink"/>
        </w:rPr>
        <w:t xml:space="preserve">. </w:t>
      </w:r>
      <w:r w:rsidRPr="005C7C1A">
        <w:rPr>
          <w:rStyle w:val="Hyperlink"/>
          <w:color w:val="000000" w:themeColor="text1"/>
          <w:u w:val="none"/>
        </w:rPr>
        <w:t>Accessed February 2023.</w:t>
      </w:r>
      <w:r w:rsidRPr="005C7C1A">
        <w:rPr>
          <w:rStyle w:val="Hyperlink"/>
          <w:color w:val="000000" w:themeColor="text1"/>
        </w:rPr>
        <w:t xml:space="preserve"> </w:t>
      </w:r>
    </w:p>
    <w:p w14:paraId="61FE6631" w14:textId="77777777" w:rsidR="003529AC" w:rsidRPr="00A27231" w:rsidRDefault="003529AC" w:rsidP="003529AC">
      <w:pPr>
        <w:pStyle w:val="ListParagraph"/>
        <w:numPr>
          <w:ilvl w:val="0"/>
          <w:numId w:val="1"/>
        </w:numPr>
        <w:spacing w:after="0" w:line="276" w:lineRule="auto"/>
        <w:ind w:right="531"/>
        <w:rPr>
          <w:rStyle w:val="Hyperlink"/>
          <w:color w:val="auto"/>
        </w:rPr>
      </w:pPr>
      <w:r>
        <w:t xml:space="preserve">College of Policing (online) “Code of Ethics for Police Officers”. 2023. Located at URL: </w:t>
      </w:r>
      <w:hyperlink r:id="rId8" w:history="1">
        <w:r>
          <w:rPr>
            <w:rStyle w:val="Hyperlink"/>
          </w:rPr>
          <w:t>Code of Ethics | College of Policing</w:t>
        </w:r>
      </w:hyperlink>
      <w:r>
        <w:rPr>
          <w:rStyle w:val="Hyperlink"/>
        </w:rPr>
        <w:t xml:space="preserve">. </w:t>
      </w:r>
      <w:r w:rsidRPr="005C7C1A">
        <w:rPr>
          <w:rStyle w:val="Hyperlink"/>
          <w:color w:val="000000" w:themeColor="text1"/>
          <w:u w:val="none"/>
        </w:rPr>
        <w:t>Accessed February 2023</w:t>
      </w:r>
      <w:r>
        <w:rPr>
          <w:rStyle w:val="Hyperlink"/>
          <w:color w:val="000000" w:themeColor="text1"/>
        </w:rPr>
        <w:t xml:space="preserve">. </w:t>
      </w:r>
    </w:p>
    <w:p w14:paraId="77A348B4" w14:textId="77777777" w:rsidR="003529AC" w:rsidRPr="00A27231" w:rsidRDefault="003529AC" w:rsidP="003529AC">
      <w:pPr>
        <w:pStyle w:val="ListParagraph"/>
        <w:numPr>
          <w:ilvl w:val="0"/>
          <w:numId w:val="1"/>
        </w:numPr>
        <w:spacing w:after="0" w:line="276" w:lineRule="auto"/>
        <w:ind w:right="531"/>
        <w:rPr>
          <w:rStyle w:val="Hyperlink"/>
          <w:color w:val="auto"/>
          <w:u w:val="none"/>
        </w:rPr>
      </w:pPr>
      <w:r>
        <w:lastRenderedPageBreak/>
        <w:t xml:space="preserve">IOPC (Online) “Key areas of work”. 2023. Found at URL:  </w:t>
      </w:r>
      <w:hyperlink r:id="rId9" w:history="1">
        <w:r>
          <w:rPr>
            <w:rStyle w:val="Hyperlink"/>
          </w:rPr>
          <w:t>Key areas of wor</w:t>
        </w:r>
        <w:r>
          <w:rPr>
            <w:rStyle w:val="Hyperlink"/>
          </w:rPr>
          <w:t>k</w:t>
        </w:r>
        <w:r>
          <w:rPr>
            <w:rStyle w:val="Hyperlink"/>
          </w:rPr>
          <w:t xml:space="preserve"> | Independent Office for Police Conduct</w:t>
        </w:r>
      </w:hyperlink>
      <w:r w:rsidRPr="005C7C1A">
        <w:rPr>
          <w:rStyle w:val="Hyperlink"/>
          <w:color w:val="000000" w:themeColor="text1"/>
          <w:u w:val="none"/>
        </w:rPr>
        <w:t>. Accessed February 2023.</w:t>
      </w:r>
      <w:r w:rsidRPr="005C7C1A">
        <w:rPr>
          <w:rStyle w:val="Hyperlink"/>
          <w:color w:val="000000" w:themeColor="text1"/>
        </w:rPr>
        <w:t xml:space="preserve"> </w:t>
      </w:r>
    </w:p>
    <w:p w14:paraId="4E29189A" w14:textId="77777777" w:rsidR="003529AC" w:rsidRPr="00625CF1" w:rsidRDefault="003529AC" w:rsidP="003529AC">
      <w:pPr>
        <w:pStyle w:val="ListParagraph"/>
        <w:numPr>
          <w:ilvl w:val="0"/>
          <w:numId w:val="1"/>
        </w:numPr>
        <w:spacing w:after="0" w:line="276" w:lineRule="auto"/>
        <w:ind w:right="531"/>
        <w:rPr>
          <w:rFonts w:ascii="Arial" w:eastAsia="Times New Roman" w:hAnsi="Arial" w:cs="Arial"/>
          <w:b/>
          <w:bCs/>
          <w:i/>
          <w:iCs/>
          <w:u w:val="single"/>
          <w:lang w:eastAsia="en-GB"/>
        </w:rPr>
      </w:pPr>
      <w:r>
        <w:t xml:space="preserve">Local Government Association (Online) “Police staff standards of professional behaviour”. Located at URL: </w:t>
      </w:r>
      <w:hyperlink r:id="rId10" w:anchor="challenging-and-reporting-improper-conduct" w:history="1">
        <w:r>
          <w:rPr>
            <w:rStyle w:val="Hyperlink"/>
          </w:rPr>
          <w:t>Police Staff Standards of Professional Behaviour | Local Government Association</w:t>
        </w:r>
      </w:hyperlink>
      <w:r>
        <w:rPr>
          <w:rStyle w:val="Hyperlink"/>
        </w:rPr>
        <w:t xml:space="preserve">. </w:t>
      </w:r>
      <w:r w:rsidRPr="005C7C1A">
        <w:rPr>
          <w:rStyle w:val="Hyperlink"/>
          <w:color w:val="000000" w:themeColor="text1"/>
          <w:u w:val="none"/>
        </w:rPr>
        <w:t>Accessed February 2023.</w:t>
      </w:r>
      <w:r w:rsidRPr="005C7C1A">
        <w:rPr>
          <w:rStyle w:val="Hyperlink"/>
          <w:color w:val="000000" w:themeColor="text1"/>
        </w:rPr>
        <w:t xml:space="preserve"> </w:t>
      </w:r>
    </w:p>
    <w:p w14:paraId="19A1A57D" w14:textId="77777777" w:rsidR="003529AC" w:rsidRPr="00A27231" w:rsidRDefault="003529AC" w:rsidP="003529AC">
      <w:pPr>
        <w:pStyle w:val="ListParagraph"/>
        <w:numPr>
          <w:ilvl w:val="0"/>
          <w:numId w:val="1"/>
        </w:numPr>
        <w:spacing w:after="0" w:line="276" w:lineRule="auto"/>
        <w:ind w:right="531"/>
        <w:rPr>
          <w:rFonts w:ascii="Arial" w:eastAsia="Times New Roman" w:hAnsi="Arial" w:cs="Arial"/>
          <w:b/>
          <w:bCs/>
          <w:i/>
          <w:iCs/>
          <w:u w:val="single"/>
          <w:lang w:eastAsia="en-GB"/>
        </w:rPr>
      </w:pPr>
      <w:r>
        <w:t xml:space="preserve">Mawby. R, Wright. A. “Police Accountability in the United Kingdom. Published January 2005. Accessed via URL: </w:t>
      </w:r>
      <w:hyperlink r:id="rId11" w:history="1">
        <w:r w:rsidRPr="00697709">
          <w:rPr>
            <w:rStyle w:val="Hyperlink"/>
          </w:rPr>
          <w:t>police_accountability.pdf - created by pdfMachine from Broadgun Software, http://pdfmachine.com, a great PDF writer utility! (humanrightsinitiative.org)</w:t>
        </w:r>
      </w:hyperlink>
      <w:r>
        <w:t xml:space="preserve">. Accessed February 2023. </w:t>
      </w:r>
    </w:p>
    <w:p w14:paraId="69566235" w14:textId="77777777" w:rsidR="003529AC" w:rsidRPr="00A27231" w:rsidRDefault="003529AC" w:rsidP="003529AC">
      <w:pPr>
        <w:pStyle w:val="ListParagraph"/>
        <w:numPr>
          <w:ilvl w:val="0"/>
          <w:numId w:val="1"/>
        </w:numPr>
        <w:spacing w:after="0" w:line="276" w:lineRule="auto"/>
        <w:ind w:right="531"/>
        <w:rPr>
          <w:rStyle w:val="Hyperlink"/>
          <w:rFonts w:ascii="Arial" w:eastAsia="Times New Roman" w:hAnsi="Arial" w:cs="Arial"/>
          <w:b/>
          <w:bCs/>
          <w:i/>
          <w:iCs/>
          <w:color w:val="000000" w:themeColor="text1"/>
          <w:lang w:eastAsia="en-GB"/>
        </w:rPr>
      </w:pPr>
      <w:r>
        <w:t xml:space="preserve">PCC for Essex Police. “The Importance of Professional Standards in Policing”.  2023. Located at URL: </w:t>
      </w:r>
      <w:hyperlink r:id="rId12" w:history="1">
        <w:r>
          <w:rPr>
            <w:rStyle w:val="Hyperlink"/>
          </w:rPr>
          <w:t>The Importance of Professional Standards - Essex Police, Fire &amp; Cr</w:t>
        </w:r>
        <w:r>
          <w:rPr>
            <w:rStyle w:val="Hyperlink"/>
          </w:rPr>
          <w:t>i</w:t>
        </w:r>
        <w:r>
          <w:rPr>
            <w:rStyle w:val="Hyperlink"/>
          </w:rPr>
          <w:t>me Commissioner (pfcc.police.uk)</w:t>
        </w:r>
      </w:hyperlink>
      <w:r>
        <w:rPr>
          <w:rStyle w:val="Hyperlink"/>
        </w:rPr>
        <w:t xml:space="preserve">. </w:t>
      </w:r>
      <w:r w:rsidRPr="005C7C1A">
        <w:rPr>
          <w:rStyle w:val="Hyperlink"/>
          <w:color w:val="000000" w:themeColor="text1"/>
          <w:u w:val="none"/>
        </w:rPr>
        <w:t xml:space="preserve">Accessed February 2023. </w:t>
      </w:r>
    </w:p>
    <w:p w14:paraId="32027521" w14:textId="77777777" w:rsidR="003529AC" w:rsidRPr="00FA42D7" w:rsidRDefault="003529AC" w:rsidP="003529AC">
      <w:pPr>
        <w:pStyle w:val="ListParagraph"/>
        <w:numPr>
          <w:ilvl w:val="0"/>
          <w:numId w:val="1"/>
        </w:numPr>
        <w:spacing w:after="0" w:line="276" w:lineRule="auto"/>
        <w:ind w:right="531"/>
      </w:pPr>
      <w:r>
        <w:t xml:space="preserve">Torrible, C. N. “Independence Integrity Lesson Learning and Accountability. Policing and Society”. Published 2020. Accessed via URL:   </w:t>
      </w:r>
      <w:hyperlink r:id="rId13" w:history="1">
        <w:r>
          <w:rPr>
            <w:rStyle w:val="Hyperlink"/>
          </w:rPr>
          <w:t>Independence_Integrity_Lesson_Learning_and_Accountability._Policing_and_Society_.pdf (bris.ac.uk)</w:t>
        </w:r>
      </w:hyperlink>
      <w:r>
        <w:t>. Accessed February 2023.</w:t>
      </w:r>
    </w:p>
    <w:p w14:paraId="23543FB8" w14:textId="77777777" w:rsidR="003529AC" w:rsidRPr="006C3C20" w:rsidRDefault="003529AC" w:rsidP="003529AC">
      <w:pPr>
        <w:spacing w:after="0" w:line="276" w:lineRule="auto"/>
        <w:ind w:left="567" w:right="531"/>
        <w:rPr>
          <w:rFonts w:ascii="Arial" w:eastAsia="Times New Roman" w:hAnsi="Arial" w:cs="Arial"/>
          <w:lang w:eastAsia="en-GB"/>
        </w:rPr>
      </w:pPr>
    </w:p>
    <w:p w14:paraId="613E59A4" w14:textId="1EFD03C9" w:rsidR="003529AC" w:rsidRDefault="003529AC"/>
    <w:p w14:paraId="6B87097D" w14:textId="3683E796" w:rsidR="003529AC" w:rsidRDefault="003529AC"/>
    <w:p w14:paraId="7D5843F9" w14:textId="3E34A988" w:rsidR="003529AC" w:rsidRDefault="003529AC"/>
    <w:p w14:paraId="0558ACD6" w14:textId="77306730" w:rsidR="003529AC" w:rsidRDefault="003529AC" w:rsidP="003529AC">
      <w:pPr>
        <w:jc w:val="center"/>
        <w:rPr>
          <w:b/>
          <w:bCs/>
          <w:i/>
          <w:iCs/>
          <w:u w:val="single"/>
        </w:rPr>
      </w:pPr>
      <w:r w:rsidRPr="003529AC">
        <w:rPr>
          <w:b/>
          <w:bCs/>
          <w:i/>
          <w:iCs/>
          <w:u w:val="single"/>
        </w:rPr>
        <w:t xml:space="preserve">Question </w:t>
      </w:r>
      <w:r>
        <w:rPr>
          <w:b/>
          <w:bCs/>
          <w:i/>
          <w:iCs/>
          <w:u w:val="single"/>
        </w:rPr>
        <w:t>Two</w:t>
      </w:r>
    </w:p>
    <w:p w14:paraId="6F55E49E" w14:textId="4D3080ED" w:rsidR="003529AC" w:rsidRDefault="003529AC" w:rsidP="003529AC">
      <w:pPr>
        <w:jc w:val="center"/>
        <w:rPr>
          <w:b/>
          <w:bCs/>
          <w:i/>
          <w:iCs/>
          <w:u w:val="single"/>
        </w:rPr>
      </w:pPr>
    </w:p>
    <w:p w14:paraId="58CEE3EE" w14:textId="140B0784" w:rsidR="003529AC" w:rsidRDefault="003529AC" w:rsidP="003529AC">
      <w:pPr>
        <w:jc w:val="center"/>
        <w:rPr>
          <w:b/>
          <w:bCs/>
          <w:i/>
          <w:iCs/>
          <w:u w:val="single"/>
        </w:rPr>
      </w:pPr>
    </w:p>
    <w:p w14:paraId="062C1591" w14:textId="64442182" w:rsidR="003529AC" w:rsidRDefault="003529AC" w:rsidP="003529AC">
      <w:pPr>
        <w:jc w:val="center"/>
        <w:rPr>
          <w:b/>
          <w:bCs/>
          <w:i/>
          <w:iCs/>
          <w:u w:val="single"/>
        </w:rPr>
      </w:pPr>
    </w:p>
    <w:p w14:paraId="2F469671" w14:textId="77777777" w:rsidR="003529AC" w:rsidRDefault="003529AC" w:rsidP="003529AC">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r w:rsidRPr="00E9215D">
        <w:rPr>
          <w:rFonts w:ascii="Arial" w:eastAsia="Times New Roman" w:hAnsi="Arial" w:cs="Arial"/>
          <w:b/>
          <w:bCs/>
          <w:i/>
          <w:iCs/>
          <w:u w:val="single"/>
          <w:lang w:eastAsia="en-GB"/>
        </w:rPr>
        <w:t>Introduction</w:t>
      </w:r>
    </w:p>
    <w:p w14:paraId="420637C1" w14:textId="77777777" w:rsidR="003529AC" w:rsidRPr="00E9215D"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b/>
          <w:bCs/>
          <w:i/>
          <w:iCs/>
          <w:u w:val="single"/>
          <w:lang w:eastAsia="en-GB"/>
        </w:rPr>
      </w:pPr>
    </w:p>
    <w:p w14:paraId="0395C4A1" w14:textId="77777777" w:rsidR="003529AC" w:rsidRDefault="003529AC" w:rsidP="003529AC">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This essay will explore and evaluate the effectiveness of multi-cultural policing in modern day society, the benefits and drawbacks of force policies such as “Positive Action” drives and advancements of acceptance in policing based on historical failure. Furthermore the community response to police officer ethics and values, exploring as to whether these are fit for purpose or a catalyst in collapsing the bridge between policing and diverse communities. Moreover, evaluation of the effectiveness and impact of positive action will be taken into consideration, along with an insight into what change is seen, if any since the introduction of positive action and whether this programme has met its intended objective. </w:t>
      </w:r>
    </w:p>
    <w:p w14:paraId="23A4FBFA" w14:textId="77777777"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0B637519" w14:textId="77777777" w:rsidR="003529AC" w:rsidRDefault="003529AC" w:rsidP="003529AC">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r w:rsidRPr="00FA6EC6">
        <w:rPr>
          <w:rFonts w:ascii="Arial" w:eastAsia="Times New Roman" w:hAnsi="Arial" w:cs="Arial"/>
          <w:b/>
          <w:bCs/>
          <w:i/>
          <w:iCs/>
          <w:u w:val="single"/>
          <w:lang w:eastAsia="en-GB"/>
        </w:rPr>
        <w:t>The Development of Policing Focus in Community Multi-Culturalism</w:t>
      </w:r>
    </w:p>
    <w:p w14:paraId="018FFA4E" w14:textId="77777777" w:rsidR="003529AC" w:rsidRDefault="003529AC" w:rsidP="003529AC">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p>
    <w:p w14:paraId="0B823AFC" w14:textId="77777777" w:rsidR="003529AC" w:rsidRPr="004623A8" w:rsidRDefault="003529AC" w:rsidP="003529AC">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Multi-culturalism in policing has become an ever-evolving focus in modern day society. (Police Now 2017) With a common stigmatism present from previous generations where police officers were required to be predominantly male, no less than 6ft in height, able to fit into a tunic and hold a mass fitness evaluation per year; this has changed massively (Police Now 2017) A society of acceptance has now evolved into </w:t>
      </w:r>
      <w:r>
        <w:rPr>
          <w:rFonts w:ascii="Arial" w:eastAsia="Times New Roman" w:hAnsi="Arial" w:cs="Arial"/>
          <w:lang w:eastAsia="en-GB"/>
        </w:rPr>
        <w:lastRenderedPageBreak/>
        <w:t xml:space="preserve">welcoming female police officers, and those from LGBTQ+ communities irrespective of gender. </w:t>
      </w:r>
    </w:p>
    <w:p w14:paraId="1E1D9550" w14:textId="77777777"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b/>
          <w:bCs/>
          <w:i/>
          <w:iCs/>
          <w:u w:val="single"/>
          <w:lang w:eastAsia="en-GB"/>
        </w:rPr>
      </w:pPr>
    </w:p>
    <w:p w14:paraId="6FF5F324" w14:textId="77777777" w:rsidR="003529AC" w:rsidRDefault="003529AC" w:rsidP="003529AC">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r>
        <w:rPr>
          <w:rFonts w:ascii="Arial" w:eastAsia="Times New Roman" w:hAnsi="Arial" w:cs="Arial"/>
          <w:b/>
          <w:bCs/>
          <w:i/>
          <w:iCs/>
          <w:u w:val="single"/>
          <w:lang w:eastAsia="en-GB"/>
        </w:rPr>
        <w:t>The MacPherson Report</w:t>
      </w:r>
    </w:p>
    <w:p w14:paraId="497DA2CD" w14:textId="77777777"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b/>
          <w:bCs/>
          <w:i/>
          <w:iCs/>
          <w:u w:val="single"/>
          <w:lang w:eastAsia="en-GB"/>
        </w:rPr>
      </w:pPr>
    </w:p>
    <w:p w14:paraId="73DB784C" w14:textId="77777777" w:rsidR="003529AC" w:rsidRDefault="003529AC" w:rsidP="003529AC">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Following the homicide of a young Black male named Stephen Lawrence in Southend London, 1993 an inquest was ordered by Home Secretary Jack Straw into the case handled by the police into the murder, the findings of the inquest were titled “The Macpherson report”. The report outlined that due to increased racism and inequality bias in the police (Macpherson 1993) the case was handled poorly and received a low level of enquiry and attention from investigating officers and was ultimately mishandled as a result of institutional racism in the Met (Quinn, 2019) The findings sparked outrage from minority ethnic communities and therefore a loss of trust in the police took hold. (Lea 2003)</w:t>
      </w:r>
    </w:p>
    <w:p w14:paraId="45A2F60B" w14:textId="77777777"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17C5D658" w14:textId="77777777" w:rsidR="003529AC" w:rsidRPr="00485C52" w:rsidRDefault="003529AC" w:rsidP="003529AC">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r w:rsidRPr="00485C52">
        <w:rPr>
          <w:rFonts w:ascii="Arial" w:eastAsia="Times New Roman" w:hAnsi="Arial" w:cs="Arial"/>
          <w:b/>
          <w:bCs/>
          <w:i/>
          <w:iCs/>
          <w:u w:val="single"/>
          <w:lang w:eastAsia="en-GB"/>
        </w:rPr>
        <w:t>The Response</w:t>
      </w:r>
    </w:p>
    <w:p w14:paraId="1BBCB959" w14:textId="77777777"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321F5AD5" w14:textId="77777777" w:rsidR="003529AC" w:rsidRDefault="003529AC" w:rsidP="003529AC">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In recognition and response to The Macpherson Report (Macpherson 1993) The Met evaluated their level of multi-cultural inclusion of its police officer recruitment, (House of Commons Home Affairs Select Committee 2021) community along with the arrest of a total of six suspects, responsible for ‘jumping’ Lawrence and murdering him. Commissioner Forsyth responded to the report and addressed the findings by supporting the reopening of the enquiry. </w:t>
      </w:r>
    </w:p>
    <w:p w14:paraId="77EC6C80" w14:textId="77777777"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440B6382" w14:textId="77777777" w:rsidR="003529AC" w:rsidRDefault="003529AC" w:rsidP="003529AC">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r w:rsidRPr="00485522">
        <w:rPr>
          <w:rFonts w:ascii="Arial" w:eastAsia="Times New Roman" w:hAnsi="Arial" w:cs="Arial"/>
          <w:b/>
          <w:bCs/>
          <w:i/>
          <w:iCs/>
          <w:u w:val="single"/>
          <w:lang w:eastAsia="en-GB"/>
        </w:rPr>
        <w:t>The Catalyst to “Positive Action”</w:t>
      </w:r>
    </w:p>
    <w:p w14:paraId="03F5598F" w14:textId="77777777" w:rsidR="003529AC" w:rsidRPr="00485522"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b/>
          <w:bCs/>
          <w:i/>
          <w:iCs/>
          <w:u w:val="single"/>
          <w:lang w:eastAsia="en-GB"/>
        </w:rPr>
      </w:pPr>
    </w:p>
    <w:p w14:paraId="76796291" w14:textId="77777777" w:rsidR="003529AC" w:rsidRDefault="003529AC" w:rsidP="003529AC">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Almost twenty-three years on, Forces across the country hypothesised that communities would respond better to the police if officers were from those communities, (Join the Police 2023) representing them in policing. This would provide public perception to officers as more collaborative than authoritarian. Recruitment drives began to seek minority ethnic individuals over those of conventional Caucasian ethnicity. This became evident when the Met were instructed to recruit 40% of their force as Black and minority ethnic groups, which became public knowledge (Guardian 2020). </w:t>
      </w:r>
    </w:p>
    <w:p w14:paraId="29C7478B" w14:textId="77777777" w:rsidR="003529AC" w:rsidRDefault="003529AC" w:rsidP="003529AC">
      <w:pPr>
        <w:overflowPunct w:val="0"/>
        <w:autoSpaceDE w:val="0"/>
        <w:autoSpaceDN w:val="0"/>
        <w:adjustRightInd w:val="0"/>
        <w:spacing w:after="0" w:line="276" w:lineRule="auto"/>
        <w:ind w:right="531"/>
        <w:textAlignment w:val="baseline"/>
        <w:rPr>
          <w:rFonts w:ascii="Arial" w:eastAsia="Times New Roman" w:hAnsi="Arial" w:cs="Arial"/>
          <w:b/>
          <w:bCs/>
          <w:i/>
          <w:iCs/>
          <w:u w:val="single"/>
          <w:lang w:eastAsia="en-GB"/>
        </w:rPr>
      </w:pPr>
    </w:p>
    <w:p w14:paraId="5D106481" w14:textId="148FD140" w:rsidR="003529AC" w:rsidRDefault="003529AC" w:rsidP="003529AC">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The current objective as outlined by the UK Government is to recruit, train and retain 20,000 new police officers across the country. A focus remains on positive action inside recruitment. As of June 2022, the UK Government has reported an uplift in recruitment of 14,306 new officers across the 43 territorial forces in the UK (this excludes CNC and BTP). This leaves a current total of 142,759 officers in the UK as of 30 June 2022. In regard to ethnic minorities and gender: 3.7% Asian, 1.3% black, 2.5% mixed and 0.7% “other” were recruited across the country (UK Government 2022) </w:t>
      </w:r>
    </w:p>
    <w:p w14:paraId="58EC8DDE" w14:textId="70BFF53C"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060B51CC" w14:textId="1FC5EDDF" w:rsidR="003529AC" w:rsidRDefault="003529AC" w:rsidP="003529AC">
      <w:pPr>
        <w:tabs>
          <w:tab w:val="left" w:pos="4550"/>
        </w:tabs>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ab/>
      </w:r>
    </w:p>
    <w:p w14:paraId="7B4DB1E8" w14:textId="04031292"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6EAF1753" w14:textId="32611AD8"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4E1EC9B5" w14:textId="6C5B3E51"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noProof/>
        </w:rPr>
        <w:lastRenderedPageBreak/>
        <w:drawing>
          <wp:anchor distT="0" distB="0" distL="114300" distR="114300" simplePos="0" relativeHeight="251659264" behindDoc="1" locked="0" layoutInCell="1" allowOverlap="1" wp14:anchorId="74B737DC" wp14:editId="2C31197F">
            <wp:simplePos x="0" y="0"/>
            <wp:positionH relativeFrom="margin">
              <wp:posOffset>1430020</wp:posOffset>
            </wp:positionH>
            <wp:positionV relativeFrom="paragraph">
              <wp:posOffset>0</wp:posOffset>
            </wp:positionV>
            <wp:extent cx="2813050" cy="1498600"/>
            <wp:effectExtent l="0" t="0" r="6350" b="6350"/>
            <wp:wrapTight wrapText="bothSides">
              <wp:wrapPolygon edited="0">
                <wp:start x="0" y="0"/>
                <wp:lineTo x="0" y="21417"/>
                <wp:lineTo x="21502" y="21417"/>
                <wp:lineTo x="2150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13050" cy="1498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2CF6A7" w14:textId="77777777"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6DFF2C99" w14:textId="77777777" w:rsidR="003529AC" w:rsidRPr="00E237F8"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715ED1CE" w14:textId="77777777"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5DA3BF26" w14:textId="77777777"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5F920671" w14:textId="77777777"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324F7FCE" w14:textId="77777777"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66086360" w14:textId="77777777"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2C3F8705" w14:textId="77777777"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511F154A" w14:textId="77777777"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6DE9039F" w14:textId="1C2BA329" w:rsidR="003529AC" w:rsidRPr="00707457"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Statistics provided by H.M Home Office (30/06/2022) </w:t>
      </w:r>
    </w:p>
    <w:p w14:paraId="1F3CDD68" w14:textId="77777777" w:rsidR="003529AC" w:rsidRDefault="003529AC" w:rsidP="003529AC">
      <w:pPr>
        <w:overflowPunct w:val="0"/>
        <w:autoSpaceDE w:val="0"/>
        <w:autoSpaceDN w:val="0"/>
        <w:adjustRightInd w:val="0"/>
        <w:spacing w:after="0" w:line="276" w:lineRule="auto"/>
        <w:ind w:right="531"/>
        <w:textAlignment w:val="baseline"/>
        <w:rPr>
          <w:rFonts w:ascii="Arial" w:eastAsia="Times New Roman" w:hAnsi="Arial" w:cs="Arial"/>
          <w:b/>
          <w:bCs/>
          <w:i/>
          <w:iCs/>
          <w:u w:val="single"/>
          <w:lang w:eastAsia="en-GB"/>
        </w:rPr>
      </w:pPr>
    </w:p>
    <w:p w14:paraId="7D068EF5" w14:textId="77777777"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Based on the above disclosure of statistics, it is clear that the recruitment drive for BAME and LGBTQ+ candidates is failing. The basis of dis-appeal is unknown and brought into question as a result of these findings. </w:t>
      </w:r>
    </w:p>
    <w:p w14:paraId="7FA74556" w14:textId="77777777"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4F1BE9A7" w14:textId="77777777" w:rsidR="003529AC" w:rsidRPr="00611FCA" w:rsidRDefault="003529AC" w:rsidP="003529AC">
      <w:pPr>
        <w:overflowPunct w:val="0"/>
        <w:autoSpaceDE w:val="0"/>
        <w:autoSpaceDN w:val="0"/>
        <w:adjustRightInd w:val="0"/>
        <w:spacing w:after="0" w:line="276" w:lineRule="auto"/>
        <w:ind w:left="567" w:right="531"/>
        <w:textAlignment w:val="baseline"/>
        <w:rPr>
          <w:rFonts w:ascii="Arial" w:hAnsi="Arial" w:cs="Arial"/>
        </w:rPr>
      </w:pPr>
      <w:r w:rsidRPr="00611FCA">
        <w:rPr>
          <w:rFonts w:ascii="Arial" w:hAnsi="Arial" w:cs="Arial"/>
        </w:rPr>
        <w:t>“In anticipation of the February external campaign ending, a further application ‘window’ took place between the 12th and 22nd May 2016. During this window, 710 applications were received, and due to the intensive Positive Action work being undertaken in Districts, 141 (20%) of these applications were from candidates from a BAME background. 47 (7%) of candidates stated they were LGBT, and 36 (5%) of candidates stated they had a disability”</w:t>
      </w:r>
      <w:r>
        <w:rPr>
          <w:rFonts w:ascii="Arial" w:hAnsi="Arial" w:cs="Arial"/>
        </w:rPr>
        <w:t>.</w:t>
      </w:r>
    </w:p>
    <w:p w14:paraId="7CDF9DC8" w14:textId="77777777" w:rsidR="003529AC" w:rsidRDefault="003529AC" w:rsidP="003529AC">
      <w:pPr>
        <w:pStyle w:val="ListParagraph"/>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-West Yorkshire Police and Crime Panel (2016). </w:t>
      </w:r>
    </w:p>
    <w:p w14:paraId="29B4F400" w14:textId="77777777" w:rsidR="003529AC" w:rsidRDefault="003529AC" w:rsidP="003529AC">
      <w:pPr>
        <w:pStyle w:val="ListParagraph"/>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1E015EAC" w14:textId="77777777" w:rsidR="003529AC" w:rsidRDefault="003529AC" w:rsidP="003529AC">
      <w:pPr>
        <w:pStyle w:val="ListParagraph"/>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Despite these recruitment numbers, is a focus on introducing BAME and LGBTQ+ officers having a positive impact on policing, further succeeding community relations? </w:t>
      </w:r>
    </w:p>
    <w:p w14:paraId="3599A894" w14:textId="77777777" w:rsidR="003529AC" w:rsidRPr="00D457DF" w:rsidRDefault="003529AC" w:rsidP="003529AC">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62E5032A" w14:textId="77777777" w:rsidR="003529AC" w:rsidRDefault="003529AC" w:rsidP="003529AC">
      <w:pPr>
        <w:pStyle w:val="ListParagraph"/>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Following the recent highlight on the metropolitan police openly admitting that:</w:t>
      </w:r>
    </w:p>
    <w:p w14:paraId="06B75474" w14:textId="77777777" w:rsidR="003529AC" w:rsidRDefault="003529AC" w:rsidP="003529AC">
      <w:pPr>
        <w:pStyle w:val="ListParagraph"/>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“There is a lot of work to be done” </w:t>
      </w:r>
    </w:p>
    <w:p w14:paraId="422F92B9" w14:textId="77777777" w:rsidR="003529AC" w:rsidRDefault="003529AC" w:rsidP="003529AC">
      <w:pPr>
        <w:pStyle w:val="ListParagraph"/>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-Commissioner C. Dick MPS (2021)</w:t>
      </w:r>
    </w:p>
    <w:p w14:paraId="361C9FF8" w14:textId="77777777" w:rsidR="003529AC" w:rsidRDefault="003529AC" w:rsidP="003529AC">
      <w:pPr>
        <w:pStyle w:val="ListParagraph"/>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Relative to positive relations between BAME and white officers within the met and the recent black lives matter movement as a result of the George Floyd murder at the hands of a police officer in America, the introduction of Counter terrorism stop search methods based on officer judgement and perceived as discrimination to BAME majority boroughs of London, the police related death of a black male who was tasered whilst jumping off the Chelsea Bridge; there is little doubt that these are a factor in such low BAME recruitment of police officers. A study was also completed showing that BAME communities felt that white police officers were impolite (Skogan, 1990; Southgate and Crisp, 1992: Bucke, 1996). </w:t>
      </w:r>
    </w:p>
    <w:p w14:paraId="0331C1FE" w14:textId="77777777" w:rsidR="003529AC" w:rsidRPr="00D32665" w:rsidRDefault="003529AC" w:rsidP="003529AC">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26EBD909" w14:textId="77777777" w:rsidR="003529AC" w:rsidRDefault="003529AC" w:rsidP="003529AC">
      <w:pPr>
        <w:pStyle w:val="ListParagraph"/>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An inquest conducted by the Home Office revealed that deaths in police custody, with the deaths recorded being that of Black males, reached 10% of overall detainee statistics. This figure involves the use of police implemented restraint techniques in custody facilities (Lindon and Roe, 2017). </w:t>
      </w:r>
    </w:p>
    <w:p w14:paraId="40F1E4BF" w14:textId="77777777" w:rsidR="003529AC" w:rsidRDefault="003529AC" w:rsidP="003529AC">
      <w:pPr>
        <w:pStyle w:val="ListParagraph"/>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This shows that BAME communities do not want to become police officers as they would be collaborating with officers potentially responsible for these </w:t>
      </w:r>
      <w:r>
        <w:rPr>
          <w:rFonts w:ascii="Arial" w:eastAsia="Times New Roman" w:hAnsi="Arial" w:cs="Arial"/>
          <w:lang w:eastAsia="en-GB"/>
        </w:rPr>
        <w:lastRenderedPageBreak/>
        <w:t xml:space="preserve">incidents as well as subjected to the cause of the incidents, where directed by would be senior colleagues assigned to them. The positive action recruitment only is feasible if BAME groups see themselves as police officers, which would increase the rate of interest. </w:t>
      </w:r>
    </w:p>
    <w:p w14:paraId="1AE13FE4" w14:textId="77777777" w:rsidR="003529AC" w:rsidRDefault="003529AC" w:rsidP="003529AC">
      <w:pPr>
        <w:pStyle w:val="ListParagraph"/>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4E5CD2C3" w14:textId="77777777" w:rsidR="003529AC" w:rsidRPr="00453A37" w:rsidRDefault="003529AC" w:rsidP="003529AC">
      <w:pPr>
        <w:pStyle w:val="ListParagraph"/>
        <w:overflowPunct w:val="0"/>
        <w:autoSpaceDE w:val="0"/>
        <w:autoSpaceDN w:val="0"/>
        <w:adjustRightInd w:val="0"/>
        <w:spacing w:after="0" w:line="276" w:lineRule="auto"/>
        <w:ind w:right="531"/>
        <w:textAlignment w:val="baseline"/>
        <w:rPr>
          <w:sz w:val="20"/>
          <w:szCs w:val="20"/>
        </w:rPr>
      </w:pPr>
      <w:r>
        <w:rPr>
          <w:rFonts w:ascii="Arial" w:eastAsia="Times New Roman" w:hAnsi="Arial" w:cs="Arial"/>
          <w:lang w:eastAsia="en-GB"/>
        </w:rPr>
        <w:t xml:space="preserve">Since the introduction of BAME recruitment, in the statistics and a study on current serving BAME officers experiences was compiled (Hasan, 2021) where a lack of leadership has resulted in a crisis management culture (Rollock, 2009) which eventually leads to a lack of career progression opportunities, something that would not be inspiring to those aspiring officers that can only make positive change in ranks that they would never reach as a result of this finding </w:t>
      </w:r>
      <w:r w:rsidRPr="00284839">
        <w:rPr>
          <w:rFonts w:ascii="Arial" w:eastAsia="Times New Roman" w:hAnsi="Arial" w:cs="Arial"/>
          <w:sz w:val="20"/>
          <w:szCs w:val="20"/>
          <w:lang w:eastAsia="en-GB"/>
        </w:rPr>
        <w:t>(</w:t>
      </w:r>
      <w:r w:rsidRPr="00453A37">
        <w:rPr>
          <w:rFonts w:ascii="Arial" w:hAnsi="Arial" w:cs="Arial"/>
          <w:sz w:val="20"/>
          <w:szCs w:val="20"/>
        </w:rPr>
        <w:t>Halford v the United Kingdom, 1997</w:t>
      </w:r>
      <w:r w:rsidRPr="00453A37">
        <w:rPr>
          <w:sz w:val="20"/>
          <w:szCs w:val="20"/>
        </w:rPr>
        <w:t xml:space="preserve">). </w:t>
      </w:r>
    </w:p>
    <w:p w14:paraId="5A0E60E0" w14:textId="77777777" w:rsidR="003529AC" w:rsidRPr="00453A37" w:rsidRDefault="003529AC" w:rsidP="003529AC">
      <w:pPr>
        <w:pStyle w:val="ListParagraph"/>
        <w:overflowPunct w:val="0"/>
        <w:autoSpaceDE w:val="0"/>
        <w:autoSpaceDN w:val="0"/>
        <w:adjustRightInd w:val="0"/>
        <w:spacing w:after="0" w:line="276" w:lineRule="auto"/>
        <w:ind w:right="531"/>
        <w:textAlignment w:val="baseline"/>
        <w:rPr>
          <w:rFonts w:ascii="Arial" w:eastAsia="Times New Roman" w:hAnsi="Arial" w:cs="Arial"/>
          <w:sz w:val="20"/>
          <w:szCs w:val="20"/>
          <w:lang w:eastAsia="en-GB"/>
        </w:rPr>
      </w:pPr>
    </w:p>
    <w:p w14:paraId="74A749A3" w14:textId="77777777" w:rsidR="003529AC" w:rsidRPr="00873CAB" w:rsidRDefault="003529AC" w:rsidP="003529AC">
      <w:pPr>
        <w:pStyle w:val="ListParagraph"/>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A positive impact on policing based on the above points, evidence and elaborations can only be had if current police performance improves in order to make the police appealing to BAME communities, as opposed to a risk and forces only relying upon inciting interest in those of BAME backgrounds who wish to run that risk to impose change within their force. </w:t>
      </w:r>
    </w:p>
    <w:p w14:paraId="50C0F15E" w14:textId="77777777"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b/>
          <w:bCs/>
          <w:i/>
          <w:iCs/>
          <w:u w:val="single"/>
          <w:lang w:eastAsia="en-GB"/>
        </w:rPr>
      </w:pPr>
    </w:p>
    <w:p w14:paraId="14F8866E" w14:textId="77777777" w:rsidR="003529AC" w:rsidRDefault="003529AC" w:rsidP="003529AC">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1D49F74A" w14:textId="77777777" w:rsidR="003529AC" w:rsidRPr="00777CC2" w:rsidRDefault="003529AC" w:rsidP="003529AC">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r w:rsidRPr="00777CC2">
        <w:rPr>
          <w:rFonts w:ascii="Arial" w:eastAsia="Times New Roman" w:hAnsi="Arial" w:cs="Arial"/>
          <w:b/>
          <w:bCs/>
          <w:i/>
          <w:iCs/>
          <w:u w:val="single"/>
          <w:lang w:eastAsia="en-GB"/>
        </w:rPr>
        <w:t>Conclusion</w:t>
      </w:r>
    </w:p>
    <w:p w14:paraId="39A096BE" w14:textId="77777777"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60C3CE17" w14:textId="77777777" w:rsidR="003529AC" w:rsidRDefault="003529AC" w:rsidP="003529AC">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The effect of officers from the communities dealing with community issues has had a developmental impact on the public, where the force feels less threatening and more so presently assistive, promoting cooperation, understanding and discretion whilst demonstrating an understanding of need. </w:t>
      </w:r>
    </w:p>
    <w:p w14:paraId="52C624BE" w14:textId="77777777" w:rsidR="003529AC" w:rsidRDefault="003529AC" w:rsidP="003529AC">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167C6571" w14:textId="77777777" w:rsidR="003529AC" w:rsidRDefault="003529AC" w:rsidP="003529AC">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Regardless of the referenced figures, communities seem happier to know the “Bobby on the beat” as opposed to the modern-day mobile patrols and nothing more than are currently taking place as a result of budget cuts and a lack of resources. With the ever-dwindling numbers of current serving officers, and the poor percentage rise of BAME and LGBTQ+ officers signing up for the role of Constable, it is unlikely to see a shift in focused change to proposed service delivery plans in policing.</w:t>
      </w:r>
    </w:p>
    <w:p w14:paraId="3D4C606A" w14:textId="77777777"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-1232</w:t>
      </w:r>
    </w:p>
    <w:p w14:paraId="361B9D79" w14:textId="77777777" w:rsidR="003529AC" w:rsidRPr="00777CC2"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5C74F210" w14:textId="77777777" w:rsidR="003529AC" w:rsidRDefault="003529AC" w:rsidP="003529A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0D77381E" w14:textId="77777777" w:rsidR="003529AC" w:rsidRDefault="003529AC" w:rsidP="003529AC">
      <w:pPr>
        <w:overflowPunct w:val="0"/>
        <w:autoSpaceDE w:val="0"/>
        <w:autoSpaceDN w:val="0"/>
        <w:adjustRightInd w:val="0"/>
        <w:spacing w:after="0" w:line="276" w:lineRule="auto"/>
        <w:ind w:right="531"/>
        <w:jc w:val="center"/>
        <w:textAlignment w:val="baseline"/>
        <w:rPr>
          <w:rFonts w:ascii="Arial" w:eastAsia="Times New Roman" w:hAnsi="Arial" w:cs="Arial"/>
          <w:b/>
          <w:bCs/>
          <w:i/>
          <w:iCs/>
          <w:u w:val="single"/>
          <w:lang w:eastAsia="en-GB"/>
        </w:rPr>
      </w:pPr>
    </w:p>
    <w:p w14:paraId="31B08462" w14:textId="77777777" w:rsidR="003529AC" w:rsidRDefault="003529AC" w:rsidP="003529AC">
      <w:pPr>
        <w:overflowPunct w:val="0"/>
        <w:autoSpaceDE w:val="0"/>
        <w:autoSpaceDN w:val="0"/>
        <w:adjustRightInd w:val="0"/>
        <w:spacing w:after="0" w:line="276" w:lineRule="auto"/>
        <w:ind w:right="531"/>
        <w:jc w:val="center"/>
        <w:textAlignment w:val="baseline"/>
        <w:rPr>
          <w:rFonts w:ascii="Arial" w:eastAsia="Times New Roman" w:hAnsi="Arial" w:cs="Arial"/>
          <w:b/>
          <w:bCs/>
          <w:i/>
          <w:iCs/>
          <w:u w:val="single"/>
          <w:lang w:eastAsia="en-GB"/>
        </w:rPr>
      </w:pPr>
      <w:r w:rsidRPr="002B36A0">
        <w:rPr>
          <w:rFonts w:ascii="Arial" w:eastAsia="Times New Roman" w:hAnsi="Arial" w:cs="Arial"/>
          <w:b/>
          <w:bCs/>
          <w:i/>
          <w:iCs/>
          <w:u w:val="single"/>
          <w:lang w:eastAsia="en-GB"/>
        </w:rPr>
        <w:t>References</w:t>
      </w:r>
    </w:p>
    <w:p w14:paraId="5BD360E4" w14:textId="77777777" w:rsidR="003529AC" w:rsidRPr="00E745BF" w:rsidRDefault="003529AC" w:rsidP="003529AC">
      <w:pPr>
        <w:overflowPunct w:val="0"/>
        <w:autoSpaceDE w:val="0"/>
        <w:autoSpaceDN w:val="0"/>
        <w:adjustRightInd w:val="0"/>
        <w:spacing w:after="0" w:line="276" w:lineRule="auto"/>
        <w:ind w:right="531"/>
        <w:textAlignment w:val="baseline"/>
        <w:rPr>
          <w:rFonts w:ascii="Arial" w:eastAsia="Times New Roman" w:hAnsi="Arial" w:cs="Arial"/>
          <w:b/>
          <w:bCs/>
          <w:i/>
          <w:iCs/>
          <w:u w:val="single"/>
          <w:lang w:eastAsia="en-GB"/>
        </w:rPr>
      </w:pPr>
    </w:p>
    <w:p w14:paraId="5738FAFF" w14:textId="77777777" w:rsidR="003529AC" w:rsidRPr="00415E1B" w:rsidRDefault="003529AC" w:rsidP="003529AC">
      <w:pPr>
        <w:pStyle w:val="ListParagraph"/>
        <w:overflowPunct w:val="0"/>
        <w:autoSpaceDE w:val="0"/>
        <w:autoSpaceDN w:val="0"/>
        <w:adjustRightInd w:val="0"/>
        <w:spacing w:after="0" w:line="276" w:lineRule="auto"/>
        <w:ind w:left="1287" w:right="531"/>
        <w:textAlignment w:val="baseline"/>
        <w:rPr>
          <w:rFonts w:ascii="Arial" w:eastAsia="Times New Roman" w:hAnsi="Arial" w:cs="Arial"/>
          <w:b/>
          <w:bCs/>
          <w:i/>
          <w:iCs/>
          <w:u w:val="single"/>
          <w:lang w:eastAsia="en-GB"/>
        </w:rPr>
      </w:pPr>
    </w:p>
    <w:p w14:paraId="4001DF41" w14:textId="77777777" w:rsidR="003529AC" w:rsidRPr="00915DBB" w:rsidRDefault="003529AC" w:rsidP="003529AC">
      <w:pPr>
        <w:pStyle w:val="ListParagraph"/>
        <w:overflowPunct w:val="0"/>
        <w:autoSpaceDE w:val="0"/>
        <w:autoSpaceDN w:val="0"/>
        <w:adjustRightInd w:val="0"/>
        <w:spacing w:after="0" w:line="276" w:lineRule="auto"/>
        <w:ind w:left="1287" w:right="531"/>
        <w:textAlignment w:val="baseline"/>
        <w:rPr>
          <w:rFonts w:ascii="Arial" w:eastAsia="Times New Roman" w:hAnsi="Arial" w:cs="Arial"/>
          <w:b/>
          <w:bCs/>
          <w:i/>
          <w:iCs/>
          <w:u w:val="single"/>
          <w:lang w:eastAsia="en-GB"/>
        </w:rPr>
      </w:pPr>
    </w:p>
    <w:p w14:paraId="22DE998E" w14:textId="77777777" w:rsidR="003529AC" w:rsidRPr="00E745BF" w:rsidRDefault="003529AC" w:rsidP="003529AC">
      <w:pPr>
        <w:pStyle w:val="ListParagraph"/>
        <w:numPr>
          <w:ilvl w:val="0"/>
          <w:numId w:val="2"/>
        </w:numPr>
        <w:overflowPunct w:val="0"/>
        <w:autoSpaceDE w:val="0"/>
        <w:autoSpaceDN w:val="0"/>
        <w:adjustRightInd w:val="0"/>
        <w:spacing w:after="0" w:line="276" w:lineRule="auto"/>
        <w:ind w:right="531"/>
        <w:textAlignment w:val="baseline"/>
        <w:rPr>
          <w:rFonts w:ascii="Arial" w:eastAsia="Times New Roman" w:hAnsi="Arial" w:cs="Arial"/>
          <w:b/>
          <w:bCs/>
          <w:i/>
          <w:iCs/>
          <w:u w:val="single"/>
          <w:lang w:eastAsia="en-GB"/>
        </w:rPr>
      </w:pPr>
      <w:r>
        <w:t xml:space="preserve">Barron. A. M, Holdaway. S. “Resigners? The Experience of Black and Asian Police Officers”. Published 1997. Accessed via URL:  </w:t>
      </w:r>
      <w:hyperlink r:id="rId15" w:anchor="v=onepage&amp;q=black%20police%20officers%20experiences&amp;f=false" w:history="1">
        <w:r>
          <w:rPr>
            <w:rStyle w:val="Hyperlink"/>
          </w:rPr>
          <w:t>Resigners? The Experience of Black and Asian Police Officers - Anne-Marie Barron, Simon Holdaway - Google Books</w:t>
        </w:r>
      </w:hyperlink>
      <w:r>
        <w:t xml:space="preserve">. Accessed February 2023. </w:t>
      </w:r>
    </w:p>
    <w:p w14:paraId="50B5A75D" w14:textId="77777777" w:rsidR="003529AC" w:rsidRPr="00E745BF" w:rsidRDefault="003529AC" w:rsidP="003529AC">
      <w:pPr>
        <w:pStyle w:val="ListParagraph"/>
        <w:numPr>
          <w:ilvl w:val="0"/>
          <w:numId w:val="2"/>
        </w:numPr>
        <w:overflowPunct w:val="0"/>
        <w:autoSpaceDE w:val="0"/>
        <w:autoSpaceDN w:val="0"/>
        <w:adjustRightInd w:val="0"/>
        <w:spacing w:after="0" w:line="276" w:lineRule="auto"/>
        <w:ind w:right="531"/>
        <w:textAlignment w:val="baseline"/>
        <w:rPr>
          <w:rFonts w:ascii="Arial" w:eastAsia="Times New Roman" w:hAnsi="Arial" w:cs="Arial"/>
          <w:b/>
          <w:bCs/>
          <w:i/>
          <w:iCs/>
          <w:u w:val="single"/>
          <w:lang w:eastAsia="en-GB"/>
        </w:rPr>
      </w:pPr>
      <w:r>
        <w:lastRenderedPageBreak/>
        <w:t xml:space="preserve">Giles. L, Rowe. S. “Deaths in Police Custody: A Review of the International Evidence”. Published October 2017. Accessed via URL: </w:t>
      </w:r>
      <w:hyperlink r:id="rId16" w:history="1">
        <w:r>
          <w:rPr>
            <w:rStyle w:val="Hyperlink"/>
          </w:rPr>
          <w:t>Deaths in police custody: A review of the international evidence (basw.co.uk)</w:t>
        </w:r>
      </w:hyperlink>
      <w:r>
        <w:t xml:space="preserve">. Accessed March 2023. </w:t>
      </w:r>
    </w:p>
    <w:p w14:paraId="63E27F43" w14:textId="77777777" w:rsidR="003529AC" w:rsidRPr="001C510A" w:rsidRDefault="003529AC" w:rsidP="003529AC">
      <w:pPr>
        <w:pStyle w:val="ListParagraph"/>
        <w:numPr>
          <w:ilvl w:val="0"/>
          <w:numId w:val="2"/>
        </w:numPr>
        <w:overflowPunct w:val="0"/>
        <w:autoSpaceDE w:val="0"/>
        <w:autoSpaceDN w:val="0"/>
        <w:adjustRightInd w:val="0"/>
        <w:spacing w:after="0" w:line="276" w:lineRule="auto"/>
        <w:ind w:right="531"/>
        <w:textAlignment w:val="baseline"/>
        <w:rPr>
          <w:rStyle w:val="Hyperlink"/>
          <w:rFonts w:ascii="Arial" w:eastAsia="Times New Roman" w:hAnsi="Arial" w:cs="Arial"/>
          <w:b/>
          <w:bCs/>
          <w:i/>
          <w:iCs/>
          <w:lang w:eastAsia="en-GB"/>
        </w:rPr>
      </w:pPr>
      <w:r>
        <w:t xml:space="preserve">Hargreaves, J. “UK Government Police Officer uplift statistics”. Published June 2022. Located at URL:  </w:t>
      </w:r>
      <w:hyperlink w:history="1">
        <w:r w:rsidRPr="00DE0692">
          <w:rPr>
            <w:rStyle w:val="Hyperlink"/>
          </w:rPr>
          <w:t>Police officer uplift, quarterly update to June 2022 - GOV.UK (www.gov.uk)</w:t>
        </w:r>
      </w:hyperlink>
      <w:r>
        <w:rPr>
          <w:rStyle w:val="Hyperlink"/>
        </w:rPr>
        <w:t xml:space="preserve">  Accessed July 2022.</w:t>
      </w:r>
    </w:p>
    <w:p w14:paraId="03391D70" w14:textId="77777777" w:rsidR="003529AC" w:rsidRPr="006A1DA5" w:rsidRDefault="003529AC" w:rsidP="003529AC">
      <w:pPr>
        <w:pStyle w:val="ListParagraph"/>
        <w:numPr>
          <w:ilvl w:val="0"/>
          <w:numId w:val="2"/>
        </w:numPr>
        <w:overflowPunct w:val="0"/>
        <w:autoSpaceDE w:val="0"/>
        <w:autoSpaceDN w:val="0"/>
        <w:adjustRightInd w:val="0"/>
        <w:spacing w:after="0" w:line="276" w:lineRule="auto"/>
        <w:ind w:right="531"/>
        <w:textAlignment w:val="baseline"/>
        <w:rPr>
          <w:rFonts w:ascii="Arial" w:eastAsia="Times New Roman" w:hAnsi="Arial" w:cs="Arial"/>
          <w:b/>
          <w:bCs/>
          <w:i/>
          <w:iCs/>
          <w:u w:val="single"/>
          <w:lang w:eastAsia="en-GB"/>
        </w:rPr>
      </w:pPr>
      <w:r>
        <w:t xml:space="preserve">Hasan. M. “Racist Bullying of BAME (Black and Asian Minority Ethnic) Women Within Police Services in England: Race, Gender and Police Culture”. Published January 2021. Accessed via URL: </w:t>
      </w:r>
      <w:hyperlink r:id="rId17" w:history="1">
        <w:r>
          <w:rPr>
            <w:rStyle w:val="Hyperlink"/>
          </w:rPr>
          <w:t>Racist bullying of BAME (Black and Asian Minority Ethnic) women within police services in England: Race, gender and police culture (sagepub.com)</w:t>
        </w:r>
      </w:hyperlink>
      <w:r>
        <w:t xml:space="preserve">. Accessed March 2023. </w:t>
      </w:r>
    </w:p>
    <w:p w14:paraId="412AFAF9" w14:textId="77777777" w:rsidR="003529AC" w:rsidRPr="00E745BF" w:rsidRDefault="003529AC" w:rsidP="003529AC">
      <w:pPr>
        <w:pStyle w:val="ListParagraph"/>
        <w:numPr>
          <w:ilvl w:val="0"/>
          <w:numId w:val="2"/>
        </w:numPr>
        <w:overflowPunct w:val="0"/>
        <w:autoSpaceDE w:val="0"/>
        <w:autoSpaceDN w:val="0"/>
        <w:adjustRightInd w:val="0"/>
        <w:spacing w:after="0" w:line="276" w:lineRule="auto"/>
        <w:ind w:right="531"/>
        <w:textAlignment w:val="baseline"/>
        <w:rPr>
          <w:rFonts w:ascii="Arial" w:eastAsia="Times New Roman" w:hAnsi="Arial" w:cs="Arial"/>
          <w:b/>
          <w:bCs/>
          <w:i/>
          <w:iCs/>
          <w:u w:val="single"/>
          <w:lang w:eastAsia="en-GB"/>
        </w:rPr>
      </w:pPr>
      <w:r>
        <w:t xml:space="preserve">House of Commons (Online). Published 2023. Located at URL: </w:t>
      </w:r>
      <w:hyperlink r:id="rId18" w:history="1">
        <w:r>
          <w:rPr>
            <w:rStyle w:val="Hyperlink"/>
          </w:rPr>
          <w:t>House of Commons - UK Parliament</w:t>
        </w:r>
      </w:hyperlink>
      <w:r>
        <w:t xml:space="preserve">. Accessed February 2023. </w:t>
      </w:r>
    </w:p>
    <w:p w14:paraId="28EAFF86" w14:textId="77777777" w:rsidR="003529AC" w:rsidRPr="00E745BF" w:rsidRDefault="003529AC" w:rsidP="003529AC">
      <w:pPr>
        <w:pStyle w:val="ListParagraph"/>
        <w:numPr>
          <w:ilvl w:val="0"/>
          <w:numId w:val="2"/>
        </w:numPr>
        <w:overflowPunct w:val="0"/>
        <w:autoSpaceDE w:val="0"/>
        <w:autoSpaceDN w:val="0"/>
        <w:adjustRightInd w:val="0"/>
        <w:spacing w:after="0" w:line="276" w:lineRule="auto"/>
        <w:ind w:right="531"/>
        <w:textAlignment w:val="baseline"/>
        <w:rPr>
          <w:rFonts w:ascii="Arial" w:eastAsia="Times New Roman" w:hAnsi="Arial" w:cs="Arial"/>
          <w:b/>
          <w:bCs/>
          <w:i/>
          <w:iCs/>
          <w:u w:val="single"/>
          <w:lang w:eastAsia="en-GB"/>
        </w:rPr>
      </w:pPr>
      <w:r>
        <w:rPr>
          <w:rStyle w:val="Hyperlink"/>
        </w:rPr>
        <w:t xml:space="preserve">Join the Police (Online) 2023. Located at URL: </w:t>
      </w:r>
      <w:hyperlink r:id="rId19" w:history="1">
        <w:r>
          <w:rPr>
            <w:rStyle w:val="Hyperlink"/>
          </w:rPr>
          <w:t>Supporting diversity | Join The Police (joiningthepolice.co.uk)</w:t>
        </w:r>
      </w:hyperlink>
      <w:r>
        <w:t>. Accessed February 2023.</w:t>
      </w:r>
    </w:p>
    <w:p w14:paraId="5A5972B9" w14:textId="77777777" w:rsidR="003529AC" w:rsidRPr="00E745BF" w:rsidRDefault="003529AC" w:rsidP="003529AC">
      <w:pPr>
        <w:pStyle w:val="ListParagraph"/>
        <w:numPr>
          <w:ilvl w:val="0"/>
          <w:numId w:val="2"/>
        </w:numPr>
        <w:overflowPunct w:val="0"/>
        <w:autoSpaceDE w:val="0"/>
        <w:autoSpaceDN w:val="0"/>
        <w:adjustRightInd w:val="0"/>
        <w:spacing w:after="0" w:line="276" w:lineRule="auto"/>
        <w:ind w:right="531"/>
        <w:textAlignment w:val="baseline"/>
        <w:rPr>
          <w:rFonts w:ascii="Arial" w:eastAsia="Times New Roman" w:hAnsi="Arial" w:cs="Arial"/>
          <w:b/>
          <w:bCs/>
          <w:i/>
          <w:iCs/>
          <w:u w:val="single"/>
          <w:lang w:eastAsia="en-GB"/>
        </w:rPr>
      </w:pPr>
      <w:r>
        <w:t>Police and Crime Commissioner, West Yorkshire Police. “Recruitment and Retention of Police Officers, PCSOs and Positive Action”. Published 15</w:t>
      </w:r>
      <w:r w:rsidRPr="00CC3625">
        <w:rPr>
          <w:vertAlign w:val="superscript"/>
        </w:rPr>
        <w:t>th</w:t>
      </w:r>
      <w:r>
        <w:t xml:space="preserve"> July 2016. Accessed via URL:  </w:t>
      </w:r>
      <w:hyperlink r:id="rId20" w:history="1">
        <w:r>
          <w:rPr>
            <w:rStyle w:val="Hyperlink"/>
          </w:rPr>
          <w:t>Microsoft Word - Item 7 - Recruitment and Retention of Police Officers PCSOs and Positive Action (westyorkshire-pcp.gov.uk)</w:t>
        </w:r>
      </w:hyperlink>
      <w:r>
        <w:t xml:space="preserve">. Accessed February 2023. </w:t>
      </w:r>
    </w:p>
    <w:p w14:paraId="34930224" w14:textId="77777777" w:rsidR="003529AC" w:rsidRPr="001C510A" w:rsidRDefault="003529AC" w:rsidP="003529AC">
      <w:pPr>
        <w:pStyle w:val="ListParagraph"/>
        <w:numPr>
          <w:ilvl w:val="0"/>
          <w:numId w:val="2"/>
        </w:numPr>
        <w:overflowPunct w:val="0"/>
        <w:autoSpaceDE w:val="0"/>
        <w:autoSpaceDN w:val="0"/>
        <w:adjustRightInd w:val="0"/>
        <w:spacing w:after="0" w:line="276" w:lineRule="auto"/>
        <w:ind w:right="531"/>
        <w:textAlignment w:val="baseline"/>
        <w:rPr>
          <w:rStyle w:val="Hyperlink"/>
          <w:rFonts w:ascii="Arial" w:eastAsia="Times New Roman" w:hAnsi="Arial" w:cs="Arial"/>
          <w:b/>
          <w:bCs/>
          <w:i/>
          <w:iCs/>
          <w:lang w:eastAsia="en-GB"/>
        </w:rPr>
      </w:pPr>
      <w:r>
        <w:t>The Queerness: “Hidden Wellbeing Issues Underlying the Pride and Policing Debate”.  Hope, S. Published 9</w:t>
      </w:r>
      <w:r w:rsidRPr="00D56C53">
        <w:rPr>
          <w:vertAlign w:val="superscript"/>
        </w:rPr>
        <w:t>th</w:t>
      </w:r>
      <w:r>
        <w:t xml:space="preserve"> August 2017. Located at URL:   </w:t>
      </w:r>
      <w:hyperlink r:id="rId21" w:anchor=":~:text=BAME%20people%2C%20sex%20workers%2C%20people%20with%20mental%20health,for%20more%20privileged%20LGBTQ%2B%20people%20to%20hear%20this." w:history="1">
        <w:r>
          <w:rPr>
            <w:rStyle w:val="Hyperlink"/>
          </w:rPr>
          <w:t>The hidden wellbeing issues underlying the Pride and policing debate – The Queerness</w:t>
        </w:r>
      </w:hyperlink>
      <w:r>
        <w:rPr>
          <w:rStyle w:val="Hyperlink"/>
        </w:rPr>
        <w:t xml:space="preserve">  Accessed July 2022.</w:t>
      </w:r>
    </w:p>
    <w:p w14:paraId="06C5FE3E" w14:textId="77777777" w:rsidR="003529AC" w:rsidRPr="001C510A" w:rsidRDefault="003529AC" w:rsidP="003529AC">
      <w:pPr>
        <w:pStyle w:val="ListParagraph"/>
        <w:numPr>
          <w:ilvl w:val="0"/>
          <w:numId w:val="2"/>
        </w:numPr>
        <w:overflowPunct w:val="0"/>
        <w:autoSpaceDE w:val="0"/>
        <w:autoSpaceDN w:val="0"/>
        <w:adjustRightInd w:val="0"/>
        <w:spacing w:after="0" w:line="276" w:lineRule="auto"/>
        <w:ind w:right="531"/>
        <w:textAlignment w:val="baseline"/>
        <w:rPr>
          <w:rStyle w:val="Hyperlink"/>
          <w:rFonts w:ascii="Arial" w:eastAsia="Times New Roman" w:hAnsi="Arial" w:cs="Arial"/>
          <w:b/>
          <w:bCs/>
          <w:i/>
          <w:iCs/>
          <w:lang w:eastAsia="en-GB"/>
        </w:rPr>
      </w:pPr>
      <w:r>
        <w:t>UK Government (Online) “The Macpherson Report” Published 30</w:t>
      </w:r>
      <w:r w:rsidRPr="00A0167F">
        <w:rPr>
          <w:vertAlign w:val="superscript"/>
        </w:rPr>
        <w:t>th</w:t>
      </w:r>
      <w:r>
        <w:t xml:space="preserve"> July 2022. Located at URL: </w:t>
      </w:r>
      <w:hyperlink r:id="rId22" w:history="1">
        <w:r>
          <w:rPr>
            <w:rStyle w:val="Hyperlink"/>
          </w:rPr>
          <w:t>The Macpherson Report: twenty-two years on - Reports, special reports and government responses - Committees - UK Parliament</w:t>
        </w:r>
      </w:hyperlink>
      <w:r>
        <w:rPr>
          <w:rStyle w:val="Hyperlink"/>
        </w:rPr>
        <w:t xml:space="preserve">  Accessed July 2022</w:t>
      </w:r>
    </w:p>
    <w:p w14:paraId="24C65D28" w14:textId="72ABF998" w:rsidR="003529AC" w:rsidRDefault="003529AC" w:rsidP="003529AC">
      <w:pPr>
        <w:jc w:val="center"/>
        <w:rPr>
          <w:b/>
          <w:bCs/>
          <w:i/>
          <w:iCs/>
          <w:u w:val="single"/>
        </w:rPr>
      </w:pPr>
    </w:p>
    <w:p w14:paraId="4A9341F7" w14:textId="0E56836A" w:rsidR="003529AC" w:rsidRDefault="003529AC" w:rsidP="003529AC">
      <w:pPr>
        <w:jc w:val="center"/>
        <w:rPr>
          <w:b/>
          <w:bCs/>
          <w:i/>
          <w:iCs/>
          <w:u w:val="single"/>
        </w:rPr>
      </w:pPr>
    </w:p>
    <w:p w14:paraId="27FC3574" w14:textId="46C1BCD9" w:rsidR="003529AC" w:rsidRDefault="003529AC" w:rsidP="003529AC">
      <w:pPr>
        <w:jc w:val="center"/>
        <w:rPr>
          <w:b/>
          <w:bCs/>
          <w:i/>
          <w:iCs/>
          <w:u w:val="single"/>
        </w:rPr>
      </w:pPr>
      <w:r>
        <w:rPr>
          <w:b/>
          <w:bCs/>
          <w:i/>
          <w:iCs/>
          <w:u w:val="single"/>
        </w:rPr>
        <w:t>Question Three</w:t>
      </w:r>
    </w:p>
    <w:p w14:paraId="08964521" w14:textId="07E6BD36" w:rsidR="003529AC" w:rsidRDefault="003529AC" w:rsidP="003529AC">
      <w:pPr>
        <w:jc w:val="center"/>
        <w:rPr>
          <w:b/>
          <w:bCs/>
          <w:i/>
          <w:iCs/>
          <w:u w:val="single"/>
        </w:rPr>
      </w:pPr>
    </w:p>
    <w:p w14:paraId="39F57944" w14:textId="1939E578" w:rsidR="003529AC" w:rsidRDefault="003529AC" w:rsidP="003529AC">
      <w:pPr>
        <w:jc w:val="center"/>
        <w:rPr>
          <w:b/>
          <w:bCs/>
          <w:i/>
          <w:iCs/>
          <w:u w:val="single"/>
        </w:rPr>
      </w:pPr>
    </w:p>
    <w:p w14:paraId="6E04DE0F" w14:textId="77777777" w:rsidR="003529AC" w:rsidRDefault="003529AC" w:rsidP="003529AC">
      <w:pPr>
        <w:spacing w:after="0" w:line="276" w:lineRule="auto"/>
        <w:ind w:left="567" w:right="531"/>
        <w:jc w:val="center"/>
        <w:rPr>
          <w:rFonts w:ascii="Arial" w:eastAsia="Times New Roman" w:hAnsi="Arial" w:cs="Arial"/>
          <w:b/>
          <w:bCs/>
          <w:i/>
          <w:iCs/>
          <w:u w:val="single"/>
          <w:lang w:eastAsia="en-GB"/>
        </w:rPr>
      </w:pPr>
      <w:r w:rsidRPr="00676DA4">
        <w:rPr>
          <w:rFonts w:ascii="Arial" w:eastAsia="Times New Roman" w:hAnsi="Arial" w:cs="Arial"/>
          <w:b/>
          <w:bCs/>
          <w:i/>
          <w:iCs/>
          <w:u w:val="single"/>
          <w:lang w:eastAsia="en-GB"/>
        </w:rPr>
        <w:t>Introduction</w:t>
      </w:r>
    </w:p>
    <w:p w14:paraId="4BC7CAC0" w14:textId="77777777" w:rsidR="003529AC" w:rsidRDefault="003529AC" w:rsidP="003529AC">
      <w:pPr>
        <w:spacing w:after="0" w:line="276" w:lineRule="auto"/>
        <w:ind w:left="567" w:right="531"/>
        <w:jc w:val="center"/>
        <w:rPr>
          <w:rFonts w:ascii="Arial" w:eastAsia="Times New Roman" w:hAnsi="Arial" w:cs="Arial"/>
          <w:b/>
          <w:bCs/>
          <w:i/>
          <w:iCs/>
          <w:u w:val="single"/>
          <w:lang w:eastAsia="en-GB"/>
        </w:rPr>
      </w:pPr>
    </w:p>
    <w:p w14:paraId="4ABA17C4" w14:textId="77777777" w:rsidR="003529AC" w:rsidRDefault="003529AC" w:rsidP="003529AC">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This essay aims to assess the relevance of preventative policing measures in early intervention tactics and the influence present in young people to associate with and engage in criminal gangs and how this influence can be intercepted using partner agencies that collaborate with police forces in the United Kingdom and how other methods have been introduced in America along with the effectiveness of those methods. </w:t>
      </w:r>
    </w:p>
    <w:p w14:paraId="602EA93F" w14:textId="77777777" w:rsidR="003529AC" w:rsidRDefault="003529AC" w:rsidP="003529AC">
      <w:pPr>
        <w:spacing w:after="0" w:line="276" w:lineRule="auto"/>
        <w:ind w:left="567" w:right="531"/>
        <w:rPr>
          <w:rFonts w:ascii="Arial" w:eastAsia="Times New Roman" w:hAnsi="Arial" w:cs="Arial"/>
          <w:lang w:eastAsia="en-GB"/>
        </w:rPr>
      </w:pPr>
    </w:p>
    <w:p w14:paraId="791FB711" w14:textId="77777777" w:rsidR="003529AC" w:rsidRDefault="003529AC" w:rsidP="003529AC">
      <w:pPr>
        <w:spacing w:after="0" w:line="276" w:lineRule="auto"/>
        <w:ind w:left="567" w:right="531"/>
        <w:rPr>
          <w:rFonts w:ascii="Arial" w:eastAsia="Times New Roman" w:hAnsi="Arial" w:cs="Arial"/>
          <w:lang w:eastAsia="en-GB"/>
        </w:rPr>
      </w:pPr>
    </w:p>
    <w:p w14:paraId="50BEF791" w14:textId="77777777" w:rsidR="003529AC" w:rsidRDefault="003529AC" w:rsidP="003529AC">
      <w:pPr>
        <w:spacing w:after="0" w:line="276" w:lineRule="auto"/>
        <w:ind w:right="531"/>
        <w:rPr>
          <w:rFonts w:ascii="Arial" w:eastAsia="Times New Roman" w:hAnsi="Arial" w:cs="Arial"/>
          <w:lang w:eastAsia="en-GB"/>
        </w:rPr>
      </w:pPr>
      <w:r>
        <w:rPr>
          <w:rFonts w:ascii="Arial" w:eastAsia="Times New Roman" w:hAnsi="Arial" w:cs="Arial"/>
          <w:lang w:eastAsia="en-GB"/>
        </w:rPr>
        <w:lastRenderedPageBreak/>
        <w:t>“A gang is relatively durable, predominantly street based group of young people who see themselves (and are seen by others) as a discernible group and engage in a range of criminal activity and violence. They may also identify with or lay claim over territory, have some form of identifying structure feature, and /or conflict with other, similar gangs”.</w:t>
      </w:r>
    </w:p>
    <w:p w14:paraId="492C6133" w14:textId="77777777" w:rsidR="003529AC" w:rsidRPr="00BF061F" w:rsidRDefault="003529AC" w:rsidP="003529AC">
      <w:pPr>
        <w:spacing w:after="0" w:line="276" w:lineRule="auto"/>
        <w:ind w:left="567" w:right="531"/>
        <w:rPr>
          <w:rFonts w:ascii="Arial" w:eastAsia="Times New Roman" w:hAnsi="Arial" w:cs="Arial"/>
          <w:lang w:eastAsia="en-GB"/>
        </w:rPr>
      </w:pPr>
      <w:r w:rsidRPr="00C55DAC">
        <w:rPr>
          <w:rFonts w:ascii="Arial" w:eastAsia="Times New Roman" w:hAnsi="Arial" w:cs="Arial"/>
          <w:sz w:val="24"/>
          <w:szCs w:val="24"/>
          <w:lang w:eastAsia="en-GB"/>
        </w:rPr>
        <w:t>-</w:t>
      </w:r>
      <w:r w:rsidRPr="00E21F8A">
        <w:rPr>
          <w:rFonts w:ascii="Arial" w:eastAsia="Times New Roman" w:hAnsi="Arial" w:cs="Arial"/>
          <w:sz w:val="18"/>
          <w:szCs w:val="18"/>
          <w:lang w:eastAsia="en-GB"/>
        </w:rPr>
        <w:t xml:space="preserve">UK Government (2022) </w:t>
      </w:r>
    </w:p>
    <w:p w14:paraId="4699AE1B" w14:textId="77777777" w:rsidR="003529AC" w:rsidRDefault="003529AC" w:rsidP="003529AC">
      <w:pPr>
        <w:spacing w:after="0" w:line="276" w:lineRule="auto"/>
        <w:ind w:left="567" w:right="531"/>
        <w:jc w:val="center"/>
        <w:rPr>
          <w:rFonts w:ascii="Arial" w:eastAsia="Times New Roman" w:hAnsi="Arial" w:cs="Arial"/>
          <w:b/>
          <w:bCs/>
          <w:i/>
          <w:iCs/>
          <w:u w:val="single"/>
          <w:lang w:eastAsia="en-GB"/>
        </w:rPr>
      </w:pPr>
    </w:p>
    <w:p w14:paraId="10B90DB7" w14:textId="77777777" w:rsidR="003529AC" w:rsidRDefault="003529AC" w:rsidP="003529AC">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Developing methods that target young people from joining gang related crime activities has been overlooked as an effective policing tactic, this has been identified due to the anonymity sought by such gangs that use young people to commit crimes in the interest of these gangs, who seek to operate in the shadows (Howell, 2015). </w:t>
      </w:r>
    </w:p>
    <w:p w14:paraId="264FD908" w14:textId="77777777" w:rsidR="003529AC" w:rsidRDefault="003529AC" w:rsidP="003529AC">
      <w:pPr>
        <w:spacing w:after="0" w:line="276" w:lineRule="auto"/>
        <w:ind w:left="567" w:right="531"/>
        <w:jc w:val="center"/>
        <w:rPr>
          <w:rFonts w:ascii="Arial" w:eastAsia="Times New Roman" w:hAnsi="Arial" w:cs="Arial"/>
          <w:lang w:eastAsia="en-GB"/>
        </w:rPr>
      </w:pPr>
    </w:p>
    <w:p w14:paraId="6045E08B" w14:textId="77777777" w:rsidR="003529AC" w:rsidRDefault="003529AC" w:rsidP="003529AC">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It is demonstrated that past attempts at identifying a solution to intercept gang recruitment has resulted in a shortfall of poor findings, whereby a study into how gangs operate and how law enforcement can intercept the human resources “employed” by these gangs resulted in non-efficient findings that did not contribute to a solution (Elliot and Fagan, 2017; Gravel, Bouchard, Descormiers, and Morselli, 2016) </w:t>
      </w:r>
    </w:p>
    <w:p w14:paraId="73C43020" w14:textId="77777777" w:rsidR="003529AC" w:rsidRDefault="003529AC" w:rsidP="003529AC">
      <w:pPr>
        <w:spacing w:after="0" w:line="276" w:lineRule="auto"/>
        <w:ind w:right="531"/>
        <w:rPr>
          <w:rFonts w:ascii="Arial" w:eastAsia="Times New Roman" w:hAnsi="Arial" w:cs="Arial"/>
          <w:lang w:eastAsia="en-GB"/>
        </w:rPr>
      </w:pPr>
    </w:p>
    <w:p w14:paraId="48773096" w14:textId="77777777" w:rsidR="003529AC" w:rsidRDefault="003529AC" w:rsidP="003529AC">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“Six percent of young people are currently involved in the processes that cause gangs to function (Children’s Social Care Agency 2019); and are actively involved in profitable illegal activity. In 2020-2021, it was recorded that approximately 12,720 children were at risk of being recruited by active gangs in the UK”. </w:t>
      </w:r>
    </w:p>
    <w:p w14:paraId="1F8FD92A" w14:textId="77777777" w:rsidR="003529AC" w:rsidRDefault="003529AC" w:rsidP="003529AC">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-Children’s Social Care Agency (2019). </w:t>
      </w:r>
    </w:p>
    <w:p w14:paraId="6C8ADE99" w14:textId="77777777" w:rsidR="003529AC" w:rsidRDefault="003529AC" w:rsidP="003529AC">
      <w:pPr>
        <w:spacing w:after="0" w:line="276" w:lineRule="auto"/>
        <w:ind w:right="531"/>
        <w:rPr>
          <w:rFonts w:ascii="Arial" w:eastAsia="Times New Roman" w:hAnsi="Arial" w:cs="Arial"/>
          <w:lang w:eastAsia="en-GB"/>
        </w:rPr>
      </w:pPr>
    </w:p>
    <w:p w14:paraId="268A7238" w14:textId="77777777" w:rsidR="003529AC" w:rsidRDefault="003529AC" w:rsidP="003529AC">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In determining the correct interception methods to counter the rising level of young people entering a criminal lifestyle as a result of gang related indoctrination, the American City of Chicago implemented a devised strategy titled F.F.T-G (Functional Family Therapy-Gang; A. S. Gurman, 2011). </w:t>
      </w:r>
    </w:p>
    <w:p w14:paraId="284C91B5" w14:textId="77777777" w:rsidR="003529AC" w:rsidRDefault="003529AC" w:rsidP="003529AC">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FFTG focused on preventing violent outbursts in young people through psychological and clinical techniques which minimised the risk of criminal offences by removing the impulse to offend (Barton and Alexander, 1981). Figures from FFTG has demonstrated the effectiveness of this practice, whereby Chicago concluded a 35% rise in the success of preventing felony charges of youth related gang activity, 35% of which, preventing violent offences. (Sexton, T, and Turner, C. W., 2010). These figures are suggestive that the FFTG technique is effective in reducing youth related gang activity. </w:t>
      </w:r>
    </w:p>
    <w:p w14:paraId="1C7E8B8C" w14:textId="77777777" w:rsidR="003529AC" w:rsidRDefault="003529AC" w:rsidP="003529AC">
      <w:pPr>
        <w:spacing w:after="0" w:line="276" w:lineRule="auto"/>
        <w:ind w:right="531"/>
        <w:rPr>
          <w:rFonts w:ascii="Arial" w:eastAsia="Times New Roman" w:hAnsi="Arial" w:cs="Arial"/>
          <w:lang w:eastAsia="en-GB"/>
        </w:rPr>
      </w:pPr>
    </w:p>
    <w:p w14:paraId="3DBC3594" w14:textId="77777777" w:rsidR="003529AC" w:rsidRDefault="003529AC" w:rsidP="003529AC">
      <w:pPr>
        <w:spacing w:after="0" w:line="276" w:lineRule="auto"/>
        <w:ind w:right="531"/>
        <w:rPr>
          <w:rFonts w:ascii="Arial" w:hAnsi="Arial" w:cs="Arial"/>
        </w:rPr>
      </w:pPr>
      <w:r>
        <w:rPr>
          <w:rFonts w:ascii="Arial" w:eastAsia="Times New Roman" w:hAnsi="Arial" w:cs="Arial"/>
          <w:lang w:eastAsia="en-GB"/>
        </w:rPr>
        <w:t>In the United Kingdom, Policing agencies have a duty of care to protect and prevent those that are exhibiting the signs of gang activity, child criminal exploitation and child sexual exploitation. (College of Policing 2023). Drug related activity derived from the term “County Lines”</w:t>
      </w:r>
      <w:r>
        <w:t xml:space="preserve"> </w:t>
      </w:r>
      <w:r w:rsidRPr="00AC15CB">
        <w:rPr>
          <w:rFonts w:ascii="Arial" w:hAnsi="Arial" w:cs="Arial"/>
        </w:rPr>
        <w:t>(HM Government, 2018; NCA, 2015, 2016, 2017) has been identified as prevalent in urban areas (Hallworth, 2016; Storrod &amp; Densley, 2017)</w:t>
      </w:r>
      <w:r>
        <w:rPr>
          <w:rFonts w:ascii="Arial" w:hAnsi="Arial" w:cs="Arial"/>
        </w:rPr>
        <w:t xml:space="preserve">. In light of the findings of the FFTG method, the UK’s methods are brought into question, as well as the effectiveness of the methods used to prevent gang activity and county lines operations. </w:t>
      </w:r>
    </w:p>
    <w:p w14:paraId="78603FAF" w14:textId="77777777" w:rsidR="003529AC" w:rsidRDefault="003529AC" w:rsidP="003529AC">
      <w:pPr>
        <w:spacing w:after="0" w:line="276" w:lineRule="auto"/>
        <w:ind w:right="531"/>
        <w:rPr>
          <w:rFonts w:ascii="Arial" w:hAnsi="Arial" w:cs="Arial"/>
        </w:rPr>
      </w:pPr>
    </w:p>
    <w:p w14:paraId="1F78235F" w14:textId="77777777" w:rsidR="003529AC" w:rsidRDefault="003529AC" w:rsidP="003529AC">
      <w:pPr>
        <w:spacing w:after="0" w:line="276" w:lineRule="auto"/>
        <w:ind w:right="531"/>
        <w:rPr>
          <w:rFonts w:ascii="Arial" w:hAnsi="Arial" w:cs="Arial"/>
        </w:rPr>
      </w:pPr>
      <w:r>
        <w:rPr>
          <w:rFonts w:ascii="Arial" w:hAnsi="Arial" w:cs="Arial"/>
        </w:rPr>
        <w:t xml:space="preserve">Employability in the UK is a factor in the increase of youth related gang activity, whereby a study into the motivations of young people to join gangs </w:t>
      </w:r>
      <w:r w:rsidRPr="00B92034">
        <w:rPr>
          <w:rFonts w:ascii="Arial" w:hAnsi="Arial" w:cs="Arial"/>
        </w:rPr>
        <w:t xml:space="preserve">(Robinson, Grace, McLean, Robert and Densley, James (2019) established that young people feel that </w:t>
      </w:r>
      <w:r w:rsidRPr="00B92034">
        <w:rPr>
          <w:rFonts w:ascii="Arial" w:hAnsi="Arial" w:cs="Arial"/>
        </w:rPr>
        <w:lastRenderedPageBreak/>
        <w:t>the life is easier with more money to be earned than that of a conventional law</w:t>
      </w:r>
      <w:r>
        <w:rPr>
          <w:rFonts w:ascii="Arial" w:hAnsi="Arial" w:cs="Arial"/>
        </w:rPr>
        <w:t>-</w:t>
      </w:r>
      <w:r w:rsidRPr="00B92034">
        <w:rPr>
          <w:rFonts w:ascii="Arial" w:hAnsi="Arial" w:cs="Arial"/>
        </w:rPr>
        <w:t>abiding career (Densley &amp; Stevens, 2015)</w:t>
      </w:r>
      <w:r>
        <w:rPr>
          <w:rFonts w:ascii="Arial" w:hAnsi="Arial" w:cs="Arial"/>
        </w:rPr>
        <w:t xml:space="preserve">. This conclusion shows that the problem lies in the opportunities presented to young people for honest working prospects or lack thereof. </w:t>
      </w:r>
    </w:p>
    <w:p w14:paraId="5EF1C4A8" w14:textId="77777777" w:rsidR="003529AC" w:rsidRDefault="003529AC" w:rsidP="003529AC">
      <w:pPr>
        <w:spacing w:after="0" w:line="276" w:lineRule="auto"/>
        <w:ind w:right="531"/>
        <w:rPr>
          <w:rFonts w:ascii="Arial" w:hAnsi="Arial" w:cs="Arial"/>
        </w:rPr>
      </w:pPr>
    </w:p>
    <w:p w14:paraId="7C12565E" w14:textId="77777777" w:rsidR="003529AC" w:rsidRDefault="003529AC" w:rsidP="003529AC">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The method of educating young people of the risks associated with gang involvement and the involvement with gang related activity, as well as the impact that this can have on their lives is certainly the best option of prevention (Tes Magazine 2022). The education should be delivered before any potential risk has occurred and in doing so, further educates young people of the signs that they may identify in the future. In being aware of the methods applied to recruiting young people, which are used by these gangs, then the targeted individuals will be able to reach out for support and guidance before they are further influenced or placed at risk. </w:t>
      </w:r>
    </w:p>
    <w:p w14:paraId="66883F38" w14:textId="77777777" w:rsidR="003529AC" w:rsidRDefault="003529AC" w:rsidP="003529AC">
      <w:pPr>
        <w:spacing w:after="0" w:line="276" w:lineRule="auto"/>
        <w:ind w:right="531"/>
        <w:rPr>
          <w:rFonts w:ascii="Arial" w:hAnsi="Arial" w:cs="Arial"/>
        </w:rPr>
      </w:pPr>
    </w:p>
    <w:p w14:paraId="13EE36EA" w14:textId="77777777" w:rsidR="003529AC" w:rsidRDefault="003529AC" w:rsidP="003529AC">
      <w:pPr>
        <w:spacing w:after="0" w:line="276" w:lineRule="auto"/>
        <w:ind w:right="531"/>
        <w:rPr>
          <w:rFonts w:ascii="Arial" w:hAnsi="Arial" w:cs="Arial"/>
        </w:rPr>
      </w:pPr>
      <w:r>
        <w:rPr>
          <w:rFonts w:ascii="Arial" w:hAnsi="Arial" w:cs="Arial"/>
        </w:rPr>
        <w:t>A study into the effectiveness of the criminal justice processes and the reforming of convicted individuals resulted in the conclusive finding that crime prevention was more so a radical idea than a scientifically supported one (“The Public Interest”, Martinson 1974) David Bayley supported this thesis by stating that police do not prevent crime (Bayley 1994). Bayley predicted that the simple response that police provide from the reliance of the public reporting incidents does not deter crime and does not ultimately prevent incidents from occurring, which is the “best kept secret” in policing (Bayley 1994) of which the public do not know this under the fear of the disclosure of this fact would lead to loss of public confidence in the police. (Kelling, Bate, Deickman and Brown 1974; Spelman and Brown, 1984, Bayley 1984, P. 3)</w:t>
      </w:r>
    </w:p>
    <w:p w14:paraId="34BD743E" w14:textId="77777777" w:rsidR="003529AC" w:rsidRDefault="003529AC" w:rsidP="003529AC">
      <w:pPr>
        <w:spacing w:after="0" w:line="276" w:lineRule="auto"/>
        <w:ind w:right="531"/>
        <w:rPr>
          <w:rFonts w:ascii="Arial" w:hAnsi="Arial" w:cs="Arial"/>
        </w:rPr>
      </w:pPr>
    </w:p>
    <w:p w14:paraId="63214211" w14:textId="77777777" w:rsidR="003529AC" w:rsidRDefault="003529AC" w:rsidP="003529AC">
      <w:pPr>
        <w:spacing w:after="0" w:line="276" w:lineRule="auto"/>
        <w:ind w:right="531"/>
        <w:rPr>
          <w:rFonts w:ascii="Arial" w:hAnsi="Arial" w:cs="Arial"/>
        </w:rPr>
      </w:pPr>
      <w:r>
        <w:rPr>
          <w:rFonts w:ascii="Arial" w:hAnsi="Arial" w:cs="Arial"/>
        </w:rPr>
        <w:t xml:space="preserve">The thesis of police impracticality (Martinson 1974) provides a precedent into the risk of reoffending, whereby there is no deterrent to the prospect of a criminal lifestyle as the police response is reliant upon the public reporting incidents. This is supportive that early intervention is key to crime prevention but remains flawed as humans cannot predict such crimes and therefore cannot intervene prior to the commission of an offence. </w:t>
      </w:r>
    </w:p>
    <w:p w14:paraId="0DF07453" w14:textId="77777777" w:rsidR="003529AC" w:rsidRDefault="003529AC" w:rsidP="003529AC">
      <w:pPr>
        <w:spacing w:after="0" w:line="276" w:lineRule="auto"/>
        <w:ind w:right="531"/>
        <w:rPr>
          <w:rFonts w:ascii="Arial" w:hAnsi="Arial" w:cs="Arial"/>
        </w:rPr>
      </w:pPr>
    </w:p>
    <w:p w14:paraId="5CAB4814" w14:textId="77777777" w:rsidR="003529AC" w:rsidRPr="00625FFB" w:rsidRDefault="003529AC" w:rsidP="003529AC">
      <w:pPr>
        <w:spacing w:after="0" w:line="276" w:lineRule="auto"/>
        <w:ind w:right="531"/>
        <w:rPr>
          <w:rFonts w:ascii="Arial" w:hAnsi="Arial" w:cs="Arial"/>
        </w:rPr>
      </w:pPr>
      <w:r>
        <w:rPr>
          <w:rFonts w:ascii="Arial" w:hAnsi="Arial" w:cs="Arial"/>
        </w:rPr>
        <w:t>Early intervention methods can stem outside the police area and more so can fall to the hands of the community and facilities operated by the community (W Feyerherm; C. Pope; R Lovell, 1992) where youth engagement centres can provide broader availability and can be more appealing than police engagement activities. School engagement at low age clusters has been theorised (Hahn et al, 2007) as an effective method of early intervention, amending early signs of violent behaviour in children and identifying support options prior to adolescence; such qualities would be effective to gang culture and in order to prevent a future of violence. A further assessment (Cochrane et al, 2007) on the introduction of School violence initiatives where introduced, demonstrated a greater effect in comprehensive facilities than primary.</w:t>
      </w:r>
    </w:p>
    <w:p w14:paraId="31F8FC63" w14:textId="77777777" w:rsidR="003529AC" w:rsidRDefault="003529AC" w:rsidP="003529AC">
      <w:pPr>
        <w:spacing w:after="0" w:line="276" w:lineRule="auto"/>
        <w:ind w:left="567" w:right="531"/>
        <w:jc w:val="center"/>
        <w:rPr>
          <w:rFonts w:ascii="Arial" w:eastAsia="Times New Roman" w:hAnsi="Arial" w:cs="Arial"/>
          <w:b/>
          <w:bCs/>
          <w:i/>
          <w:iCs/>
          <w:u w:val="single"/>
          <w:lang w:eastAsia="en-GB"/>
        </w:rPr>
      </w:pPr>
    </w:p>
    <w:p w14:paraId="37F722A1" w14:textId="77777777" w:rsidR="003529AC" w:rsidRDefault="003529AC" w:rsidP="003529AC">
      <w:pPr>
        <w:spacing w:after="0" w:line="276" w:lineRule="auto"/>
        <w:ind w:left="567" w:right="531"/>
        <w:jc w:val="center"/>
        <w:rPr>
          <w:rFonts w:ascii="Arial" w:eastAsia="Times New Roman" w:hAnsi="Arial" w:cs="Arial"/>
          <w:b/>
          <w:bCs/>
          <w:i/>
          <w:iCs/>
          <w:u w:val="single"/>
          <w:lang w:eastAsia="en-GB"/>
        </w:rPr>
      </w:pPr>
    </w:p>
    <w:p w14:paraId="1EF84AF7" w14:textId="77777777" w:rsidR="003529AC" w:rsidRDefault="003529AC" w:rsidP="003529AC">
      <w:pPr>
        <w:spacing w:after="0" w:line="276" w:lineRule="auto"/>
        <w:ind w:left="567" w:right="531"/>
        <w:jc w:val="center"/>
        <w:rPr>
          <w:rFonts w:ascii="Arial" w:eastAsia="Times New Roman" w:hAnsi="Arial" w:cs="Arial"/>
          <w:b/>
          <w:bCs/>
          <w:i/>
          <w:iCs/>
          <w:u w:val="single"/>
          <w:lang w:eastAsia="en-GB"/>
        </w:rPr>
      </w:pPr>
    </w:p>
    <w:p w14:paraId="36609C5B" w14:textId="77777777" w:rsidR="003529AC" w:rsidRDefault="003529AC" w:rsidP="003529AC">
      <w:pPr>
        <w:spacing w:after="0" w:line="276" w:lineRule="auto"/>
        <w:ind w:left="567" w:right="531"/>
        <w:jc w:val="center"/>
        <w:rPr>
          <w:rFonts w:ascii="Arial" w:eastAsia="Times New Roman" w:hAnsi="Arial" w:cs="Arial"/>
          <w:b/>
          <w:bCs/>
          <w:i/>
          <w:iCs/>
          <w:u w:val="single"/>
          <w:lang w:eastAsia="en-GB"/>
        </w:rPr>
      </w:pPr>
    </w:p>
    <w:p w14:paraId="4B015EFB" w14:textId="77777777" w:rsidR="003529AC" w:rsidRDefault="003529AC" w:rsidP="003529AC">
      <w:pPr>
        <w:spacing w:after="0" w:line="276" w:lineRule="auto"/>
        <w:ind w:left="567" w:right="531"/>
        <w:jc w:val="center"/>
        <w:rPr>
          <w:rFonts w:ascii="Arial" w:eastAsia="Times New Roman" w:hAnsi="Arial" w:cs="Arial"/>
          <w:b/>
          <w:bCs/>
          <w:i/>
          <w:iCs/>
          <w:u w:val="single"/>
          <w:lang w:eastAsia="en-GB"/>
        </w:rPr>
      </w:pPr>
    </w:p>
    <w:p w14:paraId="0066794C" w14:textId="77777777" w:rsidR="003529AC" w:rsidRDefault="003529AC" w:rsidP="003529AC">
      <w:pPr>
        <w:spacing w:after="0" w:line="276" w:lineRule="auto"/>
        <w:ind w:left="567" w:right="531"/>
        <w:jc w:val="center"/>
        <w:rPr>
          <w:rFonts w:ascii="Arial" w:eastAsia="Times New Roman" w:hAnsi="Arial" w:cs="Arial"/>
          <w:b/>
          <w:bCs/>
          <w:i/>
          <w:iCs/>
          <w:u w:val="single"/>
          <w:lang w:eastAsia="en-GB"/>
        </w:rPr>
      </w:pPr>
    </w:p>
    <w:p w14:paraId="46B0C665" w14:textId="77777777" w:rsidR="003529AC" w:rsidRDefault="003529AC" w:rsidP="003529AC">
      <w:pPr>
        <w:spacing w:after="0" w:line="276" w:lineRule="auto"/>
        <w:ind w:left="567" w:right="531"/>
        <w:jc w:val="center"/>
        <w:rPr>
          <w:rFonts w:ascii="Arial" w:eastAsia="Times New Roman" w:hAnsi="Arial" w:cs="Arial"/>
          <w:b/>
          <w:bCs/>
          <w:i/>
          <w:iCs/>
          <w:u w:val="single"/>
          <w:lang w:eastAsia="en-GB"/>
        </w:rPr>
      </w:pPr>
    </w:p>
    <w:p w14:paraId="335B127F" w14:textId="7648173F" w:rsidR="003529AC" w:rsidRPr="006F5EA6" w:rsidRDefault="003529AC" w:rsidP="003529AC">
      <w:pPr>
        <w:spacing w:after="0" w:line="276" w:lineRule="auto"/>
        <w:ind w:left="567" w:right="531"/>
        <w:jc w:val="center"/>
        <w:rPr>
          <w:rFonts w:ascii="Arial" w:eastAsia="Times New Roman" w:hAnsi="Arial" w:cs="Arial"/>
          <w:b/>
          <w:bCs/>
          <w:i/>
          <w:iCs/>
          <w:u w:val="single"/>
          <w:lang w:eastAsia="en-GB"/>
        </w:rPr>
      </w:pPr>
      <w:r w:rsidRPr="006F5EA6">
        <w:rPr>
          <w:rFonts w:ascii="Arial" w:eastAsia="Times New Roman" w:hAnsi="Arial" w:cs="Arial"/>
          <w:b/>
          <w:bCs/>
          <w:i/>
          <w:iCs/>
          <w:u w:val="single"/>
          <w:lang w:eastAsia="en-GB"/>
        </w:rPr>
        <w:lastRenderedPageBreak/>
        <w:t>Conclusion</w:t>
      </w:r>
    </w:p>
    <w:p w14:paraId="47E157E5" w14:textId="77777777" w:rsidR="003529AC" w:rsidRDefault="003529AC" w:rsidP="003529AC">
      <w:pPr>
        <w:spacing w:after="0" w:line="276" w:lineRule="auto"/>
        <w:ind w:right="531"/>
        <w:rPr>
          <w:rFonts w:ascii="Arial" w:eastAsia="Times New Roman" w:hAnsi="Arial" w:cs="Arial"/>
          <w:lang w:eastAsia="en-GB"/>
        </w:rPr>
      </w:pPr>
    </w:p>
    <w:p w14:paraId="2AF5CA27" w14:textId="77777777" w:rsidR="003529AC" w:rsidRDefault="003529AC" w:rsidP="003529AC">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Understanding of gang related activity and preventative measures that can be implemented; the reliance on early intervention places the police on a backfoot in engaging with youths that are considering this lifestyle as theorised by David Bayley (Bayley 1994), police response is reliant upon reported incidents from the public. The reality being that the public are required to be aware of the signs that a person may be susceptible to the risks associated with gang activity and engage with the police prior to the commission of an offence. The process of police prevention in these matters is flawed and under-resourced, failing those susceptible to the lifestyle and supporting the thesis of </w:t>
      </w:r>
      <w:r>
        <w:rPr>
          <w:rFonts w:ascii="Arial" w:hAnsi="Arial" w:cs="Arial"/>
        </w:rPr>
        <w:t xml:space="preserve">(W Feyerherm; C. Pope; R Lovell, 1992), utilising community facilities outside of the police as a preventative measure and working in partnership with those facilities. </w:t>
      </w:r>
    </w:p>
    <w:p w14:paraId="32590B77" w14:textId="77777777" w:rsidR="003529AC" w:rsidRDefault="003529AC" w:rsidP="003529AC">
      <w:pPr>
        <w:spacing w:after="0" w:line="276" w:lineRule="auto"/>
        <w:ind w:right="531"/>
        <w:rPr>
          <w:rFonts w:ascii="Arial" w:eastAsia="Times New Roman" w:hAnsi="Arial" w:cs="Arial"/>
          <w:lang w:eastAsia="en-GB"/>
        </w:rPr>
      </w:pPr>
    </w:p>
    <w:p w14:paraId="1D19B125" w14:textId="77777777" w:rsidR="003529AC" w:rsidRDefault="003529AC" w:rsidP="003529AC">
      <w:pPr>
        <w:spacing w:after="0" w:line="276" w:lineRule="auto"/>
        <w:ind w:right="531"/>
        <w:rPr>
          <w:rFonts w:ascii="Arial" w:eastAsia="Times New Roman" w:hAnsi="Arial" w:cs="Arial"/>
          <w:lang w:eastAsia="en-GB"/>
        </w:rPr>
      </w:pPr>
    </w:p>
    <w:p w14:paraId="7DAD94E8" w14:textId="77777777" w:rsidR="003529AC" w:rsidRDefault="003529AC" w:rsidP="003529AC">
      <w:pPr>
        <w:spacing w:after="0" w:line="276" w:lineRule="auto"/>
        <w:ind w:right="531"/>
        <w:rPr>
          <w:rFonts w:ascii="Arial" w:eastAsia="Times New Roman" w:hAnsi="Arial" w:cs="Arial"/>
          <w:lang w:eastAsia="en-GB"/>
        </w:rPr>
      </w:pPr>
      <w:r>
        <w:rPr>
          <w:rFonts w:ascii="Arial" w:eastAsia="Times New Roman" w:hAnsi="Arial" w:cs="Arial"/>
          <w:lang w:eastAsia="en-GB"/>
        </w:rPr>
        <w:t>-1189</w:t>
      </w:r>
    </w:p>
    <w:p w14:paraId="07367887" w14:textId="77777777" w:rsidR="003529AC" w:rsidRDefault="003529AC" w:rsidP="003529AC">
      <w:pPr>
        <w:spacing w:after="0" w:line="276" w:lineRule="auto"/>
        <w:ind w:right="531"/>
        <w:rPr>
          <w:rFonts w:ascii="Arial" w:eastAsia="Times New Roman" w:hAnsi="Arial" w:cs="Arial"/>
          <w:lang w:eastAsia="en-GB"/>
        </w:rPr>
      </w:pPr>
    </w:p>
    <w:p w14:paraId="4FBA8A6A" w14:textId="77777777" w:rsidR="003529AC" w:rsidRPr="00690D15" w:rsidRDefault="003529AC" w:rsidP="003529AC">
      <w:pPr>
        <w:spacing w:after="0" w:line="276" w:lineRule="auto"/>
        <w:ind w:right="531"/>
        <w:rPr>
          <w:rFonts w:ascii="Arial" w:eastAsia="Times New Roman" w:hAnsi="Arial" w:cs="Arial"/>
          <w:lang w:eastAsia="en-GB"/>
        </w:rPr>
      </w:pPr>
    </w:p>
    <w:p w14:paraId="425CE743" w14:textId="77777777" w:rsidR="003529AC" w:rsidRDefault="003529AC" w:rsidP="003529AC">
      <w:pPr>
        <w:spacing w:after="0" w:line="276" w:lineRule="auto"/>
        <w:ind w:left="567" w:right="531"/>
        <w:jc w:val="center"/>
        <w:rPr>
          <w:rFonts w:ascii="Arial" w:eastAsia="Times New Roman" w:hAnsi="Arial" w:cs="Arial"/>
          <w:b/>
          <w:bCs/>
          <w:i/>
          <w:iCs/>
          <w:u w:val="single"/>
          <w:lang w:eastAsia="en-GB"/>
        </w:rPr>
      </w:pPr>
    </w:p>
    <w:p w14:paraId="0120DE9E" w14:textId="77777777" w:rsidR="003529AC" w:rsidRPr="000F3337" w:rsidRDefault="003529AC" w:rsidP="003529AC">
      <w:pPr>
        <w:spacing w:after="0" w:line="276" w:lineRule="auto"/>
        <w:ind w:right="531"/>
        <w:jc w:val="center"/>
        <w:rPr>
          <w:rFonts w:ascii="Arial" w:eastAsia="Times New Roman" w:hAnsi="Arial" w:cs="Arial"/>
          <w:b/>
          <w:bCs/>
          <w:i/>
          <w:iCs/>
          <w:u w:val="single"/>
          <w:lang w:eastAsia="en-GB"/>
        </w:rPr>
      </w:pPr>
      <w:r>
        <w:rPr>
          <w:rFonts w:ascii="Arial" w:eastAsia="Times New Roman" w:hAnsi="Arial" w:cs="Arial"/>
          <w:b/>
          <w:bCs/>
          <w:i/>
          <w:iCs/>
          <w:u w:val="single"/>
          <w:lang w:eastAsia="en-GB"/>
        </w:rPr>
        <w:t>References</w:t>
      </w:r>
    </w:p>
    <w:p w14:paraId="65090EBD" w14:textId="77777777" w:rsidR="003529AC" w:rsidRPr="00BC7AE0" w:rsidRDefault="003529AC" w:rsidP="003529AC">
      <w:pPr>
        <w:pStyle w:val="ListParagraph"/>
        <w:spacing w:after="0" w:line="276" w:lineRule="auto"/>
        <w:ind w:left="1287" w:right="531"/>
        <w:rPr>
          <w:rFonts w:ascii="Arial" w:eastAsia="Times New Roman" w:hAnsi="Arial" w:cs="Arial"/>
          <w:b/>
          <w:bCs/>
          <w:i/>
          <w:iCs/>
          <w:u w:val="single"/>
          <w:lang w:eastAsia="en-GB"/>
        </w:rPr>
      </w:pPr>
    </w:p>
    <w:p w14:paraId="27876378" w14:textId="77777777" w:rsidR="003529AC" w:rsidRPr="006B2D3B" w:rsidRDefault="003529AC" w:rsidP="003529AC">
      <w:pPr>
        <w:pStyle w:val="ListParagraph"/>
        <w:spacing w:after="0" w:line="276" w:lineRule="auto"/>
        <w:ind w:left="1287" w:right="531"/>
        <w:rPr>
          <w:rFonts w:ascii="Arial" w:eastAsia="Times New Roman" w:hAnsi="Arial" w:cs="Arial"/>
          <w:b/>
          <w:bCs/>
          <w:i/>
          <w:iCs/>
          <w:u w:val="single"/>
          <w:lang w:eastAsia="en-GB"/>
        </w:rPr>
      </w:pPr>
    </w:p>
    <w:p w14:paraId="0FFFCCBC" w14:textId="77777777" w:rsidR="003529AC" w:rsidRPr="003764B8" w:rsidRDefault="003529AC" w:rsidP="003529AC">
      <w:pPr>
        <w:pStyle w:val="ListParagraph"/>
        <w:numPr>
          <w:ilvl w:val="0"/>
          <w:numId w:val="3"/>
        </w:numPr>
        <w:spacing w:after="0" w:line="276" w:lineRule="auto"/>
        <w:ind w:right="531"/>
        <w:jc w:val="center"/>
        <w:rPr>
          <w:rFonts w:ascii="Arial" w:eastAsia="Times New Roman" w:hAnsi="Arial" w:cs="Arial"/>
          <w:b/>
          <w:bCs/>
          <w:i/>
          <w:iCs/>
          <w:u w:val="single"/>
          <w:lang w:eastAsia="en-GB"/>
        </w:rPr>
      </w:pPr>
      <w:r>
        <w:t xml:space="preserve">“What Works in Crime Prevention and Rehabilitation”; David Weisburd, David P. Farrington, and Charlotte Gill. Published 15.04.2016.  Located at URL: </w:t>
      </w:r>
      <w:hyperlink r:id="rId23" w:history="1">
        <w:r>
          <w:rPr>
            <w:rStyle w:val="Hyperlink"/>
          </w:rPr>
          <w:t>ProQuest Ebook Central - Reader</w:t>
        </w:r>
      </w:hyperlink>
      <w:r>
        <w:t xml:space="preserve">. Accessed March 2023. </w:t>
      </w:r>
    </w:p>
    <w:p w14:paraId="635E0F7A" w14:textId="77777777" w:rsidR="003529AC" w:rsidRPr="00454AC7" w:rsidRDefault="003529AC" w:rsidP="003529AC">
      <w:pPr>
        <w:pStyle w:val="ListParagraph"/>
        <w:numPr>
          <w:ilvl w:val="0"/>
          <w:numId w:val="3"/>
        </w:numPr>
        <w:spacing w:after="0" w:line="276" w:lineRule="auto"/>
        <w:ind w:right="531"/>
        <w:jc w:val="center"/>
        <w:rPr>
          <w:rStyle w:val="Hyperlink"/>
          <w:rFonts w:ascii="Arial" w:eastAsia="Times New Roman" w:hAnsi="Arial" w:cs="Arial"/>
          <w:b/>
          <w:bCs/>
          <w:i/>
          <w:iCs/>
          <w:color w:val="auto"/>
          <w:lang w:eastAsia="en-GB"/>
        </w:rPr>
      </w:pPr>
      <w:r>
        <w:t>CPD College (Online) “What are County Lines”. Lee. E. Published 31</w:t>
      </w:r>
      <w:r w:rsidRPr="005E784C">
        <w:rPr>
          <w:vertAlign w:val="superscript"/>
        </w:rPr>
        <w:t>st</w:t>
      </w:r>
      <w:r>
        <w:t xml:space="preserve"> January 2022. Located at URL: </w:t>
      </w:r>
      <w:hyperlink r:id="rId24" w:history="1">
        <w:r>
          <w:rPr>
            <w:rStyle w:val="Hyperlink"/>
          </w:rPr>
          <w:t>What are County Lines? | Warning signs, preventing &amp; legislation (cpdonline.co.uk)</w:t>
        </w:r>
      </w:hyperlink>
      <w:r>
        <w:rPr>
          <w:rStyle w:val="Hyperlink"/>
        </w:rPr>
        <w:t xml:space="preserve">. </w:t>
      </w:r>
      <w:r>
        <w:rPr>
          <w:rStyle w:val="Hyperlink"/>
          <w:color w:val="000000" w:themeColor="text1"/>
        </w:rPr>
        <w:t>Accessed March 2023.</w:t>
      </w:r>
    </w:p>
    <w:p w14:paraId="2A84AA97" w14:textId="77777777" w:rsidR="003529AC" w:rsidRPr="00454AC7" w:rsidRDefault="003529AC" w:rsidP="003529AC">
      <w:pPr>
        <w:pStyle w:val="ListParagraph"/>
        <w:numPr>
          <w:ilvl w:val="0"/>
          <w:numId w:val="3"/>
        </w:numPr>
        <w:spacing w:after="0" w:line="276" w:lineRule="auto"/>
        <w:ind w:right="531"/>
        <w:jc w:val="center"/>
        <w:rPr>
          <w:rFonts w:ascii="Arial" w:eastAsia="Times New Roman" w:hAnsi="Arial" w:cs="Arial"/>
          <w:b/>
          <w:bCs/>
          <w:i/>
          <w:iCs/>
          <w:u w:val="single"/>
          <w:lang w:eastAsia="en-GB"/>
        </w:rPr>
      </w:pPr>
      <w:r>
        <w:t xml:space="preserve">Feyerherm. W, Pope. C, Lovell. R “Youth Gang Prevention and Early Intervention Programs”. Published 1992. Accessed via URL: </w:t>
      </w:r>
      <w:hyperlink r:id="rId25" w:history="1">
        <w:r>
          <w:rPr>
            <w:rStyle w:val="Hyperlink"/>
          </w:rPr>
          <w:t>YOUTH GANG PREVENTION AND EARLY INTERVENTION PROGRAMS | Office of Justice Programs (ojp.gov)</w:t>
        </w:r>
      </w:hyperlink>
      <w:r>
        <w:t xml:space="preserve">. Accessed March 2023. </w:t>
      </w:r>
    </w:p>
    <w:p w14:paraId="3E913294" w14:textId="77777777" w:rsidR="003529AC" w:rsidRPr="009612D5" w:rsidRDefault="003529AC" w:rsidP="003529AC">
      <w:pPr>
        <w:pStyle w:val="ListParagraph"/>
        <w:numPr>
          <w:ilvl w:val="0"/>
          <w:numId w:val="3"/>
        </w:numPr>
        <w:spacing w:after="0" w:line="276" w:lineRule="auto"/>
        <w:ind w:right="531"/>
        <w:jc w:val="center"/>
        <w:rPr>
          <w:rFonts w:ascii="Arial" w:eastAsia="Times New Roman" w:hAnsi="Arial" w:cs="Arial"/>
          <w:b/>
          <w:bCs/>
          <w:i/>
          <w:iCs/>
          <w:u w:val="single"/>
          <w:lang w:eastAsia="en-GB"/>
        </w:rPr>
      </w:pPr>
      <w:r>
        <w:t xml:space="preserve">Howell, J. “What Works With Gangs”. Published year 2019. Accessed via URL: </w:t>
      </w:r>
      <w:hyperlink r:id="rId26" w:history="1">
        <w:r>
          <w:rPr>
            <w:rStyle w:val="Hyperlink"/>
          </w:rPr>
          <w:t>What Works With Gangs - Howell - 2018 - Criminology &amp; Public Policy - Wiley Online Library</w:t>
        </w:r>
      </w:hyperlink>
      <w:r>
        <w:t xml:space="preserve">. Accessed March 2023. </w:t>
      </w:r>
    </w:p>
    <w:p w14:paraId="634E3BCB" w14:textId="77777777" w:rsidR="003529AC" w:rsidRPr="00AE1F9B" w:rsidRDefault="003529AC" w:rsidP="003529AC">
      <w:pPr>
        <w:pStyle w:val="ListParagraph"/>
        <w:numPr>
          <w:ilvl w:val="0"/>
          <w:numId w:val="3"/>
        </w:numPr>
        <w:spacing w:after="0" w:line="276" w:lineRule="auto"/>
        <w:ind w:right="531"/>
        <w:jc w:val="center"/>
        <w:rPr>
          <w:rFonts w:ascii="Arial" w:eastAsia="Times New Roman" w:hAnsi="Arial" w:cs="Arial"/>
          <w:b/>
          <w:bCs/>
          <w:i/>
          <w:iCs/>
          <w:u w:val="single"/>
          <w:lang w:eastAsia="en-GB"/>
        </w:rPr>
      </w:pPr>
      <w:r>
        <w:t xml:space="preserve">Martinson. R. “The Public Interest”. Published 1974. Accessed March 2023. </w:t>
      </w:r>
    </w:p>
    <w:p w14:paraId="4B58C764" w14:textId="77777777" w:rsidR="003529AC" w:rsidRPr="00454AC7" w:rsidRDefault="003529AC" w:rsidP="003529AC">
      <w:pPr>
        <w:pStyle w:val="ListParagraph"/>
        <w:numPr>
          <w:ilvl w:val="0"/>
          <w:numId w:val="3"/>
        </w:numPr>
        <w:spacing w:after="0" w:line="276" w:lineRule="auto"/>
        <w:ind w:right="531"/>
        <w:jc w:val="center"/>
        <w:rPr>
          <w:rFonts w:ascii="Arial" w:eastAsia="Times New Roman" w:hAnsi="Arial" w:cs="Arial"/>
          <w:b/>
          <w:bCs/>
          <w:i/>
          <w:iCs/>
          <w:u w:val="single"/>
          <w:lang w:eastAsia="en-GB"/>
        </w:rPr>
      </w:pPr>
      <w:r>
        <w:t xml:space="preserve">Robinson. G, Mclean. R, Densley. J. “Working County Lines”. Published 2019. Accessed via URL:   </w:t>
      </w:r>
      <w:hyperlink r:id="rId27" w:history="1">
        <w:r>
          <w:rPr>
            <w:rStyle w:val="Hyperlink"/>
          </w:rPr>
          <w:t xml:space="preserve">Working County </w:t>
        </w:r>
        <w:r>
          <w:rPr>
            <w:rStyle w:val="Hyperlink"/>
          </w:rPr>
          <w:t>L</w:t>
        </w:r>
        <w:r>
          <w:rPr>
            <w:rStyle w:val="Hyperlink"/>
          </w:rPr>
          <w:t>ines.pdf (northumbria.ac.uk)</w:t>
        </w:r>
      </w:hyperlink>
      <w:r>
        <w:t>. Accessed March 2023.</w:t>
      </w:r>
    </w:p>
    <w:p w14:paraId="27E62FB4" w14:textId="77777777" w:rsidR="003529AC" w:rsidRPr="00454AC7" w:rsidRDefault="003529AC" w:rsidP="003529AC">
      <w:pPr>
        <w:pStyle w:val="ListParagraph"/>
        <w:numPr>
          <w:ilvl w:val="0"/>
          <w:numId w:val="3"/>
        </w:numPr>
        <w:spacing w:after="0" w:line="276" w:lineRule="auto"/>
        <w:ind w:right="531"/>
        <w:jc w:val="center"/>
        <w:rPr>
          <w:rStyle w:val="Hyperlink"/>
          <w:rFonts w:ascii="Arial" w:eastAsia="Times New Roman" w:hAnsi="Arial" w:cs="Arial"/>
          <w:b/>
          <w:bCs/>
          <w:i/>
          <w:iCs/>
          <w:color w:val="auto"/>
          <w:lang w:eastAsia="en-GB"/>
        </w:rPr>
      </w:pPr>
      <w:r>
        <w:t>Safeguarding Hub (Online) “Young People at Risk of Gang Involvement”. Published 28</w:t>
      </w:r>
      <w:r w:rsidRPr="008A105B">
        <w:rPr>
          <w:vertAlign w:val="superscript"/>
        </w:rPr>
        <w:t>th</w:t>
      </w:r>
      <w:r>
        <w:t xml:space="preserve"> February 2018. Located at URL:  </w:t>
      </w:r>
      <w:hyperlink r:id="rId28" w:history="1">
        <w:r>
          <w:rPr>
            <w:rStyle w:val="Hyperlink"/>
          </w:rPr>
          <w:t>Young People at Risk of Gang Involvement – More than just a statistic. - Safeguarding Hub</w:t>
        </w:r>
      </w:hyperlink>
      <w:r>
        <w:rPr>
          <w:rStyle w:val="Hyperlink"/>
        </w:rPr>
        <w:t xml:space="preserve"> . </w:t>
      </w:r>
      <w:r>
        <w:rPr>
          <w:rStyle w:val="Hyperlink"/>
          <w:color w:val="000000" w:themeColor="text1"/>
        </w:rPr>
        <w:t xml:space="preserve">Accessed February 2023. </w:t>
      </w:r>
    </w:p>
    <w:p w14:paraId="44C0E734" w14:textId="77777777" w:rsidR="003529AC" w:rsidRPr="00454AC7" w:rsidRDefault="003529AC" w:rsidP="003529AC">
      <w:pPr>
        <w:pStyle w:val="ListParagraph"/>
        <w:numPr>
          <w:ilvl w:val="0"/>
          <w:numId w:val="3"/>
        </w:numPr>
        <w:spacing w:after="0" w:line="276" w:lineRule="auto"/>
        <w:ind w:right="531"/>
        <w:jc w:val="center"/>
        <w:rPr>
          <w:rStyle w:val="Hyperlink"/>
          <w:rFonts w:ascii="Arial" w:eastAsia="Times New Roman" w:hAnsi="Arial" w:cs="Arial"/>
          <w:b/>
          <w:bCs/>
          <w:i/>
          <w:iCs/>
          <w:color w:val="auto"/>
          <w:lang w:eastAsia="en-GB"/>
        </w:rPr>
      </w:pPr>
      <w:r>
        <w:t xml:space="preserve">Safeguarding Network (Online) “Gangs and Youth Violence”. Published 2022. Located at URL:  </w:t>
      </w:r>
      <w:hyperlink r:id="rId29" w:history="1">
        <w:r>
          <w:rPr>
            <w:rStyle w:val="Hyperlink"/>
          </w:rPr>
          <w:t>Gangs and youth violence – Safeguarding Network</w:t>
        </w:r>
      </w:hyperlink>
      <w:r>
        <w:rPr>
          <w:rStyle w:val="Hyperlink"/>
        </w:rPr>
        <w:t xml:space="preserve"> . </w:t>
      </w:r>
      <w:r>
        <w:rPr>
          <w:rStyle w:val="Hyperlink"/>
          <w:color w:val="000000" w:themeColor="text1"/>
        </w:rPr>
        <w:t>Accessed February 2023.</w:t>
      </w:r>
    </w:p>
    <w:p w14:paraId="3772956D" w14:textId="77777777" w:rsidR="003529AC" w:rsidRPr="00454AC7" w:rsidRDefault="003529AC" w:rsidP="003529AC">
      <w:pPr>
        <w:pStyle w:val="ListParagraph"/>
        <w:numPr>
          <w:ilvl w:val="0"/>
          <w:numId w:val="3"/>
        </w:numPr>
        <w:spacing w:after="0" w:line="276" w:lineRule="auto"/>
        <w:ind w:right="531"/>
        <w:jc w:val="center"/>
        <w:rPr>
          <w:rFonts w:ascii="Arial" w:eastAsia="Times New Roman" w:hAnsi="Arial" w:cs="Arial"/>
          <w:b/>
          <w:bCs/>
          <w:i/>
          <w:iCs/>
          <w:u w:val="single"/>
          <w:lang w:eastAsia="en-GB"/>
        </w:rPr>
      </w:pPr>
      <w:r>
        <w:lastRenderedPageBreak/>
        <w:t xml:space="preserve">Sexton, T and turner, C. W. (2010). “The Effectiveness of Functional Family Therapy for Youth With Behavioural Problems in a Community Practiced Setting. Journal of Family Psychology”-24 (3), 339-348. Located at URL: </w:t>
      </w:r>
      <w:hyperlink r:id="rId30" w:history="1">
        <w:r w:rsidRPr="00697709">
          <w:rPr>
            <w:rStyle w:val="Hyperlink"/>
          </w:rPr>
          <w:t>https://doi.org/10.1037/a0019406</w:t>
        </w:r>
      </w:hyperlink>
      <w:r>
        <w:t>. Accessed March 2023.</w:t>
      </w:r>
    </w:p>
    <w:p w14:paraId="41DB40C7" w14:textId="77777777" w:rsidR="003529AC" w:rsidRPr="00454AC7" w:rsidRDefault="003529AC" w:rsidP="003529AC">
      <w:pPr>
        <w:pStyle w:val="ListParagraph"/>
        <w:numPr>
          <w:ilvl w:val="0"/>
          <w:numId w:val="3"/>
        </w:numPr>
        <w:spacing w:after="0" w:line="276" w:lineRule="auto"/>
        <w:ind w:right="531"/>
        <w:jc w:val="center"/>
        <w:rPr>
          <w:rFonts w:ascii="Arial" w:eastAsia="Times New Roman" w:hAnsi="Arial" w:cs="Arial"/>
          <w:b/>
          <w:bCs/>
          <w:i/>
          <w:iCs/>
          <w:u w:val="single"/>
          <w:lang w:eastAsia="en-GB"/>
        </w:rPr>
      </w:pPr>
      <w:r>
        <w:t xml:space="preserve">Sexton. T. L “Functional Family Therapy in Clinical Practice: An Evidence Based Treatment”. Published Year 2011. Located at URL: </w:t>
      </w:r>
      <w:hyperlink r:id="rId31" w:anchor="v=onepage&amp;q=functional%20family%20therapy%20gangs&amp;f=false" w:history="1">
        <w:r>
          <w:rPr>
            <w:rStyle w:val="Hyperlink"/>
          </w:rPr>
          <w:t>Functional Family Therapy in Clinical Practice: An Evidence-Based Treatment ... - Thomas L. Sexton - Google Books</w:t>
        </w:r>
      </w:hyperlink>
      <w:r>
        <w:t xml:space="preserve">. Accessed February 2023. </w:t>
      </w:r>
    </w:p>
    <w:p w14:paraId="1350E564" w14:textId="77777777" w:rsidR="003529AC" w:rsidRDefault="003529AC" w:rsidP="003529AC">
      <w:pPr>
        <w:spacing w:after="0" w:line="276" w:lineRule="auto"/>
        <w:ind w:left="567" w:right="531"/>
        <w:jc w:val="center"/>
        <w:rPr>
          <w:rFonts w:ascii="Arial" w:eastAsia="Times New Roman" w:hAnsi="Arial" w:cs="Arial"/>
          <w:b/>
          <w:bCs/>
          <w:i/>
          <w:iCs/>
          <w:u w:val="single"/>
          <w:lang w:eastAsia="en-GB"/>
        </w:rPr>
      </w:pPr>
    </w:p>
    <w:p w14:paraId="745969BC" w14:textId="77777777" w:rsidR="003529AC" w:rsidRDefault="003529AC" w:rsidP="003529AC">
      <w:pPr>
        <w:jc w:val="center"/>
        <w:rPr>
          <w:b/>
          <w:bCs/>
          <w:i/>
          <w:iCs/>
          <w:u w:val="single"/>
        </w:rPr>
      </w:pPr>
    </w:p>
    <w:p w14:paraId="4A46E262" w14:textId="77777777" w:rsidR="003529AC" w:rsidRDefault="003529AC" w:rsidP="003529AC">
      <w:pPr>
        <w:jc w:val="center"/>
        <w:rPr>
          <w:b/>
          <w:bCs/>
          <w:i/>
          <w:iCs/>
          <w:u w:val="single"/>
        </w:rPr>
      </w:pPr>
    </w:p>
    <w:p w14:paraId="4FCD8E06" w14:textId="77777777" w:rsidR="003529AC" w:rsidRDefault="003529AC" w:rsidP="003529AC">
      <w:pPr>
        <w:jc w:val="center"/>
        <w:rPr>
          <w:b/>
          <w:bCs/>
          <w:i/>
          <w:iCs/>
          <w:u w:val="single"/>
        </w:rPr>
      </w:pPr>
    </w:p>
    <w:p w14:paraId="5D24F62C" w14:textId="1C67A910" w:rsidR="003529AC" w:rsidRDefault="003529AC" w:rsidP="003529AC">
      <w:pPr>
        <w:jc w:val="center"/>
        <w:rPr>
          <w:b/>
          <w:bCs/>
          <w:i/>
          <w:iCs/>
          <w:u w:val="single"/>
        </w:rPr>
      </w:pPr>
      <w:r>
        <w:rPr>
          <w:b/>
          <w:bCs/>
          <w:i/>
          <w:iCs/>
          <w:u w:val="single"/>
        </w:rPr>
        <w:t>Question Four</w:t>
      </w:r>
    </w:p>
    <w:p w14:paraId="630F075F" w14:textId="529AC52A" w:rsidR="003529AC" w:rsidRDefault="003529AC" w:rsidP="003529AC">
      <w:pPr>
        <w:jc w:val="center"/>
        <w:rPr>
          <w:b/>
          <w:bCs/>
          <w:i/>
          <w:iCs/>
          <w:u w:val="single"/>
        </w:rPr>
      </w:pPr>
    </w:p>
    <w:p w14:paraId="168ACD8D" w14:textId="65FC6646" w:rsidR="003529AC" w:rsidRDefault="003529AC" w:rsidP="003529AC">
      <w:pPr>
        <w:jc w:val="center"/>
        <w:rPr>
          <w:b/>
          <w:bCs/>
          <w:i/>
          <w:iCs/>
          <w:u w:val="single"/>
        </w:rPr>
      </w:pPr>
    </w:p>
    <w:p w14:paraId="1554399E" w14:textId="77777777" w:rsidR="003529AC" w:rsidRPr="00896B69" w:rsidRDefault="003529AC" w:rsidP="003529AC">
      <w:pPr>
        <w:spacing w:after="0" w:line="240" w:lineRule="auto"/>
        <w:ind w:right="531"/>
        <w:jc w:val="center"/>
        <w:rPr>
          <w:rFonts w:ascii="Arial" w:eastAsia="Times New Roman" w:hAnsi="Arial" w:cs="Arial"/>
          <w:b/>
          <w:bCs/>
          <w:sz w:val="24"/>
          <w:szCs w:val="24"/>
          <w:u w:val="single"/>
          <w:lang w:eastAsia="en-GB"/>
        </w:rPr>
      </w:pPr>
      <w:r w:rsidRPr="00896B69">
        <w:rPr>
          <w:rFonts w:ascii="Arial" w:eastAsia="Times New Roman" w:hAnsi="Arial" w:cs="Arial"/>
          <w:b/>
          <w:bCs/>
          <w:sz w:val="24"/>
          <w:szCs w:val="24"/>
          <w:u w:val="single"/>
          <w:lang w:eastAsia="en-GB"/>
        </w:rPr>
        <w:t>Introduction</w:t>
      </w:r>
    </w:p>
    <w:p w14:paraId="5B33102E" w14:textId="77777777" w:rsidR="003529AC" w:rsidRDefault="003529AC" w:rsidP="003529AC">
      <w:pPr>
        <w:spacing w:after="0" w:line="240" w:lineRule="auto"/>
        <w:ind w:right="531"/>
        <w:jc w:val="center"/>
        <w:rPr>
          <w:rFonts w:ascii="Arial" w:eastAsia="Times New Roman" w:hAnsi="Arial" w:cs="Arial"/>
          <w:sz w:val="24"/>
          <w:szCs w:val="24"/>
          <w:lang w:eastAsia="en-GB"/>
        </w:rPr>
      </w:pPr>
    </w:p>
    <w:p w14:paraId="51008DE0" w14:textId="77777777" w:rsidR="003529AC" w:rsidRDefault="003529AC" w:rsidP="003529AC">
      <w:pPr>
        <w:spacing w:after="0" w:line="240"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This essay explores how members of society can be drawn into OCG activity, including how current measures to protect and prevent targeted vulnerable people are effective through analyses of adopted practices backed by scientific and sociological studies. </w:t>
      </w:r>
    </w:p>
    <w:p w14:paraId="1D4FAA10" w14:textId="77777777" w:rsidR="003529AC" w:rsidRPr="003C06C5" w:rsidRDefault="003529AC" w:rsidP="003529AC">
      <w:pPr>
        <w:spacing w:after="0" w:line="240"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This essay also investigates the current levels of protection available to vulnerable groups, exploring how they are targeted, whether the protection methods available are pragmatic for modern day methods of recruitment used by organised crime groups and how their involvement could contribute to criminal activity for the purpose of forced personal gain as a result of exposed circumstance.</w:t>
      </w:r>
    </w:p>
    <w:p w14:paraId="143BD991" w14:textId="77777777" w:rsidR="003529AC" w:rsidRDefault="003529AC" w:rsidP="003529AC">
      <w:pPr>
        <w:spacing w:after="0" w:line="240" w:lineRule="auto"/>
        <w:ind w:right="531"/>
        <w:rPr>
          <w:rFonts w:ascii="Arial" w:eastAsia="Times New Roman" w:hAnsi="Arial" w:cs="Arial"/>
          <w:b/>
          <w:bCs/>
          <w:sz w:val="24"/>
          <w:szCs w:val="24"/>
          <w:u w:val="single"/>
          <w:lang w:eastAsia="en-GB"/>
        </w:rPr>
      </w:pPr>
    </w:p>
    <w:p w14:paraId="57165A87" w14:textId="77777777" w:rsidR="003529AC" w:rsidRDefault="003529AC" w:rsidP="003529AC">
      <w:pPr>
        <w:spacing w:after="0" w:line="240" w:lineRule="auto"/>
        <w:ind w:right="531"/>
        <w:rPr>
          <w:rFonts w:ascii="Arial" w:eastAsia="Times New Roman" w:hAnsi="Arial" w:cs="Arial"/>
          <w:sz w:val="24"/>
          <w:szCs w:val="24"/>
          <w:lang w:eastAsia="en-GB"/>
        </w:rPr>
      </w:pPr>
    </w:p>
    <w:p w14:paraId="0F9BD87E" w14:textId="77777777" w:rsidR="003529AC" w:rsidRDefault="003529AC" w:rsidP="003529AC">
      <w:pPr>
        <w:spacing w:after="0" w:line="240"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Serious and organised crime is defined as: </w:t>
      </w:r>
    </w:p>
    <w:p w14:paraId="68CD1F61" w14:textId="77777777" w:rsidR="003529AC" w:rsidRDefault="003529AC" w:rsidP="003529AC">
      <w:pPr>
        <w:spacing w:after="0" w:line="240" w:lineRule="auto"/>
        <w:ind w:right="531"/>
        <w:rPr>
          <w:rFonts w:ascii="Arial" w:eastAsia="Times New Roman" w:hAnsi="Arial" w:cs="Arial"/>
          <w:sz w:val="24"/>
          <w:szCs w:val="24"/>
          <w:lang w:eastAsia="en-GB"/>
        </w:rPr>
      </w:pPr>
    </w:p>
    <w:p w14:paraId="2039C2A1" w14:textId="77777777" w:rsidR="003529AC" w:rsidRDefault="003529AC" w:rsidP="003529AC">
      <w:pPr>
        <w:spacing w:after="0" w:line="240"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“Individuals planning, co-ordinating and committing serious offences, whether individually, in groups and/or as part of transnational networks”. </w:t>
      </w:r>
    </w:p>
    <w:p w14:paraId="62EC4DAA" w14:textId="77777777" w:rsidR="003529AC" w:rsidRDefault="003529AC" w:rsidP="003529AC">
      <w:pPr>
        <w:spacing w:after="0" w:line="240"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-UK Government (2022). </w:t>
      </w:r>
    </w:p>
    <w:p w14:paraId="1E6C4EEC" w14:textId="77777777" w:rsidR="003529AC" w:rsidRDefault="003529AC" w:rsidP="003529AC">
      <w:pPr>
        <w:spacing w:after="0" w:line="240" w:lineRule="auto"/>
        <w:ind w:right="531"/>
        <w:rPr>
          <w:rFonts w:ascii="Arial" w:eastAsia="Times New Roman" w:hAnsi="Arial" w:cs="Arial"/>
          <w:sz w:val="24"/>
          <w:szCs w:val="24"/>
          <w:lang w:eastAsia="en-GB"/>
        </w:rPr>
      </w:pPr>
    </w:p>
    <w:p w14:paraId="3C1C773F" w14:textId="77777777" w:rsidR="003529AC" w:rsidRDefault="003529AC" w:rsidP="003529AC">
      <w:pPr>
        <w:spacing w:after="0" w:line="240" w:lineRule="auto"/>
        <w:ind w:right="531"/>
        <w:rPr>
          <w:rFonts w:ascii="Arial" w:eastAsia="Times New Roman" w:hAnsi="Arial" w:cs="Arial"/>
          <w:sz w:val="24"/>
          <w:szCs w:val="24"/>
          <w:lang w:eastAsia="en-GB"/>
        </w:rPr>
      </w:pPr>
    </w:p>
    <w:p w14:paraId="2B17789D" w14:textId="77777777" w:rsidR="003529AC" w:rsidRDefault="003529AC" w:rsidP="003529AC">
      <w:pPr>
        <w:spacing w:after="0" w:line="240"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OCG (Organised Crime Group) activity is any activity of a criminal nature involving three or more persons, where the mens rea of the involved persons would be to commit criminal acts for personal gain. (Home Office 2023) Such acts are long term and coordinated; acts of fraud including cybercrime, drug supply, human trafficking, county line activity including the recruitment and exploitation of young persons to conduct the supply of drugs and additional illegal products for profiteering (Home Office 2023). </w:t>
      </w:r>
    </w:p>
    <w:p w14:paraId="3E7AF8E0" w14:textId="77777777" w:rsidR="003529AC" w:rsidRDefault="003529AC" w:rsidP="003529AC">
      <w:pPr>
        <w:spacing w:after="0" w:line="240" w:lineRule="auto"/>
        <w:ind w:right="531"/>
        <w:rPr>
          <w:rFonts w:ascii="Arial" w:eastAsia="Times New Roman" w:hAnsi="Arial" w:cs="Arial"/>
          <w:sz w:val="24"/>
          <w:szCs w:val="24"/>
          <w:lang w:eastAsia="en-GB"/>
        </w:rPr>
      </w:pPr>
    </w:p>
    <w:p w14:paraId="0EAA7B0D" w14:textId="77777777" w:rsidR="003529AC" w:rsidRDefault="003529AC" w:rsidP="003529AC">
      <w:pPr>
        <w:spacing w:after="0" w:line="240" w:lineRule="auto"/>
        <w:ind w:right="531"/>
        <w:rPr>
          <w:rFonts w:ascii="Arial" w:eastAsia="Times New Roman" w:hAnsi="Arial" w:cs="Arial"/>
          <w:sz w:val="24"/>
          <w:szCs w:val="24"/>
          <w:lang w:eastAsia="en-GB"/>
        </w:rPr>
      </w:pPr>
    </w:p>
    <w:p w14:paraId="3D3F54C0" w14:textId="77777777" w:rsidR="003529AC" w:rsidRDefault="003529AC" w:rsidP="003529AC">
      <w:pPr>
        <w:spacing w:after="0" w:line="240" w:lineRule="auto"/>
        <w:ind w:right="531"/>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Conducted studies identified that biological predispositions and societal experiences result in the exposure to a criminal lifestyle in impressionable young people that do not thrive in an educational and conventional societal environment (Dodge and Gregory 2003). It was further established that psychology and behaviour were factors in young people which implied to them joining gang related crime, backing the previous theory supported by (Dodge and Gregory 2003), (Alleyne and Wood 2010) theorising that exposure to environments that are considered as low economically exposed to society with such characteristics resulted in behaviour related to delinquency. </w:t>
      </w:r>
    </w:p>
    <w:p w14:paraId="41A317FA" w14:textId="77777777" w:rsidR="003529AC" w:rsidRDefault="003529AC" w:rsidP="003529AC">
      <w:pPr>
        <w:spacing w:after="0" w:line="240" w:lineRule="auto"/>
        <w:ind w:right="531"/>
        <w:rPr>
          <w:rFonts w:ascii="Arial" w:eastAsia="Times New Roman" w:hAnsi="Arial" w:cs="Arial"/>
          <w:sz w:val="24"/>
          <w:szCs w:val="24"/>
          <w:lang w:eastAsia="en-GB"/>
        </w:rPr>
      </w:pPr>
    </w:p>
    <w:p w14:paraId="28DB9D93" w14:textId="77777777" w:rsidR="003529AC" w:rsidRDefault="003529AC" w:rsidP="003529AC">
      <w:pPr>
        <w:spacing w:after="0" w:line="240"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The question remains as to whether these impact factors can change in a person’s psyche in order to prevent that exposure and whether the awareness of these studies and conclusive findings have been brought to the attention of law enforcement to coincide tactics for crime prevention, the introduction of neighbourhood policing that focuses on community engagement and a winning hearts and minds approach. (Gatti and Haymoz 2011) concluded that community exposure is a factor in categorising persons as vulnerable based on the environment that a community provides. This shows that neighbourhood policing strategies can contribute to the prevention of vulnerability by providing the correct emotional support, which would further improve mental health and perceptions of society in young people that have experienced a difficult upbringing and feel that OCG lifestyles would be more supportive to their development than that of an honest career. </w:t>
      </w:r>
    </w:p>
    <w:p w14:paraId="0C38DC62" w14:textId="77777777" w:rsidR="003529AC" w:rsidRDefault="003529AC" w:rsidP="003529AC">
      <w:pPr>
        <w:spacing w:after="0" w:line="240" w:lineRule="auto"/>
        <w:ind w:right="531"/>
        <w:rPr>
          <w:rFonts w:ascii="Arial" w:eastAsia="Times New Roman" w:hAnsi="Arial" w:cs="Arial"/>
          <w:sz w:val="24"/>
          <w:szCs w:val="24"/>
          <w:lang w:eastAsia="en-GB"/>
        </w:rPr>
      </w:pPr>
    </w:p>
    <w:p w14:paraId="7C6B561E" w14:textId="77777777" w:rsidR="003529AC" w:rsidRDefault="003529AC" w:rsidP="003529AC">
      <w:pPr>
        <w:spacing w:after="0" w:line="240"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A perceived lack of safety based upon the support and exposure provided by the insight of older generations and the etiquette that they provide to communities on social concepts that have been instilled in them as well as the lack of a positive police presence and community services (Green, 2017) has also been an indicating factor to the vulnerability of young people that are targeted by active OCG cells, suggesting that the targeting of vulnerable young people is purely based on the nature of their environment and their perception of it; which is problematic as this cannot be altered. </w:t>
      </w:r>
    </w:p>
    <w:p w14:paraId="3CD3B7C8" w14:textId="77777777" w:rsidR="003529AC" w:rsidRDefault="003529AC" w:rsidP="003529AC">
      <w:pPr>
        <w:spacing w:after="0" w:line="240" w:lineRule="auto"/>
        <w:ind w:right="531"/>
        <w:rPr>
          <w:rFonts w:ascii="Arial" w:eastAsia="Times New Roman" w:hAnsi="Arial" w:cs="Arial"/>
          <w:sz w:val="24"/>
          <w:szCs w:val="24"/>
          <w:lang w:eastAsia="en-GB"/>
        </w:rPr>
      </w:pPr>
    </w:p>
    <w:p w14:paraId="213E494D" w14:textId="77777777" w:rsidR="003529AC" w:rsidRDefault="003529AC" w:rsidP="003529AC">
      <w:pPr>
        <w:spacing w:after="0" w:line="240"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Thames Valley Police introduced operation Jack Knife and successfully convicted 6 confirmed OCG members for a spate of burglaries along with conspiracy to commit them (Thames Valley Police 2022). The success of Jack Knife presented these suspects from the OCG group so called ‘Solar’ from being unable to continue additional offences that resulted in promoting vulnerability of the public. The investigation adopted a public protection initiative by doing so, with direct action protecting vulnerable people, therefore proving to be a successful method of intercepting OCG networks as a result of the arrests made leading to successful prosecutions. </w:t>
      </w:r>
    </w:p>
    <w:p w14:paraId="6D8EDA0C" w14:textId="77777777" w:rsidR="003529AC" w:rsidRDefault="003529AC" w:rsidP="003529AC">
      <w:pPr>
        <w:spacing w:after="0" w:line="240"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The CPS has reported that, in 2013 to 2014, 199 guilty pleas were heard in court relating to cases of organised crime. 72 of these cases were convicted standing the conviction rate at 84% brought on by more intelligence lead policing (Ratcliffe, 2018) </w:t>
      </w:r>
    </w:p>
    <w:p w14:paraId="1C4FFEB7" w14:textId="77777777" w:rsidR="003529AC" w:rsidRDefault="003529AC" w:rsidP="003529AC">
      <w:pPr>
        <w:spacing w:after="0" w:line="240"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-CPS (2022) </w:t>
      </w:r>
    </w:p>
    <w:p w14:paraId="43EB6BCD" w14:textId="77777777" w:rsidR="003529AC" w:rsidRDefault="003529AC" w:rsidP="003529AC">
      <w:pPr>
        <w:spacing w:after="0" w:line="240"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This demonstrates the effectiveness of enforcement action and has resulted in a positive precedent in the adoption of intelligence lead policing strategies used </w:t>
      </w:r>
      <w:r>
        <w:rPr>
          <w:rFonts w:ascii="Arial" w:eastAsia="Times New Roman" w:hAnsi="Arial" w:cs="Arial"/>
          <w:sz w:val="24"/>
          <w:szCs w:val="24"/>
          <w:lang w:eastAsia="en-GB"/>
        </w:rPr>
        <w:lastRenderedPageBreak/>
        <w:t xml:space="preserve">by operation Jack Knife in the development of problem-oriented policing (Goldstein 1979). </w:t>
      </w:r>
    </w:p>
    <w:p w14:paraId="39936F97" w14:textId="77777777" w:rsidR="003529AC" w:rsidRDefault="003529AC" w:rsidP="003529AC">
      <w:pPr>
        <w:spacing w:after="0" w:line="240" w:lineRule="auto"/>
        <w:ind w:right="531"/>
        <w:rPr>
          <w:rFonts w:ascii="Arial" w:eastAsia="Times New Roman" w:hAnsi="Arial" w:cs="Arial"/>
          <w:sz w:val="24"/>
          <w:szCs w:val="24"/>
          <w:lang w:eastAsia="en-GB"/>
        </w:rPr>
      </w:pPr>
    </w:p>
    <w:p w14:paraId="682CBEB5" w14:textId="77777777" w:rsidR="003529AC" w:rsidRDefault="003529AC" w:rsidP="003529AC">
      <w:pPr>
        <w:spacing w:after="0" w:line="240" w:lineRule="auto"/>
        <w:ind w:right="531"/>
        <w:rPr>
          <w:rFonts w:ascii="Arial" w:eastAsia="Times New Roman" w:hAnsi="Arial" w:cs="Arial"/>
          <w:sz w:val="24"/>
          <w:szCs w:val="24"/>
          <w:lang w:eastAsia="en-GB"/>
        </w:rPr>
      </w:pPr>
    </w:p>
    <w:p w14:paraId="179D1134" w14:textId="77777777" w:rsidR="003529AC" w:rsidRDefault="003529AC" w:rsidP="003529AC">
      <w:pPr>
        <w:spacing w:after="0" w:line="240"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The coercion of young women is predominant in OCG recruitment tactics, specifically women that have experienced an abusive environment (De La Rue and Espelage 2014). Through the element of gender inequality in young females throughout society, foundations of trust are developed by a perpetrator to provide a realistic prospect to the victim in them achieving their dreams (Hayes and Jeffries, 2016) which would not otherwise be provided by the premise of society. These dreams and aspirations are enforced by the perpetrator to the victim by making the victim perform illegal activities in the reward of their promises becoming reality (Dutton and Goodman, 2005). This shows that vulnerable people are drawn into OCG networks through this tactic employed by the perpetrator. This technique is most effective in school-based environments with young aspiring women as targets identified by OCG cells that are present within these environments (Gallupe and Gravel, 2017). </w:t>
      </w:r>
    </w:p>
    <w:p w14:paraId="7FA9BD7F" w14:textId="77777777" w:rsidR="003529AC" w:rsidRDefault="003529AC" w:rsidP="003529AC">
      <w:pPr>
        <w:spacing w:after="0" w:line="240" w:lineRule="auto"/>
        <w:ind w:right="531"/>
        <w:rPr>
          <w:rFonts w:ascii="Arial" w:eastAsia="Times New Roman" w:hAnsi="Arial" w:cs="Arial"/>
          <w:sz w:val="24"/>
          <w:szCs w:val="24"/>
          <w:lang w:eastAsia="en-GB"/>
        </w:rPr>
      </w:pPr>
    </w:p>
    <w:p w14:paraId="2DD7A786" w14:textId="77777777" w:rsidR="003529AC" w:rsidRDefault="003529AC" w:rsidP="003529AC">
      <w:pPr>
        <w:spacing w:after="0" w:line="240" w:lineRule="auto"/>
        <w:ind w:right="531"/>
        <w:rPr>
          <w:rFonts w:ascii="Arial" w:eastAsia="Times New Roman" w:hAnsi="Arial" w:cs="Arial"/>
          <w:sz w:val="24"/>
          <w:szCs w:val="24"/>
          <w:lang w:eastAsia="en-GB"/>
        </w:rPr>
      </w:pPr>
    </w:p>
    <w:p w14:paraId="45429938" w14:textId="77777777" w:rsidR="003529AC" w:rsidRDefault="003529AC" w:rsidP="003529AC">
      <w:pPr>
        <w:spacing w:after="0" w:line="240"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The problem area identified is that the coercion is executed remotely, notably through the use of mobile phones that hold the capability of accessing social media platforms that are used by the perpetrator and victim to communicate (Harvard and Lefevre, 2020; Storrod and Densley, 2017)  This suggests that coercion is a private matter and would not be identified to a third party unless disclosure of the ongoing communication was made by the victim to family, friends or police which is a problem in taking police action where the offence is not apparent. The lack of reporting from the victim is caused by the indoctrination that they are deserving of any abuse (Lloyd and Ramon, 2017) provided by the perpetrator and therefore would not report the matter resulting in no police action and the prevalence of the OCG; resulting in police methods of prevention becoming blindsided through a lack of knowledge as the implementation of intelligence based policing would not be practicable and is the most commonly adopted practice in police targeting OCG networks, such as operation Jack Knife. </w:t>
      </w:r>
    </w:p>
    <w:p w14:paraId="26FCD582" w14:textId="77777777" w:rsidR="003529AC" w:rsidRDefault="003529AC" w:rsidP="003529AC">
      <w:pPr>
        <w:spacing w:after="0" w:line="240" w:lineRule="auto"/>
        <w:ind w:right="531"/>
        <w:rPr>
          <w:rFonts w:ascii="Arial" w:eastAsia="Times New Roman" w:hAnsi="Arial" w:cs="Arial"/>
          <w:sz w:val="24"/>
          <w:szCs w:val="24"/>
          <w:lang w:eastAsia="en-GB"/>
        </w:rPr>
      </w:pPr>
    </w:p>
    <w:p w14:paraId="4C979FBD" w14:textId="77777777" w:rsidR="003529AC" w:rsidRPr="009534CC" w:rsidRDefault="003529AC" w:rsidP="003529AC">
      <w:pPr>
        <w:spacing w:after="0" w:line="240" w:lineRule="auto"/>
        <w:ind w:right="531"/>
        <w:jc w:val="center"/>
        <w:rPr>
          <w:rFonts w:ascii="Arial" w:eastAsia="Times New Roman" w:hAnsi="Arial" w:cs="Arial"/>
          <w:b/>
          <w:bCs/>
          <w:i/>
          <w:iCs/>
          <w:sz w:val="24"/>
          <w:szCs w:val="24"/>
          <w:u w:val="single"/>
          <w:lang w:eastAsia="en-GB"/>
        </w:rPr>
      </w:pPr>
      <w:r w:rsidRPr="009534CC">
        <w:rPr>
          <w:rFonts w:ascii="Arial" w:eastAsia="Times New Roman" w:hAnsi="Arial" w:cs="Arial"/>
          <w:b/>
          <w:bCs/>
          <w:i/>
          <w:iCs/>
          <w:sz w:val="24"/>
          <w:szCs w:val="24"/>
          <w:u w:val="single"/>
          <w:lang w:eastAsia="en-GB"/>
        </w:rPr>
        <w:t>Conclusion</w:t>
      </w:r>
    </w:p>
    <w:p w14:paraId="6FD7E262" w14:textId="77777777" w:rsidR="003529AC" w:rsidRPr="00501457" w:rsidRDefault="003529AC" w:rsidP="003529AC">
      <w:pPr>
        <w:spacing w:after="0" w:line="240" w:lineRule="auto"/>
        <w:ind w:right="531"/>
        <w:rPr>
          <w:rFonts w:ascii="Arial" w:eastAsia="Times New Roman" w:hAnsi="Arial" w:cs="Arial"/>
          <w:sz w:val="28"/>
          <w:szCs w:val="28"/>
          <w:lang w:eastAsia="en-GB"/>
        </w:rPr>
      </w:pPr>
      <w:r>
        <w:rPr>
          <w:rFonts w:ascii="Arial" w:eastAsia="Times New Roman" w:hAnsi="Arial" w:cs="Arial"/>
          <w:sz w:val="24"/>
          <w:szCs w:val="24"/>
          <w:lang w:eastAsia="en-GB"/>
        </w:rPr>
        <w:t xml:space="preserve">Prevention issues stem from theorised prevention tactics and their implementation into operation on strong reliance, without the required resources (YMCA, 2020 and Berry, 2019). As theorised by Feyerham, Pope and Lovell </w:t>
      </w:r>
      <w:r>
        <w:rPr>
          <w:rFonts w:ascii="Arial" w:hAnsi="Arial" w:cs="Arial"/>
        </w:rPr>
        <w:t xml:space="preserve">(W Feyerherm; C. Pope; R Lovell, 1992) </w:t>
      </w:r>
      <w:r w:rsidRPr="00501457">
        <w:rPr>
          <w:rFonts w:ascii="Arial" w:hAnsi="Arial" w:cs="Arial"/>
          <w:sz w:val="24"/>
          <w:szCs w:val="24"/>
        </w:rPr>
        <w:t xml:space="preserve">community methods of prevention are more prevalent at pre-emptive action than the police, however if there are no resources to support the demand, the process fails from both a community and police perspective, based on the conducted research. </w:t>
      </w:r>
    </w:p>
    <w:p w14:paraId="4814C9CE" w14:textId="77777777" w:rsidR="003529AC" w:rsidRDefault="003529AC" w:rsidP="003529AC">
      <w:pPr>
        <w:spacing w:after="0" w:line="240" w:lineRule="auto"/>
        <w:ind w:right="531"/>
        <w:rPr>
          <w:rFonts w:ascii="Arial" w:eastAsia="Times New Roman" w:hAnsi="Arial" w:cs="Arial"/>
          <w:b/>
          <w:bCs/>
          <w:sz w:val="24"/>
          <w:szCs w:val="24"/>
          <w:u w:val="single"/>
          <w:lang w:eastAsia="en-GB"/>
        </w:rPr>
      </w:pPr>
    </w:p>
    <w:p w14:paraId="608EB595" w14:textId="77777777" w:rsidR="003529AC" w:rsidRDefault="003529AC" w:rsidP="003529AC">
      <w:pPr>
        <w:spacing w:after="0" w:line="240" w:lineRule="auto"/>
        <w:ind w:right="531"/>
        <w:rPr>
          <w:rFonts w:ascii="Arial" w:eastAsia="Times New Roman" w:hAnsi="Arial" w:cs="Arial"/>
          <w:sz w:val="24"/>
          <w:szCs w:val="24"/>
          <w:lang w:eastAsia="en-GB"/>
        </w:rPr>
      </w:pPr>
    </w:p>
    <w:p w14:paraId="5DD8F57C" w14:textId="77777777" w:rsidR="003529AC" w:rsidRPr="00104F98" w:rsidRDefault="003529AC" w:rsidP="003529AC">
      <w:pPr>
        <w:spacing w:after="0" w:line="240"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-1118</w:t>
      </w:r>
    </w:p>
    <w:p w14:paraId="674E8683" w14:textId="77777777" w:rsidR="003529AC" w:rsidRDefault="003529AC" w:rsidP="003529AC">
      <w:pPr>
        <w:spacing w:after="0" w:line="240" w:lineRule="auto"/>
        <w:ind w:right="531"/>
        <w:jc w:val="center"/>
        <w:rPr>
          <w:rFonts w:ascii="Arial" w:eastAsia="Times New Roman" w:hAnsi="Arial" w:cs="Arial"/>
          <w:b/>
          <w:bCs/>
          <w:sz w:val="24"/>
          <w:szCs w:val="24"/>
          <w:u w:val="single"/>
          <w:lang w:eastAsia="en-GB"/>
        </w:rPr>
      </w:pPr>
    </w:p>
    <w:p w14:paraId="4A8B4214" w14:textId="77777777" w:rsidR="003529AC" w:rsidRDefault="003529AC" w:rsidP="003529AC">
      <w:pPr>
        <w:spacing w:after="0" w:line="240" w:lineRule="auto"/>
        <w:ind w:right="531"/>
        <w:jc w:val="center"/>
        <w:rPr>
          <w:rFonts w:ascii="Arial" w:eastAsia="Times New Roman" w:hAnsi="Arial" w:cs="Arial"/>
          <w:b/>
          <w:bCs/>
          <w:sz w:val="24"/>
          <w:szCs w:val="24"/>
          <w:u w:val="single"/>
          <w:lang w:eastAsia="en-GB"/>
        </w:rPr>
      </w:pPr>
    </w:p>
    <w:p w14:paraId="5B72E815" w14:textId="77777777" w:rsidR="003529AC" w:rsidRDefault="003529AC" w:rsidP="003529AC">
      <w:pPr>
        <w:spacing w:after="0" w:line="240" w:lineRule="auto"/>
        <w:ind w:right="531"/>
        <w:jc w:val="center"/>
        <w:rPr>
          <w:rFonts w:ascii="Arial" w:eastAsia="Times New Roman" w:hAnsi="Arial" w:cs="Arial"/>
          <w:b/>
          <w:bCs/>
          <w:sz w:val="24"/>
          <w:szCs w:val="24"/>
          <w:u w:val="single"/>
          <w:lang w:eastAsia="en-GB"/>
        </w:rPr>
      </w:pPr>
    </w:p>
    <w:p w14:paraId="623E6044" w14:textId="77777777" w:rsidR="003529AC" w:rsidRDefault="003529AC" w:rsidP="003529AC">
      <w:pPr>
        <w:spacing w:after="0" w:line="240" w:lineRule="auto"/>
        <w:ind w:right="531"/>
        <w:jc w:val="center"/>
        <w:rPr>
          <w:rFonts w:ascii="Arial" w:eastAsia="Times New Roman" w:hAnsi="Arial" w:cs="Arial"/>
          <w:b/>
          <w:bCs/>
          <w:sz w:val="24"/>
          <w:szCs w:val="24"/>
          <w:u w:val="single"/>
          <w:lang w:eastAsia="en-GB"/>
        </w:rPr>
      </w:pPr>
    </w:p>
    <w:p w14:paraId="0E000D76" w14:textId="77777777" w:rsidR="003529AC" w:rsidRDefault="003529AC" w:rsidP="003529AC">
      <w:pPr>
        <w:spacing w:after="0" w:line="240" w:lineRule="auto"/>
        <w:ind w:right="531"/>
        <w:jc w:val="center"/>
        <w:rPr>
          <w:rFonts w:ascii="Arial" w:eastAsia="Times New Roman" w:hAnsi="Arial" w:cs="Arial"/>
          <w:b/>
          <w:bCs/>
          <w:sz w:val="24"/>
          <w:szCs w:val="24"/>
          <w:u w:val="single"/>
          <w:lang w:eastAsia="en-GB"/>
        </w:rPr>
      </w:pPr>
    </w:p>
    <w:p w14:paraId="33112BE7" w14:textId="77777777" w:rsidR="003529AC" w:rsidRDefault="003529AC" w:rsidP="003529AC">
      <w:pPr>
        <w:spacing w:after="0" w:line="240" w:lineRule="auto"/>
        <w:ind w:right="531"/>
        <w:jc w:val="center"/>
        <w:rPr>
          <w:rFonts w:ascii="Arial" w:eastAsia="Times New Roman" w:hAnsi="Arial" w:cs="Arial"/>
          <w:b/>
          <w:bCs/>
          <w:sz w:val="24"/>
          <w:szCs w:val="24"/>
          <w:u w:val="single"/>
          <w:lang w:eastAsia="en-GB"/>
        </w:rPr>
      </w:pPr>
    </w:p>
    <w:p w14:paraId="34CE1410" w14:textId="77777777" w:rsidR="003529AC" w:rsidRDefault="003529AC" w:rsidP="003529AC">
      <w:pPr>
        <w:spacing w:after="0" w:line="240" w:lineRule="auto"/>
        <w:ind w:right="531"/>
        <w:jc w:val="center"/>
        <w:rPr>
          <w:rFonts w:ascii="Arial" w:eastAsia="Times New Roman" w:hAnsi="Arial" w:cs="Arial"/>
          <w:b/>
          <w:bCs/>
          <w:sz w:val="24"/>
          <w:szCs w:val="24"/>
          <w:u w:val="single"/>
          <w:lang w:eastAsia="en-GB"/>
        </w:rPr>
      </w:pPr>
    </w:p>
    <w:p w14:paraId="60E466CD" w14:textId="77777777" w:rsidR="003529AC" w:rsidRDefault="003529AC" w:rsidP="003529AC">
      <w:pPr>
        <w:spacing w:after="0" w:line="240" w:lineRule="auto"/>
        <w:ind w:right="531"/>
        <w:jc w:val="center"/>
        <w:rPr>
          <w:rFonts w:ascii="Arial" w:eastAsia="Times New Roman" w:hAnsi="Arial" w:cs="Arial"/>
          <w:b/>
          <w:bCs/>
          <w:sz w:val="24"/>
          <w:szCs w:val="24"/>
          <w:u w:val="single"/>
          <w:lang w:eastAsia="en-GB"/>
        </w:rPr>
      </w:pPr>
    </w:p>
    <w:p w14:paraId="3548C122" w14:textId="77777777" w:rsidR="003529AC" w:rsidRDefault="003529AC" w:rsidP="003529AC">
      <w:pPr>
        <w:spacing w:after="0" w:line="240" w:lineRule="auto"/>
        <w:ind w:right="531"/>
        <w:jc w:val="center"/>
        <w:rPr>
          <w:rFonts w:ascii="Arial" w:eastAsia="Times New Roman" w:hAnsi="Arial" w:cs="Arial"/>
          <w:b/>
          <w:bCs/>
          <w:sz w:val="24"/>
          <w:szCs w:val="24"/>
          <w:u w:val="single"/>
          <w:lang w:eastAsia="en-GB"/>
        </w:rPr>
      </w:pPr>
    </w:p>
    <w:p w14:paraId="4325F617" w14:textId="77777777" w:rsidR="003529AC" w:rsidRDefault="003529AC" w:rsidP="003529AC">
      <w:pPr>
        <w:spacing w:after="0" w:line="240" w:lineRule="auto"/>
        <w:ind w:right="531"/>
        <w:jc w:val="center"/>
        <w:rPr>
          <w:rFonts w:ascii="Arial" w:eastAsia="Times New Roman" w:hAnsi="Arial" w:cs="Arial"/>
          <w:b/>
          <w:bCs/>
          <w:sz w:val="24"/>
          <w:szCs w:val="24"/>
          <w:u w:val="single"/>
          <w:lang w:eastAsia="en-GB"/>
        </w:rPr>
      </w:pPr>
    </w:p>
    <w:p w14:paraId="225EA7CD" w14:textId="77777777" w:rsidR="003529AC" w:rsidRDefault="003529AC" w:rsidP="003529AC">
      <w:pPr>
        <w:spacing w:after="0" w:line="240" w:lineRule="auto"/>
        <w:ind w:right="531"/>
        <w:jc w:val="center"/>
        <w:rPr>
          <w:rFonts w:ascii="Arial" w:eastAsia="Times New Roman" w:hAnsi="Arial" w:cs="Arial"/>
          <w:b/>
          <w:bCs/>
          <w:sz w:val="24"/>
          <w:szCs w:val="24"/>
          <w:u w:val="single"/>
          <w:lang w:eastAsia="en-GB"/>
        </w:rPr>
      </w:pPr>
    </w:p>
    <w:p w14:paraId="245815FA" w14:textId="77777777" w:rsidR="003529AC" w:rsidRDefault="003529AC" w:rsidP="003529AC">
      <w:pPr>
        <w:spacing w:after="0" w:line="240" w:lineRule="auto"/>
        <w:ind w:right="531"/>
        <w:jc w:val="center"/>
        <w:rPr>
          <w:rFonts w:ascii="Arial" w:eastAsia="Times New Roman" w:hAnsi="Arial" w:cs="Arial"/>
          <w:b/>
          <w:bCs/>
          <w:sz w:val="24"/>
          <w:szCs w:val="24"/>
          <w:u w:val="single"/>
          <w:lang w:eastAsia="en-GB"/>
        </w:rPr>
      </w:pPr>
    </w:p>
    <w:p w14:paraId="624FDBA1" w14:textId="77777777" w:rsidR="003529AC" w:rsidRDefault="003529AC" w:rsidP="003529AC">
      <w:pPr>
        <w:spacing w:after="0" w:line="240" w:lineRule="auto"/>
        <w:ind w:right="531"/>
        <w:jc w:val="center"/>
        <w:rPr>
          <w:rFonts w:ascii="Arial" w:eastAsia="Times New Roman" w:hAnsi="Arial" w:cs="Arial"/>
          <w:b/>
          <w:bCs/>
          <w:sz w:val="24"/>
          <w:szCs w:val="24"/>
          <w:u w:val="single"/>
          <w:lang w:eastAsia="en-GB"/>
        </w:rPr>
      </w:pPr>
    </w:p>
    <w:p w14:paraId="2CA99817" w14:textId="77777777" w:rsidR="003529AC" w:rsidRDefault="003529AC" w:rsidP="003529AC">
      <w:pPr>
        <w:spacing w:after="0" w:line="240" w:lineRule="auto"/>
        <w:ind w:right="531"/>
        <w:jc w:val="center"/>
        <w:rPr>
          <w:rFonts w:ascii="Arial" w:eastAsia="Times New Roman" w:hAnsi="Arial" w:cs="Arial"/>
          <w:b/>
          <w:bCs/>
          <w:sz w:val="24"/>
          <w:szCs w:val="24"/>
          <w:u w:val="single"/>
          <w:lang w:eastAsia="en-GB"/>
        </w:rPr>
      </w:pPr>
    </w:p>
    <w:p w14:paraId="013C73B7" w14:textId="77777777" w:rsidR="003529AC" w:rsidRDefault="003529AC" w:rsidP="003529AC">
      <w:pPr>
        <w:spacing w:after="0" w:line="240" w:lineRule="auto"/>
        <w:ind w:right="531"/>
        <w:jc w:val="center"/>
        <w:rPr>
          <w:rFonts w:ascii="Arial" w:eastAsia="Times New Roman" w:hAnsi="Arial" w:cs="Arial"/>
          <w:b/>
          <w:bCs/>
          <w:sz w:val="24"/>
          <w:szCs w:val="24"/>
          <w:u w:val="single"/>
          <w:lang w:eastAsia="en-GB"/>
        </w:rPr>
      </w:pPr>
    </w:p>
    <w:p w14:paraId="072FE04B" w14:textId="77777777" w:rsidR="003529AC" w:rsidRPr="008C78D5" w:rsidRDefault="003529AC" w:rsidP="003529AC">
      <w:pPr>
        <w:spacing w:after="0" w:line="240" w:lineRule="auto"/>
        <w:ind w:right="531"/>
        <w:jc w:val="center"/>
        <w:rPr>
          <w:rFonts w:ascii="Arial" w:eastAsia="Times New Roman" w:hAnsi="Arial" w:cs="Arial"/>
          <w:b/>
          <w:bCs/>
          <w:sz w:val="24"/>
          <w:szCs w:val="24"/>
          <w:u w:val="single"/>
          <w:lang w:eastAsia="en-GB"/>
        </w:rPr>
      </w:pPr>
      <w:r>
        <w:rPr>
          <w:rFonts w:ascii="Arial" w:eastAsia="Times New Roman" w:hAnsi="Arial" w:cs="Arial"/>
          <w:b/>
          <w:bCs/>
          <w:sz w:val="24"/>
          <w:szCs w:val="24"/>
          <w:u w:val="single"/>
          <w:lang w:eastAsia="en-GB"/>
        </w:rPr>
        <w:t>References</w:t>
      </w:r>
    </w:p>
    <w:p w14:paraId="52BC4230" w14:textId="77777777" w:rsidR="003529AC" w:rsidRDefault="003529AC" w:rsidP="003529AC">
      <w:pPr>
        <w:spacing w:after="0" w:line="240" w:lineRule="auto"/>
        <w:ind w:right="531"/>
        <w:rPr>
          <w:rFonts w:ascii="Arial" w:eastAsia="Times New Roman" w:hAnsi="Arial" w:cs="Arial"/>
          <w:sz w:val="24"/>
          <w:szCs w:val="24"/>
          <w:lang w:eastAsia="en-GB"/>
        </w:rPr>
      </w:pPr>
    </w:p>
    <w:p w14:paraId="1B43FF79" w14:textId="77777777" w:rsidR="003529AC" w:rsidRDefault="003529AC" w:rsidP="003529AC">
      <w:pPr>
        <w:spacing w:after="0" w:line="240" w:lineRule="auto"/>
        <w:ind w:right="531"/>
      </w:pPr>
    </w:p>
    <w:p w14:paraId="1AAC8074" w14:textId="77777777" w:rsidR="003529AC" w:rsidRDefault="003529AC" w:rsidP="003529AC">
      <w:pPr>
        <w:pStyle w:val="ListParagraph"/>
        <w:numPr>
          <w:ilvl w:val="0"/>
          <w:numId w:val="5"/>
        </w:numPr>
        <w:spacing w:after="0" w:line="240" w:lineRule="auto"/>
        <w:ind w:right="531"/>
      </w:pPr>
      <w:r>
        <w:t xml:space="preserve">Book “What Makes Young People Get Involved With Street Gangs in London”? (online) Published December 2021. Accessed via URL: </w:t>
      </w:r>
      <w:hyperlink r:id="rId32" w:history="1">
        <w:r>
          <w:rPr>
            <w:rStyle w:val="Hyperlink"/>
          </w:rPr>
          <w:t>What makes young people get involved with street gangs in London? A study of the perceived risk factors - Annan - 2022 - Journal of Community Psychology - Wiley Online Library (uwtsd.ac.uk)</w:t>
        </w:r>
      </w:hyperlink>
      <w:r>
        <w:t xml:space="preserve">. Accessed March 2023. </w:t>
      </w:r>
    </w:p>
    <w:p w14:paraId="66C89E28" w14:textId="77777777" w:rsidR="003529AC" w:rsidRPr="002B2A6C" w:rsidRDefault="003529AC" w:rsidP="003529AC">
      <w:pPr>
        <w:pStyle w:val="ListParagraph"/>
        <w:numPr>
          <w:ilvl w:val="0"/>
          <w:numId w:val="8"/>
        </w:numPr>
        <w:spacing w:after="0" w:line="240" w:lineRule="auto"/>
        <w:ind w:right="531"/>
        <w:rPr>
          <w:rFonts w:ascii="Arial" w:eastAsia="Times New Roman" w:hAnsi="Arial" w:cs="Arial"/>
          <w:sz w:val="20"/>
          <w:szCs w:val="20"/>
          <w:lang w:eastAsia="en-GB"/>
        </w:rPr>
      </w:pPr>
      <w:r w:rsidRPr="002B2A6C">
        <w:rPr>
          <w:rFonts w:ascii="Arial" w:eastAsia="Times New Roman" w:hAnsi="Arial" w:cs="Arial"/>
          <w:sz w:val="20"/>
          <w:szCs w:val="20"/>
          <w:lang w:eastAsia="en-GB"/>
        </w:rPr>
        <w:t>Crown Prosecution Service Online (2022) “Organised Crime Group: Participating in activities of an organised crime group”. Located at URL:</w:t>
      </w:r>
      <w:r w:rsidRPr="002B2A6C">
        <w:rPr>
          <w:sz w:val="18"/>
          <w:szCs w:val="18"/>
        </w:rPr>
        <w:t xml:space="preserve"> </w:t>
      </w:r>
      <w:hyperlink r:id="rId33" w:history="1">
        <w:r w:rsidRPr="002B2A6C">
          <w:rPr>
            <w:rStyle w:val="Hyperlink"/>
            <w:sz w:val="18"/>
            <w:szCs w:val="18"/>
          </w:rPr>
          <w:t>Serious and Organised Crime Strategy - GOV.UK (www.gov.uk)</w:t>
        </w:r>
      </w:hyperlink>
      <w:r w:rsidRPr="002B2A6C">
        <w:rPr>
          <w:rFonts w:ascii="Arial" w:eastAsia="Times New Roman" w:hAnsi="Arial" w:cs="Arial"/>
          <w:sz w:val="20"/>
          <w:szCs w:val="20"/>
          <w:lang w:eastAsia="en-GB"/>
        </w:rPr>
        <w:t>. Accessed August 2022.</w:t>
      </w:r>
    </w:p>
    <w:p w14:paraId="39685154" w14:textId="77777777" w:rsidR="003529AC" w:rsidRPr="002B2A6C" w:rsidRDefault="003529AC" w:rsidP="003529AC">
      <w:pPr>
        <w:pStyle w:val="ListParagraph"/>
        <w:numPr>
          <w:ilvl w:val="0"/>
          <w:numId w:val="8"/>
        </w:numPr>
        <w:spacing w:after="0" w:line="240" w:lineRule="auto"/>
        <w:ind w:right="531"/>
        <w:rPr>
          <w:rFonts w:ascii="Arial" w:eastAsia="Times New Roman" w:hAnsi="Arial" w:cs="Arial"/>
          <w:sz w:val="20"/>
          <w:szCs w:val="20"/>
          <w:lang w:eastAsia="en-GB"/>
        </w:rPr>
      </w:pPr>
      <w:r w:rsidRPr="002B2A6C">
        <w:rPr>
          <w:rFonts w:ascii="Arial" w:eastAsia="Times New Roman" w:hAnsi="Arial" w:cs="Arial"/>
          <w:sz w:val="20"/>
          <w:szCs w:val="20"/>
          <w:lang w:eastAsia="en-GB"/>
        </w:rPr>
        <w:t>Crown Prosecution Service Online (2022) “Organised Crime Strategy” Located at URL:</w:t>
      </w:r>
      <w:r w:rsidRPr="002B2A6C">
        <w:rPr>
          <w:sz w:val="18"/>
          <w:szCs w:val="18"/>
        </w:rPr>
        <w:t xml:space="preserve"> </w:t>
      </w:r>
      <w:hyperlink r:id="rId34" w:history="1">
        <w:r w:rsidRPr="002B2A6C">
          <w:rPr>
            <w:rStyle w:val="Hyperlink"/>
            <w:sz w:val="18"/>
            <w:szCs w:val="18"/>
          </w:rPr>
          <w:t>Organised Crime - Strategy | The Crown Prosecution Service (cps.gov.uk)</w:t>
        </w:r>
      </w:hyperlink>
      <w:r w:rsidRPr="002B2A6C">
        <w:rPr>
          <w:sz w:val="18"/>
          <w:szCs w:val="18"/>
        </w:rPr>
        <w:t>.</w:t>
      </w:r>
      <w:r w:rsidRPr="002B2A6C">
        <w:rPr>
          <w:rFonts w:ascii="Arial" w:eastAsia="Times New Roman" w:hAnsi="Arial" w:cs="Arial"/>
          <w:sz w:val="20"/>
          <w:szCs w:val="20"/>
          <w:lang w:eastAsia="en-GB"/>
        </w:rPr>
        <w:t xml:space="preserve"> Accessed August 2022. </w:t>
      </w:r>
    </w:p>
    <w:p w14:paraId="7204D376" w14:textId="77777777" w:rsidR="003529AC" w:rsidRPr="002B2A6C" w:rsidRDefault="003529AC" w:rsidP="003529AC">
      <w:pPr>
        <w:pStyle w:val="ListParagraph"/>
        <w:numPr>
          <w:ilvl w:val="0"/>
          <w:numId w:val="8"/>
        </w:numPr>
        <w:spacing w:after="0" w:line="240" w:lineRule="auto"/>
        <w:ind w:right="531"/>
        <w:rPr>
          <w:rFonts w:ascii="Arial" w:eastAsia="Times New Roman" w:hAnsi="Arial" w:cs="Arial"/>
          <w:sz w:val="20"/>
          <w:szCs w:val="20"/>
          <w:lang w:eastAsia="en-GB"/>
        </w:rPr>
      </w:pPr>
      <w:r w:rsidRPr="002B2A6C">
        <w:rPr>
          <w:rFonts w:ascii="Arial" w:eastAsia="Times New Roman" w:hAnsi="Arial" w:cs="Arial"/>
          <w:sz w:val="20"/>
          <w:szCs w:val="20"/>
          <w:lang w:eastAsia="en-GB"/>
        </w:rPr>
        <w:t>National records of Scotland online (June 2015) “Serious and Organised Crime Strategy”. Located at URL:</w:t>
      </w:r>
      <w:r w:rsidRPr="002B2A6C">
        <w:rPr>
          <w:sz w:val="18"/>
          <w:szCs w:val="18"/>
        </w:rPr>
        <w:t xml:space="preserve"> </w:t>
      </w:r>
      <w:hyperlink r:id="rId35" w:history="1">
        <w:r w:rsidRPr="002B2A6C">
          <w:rPr>
            <w:rStyle w:val="Hyperlink"/>
            <w:sz w:val="18"/>
            <w:szCs w:val="18"/>
          </w:rPr>
          <w:t>Serious Organised Crime strategy - gov.scot (www.gov.scot)</w:t>
        </w:r>
      </w:hyperlink>
      <w:r w:rsidRPr="002B2A6C">
        <w:rPr>
          <w:rFonts w:ascii="Arial" w:eastAsia="Times New Roman" w:hAnsi="Arial" w:cs="Arial"/>
          <w:sz w:val="20"/>
          <w:szCs w:val="20"/>
          <w:lang w:eastAsia="en-GB"/>
        </w:rPr>
        <w:t>. Accessed August 2022</w:t>
      </w:r>
      <w:r>
        <w:rPr>
          <w:rFonts w:ascii="Arial" w:eastAsia="Times New Roman" w:hAnsi="Arial" w:cs="Arial"/>
          <w:sz w:val="20"/>
          <w:szCs w:val="20"/>
          <w:lang w:eastAsia="en-GB"/>
        </w:rPr>
        <w:t>.</w:t>
      </w:r>
    </w:p>
    <w:p w14:paraId="3E314ECD" w14:textId="77777777" w:rsidR="003529AC" w:rsidRPr="002B2A6C" w:rsidRDefault="003529AC" w:rsidP="003529AC">
      <w:pPr>
        <w:pStyle w:val="ListParagraph"/>
        <w:numPr>
          <w:ilvl w:val="0"/>
          <w:numId w:val="8"/>
        </w:numPr>
        <w:spacing w:after="0" w:line="240" w:lineRule="auto"/>
        <w:ind w:right="531"/>
        <w:rPr>
          <w:rFonts w:ascii="Arial" w:eastAsia="Times New Roman" w:hAnsi="Arial" w:cs="Arial"/>
          <w:sz w:val="20"/>
          <w:szCs w:val="20"/>
          <w:lang w:eastAsia="en-GB"/>
        </w:rPr>
      </w:pPr>
      <w:r w:rsidRPr="002B2A6C">
        <w:rPr>
          <w:rFonts w:ascii="Arial" w:eastAsia="Times New Roman" w:hAnsi="Arial" w:cs="Arial"/>
          <w:sz w:val="20"/>
          <w:szCs w:val="20"/>
          <w:lang w:eastAsia="en-GB"/>
        </w:rPr>
        <w:t xml:space="preserve">National Records of Scotland Online (June 2015) publications. Found at URL: </w:t>
      </w:r>
      <w:hyperlink r:id="rId36" w:history="1">
        <w:r w:rsidRPr="002B2A6C">
          <w:rPr>
            <w:rStyle w:val="Hyperlink"/>
            <w:sz w:val="18"/>
            <w:szCs w:val="18"/>
          </w:rPr>
          <w:t>Publications - gov.scot (www.gov.scot)</w:t>
        </w:r>
      </w:hyperlink>
      <w:r w:rsidRPr="002B2A6C">
        <w:rPr>
          <w:rFonts w:ascii="Arial" w:eastAsia="Times New Roman" w:hAnsi="Arial" w:cs="Arial"/>
          <w:sz w:val="20"/>
          <w:szCs w:val="20"/>
          <w:lang w:eastAsia="en-GB"/>
        </w:rPr>
        <w:t xml:space="preserve"> Accessed August 2022. </w:t>
      </w:r>
    </w:p>
    <w:p w14:paraId="04A8EEE9" w14:textId="77777777" w:rsidR="003529AC" w:rsidRPr="002605CD" w:rsidRDefault="003529AC" w:rsidP="003529AC">
      <w:pPr>
        <w:pStyle w:val="ListParagraph"/>
        <w:numPr>
          <w:ilvl w:val="0"/>
          <w:numId w:val="7"/>
        </w:numPr>
        <w:spacing w:after="0" w:line="240" w:lineRule="auto"/>
        <w:ind w:right="531"/>
      </w:pPr>
      <w:r w:rsidRPr="002605CD">
        <w:rPr>
          <w:rFonts w:ascii="Arial" w:eastAsia="Times New Roman" w:hAnsi="Arial" w:cs="Arial"/>
          <w:sz w:val="20"/>
          <w:szCs w:val="20"/>
          <w:lang w:eastAsia="en-GB"/>
        </w:rPr>
        <w:t xml:space="preserve">Thames Valley Police Online (May 2022) “Organised Crime Group Members Sentenced to total of 74 Years in Prison for Multiple Offences-Thames Valley”. Located at URL: </w:t>
      </w:r>
      <w:hyperlink r:id="rId37" w:history="1">
        <w:r w:rsidRPr="002605CD">
          <w:rPr>
            <w:rStyle w:val="Hyperlink"/>
            <w:sz w:val="18"/>
            <w:szCs w:val="18"/>
          </w:rPr>
          <w:t>Organised crime group members sentenced to total of 74 years in prison for multiple offences – Thames Valley | Thames Valley Police</w:t>
        </w:r>
      </w:hyperlink>
      <w:r w:rsidRPr="002605CD">
        <w:rPr>
          <w:sz w:val="18"/>
          <w:szCs w:val="18"/>
        </w:rPr>
        <w:t xml:space="preserve">. </w:t>
      </w:r>
      <w:r w:rsidRPr="002605CD">
        <w:t xml:space="preserve">Accessed February 2023. </w:t>
      </w:r>
    </w:p>
    <w:p w14:paraId="5FE20B5A" w14:textId="77777777" w:rsidR="003529AC" w:rsidRPr="002605CD" w:rsidRDefault="003529AC" w:rsidP="003529AC">
      <w:pPr>
        <w:pStyle w:val="ListParagraph"/>
        <w:numPr>
          <w:ilvl w:val="0"/>
          <w:numId w:val="6"/>
        </w:numPr>
        <w:spacing w:after="0" w:line="240" w:lineRule="auto"/>
        <w:ind w:right="531"/>
        <w:rPr>
          <w:rFonts w:ascii="Arial" w:eastAsia="Times New Roman" w:hAnsi="Arial" w:cs="Arial"/>
          <w:sz w:val="24"/>
          <w:szCs w:val="24"/>
          <w:lang w:eastAsia="en-GB"/>
        </w:rPr>
      </w:pPr>
      <w:r>
        <w:t xml:space="preserve">The Independent (Online). Published December 2021. “Boris Johnson Promises Crackdown on ‘County Lines’ Drug Operations”. Located at URL: </w:t>
      </w:r>
      <w:hyperlink r:id="rId38" w:history="1">
        <w:r>
          <w:rPr>
            <w:rStyle w:val="Hyperlink"/>
          </w:rPr>
          <w:t>Boris Johnson promises crackdown on ‘county lines’ drug operations | The Independent</w:t>
        </w:r>
      </w:hyperlink>
      <w:r>
        <w:t xml:space="preserve">. Accessed February 2023. </w:t>
      </w:r>
    </w:p>
    <w:p w14:paraId="7DDA6A10" w14:textId="77777777" w:rsidR="003529AC" w:rsidRPr="002B2A6C" w:rsidRDefault="003529AC" w:rsidP="003529AC">
      <w:pPr>
        <w:pStyle w:val="ListParagraph"/>
        <w:numPr>
          <w:ilvl w:val="0"/>
          <w:numId w:val="8"/>
        </w:numPr>
        <w:spacing w:after="0" w:line="240" w:lineRule="auto"/>
        <w:ind w:right="531"/>
        <w:rPr>
          <w:rFonts w:ascii="Arial" w:eastAsia="Times New Roman" w:hAnsi="Arial" w:cs="Arial"/>
          <w:sz w:val="20"/>
          <w:szCs w:val="20"/>
          <w:lang w:eastAsia="en-GB"/>
        </w:rPr>
      </w:pPr>
      <w:r w:rsidRPr="002B2A6C">
        <w:rPr>
          <w:rFonts w:ascii="Arial" w:eastAsia="Times New Roman" w:hAnsi="Arial" w:cs="Arial"/>
          <w:sz w:val="20"/>
          <w:szCs w:val="20"/>
          <w:lang w:eastAsia="en-GB"/>
        </w:rPr>
        <w:t xml:space="preserve">The National Crime Syndicate Online (2022) “How is a Mafia Family Structured?” Located at URL: </w:t>
      </w:r>
      <w:hyperlink r:id="rId39" w:history="1">
        <w:r w:rsidRPr="002B2A6C">
          <w:rPr>
            <w:rStyle w:val="Hyperlink"/>
            <w:sz w:val="18"/>
            <w:szCs w:val="18"/>
          </w:rPr>
          <w:t>How Is A Mafia Family Structured? - The NCS (nationalcrimesyndicate.com)</w:t>
        </w:r>
      </w:hyperlink>
      <w:r w:rsidRPr="002B2A6C">
        <w:rPr>
          <w:sz w:val="18"/>
          <w:szCs w:val="18"/>
        </w:rPr>
        <w:t>. Accessed August 2022.</w:t>
      </w:r>
    </w:p>
    <w:p w14:paraId="3F23D702" w14:textId="77777777" w:rsidR="003529AC" w:rsidRPr="002605CD" w:rsidRDefault="003529AC" w:rsidP="003529AC">
      <w:pPr>
        <w:pStyle w:val="ListParagraph"/>
        <w:numPr>
          <w:ilvl w:val="0"/>
          <w:numId w:val="4"/>
        </w:numPr>
        <w:spacing w:after="0" w:line="240" w:lineRule="auto"/>
        <w:ind w:right="531"/>
        <w:rPr>
          <w:rFonts w:ascii="Arial" w:eastAsia="Times New Roman" w:hAnsi="Arial" w:cs="Arial"/>
          <w:sz w:val="24"/>
          <w:szCs w:val="24"/>
          <w:lang w:eastAsia="en-GB"/>
        </w:rPr>
      </w:pPr>
      <w:r>
        <w:t xml:space="preserve">Tirion. E. H, Densley. J. A, Whitaker, Wills. J. “Street Gangs and Coercive Control: The Gendered Exploitation of Young Women and Girls in County Lines”. Published 2021. Accessed via URL: </w:t>
      </w:r>
      <w:hyperlink r:id="rId40" w:history="1">
        <w:r>
          <w:rPr>
            <w:rStyle w:val="Hyperlink"/>
          </w:rPr>
          <w:t>Street gangs and coercive control: The gendered exploitation of young women and girls in county lines - Tirion Elizabeth Havard, James A Densley, Andrew Whittaker, Jane Wills, 2021 (sagepub.com)</w:t>
        </w:r>
      </w:hyperlink>
      <w:r>
        <w:t xml:space="preserve">. Accessed March 2023. </w:t>
      </w:r>
    </w:p>
    <w:p w14:paraId="5CFC307B" w14:textId="77777777" w:rsidR="003529AC" w:rsidRPr="002B2A6C" w:rsidRDefault="003529AC" w:rsidP="003529AC">
      <w:pPr>
        <w:pStyle w:val="ListParagraph"/>
        <w:numPr>
          <w:ilvl w:val="0"/>
          <w:numId w:val="8"/>
        </w:numPr>
        <w:spacing w:after="0" w:line="240" w:lineRule="auto"/>
        <w:ind w:right="531"/>
        <w:rPr>
          <w:rFonts w:ascii="Arial" w:eastAsia="Times New Roman" w:hAnsi="Arial" w:cs="Arial"/>
          <w:sz w:val="20"/>
          <w:szCs w:val="20"/>
          <w:lang w:eastAsia="en-GB"/>
        </w:rPr>
      </w:pPr>
      <w:r w:rsidRPr="002B2A6C">
        <w:rPr>
          <w:rFonts w:ascii="Arial" w:eastAsia="Times New Roman" w:hAnsi="Arial" w:cs="Arial"/>
          <w:sz w:val="20"/>
          <w:szCs w:val="20"/>
          <w:lang w:eastAsia="en-GB"/>
        </w:rPr>
        <w:t xml:space="preserve">UK Government Online (2018) “Serious and Organised Crime Protection Public Interventions Model”. Found at URL: </w:t>
      </w:r>
      <w:hyperlink r:id="rId41" w:history="1">
        <w:r w:rsidRPr="002B2A6C">
          <w:rPr>
            <w:rStyle w:val="Hyperlink"/>
            <w:sz w:val="18"/>
            <w:szCs w:val="18"/>
          </w:rPr>
          <w:t>Serious and Organised Crime Strategy 2018 - GOV.UK (www.gov.uk)</w:t>
        </w:r>
      </w:hyperlink>
      <w:r w:rsidRPr="002B2A6C">
        <w:rPr>
          <w:sz w:val="18"/>
          <w:szCs w:val="18"/>
        </w:rPr>
        <w:t xml:space="preserve">. </w:t>
      </w:r>
      <w:r w:rsidRPr="002B2A6C">
        <w:rPr>
          <w:rFonts w:ascii="Arial" w:eastAsia="Times New Roman" w:hAnsi="Arial" w:cs="Arial"/>
          <w:sz w:val="20"/>
          <w:szCs w:val="20"/>
          <w:lang w:eastAsia="en-GB"/>
        </w:rPr>
        <w:t>Accessed August 2022.</w:t>
      </w:r>
    </w:p>
    <w:p w14:paraId="51DCC6D5" w14:textId="77777777" w:rsidR="003529AC" w:rsidRPr="002B2A6C" w:rsidRDefault="003529AC" w:rsidP="003529AC">
      <w:pPr>
        <w:pStyle w:val="ListParagraph"/>
        <w:numPr>
          <w:ilvl w:val="0"/>
          <w:numId w:val="8"/>
        </w:numPr>
        <w:spacing w:after="0" w:line="240" w:lineRule="auto"/>
        <w:ind w:right="531"/>
        <w:rPr>
          <w:rFonts w:ascii="Arial" w:eastAsia="Times New Roman" w:hAnsi="Arial" w:cs="Arial"/>
          <w:sz w:val="20"/>
          <w:szCs w:val="20"/>
          <w:lang w:eastAsia="en-GB"/>
        </w:rPr>
      </w:pPr>
      <w:r w:rsidRPr="002B2A6C">
        <w:rPr>
          <w:rFonts w:ascii="Arial" w:eastAsia="Times New Roman" w:hAnsi="Arial" w:cs="Arial"/>
          <w:sz w:val="20"/>
          <w:szCs w:val="20"/>
          <w:lang w:eastAsia="en-GB"/>
        </w:rPr>
        <w:t>UK Government Online (25</w:t>
      </w:r>
      <w:r w:rsidRPr="002B2A6C">
        <w:rPr>
          <w:rFonts w:ascii="Arial" w:eastAsia="Times New Roman" w:hAnsi="Arial" w:cs="Arial"/>
          <w:sz w:val="20"/>
          <w:szCs w:val="20"/>
          <w:vertAlign w:val="superscript"/>
          <w:lang w:eastAsia="en-GB"/>
        </w:rPr>
        <w:t>th</w:t>
      </w:r>
      <w:r w:rsidRPr="002B2A6C">
        <w:rPr>
          <w:rFonts w:ascii="Arial" w:eastAsia="Times New Roman" w:hAnsi="Arial" w:cs="Arial"/>
          <w:sz w:val="20"/>
          <w:szCs w:val="20"/>
          <w:lang w:eastAsia="en-GB"/>
        </w:rPr>
        <w:t xml:space="preserve"> April 2019) “Serious and Organised Crime Strategy”. Located at URL: </w:t>
      </w:r>
      <w:hyperlink r:id="rId42" w:history="1">
        <w:r w:rsidRPr="002B2A6C">
          <w:rPr>
            <w:rStyle w:val="Hyperlink"/>
            <w:sz w:val="18"/>
            <w:szCs w:val="18"/>
          </w:rPr>
          <w:t>Serious and Organised Crime Strategy - GOV.UK (www.gov.uk)</w:t>
        </w:r>
      </w:hyperlink>
      <w:r w:rsidRPr="002B2A6C">
        <w:rPr>
          <w:sz w:val="18"/>
          <w:szCs w:val="18"/>
        </w:rPr>
        <w:t xml:space="preserve">. </w:t>
      </w:r>
      <w:r w:rsidRPr="002B2A6C">
        <w:rPr>
          <w:rFonts w:ascii="Arial" w:eastAsia="Times New Roman" w:hAnsi="Arial" w:cs="Arial"/>
          <w:sz w:val="20"/>
          <w:szCs w:val="20"/>
          <w:lang w:eastAsia="en-GB"/>
        </w:rPr>
        <w:t xml:space="preserve">Accessed August 2022. </w:t>
      </w:r>
    </w:p>
    <w:p w14:paraId="1EEC7348" w14:textId="77777777" w:rsidR="003529AC" w:rsidRPr="003529AC" w:rsidRDefault="003529AC" w:rsidP="003529AC">
      <w:pPr>
        <w:jc w:val="center"/>
        <w:rPr>
          <w:b/>
          <w:bCs/>
          <w:i/>
          <w:iCs/>
          <w:u w:val="single"/>
        </w:rPr>
      </w:pPr>
    </w:p>
    <w:sectPr w:rsidR="003529AC" w:rsidRPr="003529A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79277" w14:textId="77777777" w:rsidR="003529AC" w:rsidRDefault="003529AC" w:rsidP="003529AC">
      <w:pPr>
        <w:spacing w:after="0" w:line="240" w:lineRule="auto"/>
      </w:pPr>
      <w:r>
        <w:separator/>
      </w:r>
    </w:p>
  </w:endnote>
  <w:endnote w:type="continuationSeparator" w:id="0">
    <w:p w14:paraId="5E8C337F" w14:textId="77777777" w:rsidR="003529AC" w:rsidRDefault="003529AC" w:rsidP="00352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4C343" w14:textId="77777777" w:rsidR="003529AC" w:rsidRDefault="003529AC" w:rsidP="003529AC">
      <w:pPr>
        <w:spacing w:after="0" w:line="240" w:lineRule="auto"/>
      </w:pPr>
      <w:r>
        <w:separator/>
      </w:r>
    </w:p>
  </w:footnote>
  <w:footnote w:type="continuationSeparator" w:id="0">
    <w:p w14:paraId="27F16C07" w14:textId="77777777" w:rsidR="003529AC" w:rsidRDefault="003529AC" w:rsidP="003529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96272"/>
    <w:multiLevelType w:val="hybridMultilevel"/>
    <w:tmpl w:val="0546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0F39E6"/>
    <w:multiLevelType w:val="hybridMultilevel"/>
    <w:tmpl w:val="089C9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602A30"/>
    <w:multiLevelType w:val="hybridMultilevel"/>
    <w:tmpl w:val="5D2A7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480C6A"/>
    <w:multiLevelType w:val="hybridMultilevel"/>
    <w:tmpl w:val="3E686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0073C2"/>
    <w:multiLevelType w:val="hybridMultilevel"/>
    <w:tmpl w:val="2F2C2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1E62FA"/>
    <w:multiLevelType w:val="hybridMultilevel"/>
    <w:tmpl w:val="AB042C3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54447D36"/>
    <w:multiLevelType w:val="hybridMultilevel"/>
    <w:tmpl w:val="B016DAB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56194DEC"/>
    <w:multiLevelType w:val="hybridMultilevel"/>
    <w:tmpl w:val="21541BB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1914463174">
    <w:abstractNumId w:val="7"/>
  </w:num>
  <w:num w:numId="2" w16cid:durableId="1121875411">
    <w:abstractNumId w:val="6"/>
  </w:num>
  <w:num w:numId="3" w16cid:durableId="1301223953">
    <w:abstractNumId w:val="5"/>
  </w:num>
  <w:num w:numId="4" w16cid:durableId="199979357">
    <w:abstractNumId w:val="3"/>
  </w:num>
  <w:num w:numId="5" w16cid:durableId="1397243897">
    <w:abstractNumId w:val="0"/>
  </w:num>
  <w:num w:numId="6" w16cid:durableId="2016879789">
    <w:abstractNumId w:val="4"/>
  </w:num>
  <w:num w:numId="7" w16cid:durableId="1087340452">
    <w:abstractNumId w:val="2"/>
  </w:num>
  <w:num w:numId="8" w16cid:durableId="20263953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9AC"/>
    <w:rsid w:val="003529AC"/>
    <w:rsid w:val="0050716A"/>
    <w:rsid w:val="00A55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FB56E"/>
  <w15:chartTrackingRefBased/>
  <w15:docId w15:val="{D0B83001-7EE7-4609-93BE-D94E6B0B1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29AC"/>
    <w:pPr>
      <w:ind w:left="720"/>
      <w:contextualSpacing/>
    </w:pPr>
  </w:style>
  <w:style w:type="character" w:styleId="Hyperlink">
    <w:name w:val="Hyperlink"/>
    <w:basedOn w:val="DefaultParagraphFont"/>
    <w:uiPriority w:val="99"/>
    <w:unhideWhenUsed/>
    <w:rsid w:val="003529AC"/>
    <w:rPr>
      <w:color w:val="0000FF"/>
      <w:u w:val="single"/>
    </w:rPr>
  </w:style>
  <w:style w:type="character" w:styleId="FollowedHyperlink">
    <w:name w:val="FollowedHyperlink"/>
    <w:basedOn w:val="DefaultParagraphFont"/>
    <w:uiPriority w:val="99"/>
    <w:semiHidden/>
    <w:unhideWhenUsed/>
    <w:rsid w:val="003529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ethics/code-of-ethics" TargetMode="External"/><Relationship Id="rId13" Type="http://schemas.openxmlformats.org/officeDocument/2006/relationships/hyperlink" Target="https://research-information.bris.ac.uk/ws/files/266299030/Independence_Integrity_Lesson_Learning_and_Accountability._Policing_and_Society_.pdf" TargetMode="External"/><Relationship Id="rId18" Type="http://schemas.openxmlformats.org/officeDocument/2006/relationships/hyperlink" Target="https://www.parliament.uk/business/commons/" TargetMode="External"/><Relationship Id="rId26" Type="http://schemas.openxmlformats.org/officeDocument/2006/relationships/hyperlink" Target="https://onlinelibrary.wiley.com/doi/abs/10.1111/1745-9133.12398" TargetMode="External"/><Relationship Id="rId39" Type="http://schemas.openxmlformats.org/officeDocument/2006/relationships/hyperlink" Target="https://www.nationalcrimesyndicate.com/mafia-family-structured/" TargetMode="External"/><Relationship Id="rId3" Type="http://schemas.openxmlformats.org/officeDocument/2006/relationships/settings" Target="settings.xml"/><Relationship Id="rId21" Type="http://schemas.openxmlformats.org/officeDocument/2006/relationships/hyperlink" Target="https://thequeerness.com/2017/08/09/the-hidden-wellbeing-issues-underlying-the-pride-and-policing-debate/" TargetMode="External"/><Relationship Id="rId34" Type="http://schemas.openxmlformats.org/officeDocument/2006/relationships/hyperlink" Target="https://www.cps.gov.uk/organised-crime-strategy" TargetMode="External"/><Relationship Id="rId42" Type="http://schemas.openxmlformats.org/officeDocument/2006/relationships/hyperlink" Target="https://www.gov.uk/government/collections/serious-and-organised-crime-strategy" TargetMode="External"/><Relationship Id="rId7" Type="http://schemas.openxmlformats.org/officeDocument/2006/relationships/hyperlink" Target="https://www.bbc.co.uk/news/uk-england-london-61698168" TargetMode="External"/><Relationship Id="rId12" Type="http://schemas.openxmlformats.org/officeDocument/2006/relationships/hyperlink" Target="https://www.essex.pfcc.police.uk/news/the-importance-of-professional-standards/" TargetMode="External"/><Relationship Id="rId17" Type="http://schemas.openxmlformats.org/officeDocument/2006/relationships/hyperlink" Target="https://journals.sagepub.com/doi/pdf/10.1177/14613557211004619" TargetMode="External"/><Relationship Id="rId25" Type="http://schemas.openxmlformats.org/officeDocument/2006/relationships/hyperlink" Target="https://www.ojp.gov/ncjrs/virtual-library/abstracts/youth-gang-prevention-and-early-intervention-programs" TargetMode="External"/><Relationship Id="rId33" Type="http://schemas.openxmlformats.org/officeDocument/2006/relationships/hyperlink" Target="https://www.gov.uk/government/collections/serious-and-organised-crime-strategy" TargetMode="External"/><Relationship Id="rId38" Type="http://schemas.openxmlformats.org/officeDocument/2006/relationships/hyperlink" Target="https://www.independent.co.uk/news/uk/politics/boris-johnson-drugs-county-lines-b1970124.html" TargetMode="External"/><Relationship Id="rId2" Type="http://schemas.openxmlformats.org/officeDocument/2006/relationships/styles" Target="styles.xml"/><Relationship Id="rId16" Type="http://schemas.openxmlformats.org/officeDocument/2006/relationships/hyperlink" Target="https://www.basw.co.uk/system/files/resources/basw_93604-3_0.pdf" TargetMode="External"/><Relationship Id="rId20" Type="http://schemas.openxmlformats.org/officeDocument/2006/relationships/hyperlink" Target="https://www.westyorkshire-pcp.gov.uk/media/etqfpehv/item-7-recruitment-and-retention-of-police-officers-pcsos-and-positive-action.pdf" TargetMode="External"/><Relationship Id="rId29" Type="http://schemas.openxmlformats.org/officeDocument/2006/relationships/hyperlink" Target="https://safeguarding.network/content/safeguarding-resources/gangs-youth-violence/" TargetMode="External"/><Relationship Id="rId41" Type="http://schemas.openxmlformats.org/officeDocument/2006/relationships/hyperlink" Target="https://www.gov.uk/government/publications/serious-and-organised-crime-strategy-201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police_accountability.pdf%20-%20created%20by%20pdfMachine%20from%20Broadgun%20Software,%20http://pdfmachine.com,%20a%20great%20PDF%20writer%20utility!%20(humanrightsinitiative.org)" TargetMode="External"/><Relationship Id="rId24" Type="http://schemas.openxmlformats.org/officeDocument/2006/relationships/hyperlink" Target="https://cpdonline.co.uk/knowledge-base/safeguarding/county-lines/" TargetMode="External"/><Relationship Id="rId32" Type="http://schemas.openxmlformats.org/officeDocument/2006/relationships/hyperlink" Target="https://onlinelibrary-wiley-com.ezproxy.uwtsd.ac.uk/doi/full/10.1002/jcop.22767" TargetMode="External"/><Relationship Id="rId37" Type="http://schemas.openxmlformats.org/officeDocument/2006/relationships/hyperlink" Target="https://www.thamesvalley.police.uk/news/thames-valley/news/2022/may/16-05-2022/organised-crime-group-members-sentenced-to-total-of-nearly-60-years-in-prison-for-multiple-offences--thames-valley/" TargetMode="External"/><Relationship Id="rId40" Type="http://schemas.openxmlformats.org/officeDocument/2006/relationships/hyperlink" Target="https://journals.sagepub.com/doi/full/10.1177/17488958211051513" TargetMode="External"/><Relationship Id="rId5" Type="http://schemas.openxmlformats.org/officeDocument/2006/relationships/footnotes" Target="footnotes.xml"/><Relationship Id="rId15" Type="http://schemas.openxmlformats.org/officeDocument/2006/relationships/hyperlink" Target="https://books.google.co.uk/books?hl=en&amp;lr=&amp;id=gd2-DAAAQBAJ&amp;oi=fnd&amp;pg=PR7&amp;dq=black+police+officers+experiences&amp;ots=Nh2Pe6CCoN&amp;sig=fpRIxEzQmFjmohUsrnHrKTTbkUU" TargetMode="External"/><Relationship Id="rId23" Type="http://schemas.openxmlformats.org/officeDocument/2006/relationships/hyperlink" Target="https://ebookcentral.proquest.com/lib/trinity/reader.action?docID=4505302" TargetMode="External"/><Relationship Id="rId28" Type="http://schemas.openxmlformats.org/officeDocument/2006/relationships/hyperlink" Target="https://safeguardinghub.co.uk/young-people-risk-gang-involvement-just-statistic/" TargetMode="External"/><Relationship Id="rId36" Type="http://schemas.openxmlformats.org/officeDocument/2006/relationships/hyperlink" Target="https://www.gov.scot/publications/" TargetMode="External"/><Relationship Id="rId10" Type="http://schemas.openxmlformats.org/officeDocument/2006/relationships/hyperlink" Target="https://local.gov.uk/our-support/workforce-and-hr-support/police/police-staff/police-staff-council-handbook/police-staff" TargetMode="External"/><Relationship Id="rId19" Type="http://schemas.openxmlformats.org/officeDocument/2006/relationships/hyperlink" Target="https://www.joiningthepolice.co.uk/supporting-diversity" TargetMode="External"/><Relationship Id="rId31" Type="http://schemas.openxmlformats.org/officeDocument/2006/relationships/hyperlink" Target="https://books.google.co.uk/books?hl=en&amp;lr=&amp;id=om6QAgAAQBAJ&amp;oi=fnd&amp;pg=PP1&amp;dq=functional+family+therapy+gangs&amp;ots=RYBg4BzEUO&amp;sig=PgAhjxqLH-qTnJ-uK9r-ZeUcodk"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oliceconduct.gov.uk/research-and-learning/key-areas-work" TargetMode="External"/><Relationship Id="rId14" Type="http://schemas.openxmlformats.org/officeDocument/2006/relationships/image" Target="media/image1.png"/><Relationship Id="rId22" Type="http://schemas.openxmlformats.org/officeDocument/2006/relationships/hyperlink" Target="https://committees.parliament.uk/work/347/the-macpherson-report-twentyone-years-on/publications/reports-responses/" TargetMode="External"/><Relationship Id="rId27" Type="http://schemas.openxmlformats.org/officeDocument/2006/relationships/hyperlink" Target="https://nrl.northumbria.ac.uk/id/eprint/36968/1/Working%20County%20Lines.pdf" TargetMode="External"/><Relationship Id="rId30" Type="http://schemas.openxmlformats.org/officeDocument/2006/relationships/hyperlink" Target="https://doi.org/10.1037/a0019406" TargetMode="External"/><Relationship Id="rId35" Type="http://schemas.openxmlformats.org/officeDocument/2006/relationships/hyperlink" Target="https://www.gov.scot/publications/serious-organised-crime-strategy/"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6271</Words>
  <Characters>35748</Characters>
  <Application>Microsoft Office Word</Application>
  <DocSecurity>0</DocSecurity>
  <Lines>297</Lines>
  <Paragraphs>83</Paragraphs>
  <ScaleCrop>false</ScaleCrop>
  <Company/>
  <LinksUpToDate>false</LinksUpToDate>
  <CharactersWithSpaces>41936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Higgins, Callum</dc:creator>
  <cp:keywords/>
  <dc:description/>
  <cp:lastModifiedBy>Higgins, Callum</cp:lastModifiedBy>
  <cp:revision>1</cp:revision>
  <dcterms:created xsi:type="dcterms:W3CDTF">2023-03-07T17:14:00Z</dcterms:created>
  <dcterms:modified xsi:type="dcterms:W3CDTF">2023-03-07T17:21:00Z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2023-03-07T17:14:44Z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9bc89777-f224-405f-a3fc-3efc53cb0dec</vt:lpwstr>
  </property>
  <property fmtid="{D5CDD505-2E9C-101B-9397-08002B2CF9AE}" pid="8" name="MSIP_Label_f2acd28b-79a3-4a0f-b0ff-4b75658b1549_ContentBits">
    <vt:lpwstr>0</vt:lpwstr>
  </property>
</Properties>
</file>