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3FFA3F" w14:textId="77777777" w:rsidR="0005197F" w:rsidRDefault="0005197F" w:rsidP="00465D86">
      <w:pPr>
        <w:spacing w:before="120" w:after="120"/>
        <w:rPr>
          <w:b/>
          <w:sz w:val="36"/>
          <w:szCs w:val="36"/>
        </w:rPr>
      </w:pPr>
    </w:p>
    <w:p w14:paraId="1F55F100" w14:textId="77777777" w:rsidR="00465D86" w:rsidRDefault="00465D86" w:rsidP="0005197F">
      <w:pPr>
        <w:spacing w:before="120" w:after="120"/>
        <w:jc w:val="center"/>
        <w:rPr>
          <w:b/>
          <w:sz w:val="36"/>
          <w:szCs w:val="36"/>
        </w:rPr>
      </w:pPr>
    </w:p>
    <w:p w14:paraId="2E5652C0" w14:textId="77777777" w:rsidR="00465D86" w:rsidRDefault="00465D86" w:rsidP="0005197F">
      <w:pPr>
        <w:spacing w:before="120" w:after="120"/>
        <w:jc w:val="center"/>
        <w:rPr>
          <w:b/>
          <w:sz w:val="36"/>
          <w:szCs w:val="36"/>
        </w:rPr>
      </w:pPr>
    </w:p>
    <w:p w14:paraId="71045956" w14:textId="77777777" w:rsidR="00465D86" w:rsidRDefault="00465D86" w:rsidP="0005197F">
      <w:pPr>
        <w:spacing w:before="120" w:after="120"/>
        <w:jc w:val="center"/>
        <w:rPr>
          <w:b/>
          <w:sz w:val="36"/>
          <w:szCs w:val="36"/>
        </w:rPr>
      </w:pPr>
    </w:p>
    <w:p w14:paraId="5500990A" w14:textId="40B1688A" w:rsidR="0005197F" w:rsidRPr="0005197F" w:rsidRDefault="0005197F" w:rsidP="0005197F">
      <w:pPr>
        <w:spacing w:before="120" w:after="120"/>
        <w:jc w:val="center"/>
        <w:rPr>
          <w:b/>
          <w:sz w:val="36"/>
          <w:szCs w:val="36"/>
        </w:rPr>
      </w:pPr>
      <w:r w:rsidRPr="0005197F">
        <w:rPr>
          <w:b/>
          <w:sz w:val="36"/>
          <w:szCs w:val="36"/>
        </w:rPr>
        <w:t xml:space="preserve">Module code: </w:t>
      </w:r>
      <w:r w:rsidRPr="0005197F">
        <w:rPr>
          <w:b/>
          <w:bCs/>
          <w:sz w:val="36"/>
          <w:szCs w:val="36"/>
        </w:rPr>
        <w:t>BMPL 4002</w:t>
      </w:r>
    </w:p>
    <w:p w14:paraId="346BE162" w14:textId="32DA7326" w:rsidR="0005197F" w:rsidRPr="0005197F" w:rsidRDefault="0005197F" w:rsidP="0005197F">
      <w:pPr>
        <w:spacing w:before="120" w:after="120"/>
        <w:jc w:val="center"/>
        <w:rPr>
          <w:b/>
          <w:bCs/>
          <w:sz w:val="36"/>
          <w:szCs w:val="36"/>
        </w:rPr>
      </w:pPr>
      <w:r w:rsidRPr="0005197F">
        <w:rPr>
          <w:b/>
          <w:sz w:val="36"/>
          <w:szCs w:val="36"/>
        </w:rPr>
        <w:t>Module</w:t>
      </w:r>
      <w:r w:rsidR="00A755CA">
        <w:rPr>
          <w:b/>
          <w:sz w:val="36"/>
          <w:szCs w:val="36"/>
        </w:rPr>
        <w:t xml:space="preserve"> Name</w:t>
      </w:r>
      <w:r w:rsidRPr="0005197F">
        <w:rPr>
          <w:b/>
          <w:sz w:val="36"/>
          <w:szCs w:val="36"/>
        </w:rPr>
        <w:t xml:space="preserve">: </w:t>
      </w:r>
      <w:r w:rsidRPr="0005197F">
        <w:rPr>
          <w:b/>
          <w:bCs/>
          <w:sz w:val="36"/>
          <w:szCs w:val="36"/>
        </w:rPr>
        <w:t>Preparing for Professional Police Practice</w:t>
      </w:r>
    </w:p>
    <w:p w14:paraId="3AFCAD09" w14:textId="04CD9089" w:rsidR="0005197F" w:rsidRPr="0005197F" w:rsidRDefault="0005197F" w:rsidP="0005197F">
      <w:pPr>
        <w:spacing w:before="120" w:after="120"/>
        <w:jc w:val="center"/>
        <w:rPr>
          <w:b/>
          <w:bCs/>
          <w:sz w:val="36"/>
          <w:szCs w:val="36"/>
        </w:rPr>
      </w:pPr>
      <w:r w:rsidRPr="0005197F">
        <w:rPr>
          <w:b/>
          <w:bCs/>
          <w:sz w:val="36"/>
          <w:szCs w:val="36"/>
        </w:rPr>
        <w:t>Assignment Type: Essay</w:t>
      </w:r>
    </w:p>
    <w:p w14:paraId="5D2E90DD" w14:textId="6EFB9845" w:rsidR="0005197F" w:rsidRPr="0005197F" w:rsidRDefault="0005197F" w:rsidP="0005197F">
      <w:pPr>
        <w:spacing w:before="120" w:after="120"/>
        <w:jc w:val="center"/>
        <w:rPr>
          <w:b/>
          <w:bCs/>
          <w:sz w:val="28"/>
          <w:szCs w:val="28"/>
        </w:rPr>
      </w:pPr>
      <w:r w:rsidRPr="0005197F">
        <w:rPr>
          <w:b/>
          <w:bCs/>
          <w:sz w:val="28"/>
          <w:szCs w:val="28"/>
        </w:rPr>
        <w:t>Student Name:</w:t>
      </w:r>
      <w:r>
        <w:rPr>
          <w:b/>
          <w:bCs/>
          <w:sz w:val="28"/>
          <w:szCs w:val="28"/>
        </w:rPr>
        <w:t xml:space="preserve"> </w:t>
      </w:r>
      <w:r w:rsidRPr="0005197F">
        <w:rPr>
          <w:b/>
          <w:bCs/>
          <w:sz w:val="28"/>
          <w:szCs w:val="28"/>
        </w:rPr>
        <w:t>Maria Daniela Dan</w:t>
      </w:r>
    </w:p>
    <w:p w14:paraId="4334B0D1" w14:textId="059F4F77" w:rsidR="0005197F" w:rsidRPr="0005197F" w:rsidRDefault="0005197F" w:rsidP="0005197F">
      <w:pPr>
        <w:spacing w:before="120" w:after="120"/>
        <w:jc w:val="center"/>
        <w:rPr>
          <w:b/>
          <w:bCs/>
          <w:sz w:val="28"/>
          <w:szCs w:val="28"/>
        </w:rPr>
      </w:pPr>
      <w:r w:rsidRPr="0005197F">
        <w:rPr>
          <w:b/>
          <w:bCs/>
          <w:sz w:val="28"/>
          <w:szCs w:val="28"/>
        </w:rPr>
        <w:t>Student ID:</w:t>
      </w:r>
      <w:r w:rsidR="00832434">
        <w:rPr>
          <w:b/>
          <w:bCs/>
          <w:sz w:val="28"/>
          <w:szCs w:val="28"/>
        </w:rPr>
        <w:t>2323942</w:t>
      </w:r>
    </w:p>
    <w:p w14:paraId="624564A1" w14:textId="29B24192" w:rsidR="0005197F" w:rsidRDefault="0005197F" w:rsidP="0005197F">
      <w:pPr>
        <w:spacing w:before="120" w:after="120"/>
        <w:rPr>
          <w:rFonts w:ascii="Arial" w:hAnsi="Arial" w:cs="Arial"/>
          <w:b/>
          <w:sz w:val="22"/>
          <w:szCs w:val="22"/>
        </w:rPr>
      </w:pPr>
    </w:p>
    <w:p w14:paraId="69A1A52A" w14:textId="77777777" w:rsidR="003F18C2" w:rsidRDefault="003F18C2">
      <w:pPr>
        <w:rPr>
          <w:b/>
          <w:sz w:val="28"/>
          <w:szCs w:val="28"/>
        </w:rPr>
      </w:pPr>
      <w:r>
        <w:br w:type="page"/>
      </w:r>
    </w:p>
    <w:p w14:paraId="00000001" w14:textId="7F89EEF8" w:rsidR="003D06B5" w:rsidRDefault="00456A8E">
      <w:pPr>
        <w:pStyle w:val="Heading1"/>
      </w:pPr>
      <w:r>
        <w:lastRenderedPageBreak/>
        <w:t>Introduction</w:t>
      </w:r>
    </w:p>
    <w:p w14:paraId="00000002" w14:textId="03150522" w:rsidR="003D06B5" w:rsidRDefault="00456A8E">
      <w:pPr>
        <w:pStyle w:val="Normal1"/>
      </w:pPr>
      <w:r>
        <w:t>Policing by consent is a core element in the British policing model which was first developed by Sir Robert Peel during the 19th century. Considering that, the particular study will focus on delivering the role and responsibilities of professional police in maintaining a code of ethics, standards and behaviours</w:t>
      </w:r>
      <w:r w:rsidR="0002650A">
        <w:t>. This is maintained by the police forces</w:t>
      </w:r>
      <w:r>
        <w:t xml:space="preserve"> to ensure the safety, security, and rights of community individuals. This essay will also discuss the ways police perceive, believe and use their power of professional standards associated with human rights, the PACE Act and the national decision model. </w:t>
      </w:r>
      <w:r>
        <w:br w:type="page"/>
      </w:r>
    </w:p>
    <w:p w14:paraId="00000003" w14:textId="77777777" w:rsidR="003D06B5" w:rsidRDefault="00456A8E">
      <w:pPr>
        <w:pStyle w:val="Heading1"/>
      </w:pPr>
      <w:bookmarkStart w:id="0" w:name="_3zbrr6alix21" w:colFirst="0" w:colLast="0"/>
      <w:bookmarkEnd w:id="0"/>
      <w:r>
        <w:lastRenderedPageBreak/>
        <w:t>Discussion</w:t>
      </w:r>
    </w:p>
    <w:p w14:paraId="00000004" w14:textId="6A010F38" w:rsidR="003D06B5" w:rsidRDefault="00456A8E">
      <w:pPr>
        <w:pStyle w:val="Normal1"/>
      </w:pPr>
      <w:r>
        <w:t>Policing by consent is an essential principle that highlights the contemporary democratic communities. British policing authority crucially depends on consent which indicates that the potentials of professional police significantly are aligned with public approval regarding their actions, behaviours and existence</w:t>
      </w:r>
      <w:sdt>
        <w:sdtPr>
          <w:id w:val="-556090166"/>
          <w:citation/>
        </w:sdtPr>
        <w:sdtContent>
          <w:r w:rsidR="002F0AC7">
            <w:fldChar w:fldCharType="begin"/>
          </w:r>
          <w:r w:rsidR="002F0AC7">
            <w:rPr>
              <w:lang w:val="en-US"/>
            </w:rPr>
            <w:instrText xml:space="preserve"> CITATION Dom24 \l 1033 </w:instrText>
          </w:r>
          <w:r w:rsidR="002F0AC7">
            <w:fldChar w:fldCharType="separate"/>
          </w:r>
          <w:r w:rsidR="002F0AC7">
            <w:rPr>
              <w:noProof/>
              <w:lang w:val="en-US"/>
            </w:rPr>
            <w:t xml:space="preserve"> </w:t>
          </w:r>
          <w:r w:rsidR="002F0AC7" w:rsidRPr="002F0AC7">
            <w:rPr>
              <w:noProof/>
              <w:lang w:val="en-US"/>
            </w:rPr>
            <w:t>(Watts, 2024)</w:t>
          </w:r>
          <w:r w:rsidR="002F0AC7">
            <w:fldChar w:fldCharType="end"/>
          </w:r>
        </w:sdtContent>
      </w:sdt>
      <w:r>
        <w:t>. Sir Robert Peel articulated nine fundamental principles in terms of policing by consent in 1829. This mainly aims to prevent different crimes search for public favour and use physical force only when urgently required. Professional police forces are an integral part of the British criminal justice system in the 21st-century contemporary world. According to data, the London Metropolitan Police was first given authority to deter crime in the UK in 1829. Effective policing practices have also bolstered a safer and more secure living environment for citizens of the United Kingdom</w:t>
      </w:r>
      <w:r w:rsidR="002D6956">
        <w:t xml:space="preserve"> </w:t>
      </w:r>
      <w:r w:rsidR="002D6956" w:rsidRPr="002D6956">
        <w:rPr>
          <w:color w:val="FF0000"/>
        </w:rPr>
        <w:t>(</w:t>
      </w:r>
      <w:r w:rsidR="002D6956" w:rsidRPr="002D6956">
        <w:rPr>
          <w:color w:val="FF0000"/>
          <w:shd w:val="clear" w:color="auto" w:fill="FFFFFF"/>
        </w:rPr>
        <w:t>Elliott and Quinn, 2008)</w:t>
      </w:r>
      <w:r>
        <w:t>. For instance, Operation Trident was formed by the London Metropolitan Police forces to defeat gun and fire-armed criminal offences mainly in black communities. Through intelligence-oriented police forces and collaborative approaches with local areas, the Met has been able to reduce incidents of gang outbreaks of violence ensuring improved public safety</w:t>
      </w:r>
      <w:sdt>
        <w:sdtPr>
          <w:id w:val="-1132239895"/>
          <w:citation/>
        </w:sdtPr>
        <w:sdtContent>
          <w:r w:rsidR="002F0AC7">
            <w:fldChar w:fldCharType="begin"/>
          </w:r>
          <w:r w:rsidR="002F0AC7">
            <w:rPr>
              <w:lang w:val="en-US"/>
            </w:rPr>
            <w:instrText xml:space="preserve"> CITATION Geo242 \l 1033 </w:instrText>
          </w:r>
          <w:r w:rsidR="002F0AC7">
            <w:fldChar w:fldCharType="separate"/>
          </w:r>
          <w:r w:rsidR="002F0AC7">
            <w:rPr>
              <w:noProof/>
              <w:lang w:val="en-US"/>
            </w:rPr>
            <w:t xml:space="preserve"> </w:t>
          </w:r>
          <w:r w:rsidR="002F0AC7" w:rsidRPr="002F0AC7">
            <w:rPr>
              <w:noProof/>
              <w:lang w:val="en-US"/>
            </w:rPr>
            <w:t>(Allison, 2024)</w:t>
          </w:r>
          <w:r w:rsidR="002F0AC7">
            <w:fldChar w:fldCharType="end"/>
          </w:r>
        </w:sdtContent>
      </w:sdt>
      <w:r>
        <w:t>. Another major example of noticeable impacts of proactive policing in decreasing criminal offences is Neighbourhood Policing Teams which are familiar across the nation. NPTs mainly concentrate on working with the joint action of local communities by establishing collaborative bonding. For example, NPTs team up with local residents to identify antisocial behaviours and inconsequential crimes which further increase trust and a sense of loyalty between citizens and police forces</w:t>
      </w:r>
      <w:sdt>
        <w:sdtPr>
          <w:id w:val="-579366629"/>
          <w:citation/>
        </w:sdtPr>
        <w:sdtContent>
          <w:r w:rsidR="002F0AC7">
            <w:fldChar w:fldCharType="begin"/>
          </w:r>
          <w:r w:rsidR="002F0AC7">
            <w:rPr>
              <w:lang w:val="en-US"/>
            </w:rPr>
            <w:instrText xml:space="preserve"> CITATION joi24 \l 1033 </w:instrText>
          </w:r>
          <w:r w:rsidR="002F0AC7">
            <w:fldChar w:fldCharType="separate"/>
          </w:r>
          <w:r w:rsidR="002F0AC7">
            <w:rPr>
              <w:noProof/>
              <w:lang w:val="en-US"/>
            </w:rPr>
            <w:t xml:space="preserve"> </w:t>
          </w:r>
          <w:r w:rsidR="002F0AC7" w:rsidRPr="002F0AC7">
            <w:rPr>
              <w:noProof/>
              <w:lang w:val="en-US"/>
            </w:rPr>
            <w:t>(joiningthepolice, 2024)</w:t>
          </w:r>
          <w:r w:rsidR="002F0AC7">
            <w:fldChar w:fldCharType="end"/>
          </w:r>
        </w:sdtContent>
      </w:sdt>
      <w:r>
        <w:t>. Besides that, the development of Project Servator has explored an innovative aspect of contemporary policing practices which are highly visible as well as uncertain arrangements to reduce crimes including terrorism. This creative tactic has been integrated into metropolitan cities like Edinburgh and London and marked influences on reducing the rate of crime</w:t>
      </w:r>
      <w:sdt>
        <w:sdtPr>
          <w:id w:val="1378365142"/>
          <w:citation/>
        </w:sdtPr>
        <w:sdtContent>
          <w:r w:rsidR="002F0AC7">
            <w:fldChar w:fldCharType="begin"/>
          </w:r>
          <w:r w:rsidR="002F0AC7">
            <w:rPr>
              <w:lang w:val="en-US"/>
            </w:rPr>
            <w:instrText xml:space="preserve"> CITATION met241 \l 1033 </w:instrText>
          </w:r>
          <w:r w:rsidR="002F0AC7">
            <w:fldChar w:fldCharType="separate"/>
          </w:r>
          <w:r w:rsidR="002F0AC7">
            <w:rPr>
              <w:noProof/>
              <w:lang w:val="en-US"/>
            </w:rPr>
            <w:t xml:space="preserve"> </w:t>
          </w:r>
          <w:r w:rsidR="002F0AC7" w:rsidRPr="002F0AC7">
            <w:rPr>
              <w:noProof/>
              <w:lang w:val="en-US"/>
            </w:rPr>
            <w:t>(met.police.uk, 2024)</w:t>
          </w:r>
          <w:r w:rsidR="002F0AC7">
            <w:fldChar w:fldCharType="end"/>
          </w:r>
        </w:sdtContent>
      </w:sdt>
      <w:r>
        <w:t xml:space="preserve">. Those </w:t>
      </w:r>
      <w:r>
        <w:lastRenderedPageBreak/>
        <w:t>examples illustrate the ways UK policing forces have focused on lowering the offence rate to provide a safer and more acceptable living community and build trust amongst people. Apart from that, maintaining community trust is pivotal for professional police practices within the segment of the United  Kingdom. Trust among local residents increases the culture of cooperation and collaboration which are significant for reporting criminal offences, collecting intelligence as well as ensuring the safety and security of provincial areas</w:t>
      </w:r>
      <w:sdt>
        <w:sdtPr>
          <w:id w:val="-498968279"/>
          <w:citation/>
        </w:sdtPr>
        <w:sdtContent>
          <w:r w:rsidR="002F0AC7">
            <w:fldChar w:fldCharType="begin"/>
          </w:r>
          <w:r w:rsidR="002F0AC7">
            <w:rPr>
              <w:lang w:val="en-US"/>
            </w:rPr>
            <w:instrText xml:space="preserve"> CITATION met24 \l 1033 </w:instrText>
          </w:r>
          <w:r w:rsidR="002F0AC7">
            <w:fldChar w:fldCharType="separate"/>
          </w:r>
          <w:r w:rsidR="002F0AC7">
            <w:rPr>
              <w:noProof/>
              <w:lang w:val="en-US"/>
            </w:rPr>
            <w:t xml:space="preserve"> </w:t>
          </w:r>
          <w:r w:rsidR="002F0AC7" w:rsidRPr="002F0AC7">
            <w:rPr>
              <w:noProof/>
              <w:lang w:val="en-US"/>
            </w:rPr>
            <w:t>(met.police.uk, 2024)</w:t>
          </w:r>
          <w:r w:rsidR="002F0AC7">
            <w:fldChar w:fldCharType="end"/>
          </w:r>
        </w:sdtContent>
      </w:sdt>
      <w:r>
        <w:t>. When local people are fond of trusting policing forces, they proactively assist in several investigations and support law enforcement leading to improved policing practices. Consequently, a lack of community trust can result in increasing societal unrest, challenges in policing approaches and higher offence rates.  Therefore, managing professional standards and behaviours is considered a cornerstone for escalated community loyalty and trust. Considering that, the code of ethics of the College of Policing highlights that standardised professional behaviour is highly expected from all ranges of policing officers. The fundamental principles of professional behaviours include respect, integrity, loyalty, transparency and accountability which help upscale the beliefs of communities</w:t>
      </w:r>
      <w:r w:rsidR="002F0AC7">
        <w:t xml:space="preserve"> (</w:t>
      </w:r>
      <w:r w:rsidR="002F0AC7">
        <w:rPr>
          <w:shd w:val="clear" w:color="auto" w:fill="FFFFFF"/>
        </w:rPr>
        <w:t>Beck et al.,</w:t>
      </w:r>
      <w:r w:rsidR="002F0AC7">
        <w:rPr>
          <w:i/>
          <w:iCs/>
          <w:shd w:val="clear" w:color="auto" w:fill="FFFFFF"/>
        </w:rPr>
        <w:t xml:space="preserve"> </w:t>
      </w:r>
      <w:r w:rsidR="002F0AC7">
        <w:rPr>
          <w:shd w:val="clear" w:color="auto" w:fill="FFFFFF"/>
        </w:rPr>
        <w:t>2022)</w:t>
      </w:r>
      <w:r>
        <w:t xml:space="preserve">. </w:t>
      </w:r>
    </w:p>
    <w:p w14:paraId="00000005" w14:textId="5539055F" w:rsidR="003D06B5" w:rsidRDefault="00456A8E">
      <w:pPr>
        <w:pStyle w:val="Normal1"/>
      </w:pPr>
      <w:r>
        <w:t>The code of ethics, ethical policing practices and guidelines for professional behaviours in policing rely on the National Decision Model. This particular model is addressed as the primary guideline in terms of decision-making in British police services. It can be employed in all aspects of decisions and can be utilised by any range of workers associated with UK policing. Furthermore, it may be applied to the planned operations as well as both operational and non-operational conditions. Six core elements of the NDM include a code of ethics, information, assessment, options, power and policies as well as actions and reviews</w:t>
      </w:r>
      <w:sdt>
        <w:sdtPr>
          <w:id w:val="1286004286"/>
          <w:citation/>
        </w:sdtPr>
        <w:sdtContent>
          <w:r w:rsidR="003F18C2">
            <w:fldChar w:fldCharType="begin"/>
          </w:r>
          <w:r w:rsidR="003F18C2">
            <w:rPr>
              <w:lang w:val="en-US"/>
            </w:rPr>
            <w:instrText xml:space="preserve"> CITATION jus23 \l 1033 </w:instrText>
          </w:r>
          <w:r w:rsidR="003F18C2">
            <w:fldChar w:fldCharType="separate"/>
          </w:r>
          <w:r w:rsidR="003F18C2">
            <w:rPr>
              <w:noProof/>
              <w:lang w:val="en-US"/>
            </w:rPr>
            <w:t xml:space="preserve"> </w:t>
          </w:r>
          <w:r w:rsidR="003F18C2" w:rsidRPr="003F18C2">
            <w:rPr>
              <w:noProof/>
              <w:lang w:val="en-US"/>
            </w:rPr>
            <w:t>(justiceinspectorates.gov.uk, 2023)</w:t>
          </w:r>
          <w:r w:rsidR="003F18C2">
            <w:fldChar w:fldCharType="end"/>
          </w:r>
        </w:sdtContent>
      </w:sdt>
      <w:r>
        <w:t xml:space="preserve">. Within the context of the National Decision Model, the Code of Ethics is the central point of all police decision-making, comprising the ethical policing guidelines and professional standards in policing. Ethical policing practices are defined as the </w:t>
      </w:r>
      <w:r>
        <w:lastRenderedPageBreak/>
        <w:t>sets of guiding statements, used to assist policing officers to direct the right way through courage, respect and empathy while conducting public services. For example, the murder of Stephen Lawrence and succeeding management in the investigation in 1993, UK crucially highlights the failure of maintaining professional policing standards by Metropolitan police enforcement. This failure further convinced to call for a reformation of police practices and code of ethics including improved training for enforcement. Apart from that, statements of moral and professional behaviour in law enforcement guide with development of a positive workplace culture by driving professional conduct and decision-making</w:t>
      </w:r>
      <w:sdt>
        <w:sdtPr>
          <w:id w:val="-1584516213"/>
          <w:citation/>
        </w:sdtPr>
        <w:sdtContent>
          <w:r w:rsidR="003F18C2">
            <w:fldChar w:fldCharType="begin"/>
          </w:r>
          <w:r w:rsidR="003F18C2">
            <w:rPr>
              <w:lang w:val="en-US"/>
            </w:rPr>
            <w:instrText xml:space="preserve"> CITATION psn22 \l 1033 </w:instrText>
          </w:r>
          <w:r w:rsidR="003F18C2">
            <w:fldChar w:fldCharType="separate"/>
          </w:r>
          <w:r w:rsidR="003F18C2">
            <w:rPr>
              <w:noProof/>
              <w:lang w:val="en-US"/>
            </w:rPr>
            <w:t xml:space="preserve"> </w:t>
          </w:r>
          <w:r w:rsidR="003F18C2" w:rsidRPr="003F18C2">
            <w:rPr>
              <w:noProof/>
              <w:lang w:val="en-US"/>
            </w:rPr>
            <w:t>(psni.police.uk, 2022)</w:t>
          </w:r>
          <w:r w:rsidR="003F18C2">
            <w:fldChar w:fldCharType="end"/>
          </w:r>
        </w:sdtContent>
      </w:sdt>
      <w:r>
        <w:t xml:space="preserve">. Moreover, NDM elements emphasise gathering essential information and intelligence, and assessment of threats and risk factors to build a proper working strategy. Following that, police officers are required to consider their power and policy during public services, identify available options and make appropriate decisions. </w:t>
      </w:r>
      <w:r w:rsidR="00B97145">
        <w:t>Further</w:t>
      </w:r>
      <w:r>
        <w:t>, the police enforcement is allowed to review their decisions after the incident is over by using the national decision model whether the decision was effective or not. Overall, often decision-makers in policing are required to document their decisions in certain circumstances which is effectively advised by the statute and demanded by organisational strategies</w:t>
      </w:r>
      <w:r w:rsidR="002D6956">
        <w:t xml:space="preserve"> </w:t>
      </w:r>
      <w:r w:rsidR="002D6956" w:rsidRPr="002D6956">
        <w:rPr>
          <w:color w:val="FF0000"/>
        </w:rPr>
        <w:t>(</w:t>
      </w:r>
      <w:r w:rsidR="002D6956" w:rsidRPr="002D6956">
        <w:rPr>
          <w:color w:val="FF0000"/>
          <w:shd w:val="clear" w:color="auto" w:fill="FFFFFF"/>
        </w:rPr>
        <w:t>Finch and Fafinski, 2018)</w:t>
      </w:r>
      <w:r>
        <w:t xml:space="preserve">. </w:t>
      </w:r>
    </w:p>
    <w:p w14:paraId="00000006" w14:textId="350F3836" w:rsidR="003D06B5" w:rsidRDefault="00456A8E">
      <w:pPr>
        <w:pStyle w:val="Normal1"/>
      </w:pPr>
      <w:r>
        <w:t>Considering the incident of criminal offences and gang violence, PACE abbreviated the Police and Criminal Evidence Act 1984, governs a significant part of policing authority in terms of investigation. It includes detention, arrests, taking of samples, personal search and interrogation. However, this PACE act mainly focuses on balancing between the exercise of policing power and the authority of public members</w:t>
      </w:r>
      <w:sdt>
        <w:sdtPr>
          <w:id w:val="2116170030"/>
          <w:citation/>
        </w:sdtPr>
        <w:sdtContent>
          <w:r w:rsidR="003F18C2">
            <w:fldChar w:fldCharType="begin"/>
          </w:r>
          <w:r w:rsidR="003F18C2">
            <w:rPr>
              <w:lang w:val="en-US"/>
            </w:rPr>
            <w:instrText xml:space="preserve"> CITATION gov233 \l 1033 </w:instrText>
          </w:r>
          <w:r w:rsidR="003F18C2">
            <w:fldChar w:fldCharType="separate"/>
          </w:r>
          <w:r w:rsidR="003F18C2">
            <w:rPr>
              <w:noProof/>
              <w:lang w:val="en-US"/>
            </w:rPr>
            <w:t xml:space="preserve"> </w:t>
          </w:r>
          <w:r w:rsidR="003F18C2" w:rsidRPr="003F18C2">
            <w:rPr>
              <w:noProof/>
              <w:lang w:val="en-US"/>
            </w:rPr>
            <w:t>(gov.uk, 2023 )</w:t>
          </w:r>
          <w:r w:rsidR="003F18C2">
            <w:fldChar w:fldCharType="end"/>
          </w:r>
        </w:sdtContent>
      </w:sdt>
      <w:r>
        <w:t xml:space="preserve">. Besides that, it is recognised as an effective legislative framework that highlights all the aspects of police forces' power across England and Wales ensuring lawful and responsible power application. Under Section 1, police officers are allowed to stop and investigate individuals for robbed goods, drugs and armaments. However, those searches need to be based on reasonable suspicion and </w:t>
      </w:r>
      <w:r>
        <w:lastRenderedPageBreak/>
        <w:t xml:space="preserve">operated lawfully and ethically. Additionally, the act of PACE </w:t>
      </w:r>
      <w:r w:rsidR="003F18C2">
        <w:t xml:space="preserve"> and </w:t>
      </w:r>
      <w:r>
        <w:t>section 2 indicates certain circumstances where police forces have the authority to arrest individuals based on appropriate suspicion</w:t>
      </w:r>
      <w:r w:rsidR="003F18C2">
        <w:t xml:space="preserve"> (</w:t>
      </w:r>
      <w:r w:rsidR="003F18C2">
        <w:rPr>
          <w:shd w:val="clear" w:color="auto" w:fill="FFFFFF"/>
        </w:rPr>
        <w:t>Ekici et al., 2022)</w:t>
      </w:r>
      <w:r>
        <w:t>. The reason for arrest conduction must be clearly articulated to the suspicious individuals. Conversely, under the sections range from 37 to 56,  PACE acts direct the situation and detention time within the policing custody. This authority has been given to law enforcement officers to monitor all the detainees who have access to ethical depiction and are handled compassionately. Apart from that searches of premises fall under sections 8 to 18 where the Police and Criminal Enforcement Act provides necessary guidance. It indicates that all the searches need to be aligned with a responsible warrant or certain legal grounds</w:t>
      </w:r>
      <w:r w:rsidR="002F0AC7">
        <w:t xml:space="preserve"> (</w:t>
      </w:r>
      <w:r w:rsidR="002F0AC7">
        <w:rPr>
          <w:shd w:val="clear" w:color="auto" w:fill="FFFFFF"/>
        </w:rPr>
        <w:t>Mulaphong and Cheurprakobkit, 2024)</w:t>
      </w:r>
      <w:r>
        <w:t>. Those warrants are used to confirm search operations are handled ethically and this maintains the privacy value of suspected individuals. Ultimately, by developing a loyal and trustworthy relationship between police enforcement and local societies, justified policing practice can be obtained. The implementation of the PACE Act 1984 majorly supports the ethical principles of policing by consent ensuring fair and accountable treatment to the communities of the regions of the UK.</w:t>
      </w:r>
    </w:p>
    <w:p w14:paraId="00000007" w14:textId="5CDB7F06" w:rsidR="003D06B5" w:rsidRDefault="00456A8E">
      <w:pPr>
        <w:pStyle w:val="Normal1"/>
      </w:pPr>
      <w:r>
        <w:t>Within the 21st century world, human rights are significantly associated with standard professional policing strategies which ensure that enforcement values the rights, freedoms and dignity of human beings. This association is crucially required to manage community trust, loyalty and legality in convoy within the UK aspects</w:t>
      </w:r>
      <w:r w:rsidR="003F18C2">
        <w:t xml:space="preserve"> (</w:t>
      </w:r>
      <w:r w:rsidR="003F18C2">
        <w:rPr>
          <w:shd w:val="clear" w:color="auto" w:fill="FFFFFF"/>
        </w:rPr>
        <w:t>Bonner, 2022)</w:t>
      </w:r>
      <w:r>
        <w:t xml:space="preserve">. Certain examples define the acts of human rights in policing including Rights to Fair Treatment. It reflects that UK police officers need to handle all community people with equality and fairness without creating discrimination and expressing biased behaviours. For instance, during any protests, the law enforcement team needs to protect the rights of protestors while safeguarding the residents. Within the UK region, Extrinsic Rebellion Protests Policing actively participates in balancing protestors' rights with public order. Additionally, the Rights for Privacy incorporates the </w:t>
      </w:r>
      <w:r>
        <w:lastRenderedPageBreak/>
        <w:t>application of justified and lawful surveillance technology.  For example, the European Court of Human Rights has crucially ruled in the case of  Malone Vs. UK in 1984. This indicates that the UK government's communication blocking has dishonoured the rights of privacy of individuals. Which further leads to the positive transformation of surveillance conductions by policing forces. Overall by integrating human rights into regular police services, the enforcement authorities are able to ensure their ethical, accountable and respectful action towards individuals resulting in enhancing community trust</w:t>
      </w:r>
      <w:r w:rsidR="003F18C2">
        <w:t xml:space="preserve"> (</w:t>
      </w:r>
      <w:r w:rsidR="003F18C2">
        <w:rPr>
          <w:shd w:val="clear" w:color="auto" w:fill="FFFFFF"/>
        </w:rPr>
        <w:t>Joyce and Laverick, 2020)</w:t>
      </w:r>
      <w:r>
        <w:t xml:space="preserve">. </w:t>
      </w:r>
    </w:p>
    <w:p w14:paraId="00000008" w14:textId="77777777" w:rsidR="003D06B5" w:rsidRDefault="003D06B5">
      <w:pPr>
        <w:pStyle w:val="Normal1"/>
      </w:pPr>
    </w:p>
    <w:p w14:paraId="00000009" w14:textId="77777777" w:rsidR="003D06B5" w:rsidRDefault="00456A8E">
      <w:pPr>
        <w:pStyle w:val="Normal1"/>
      </w:pPr>
      <w:r>
        <w:br w:type="page"/>
      </w:r>
    </w:p>
    <w:p w14:paraId="0000000A" w14:textId="77777777" w:rsidR="003D06B5" w:rsidRDefault="00456A8E">
      <w:pPr>
        <w:pStyle w:val="Heading1"/>
      </w:pPr>
      <w:bookmarkStart w:id="1" w:name="_h9j33xc2tv4j" w:colFirst="0" w:colLast="0"/>
      <w:bookmarkEnd w:id="1"/>
      <w:r>
        <w:lastRenderedPageBreak/>
        <w:t>Conclusion</w:t>
      </w:r>
    </w:p>
    <w:p w14:paraId="0000000B" w14:textId="7CCA58E2" w:rsidR="002F0AC7" w:rsidRDefault="00456A8E">
      <w:pPr>
        <w:pStyle w:val="Normal1"/>
      </w:pPr>
      <w:r>
        <w:t>Policing forces by consent incorporates the regard that enforcement power is mainly derived from the collaboration of served societies and consent.</w:t>
      </w:r>
      <w:r w:rsidR="003F18C2">
        <w:t xml:space="preserve"> This fundamental component aims to reflect the significance of joint action between English law enforcement and community trust. </w:t>
      </w:r>
      <w:r>
        <w:t xml:space="preserve">This study has demonstrated the ways the National decision model, Pace Acts, helps policing forces build community trust by reducing the rate of crime within the UK  framework. Overall,  how human rights are aligned with enforcement actions has been also highlighted in this essay. </w:t>
      </w:r>
    </w:p>
    <w:p w14:paraId="53A27B40" w14:textId="77777777" w:rsidR="002F0AC7" w:rsidRDefault="002F0AC7">
      <w:r>
        <w:br w:type="page"/>
      </w:r>
    </w:p>
    <w:p w14:paraId="0DFD5B9F" w14:textId="41AC8346" w:rsidR="003D06B5" w:rsidRDefault="002F0AC7" w:rsidP="003F18C2">
      <w:pPr>
        <w:pStyle w:val="Heading1"/>
      </w:pPr>
      <w:r>
        <w:lastRenderedPageBreak/>
        <w:t xml:space="preserve">References </w:t>
      </w:r>
    </w:p>
    <w:p w14:paraId="583ABFFE" w14:textId="77777777" w:rsidR="002D6956" w:rsidRDefault="002D6956" w:rsidP="003F18C2">
      <w:r>
        <w:t xml:space="preserve">Allison, G., (2024). </w:t>
      </w:r>
      <w:r w:rsidRPr="003F18C2">
        <w:rPr>
          <w:i/>
          <w:iCs/>
        </w:rPr>
        <w:t>Britain has full operational control over Trident</w:t>
      </w:r>
      <w:r>
        <w:t>. [Online] Available at: https://ukdefencejournal.org.uk/britain-has-full-operational-control-over-trident/ [Accessed 18 June 2024].</w:t>
      </w:r>
    </w:p>
    <w:p w14:paraId="60E45CFF" w14:textId="77777777" w:rsidR="002D6956" w:rsidRPr="003F18C2" w:rsidRDefault="002D6956" w:rsidP="003F18C2">
      <w:pPr>
        <w:rPr>
          <w:shd w:val="clear" w:color="auto" w:fill="FFFFFF"/>
        </w:rPr>
      </w:pPr>
      <w:r w:rsidRPr="003F18C2">
        <w:rPr>
          <w:shd w:val="clear" w:color="auto" w:fill="FFFFFF"/>
        </w:rPr>
        <w:t>Beck, B., Antonelli, J. and Piñeros, G., (2022). Effects of New York City’s neighborhood policing policy. </w:t>
      </w:r>
      <w:r w:rsidRPr="003F18C2">
        <w:rPr>
          <w:i/>
          <w:iCs/>
          <w:shd w:val="clear" w:color="auto" w:fill="FFFFFF"/>
        </w:rPr>
        <w:t>Police Quarterly</w:t>
      </w:r>
      <w:r w:rsidRPr="003F18C2">
        <w:rPr>
          <w:shd w:val="clear" w:color="auto" w:fill="FFFFFF"/>
        </w:rPr>
        <w:t>, </w:t>
      </w:r>
      <w:r w:rsidRPr="003F18C2">
        <w:rPr>
          <w:i/>
          <w:iCs/>
          <w:shd w:val="clear" w:color="auto" w:fill="FFFFFF"/>
        </w:rPr>
        <w:t>25</w:t>
      </w:r>
      <w:r w:rsidRPr="003F18C2">
        <w:rPr>
          <w:shd w:val="clear" w:color="auto" w:fill="FFFFFF"/>
        </w:rPr>
        <w:t>(4), pp.470-496.</w:t>
      </w:r>
    </w:p>
    <w:p w14:paraId="33D087CA" w14:textId="77777777" w:rsidR="002D6956" w:rsidRPr="003F18C2" w:rsidRDefault="002D6956" w:rsidP="003F18C2">
      <w:pPr>
        <w:rPr>
          <w:shd w:val="clear" w:color="auto" w:fill="FFFFFF"/>
        </w:rPr>
      </w:pPr>
      <w:r w:rsidRPr="003F18C2">
        <w:rPr>
          <w:shd w:val="clear" w:color="auto" w:fill="FFFFFF"/>
        </w:rPr>
        <w:t>Bonner, M.D., (2020). What democratic policing is… and is not. </w:t>
      </w:r>
      <w:r w:rsidRPr="003F18C2">
        <w:rPr>
          <w:i/>
          <w:iCs/>
          <w:shd w:val="clear" w:color="auto" w:fill="FFFFFF"/>
        </w:rPr>
        <w:t>Policing and society</w:t>
      </w:r>
      <w:r w:rsidRPr="003F18C2">
        <w:rPr>
          <w:shd w:val="clear" w:color="auto" w:fill="FFFFFF"/>
        </w:rPr>
        <w:t>, </w:t>
      </w:r>
      <w:r w:rsidRPr="003F18C2">
        <w:rPr>
          <w:i/>
          <w:iCs/>
          <w:shd w:val="clear" w:color="auto" w:fill="FFFFFF"/>
        </w:rPr>
        <w:t>30</w:t>
      </w:r>
      <w:r w:rsidRPr="003F18C2">
        <w:rPr>
          <w:shd w:val="clear" w:color="auto" w:fill="FFFFFF"/>
        </w:rPr>
        <w:t>(9), pp.1044-1060.</w:t>
      </w:r>
    </w:p>
    <w:p w14:paraId="61F63276" w14:textId="77777777" w:rsidR="002D6956" w:rsidRDefault="002D6956" w:rsidP="003F18C2">
      <w:r w:rsidRPr="003F18C2">
        <w:rPr>
          <w:shd w:val="clear" w:color="auto" w:fill="FFFFFF"/>
        </w:rPr>
        <w:t>Ekici, N., Akdogan, H., Kelly, R. and Gultekin, S., (2022). A meta-analysis of the impact of community policing on crime reduction. </w:t>
      </w:r>
      <w:r w:rsidRPr="003F18C2">
        <w:rPr>
          <w:i/>
          <w:iCs/>
          <w:shd w:val="clear" w:color="auto" w:fill="FFFFFF"/>
        </w:rPr>
        <w:t>Journal of Community Safety &amp; Well-Being</w:t>
      </w:r>
      <w:r w:rsidRPr="003F18C2">
        <w:rPr>
          <w:shd w:val="clear" w:color="auto" w:fill="FFFFFF"/>
        </w:rPr>
        <w:t>, </w:t>
      </w:r>
      <w:r w:rsidRPr="003F18C2">
        <w:rPr>
          <w:i/>
          <w:iCs/>
          <w:shd w:val="clear" w:color="auto" w:fill="FFFFFF"/>
        </w:rPr>
        <w:t>7</w:t>
      </w:r>
      <w:r w:rsidRPr="003F18C2">
        <w:rPr>
          <w:shd w:val="clear" w:color="auto" w:fill="FFFFFF"/>
        </w:rPr>
        <w:t>(3).</w:t>
      </w:r>
    </w:p>
    <w:p w14:paraId="3CFAD027" w14:textId="77777777" w:rsidR="002D6956" w:rsidRPr="002D6956" w:rsidRDefault="002D6956" w:rsidP="002D6956">
      <w:pPr>
        <w:rPr>
          <w:color w:val="FF0000"/>
        </w:rPr>
      </w:pPr>
      <w:r w:rsidRPr="002D6956">
        <w:rPr>
          <w:color w:val="FF0000"/>
          <w:shd w:val="clear" w:color="auto" w:fill="FFFFFF"/>
        </w:rPr>
        <w:t>Elliott, C. and Quinn, F., (2008). </w:t>
      </w:r>
      <w:r w:rsidRPr="002D6956">
        <w:rPr>
          <w:i/>
          <w:iCs/>
          <w:color w:val="FF0000"/>
          <w:shd w:val="clear" w:color="auto" w:fill="FFFFFF"/>
        </w:rPr>
        <w:t>Criminal law</w:t>
      </w:r>
      <w:r w:rsidRPr="002D6956">
        <w:rPr>
          <w:color w:val="FF0000"/>
          <w:shd w:val="clear" w:color="auto" w:fill="FFFFFF"/>
        </w:rPr>
        <w:t>. Pearson Education.</w:t>
      </w:r>
    </w:p>
    <w:p w14:paraId="7D104899" w14:textId="77777777" w:rsidR="002D6956" w:rsidRPr="002D6956" w:rsidRDefault="002D6956" w:rsidP="002D6956">
      <w:pPr>
        <w:rPr>
          <w:color w:val="FF0000"/>
          <w:shd w:val="clear" w:color="auto" w:fill="FFFFFF"/>
        </w:rPr>
      </w:pPr>
      <w:r w:rsidRPr="002D6956">
        <w:rPr>
          <w:color w:val="FF0000"/>
          <w:shd w:val="clear" w:color="auto" w:fill="FFFFFF"/>
        </w:rPr>
        <w:t>Finch, E. and Fafinski, S., (2018). </w:t>
      </w:r>
      <w:r w:rsidRPr="002D6956">
        <w:rPr>
          <w:i/>
          <w:iCs/>
          <w:color w:val="FF0000"/>
          <w:shd w:val="clear" w:color="auto" w:fill="FFFFFF"/>
        </w:rPr>
        <w:t>Law Express: Criminal Law</w:t>
      </w:r>
      <w:r w:rsidRPr="002D6956">
        <w:rPr>
          <w:color w:val="FF0000"/>
          <w:shd w:val="clear" w:color="auto" w:fill="FFFFFF"/>
        </w:rPr>
        <w:t>. Pearson UK.</w:t>
      </w:r>
    </w:p>
    <w:p w14:paraId="74BE0D04" w14:textId="77777777" w:rsidR="002D6956" w:rsidRDefault="002D6956" w:rsidP="003F18C2">
      <w:r>
        <w:t xml:space="preserve">gov.uk, (2023). </w:t>
      </w:r>
      <w:r w:rsidRPr="003F18C2">
        <w:rPr>
          <w:i/>
          <w:iCs/>
        </w:rPr>
        <w:t>Police and Criminal Evidence Act 1984.</w:t>
      </w:r>
      <w:r>
        <w:t xml:space="preserve"> [Online] Available at: https://www.gov.uk/guidance/police-and-criminal-evidence-act-1984-pace-codes-of-practice [Accessed 18 June 2024].</w:t>
      </w:r>
    </w:p>
    <w:p w14:paraId="3A0640F9" w14:textId="77777777" w:rsidR="002D6956" w:rsidRDefault="002D6956" w:rsidP="003F18C2">
      <w:r>
        <w:t xml:space="preserve">joiningthepolice, (2024). </w:t>
      </w:r>
      <w:r w:rsidRPr="003F18C2">
        <w:rPr>
          <w:i/>
          <w:iCs/>
        </w:rPr>
        <w:t>NEIGHBOURHOOD POLICING.</w:t>
      </w:r>
      <w:r>
        <w:t xml:space="preserve"> [Online] Available at: https://www.joiningthepolice.co.uk/training-progression/career-progression/role-spotlights/neighbourhood-policing [Accessed 18 June 2024].</w:t>
      </w:r>
    </w:p>
    <w:p w14:paraId="1CF7674D" w14:textId="77777777" w:rsidR="002D6956" w:rsidRPr="003F18C2" w:rsidRDefault="002D6956" w:rsidP="003F18C2">
      <w:pPr>
        <w:rPr>
          <w:shd w:val="clear" w:color="auto" w:fill="FFFFFF"/>
        </w:rPr>
      </w:pPr>
      <w:r w:rsidRPr="003F18C2">
        <w:rPr>
          <w:shd w:val="clear" w:color="auto" w:fill="FFFFFF"/>
        </w:rPr>
        <w:t>Joyce, P. and Laverick, W., (2021). </w:t>
      </w:r>
      <w:r w:rsidRPr="003F18C2">
        <w:rPr>
          <w:i/>
          <w:iCs/>
          <w:shd w:val="clear" w:color="auto" w:fill="FFFFFF"/>
        </w:rPr>
        <w:t>Policing: Development and contemporary practice</w:t>
      </w:r>
      <w:r w:rsidRPr="003F18C2">
        <w:rPr>
          <w:shd w:val="clear" w:color="auto" w:fill="FFFFFF"/>
        </w:rPr>
        <w:t>. Sage.</w:t>
      </w:r>
    </w:p>
    <w:p w14:paraId="5A42BC74" w14:textId="77777777" w:rsidR="002D6956" w:rsidRDefault="002D6956" w:rsidP="003F18C2">
      <w:r>
        <w:t xml:space="preserve">justiceinspectorates.gov.uk, (2023). </w:t>
      </w:r>
      <w:r w:rsidRPr="003F18C2">
        <w:rPr>
          <w:i/>
          <w:iCs/>
        </w:rPr>
        <w:t>National decision model (NDM).</w:t>
      </w:r>
      <w:r>
        <w:t xml:space="preserve"> [Online] Available at: https://hmicfrs.justiceinspectorates.gov.uk/glossary/national-decision-model/ [Accessed 18 June 2024].</w:t>
      </w:r>
    </w:p>
    <w:p w14:paraId="4D4492EB" w14:textId="77777777" w:rsidR="002D6956" w:rsidRDefault="002D6956" w:rsidP="003F18C2">
      <w:r>
        <w:t xml:space="preserve">met.police.uk, (2024). </w:t>
      </w:r>
      <w:r w:rsidRPr="003F18C2">
        <w:rPr>
          <w:i/>
          <w:iCs/>
        </w:rPr>
        <w:t>Advice and information Watch schemes and initiatives.</w:t>
      </w:r>
      <w:r>
        <w:t xml:space="preserve"> [Online] Available at: https://www.met.police.uk/advice/advice-and-information/wsi/watch-schemes-initiatives/neighbourhood-watch/ [Accessed 18 June 2024].</w:t>
      </w:r>
    </w:p>
    <w:p w14:paraId="5AC526F9" w14:textId="77777777" w:rsidR="002D6956" w:rsidRDefault="002D6956" w:rsidP="003F18C2">
      <w:r>
        <w:lastRenderedPageBreak/>
        <w:t xml:space="preserve">met.police.uk, (2024). </w:t>
      </w:r>
      <w:r w:rsidRPr="003F18C2">
        <w:rPr>
          <w:i/>
          <w:iCs/>
        </w:rPr>
        <w:t>Project Servator</w:t>
      </w:r>
      <w:r>
        <w:t>. [Online] Available at: https://www.met.police.uk/projectservator [Accessed 18 June 2024].</w:t>
      </w:r>
    </w:p>
    <w:p w14:paraId="587503FC" w14:textId="77777777" w:rsidR="002D6956" w:rsidRPr="003F18C2" w:rsidRDefault="002D6956" w:rsidP="003F18C2">
      <w:pPr>
        <w:rPr>
          <w:shd w:val="clear" w:color="auto" w:fill="FFFFFF"/>
        </w:rPr>
      </w:pPr>
      <w:r w:rsidRPr="003F18C2">
        <w:rPr>
          <w:shd w:val="clear" w:color="auto" w:fill="FFFFFF"/>
        </w:rPr>
        <w:t>Mulaphong, D. and Cheurprakobkit, S., (2024). Does Police Stop and Search Make Everyone Feel Safe? Evidence From the United States. </w:t>
      </w:r>
      <w:r w:rsidRPr="003F18C2">
        <w:rPr>
          <w:i/>
          <w:iCs/>
          <w:shd w:val="clear" w:color="auto" w:fill="FFFFFF"/>
        </w:rPr>
        <w:t>Race and Justice</w:t>
      </w:r>
      <w:r w:rsidRPr="003F18C2">
        <w:rPr>
          <w:shd w:val="clear" w:color="auto" w:fill="FFFFFF"/>
        </w:rPr>
        <w:t>, </w:t>
      </w:r>
      <w:r w:rsidRPr="003F18C2">
        <w:rPr>
          <w:i/>
          <w:iCs/>
          <w:shd w:val="clear" w:color="auto" w:fill="FFFFFF"/>
        </w:rPr>
        <w:t>14</w:t>
      </w:r>
      <w:r w:rsidRPr="003F18C2">
        <w:rPr>
          <w:shd w:val="clear" w:color="auto" w:fill="FFFFFF"/>
        </w:rPr>
        <w:t>(1), pp.7-31.</w:t>
      </w:r>
    </w:p>
    <w:p w14:paraId="1C26B91C" w14:textId="77777777" w:rsidR="002D6956" w:rsidRDefault="002D6956" w:rsidP="003F18C2">
      <w:r>
        <w:t xml:space="preserve">psni.police.uk, (2022). </w:t>
      </w:r>
      <w:r w:rsidRPr="003F18C2">
        <w:rPr>
          <w:i/>
          <w:iCs/>
        </w:rPr>
        <w:t>PSNI Manual of Policy, Procedure and Guidance on Conflict Management.</w:t>
      </w:r>
      <w:r>
        <w:t xml:space="preserve"> [Online] Available at: https://www.psni.police.uk/sites/default/files/2022-09/Introduction.pdf [Accessed 18 June 2024].</w:t>
      </w:r>
    </w:p>
    <w:p w14:paraId="1498237E" w14:textId="77777777" w:rsidR="002D6956" w:rsidRDefault="002D6956" w:rsidP="003F18C2">
      <w:r>
        <w:t xml:space="preserve">Watts, D., (2024). </w:t>
      </w:r>
      <w:r w:rsidRPr="003F18C2">
        <w:rPr>
          <w:i/>
          <w:iCs/>
        </w:rPr>
        <w:t>What is Policing by Consent ?.</w:t>
      </w:r>
      <w:r>
        <w:t xml:space="preserve"> [Online] Available at: https://ministryofinjustice.co.uk/what-is-policing-by-consent/ [Accessed 18 June 2024].</w:t>
      </w:r>
    </w:p>
    <w:sectPr w:rsidR="002D6956">
      <w:headerReference w:type="default" r:id="rId8"/>
      <w:footerReference w:type="default" r:id="rId9"/>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1A4DE2" w14:textId="77777777" w:rsidR="00286616" w:rsidRDefault="00286616">
      <w:pPr>
        <w:spacing w:line="240" w:lineRule="auto"/>
      </w:pPr>
      <w:r>
        <w:separator/>
      </w:r>
    </w:p>
  </w:endnote>
  <w:endnote w:type="continuationSeparator" w:id="0">
    <w:p w14:paraId="0AF91718" w14:textId="77777777" w:rsidR="00286616" w:rsidRDefault="002866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894619395"/>
      <w:docPartObj>
        <w:docPartGallery w:val="Page Numbers (Bottom of Page)"/>
        <w:docPartUnique/>
      </w:docPartObj>
    </w:sdtPr>
    <w:sdtContent>
      <w:sdt>
        <w:sdtPr>
          <w:rPr>
            <w:b/>
            <w:bCs/>
          </w:rPr>
          <w:id w:val="-1769616900"/>
          <w:docPartObj>
            <w:docPartGallery w:val="Page Numbers (Top of Page)"/>
            <w:docPartUnique/>
          </w:docPartObj>
        </w:sdtPr>
        <w:sdtContent>
          <w:p w14:paraId="7F6AA48A" w14:textId="179133A6" w:rsidR="003F18C2" w:rsidRPr="00B97145" w:rsidRDefault="003F18C2">
            <w:pPr>
              <w:pStyle w:val="Footer"/>
              <w:jc w:val="right"/>
              <w:rPr>
                <w:b/>
                <w:bCs/>
              </w:rPr>
            </w:pPr>
            <w:r w:rsidRPr="00B97145">
              <w:rPr>
                <w:b/>
                <w:bCs/>
              </w:rPr>
              <w:t xml:space="preserve">Page </w:t>
            </w:r>
            <w:r w:rsidRPr="00B97145">
              <w:rPr>
                <w:b/>
                <w:bCs/>
              </w:rPr>
              <w:fldChar w:fldCharType="begin"/>
            </w:r>
            <w:r w:rsidRPr="00B97145">
              <w:rPr>
                <w:b/>
                <w:bCs/>
              </w:rPr>
              <w:instrText xml:space="preserve"> PAGE </w:instrText>
            </w:r>
            <w:r w:rsidRPr="00B97145">
              <w:rPr>
                <w:b/>
                <w:bCs/>
              </w:rPr>
              <w:fldChar w:fldCharType="separate"/>
            </w:r>
            <w:r w:rsidRPr="00B97145">
              <w:rPr>
                <w:b/>
                <w:bCs/>
                <w:noProof/>
              </w:rPr>
              <w:t>2</w:t>
            </w:r>
            <w:r w:rsidRPr="00B97145">
              <w:rPr>
                <w:b/>
                <w:bCs/>
              </w:rPr>
              <w:fldChar w:fldCharType="end"/>
            </w:r>
            <w:r w:rsidRPr="00B97145">
              <w:rPr>
                <w:b/>
                <w:bCs/>
              </w:rPr>
              <w:t xml:space="preserve"> of </w:t>
            </w:r>
            <w:r w:rsidRPr="00B97145">
              <w:rPr>
                <w:b/>
                <w:bCs/>
              </w:rPr>
              <w:fldChar w:fldCharType="begin"/>
            </w:r>
            <w:r w:rsidRPr="00B97145">
              <w:rPr>
                <w:b/>
                <w:bCs/>
              </w:rPr>
              <w:instrText xml:space="preserve"> NUMPAGES  </w:instrText>
            </w:r>
            <w:r w:rsidRPr="00B97145">
              <w:rPr>
                <w:b/>
                <w:bCs/>
              </w:rPr>
              <w:fldChar w:fldCharType="separate"/>
            </w:r>
            <w:r w:rsidRPr="00B97145">
              <w:rPr>
                <w:b/>
                <w:bCs/>
                <w:noProof/>
              </w:rPr>
              <w:t>2</w:t>
            </w:r>
            <w:r w:rsidRPr="00B97145">
              <w:rPr>
                <w:b/>
                <w:bCs/>
              </w:rPr>
              <w:fldChar w:fldCharType="end"/>
            </w:r>
          </w:p>
        </w:sdtContent>
      </w:sdt>
    </w:sdtContent>
  </w:sdt>
  <w:p w14:paraId="41295AE4" w14:textId="77777777" w:rsidR="003F18C2" w:rsidRDefault="003F1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39D54" w14:textId="77777777" w:rsidR="00286616" w:rsidRDefault="00286616">
      <w:pPr>
        <w:spacing w:line="240" w:lineRule="auto"/>
      </w:pPr>
      <w:r>
        <w:separator/>
      </w:r>
    </w:p>
  </w:footnote>
  <w:footnote w:type="continuationSeparator" w:id="0">
    <w:p w14:paraId="50620102" w14:textId="77777777" w:rsidR="00286616" w:rsidRDefault="002866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0D" w14:textId="77777777" w:rsidR="003D06B5" w:rsidRDefault="00456A8E">
    <w:pPr>
      <w:pStyle w:val="Normal1"/>
      <w:jc w:val="right"/>
      <w:rPr>
        <w:b/>
      </w:rPr>
    </w:pPr>
    <w:r>
      <w:rPr>
        <w:b/>
      </w:rPr>
      <w:t xml:space="preserve">Preparing for Professional Police Practice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4D77BB"/>
    <w:multiLevelType w:val="hybridMultilevel"/>
    <w:tmpl w:val="23F613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8926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6B5"/>
    <w:rsid w:val="0002650A"/>
    <w:rsid w:val="0005197F"/>
    <w:rsid w:val="000A0F92"/>
    <w:rsid w:val="0016041E"/>
    <w:rsid w:val="00286616"/>
    <w:rsid w:val="002D6956"/>
    <w:rsid w:val="002F0AC7"/>
    <w:rsid w:val="003D06B5"/>
    <w:rsid w:val="003F18C2"/>
    <w:rsid w:val="00456A8E"/>
    <w:rsid w:val="00465D86"/>
    <w:rsid w:val="00502AE6"/>
    <w:rsid w:val="005328BC"/>
    <w:rsid w:val="007A6B91"/>
    <w:rsid w:val="00832434"/>
    <w:rsid w:val="00A755CA"/>
    <w:rsid w:val="00AB1AE7"/>
    <w:rsid w:val="00B81F9F"/>
    <w:rsid w:val="00B97145"/>
    <w:rsid w:val="00D870B3"/>
    <w:rsid w:val="00F35159"/>
    <w:rsid w:val="00FA2F39"/>
    <w:rsid w:val="00FB2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5F2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00" w:after="120"/>
    </w:pPr>
    <w:rPr>
      <w:b/>
      <w:sz w:val="28"/>
      <w:szCs w:val="28"/>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3F18C2"/>
    <w:rPr>
      <w:b/>
      <w:sz w:val="28"/>
      <w:szCs w:val="28"/>
    </w:rPr>
  </w:style>
  <w:style w:type="paragraph" w:styleId="Bibliography">
    <w:name w:val="Bibliography"/>
    <w:basedOn w:val="Normal"/>
    <w:next w:val="Normal"/>
    <w:uiPriority w:val="37"/>
    <w:unhideWhenUsed/>
    <w:rsid w:val="003F18C2"/>
  </w:style>
  <w:style w:type="character" w:styleId="Hyperlink">
    <w:name w:val="Hyperlink"/>
    <w:basedOn w:val="DefaultParagraphFont"/>
    <w:uiPriority w:val="99"/>
    <w:unhideWhenUsed/>
    <w:rsid w:val="003F18C2"/>
    <w:rPr>
      <w:color w:val="0000FF" w:themeColor="hyperlink"/>
      <w:u w:val="single"/>
    </w:rPr>
  </w:style>
  <w:style w:type="character" w:styleId="UnresolvedMention">
    <w:name w:val="Unresolved Mention"/>
    <w:basedOn w:val="DefaultParagraphFont"/>
    <w:uiPriority w:val="99"/>
    <w:semiHidden/>
    <w:unhideWhenUsed/>
    <w:rsid w:val="003F18C2"/>
    <w:rPr>
      <w:color w:val="605E5C"/>
      <w:shd w:val="clear" w:color="auto" w:fill="E1DFDD"/>
    </w:rPr>
  </w:style>
  <w:style w:type="paragraph" w:styleId="ListParagraph">
    <w:name w:val="List Paragraph"/>
    <w:basedOn w:val="Normal"/>
    <w:uiPriority w:val="34"/>
    <w:qFormat/>
    <w:rsid w:val="003F18C2"/>
    <w:pPr>
      <w:ind w:left="720"/>
      <w:contextualSpacing/>
    </w:pPr>
  </w:style>
  <w:style w:type="paragraph" w:styleId="Header">
    <w:name w:val="header"/>
    <w:basedOn w:val="Normal"/>
    <w:link w:val="HeaderChar"/>
    <w:uiPriority w:val="99"/>
    <w:unhideWhenUsed/>
    <w:rsid w:val="003F18C2"/>
    <w:pPr>
      <w:tabs>
        <w:tab w:val="center" w:pos="4680"/>
        <w:tab w:val="right" w:pos="9360"/>
      </w:tabs>
      <w:spacing w:line="240" w:lineRule="auto"/>
    </w:pPr>
  </w:style>
  <w:style w:type="character" w:customStyle="1" w:styleId="HeaderChar">
    <w:name w:val="Header Char"/>
    <w:basedOn w:val="DefaultParagraphFont"/>
    <w:link w:val="Header"/>
    <w:uiPriority w:val="99"/>
    <w:rsid w:val="003F18C2"/>
  </w:style>
  <w:style w:type="paragraph" w:styleId="Footer">
    <w:name w:val="footer"/>
    <w:basedOn w:val="Normal"/>
    <w:link w:val="FooterChar"/>
    <w:uiPriority w:val="99"/>
    <w:unhideWhenUsed/>
    <w:rsid w:val="003F18C2"/>
    <w:pPr>
      <w:tabs>
        <w:tab w:val="center" w:pos="4680"/>
        <w:tab w:val="right" w:pos="9360"/>
      </w:tabs>
      <w:spacing w:line="240" w:lineRule="auto"/>
    </w:pPr>
  </w:style>
  <w:style w:type="character" w:customStyle="1" w:styleId="FooterChar">
    <w:name w:val="Footer Char"/>
    <w:basedOn w:val="DefaultParagraphFont"/>
    <w:link w:val="Footer"/>
    <w:uiPriority w:val="99"/>
    <w:rsid w:val="003F1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773747">
      <w:bodyDiv w:val="1"/>
      <w:marLeft w:val="0"/>
      <w:marRight w:val="0"/>
      <w:marTop w:val="0"/>
      <w:marBottom w:val="0"/>
      <w:divBdr>
        <w:top w:val="none" w:sz="0" w:space="0" w:color="auto"/>
        <w:left w:val="none" w:sz="0" w:space="0" w:color="auto"/>
        <w:bottom w:val="none" w:sz="0" w:space="0" w:color="auto"/>
        <w:right w:val="none" w:sz="0" w:space="0" w:color="auto"/>
      </w:divBdr>
    </w:div>
    <w:div w:id="784034652">
      <w:bodyDiv w:val="1"/>
      <w:marLeft w:val="0"/>
      <w:marRight w:val="0"/>
      <w:marTop w:val="0"/>
      <w:marBottom w:val="0"/>
      <w:divBdr>
        <w:top w:val="none" w:sz="0" w:space="0" w:color="auto"/>
        <w:left w:val="none" w:sz="0" w:space="0" w:color="auto"/>
        <w:bottom w:val="none" w:sz="0" w:space="0" w:color="auto"/>
        <w:right w:val="none" w:sz="0" w:space="0" w:color="auto"/>
      </w:divBdr>
    </w:div>
    <w:div w:id="816381975">
      <w:bodyDiv w:val="1"/>
      <w:marLeft w:val="0"/>
      <w:marRight w:val="0"/>
      <w:marTop w:val="0"/>
      <w:marBottom w:val="0"/>
      <w:divBdr>
        <w:top w:val="none" w:sz="0" w:space="0" w:color="auto"/>
        <w:left w:val="none" w:sz="0" w:space="0" w:color="auto"/>
        <w:bottom w:val="none" w:sz="0" w:space="0" w:color="auto"/>
        <w:right w:val="none" w:sz="0" w:space="0" w:color="auto"/>
      </w:divBdr>
    </w:div>
    <w:div w:id="829831326">
      <w:bodyDiv w:val="1"/>
      <w:marLeft w:val="0"/>
      <w:marRight w:val="0"/>
      <w:marTop w:val="0"/>
      <w:marBottom w:val="0"/>
      <w:divBdr>
        <w:top w:val="none" w:sz="0" w:space="0" w:color="auto"/>
        <w:left w:val="none" w:sz="0" w:space="0" w:color="auto"/>
        <w:bottom w:val="none" w:sz="0" w:space="0" w:color="auto"/>
        <w:right w:val="none" w:sz="0" w:space="0" w:color="auto"/>
      </w:divBdr>
    </w:div>
    <w:div w:id="900748049">
      <w:bodyDiv w:val="1"/>
      <w:marLeft w:val="0"/>
      <w:marRight w:val="0"/>
      <w:marTop w:val="0"/>
      <w:marBottom w:val="0"/>
      <w:divBdr>
        <w:top w:val="none" w:sz="0" w:space="0" w:color="auto"/>
        <w:left w:val="none" w:sz="0" w:space="0" w:color="auto"/>
        <w:bottom w:val="none" w:sz="0" w:space="0" w:color="auto"/>
        <w:right w:val="none" w:sz="0" w:space="0" w:color="auto"/>
      </w:divBdr>
    </w:div>
    <w:div w:id="1080635385">
      <w:bodyDiv w:val="1"/>
      <w:marLeft w:val="0"/>
      <w:marRight w:val="0"/>
      <w:marTop w:val="0"/>
      <w:marBottom w:val="0"/>
      <w:divBdr>
        <w:top w:val="none" w:sz="0" w:space="0" w:color="auto"/>
        <w:left w:val="none" w:sz="0" w:space="0" w:color="auto"/>
        <w:bottom w:val="none" w:sz="0" w:space="0" w:color="auto"/>
        <w:right w:val="none" w:sz="0" w:space="0" w:color="auto"/>
      </w:divBdr>
    </w:div>
    <w:div w:id="1382752842">
      <w:bodyDiv w:val="1"/>
      <w:marLeft w:val="0"/>
      <w:marRight w:val="0"/>
      <w:marTop w:val="0"/>
      <w:marBottom w:val="0"/>
      <w:divBdr>
        <w:top w:val="none" w:sz="0" w:space="0" w:color="auto"/>
        <w:left w:val="none" w:sz="0" w:space="0" w:color="auto"/>
        <w:bottom w:val="none" w:sz="0" w:space="0" w:color="auto"/>
        <w:right w:val="none" w:sz="0" w:space="0" w:color="auto"/>
      </w:divBdr>
    </w:div>
    <w:div w:id="1749577122">
      <w:bodyDiv w:val="1"/>
      <w:marLeft w:val="0"/>
      <w:marRight w:val="0"/>
      <w:marTop w:val="0"/>
      <w:marBottom w:val="0"/>
      <w:divBdr>
        <w:top w:val="none" w:sz="0" w:space="0" w:color="auto"/>
        <w:left w:val="none" w:sz="0" w:space="0" w:color="auto"/>
        <w:bottom w:val="none" w:sz="0" w:space="0" w:color="auto"/>
        <w:right w:val="none" w:sz="0" w:space="0" w:color="auto"/>
      </w:divBdr>
    </w:div>
    <w:div w:id="1892299728">
      <w:bodyDiv w:val="1"/>
      <w:marLeft w:val="0"/>
      <w:marRight w:val="0"/>
      <w:marTop w:val="0"/>
      <w:marBottom w:val="0"/>
      <w:divBdr>
        <w:top w:val="none" w:sz="0" w:space="0" w:color="auto"/>
        <w:left w:val="none" w:sz="0" w:space="0" w:color="auto"/>
        <w:bottom w:val="none" w:sz="0" w:space="0" w:color="auto"/>
        <w:right w:val="none" w:sz="0" w:space="0" w:color="auto"/>
      </w:divBdr>
    </w:div>
    <w:div w:id="1928078288">
      <w:bodyDiv w:val="1"/>
      <w:marLeft w:val="0"/>
      <w:marRight w:val="0"/>
      <w:marTop w:val="0"/>
      <w:marBottom w:val="0"/>
      <w:divBdr>
        <w:top w:val="none" w:sz="0" w:space="0" w:color="auto"/>
        <w:left w:val="none" w:sz="0" w:space="0" w:color="auto"/>
        <w:bottom w:val="none" w:sz="0" w:space="0" w:color="auto"/>
        <w:right w:val="none" w:sz="0" w:space="0" w:color="auto"/>
      </w:divBdr>
    </w:div>
    <w:div w:id="20193053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Dom24</b:Tag>
    <b:SourceType>InternetSite</b:SourceType>
    <b:Guid>{0613D33E-3B26-4E3A-B6E0-BC5E0CC07FD3}</b:Guid>
    <b:Author>
      <b:Author>
        <b:NameList>
          <b:Person>
            <b:Last>Watts</b:Last>
            <b:First>Dom</b:First>
          </b:Person>
        </b:NameList>
      </b:Author>
    </b:Author>
    <b:Title>What is Policing by Consent ?</b:Title>
    <b:Year>2024</b:Year>
    <b:YearAccessed>2024</b:YearAccessed>
    <b:MonthAccessed>June</b:MonthAccessed>
    <b:DayAccessed>18</b:DayAccessed>
    <b:URL>https://ministryofinjustice.co.uk/what-is-policing-by-consent/</b:URL>
    <b:RefOrder>1</b:RefOrder>
  </b:Source>
  <b:Source>
    <b:Tag>Geo242</b:Tag>
    <b:SourceType>InternetSite</b:SourceType>
    <b:Guid>{B09157E0-DD7D-41F8-84FE-BD780A9A428E}</b:Guid>
    <b:Author>
      <b:Author>
        <b:NameList>
          <b:Person>
            <b:Last>Allison</b:Last>
            <b:First>George</b:First>
          </b:Person>
        </b:NameList>
      </b:Author>
    </b:Author>
    <b:Title>Britain has full operational control over Trident</b:Title>
    <b:Year>2024</b:Year>
    <b:YearAccessed>2024</b:YearAccessed>
    <b:MonthAccessed>June</b:MonthAccessed>
    <b:DayAccessed>18</b:DayAccessed>
    <b:URL>https://ukdefencejournal.org.uk/britain-has-full-operational-control-over-trident/</b:URL>
    <b:RefOrder>2</b:RefOrder>
  </b:Source>
  <b:Source>
    <b:Tag>joi24</b:Tag>
    <b:SourceType>InternetSite</b:SourceType>
    <b:Guid>{FD4F2EE4-1D8E-4DE3-965F-531712A3D501}</b:Guid>
    <b:Author>
      <b:Author>
        <b:Corporate>joiningthepolice</b:Corporate>
      </b:Author>
    </b:Author>
    <b:Title>NEIGHBOURHOOD POLICING</b:Title>
    <b:Year>2024</b:Year>
    <b:YearAccessed>2024</b:YearAccessed>
    <b:MonthAccessed>June</b:MonthAccessed>
    <b:DayAccessed>18</b:DayAccessed>
    <b:URL>https://www.joiningthepolice.co.uk/training-progression/career-progression/role-spotlights/neighbourhood-policing</b:URL>
    <b:RefOrder>3</b:RefOrder>
  </b:Source>
  <b:Source>
    <b:Tag>met24</b:Tag>
    <b:SourceType>InternetSite</b:SourceType>
    <b:Guid>{BCF3FBCC-8E82-4A31-AFC7-E474853BA3DC}</b:Guid>
    <b:Author>
      <b:Author>
        <b:Corporate>met.police.uk</b:Corporate>
      </b:Author>
    </b:Author>
    <b:Title> Advice and information Watch schemes and initiatives</b:Title>
    <b:Year>2024</b:Year>
    <b:YearAccessed>2024</b:YearAccessed>
    <b:MonthAccessed>June</b:MonthAccessed>
    <b:DayAccessed>18</b:DayAccessed>
    <b:URL>https://www.met.police.uk/advice/advice-and-information/wsi/watch-schemes-initiatives/neighbourhood-watch/</b:URL>
    <b:RefOrder>5</b:RefOrder>
  </b:Source>
  <b:Source>
    <b:Tag>met241</b:Tag>
    <b:SourceType>InternetSite</b:SourceType>
    <b:Guid>{AEC2F4B9-F64A-4907-96FD-2620D874883A}</b:Guid>
    <b:Author>
      <b:Author>
        <b:Corporate>met.police.uk</b:Corporate>
      </b:Author>
    </b:Author>
    <b:Title>Project Servator</b:Title>
    <b:Year>2024</b:Year>
    <b:YearAccessed>2024</b:YearAccessed>
    <b:MonthAccessed>June</b:MonthAccessed>
    <b:DayAccessed>18</b:DayAccessed>
    <b:URL>https://www.met.police.uk/projectservator</b:URL>
    <b:RefOrder>4</b:RefOrder>
  </b:Source>
  <b:Source>
    <b:Tag>jus23</b:Tag>
    <b:SourceType>InternetSite</b:SourceType>
    <b:Guid>{C31C9200-0DAB-4AE2-BFD2-19789E421AEA}</b:Guid>
    <b:Author>
      <b:Author>
        <b:Corporate>justiceinspectorates.gov.uk</b:Corporate>
      </b:Author>
    </b:Author>
    <b:Title>National decision model (NDM)</b:Title>
    <b:Year>2023</b:Year>
    <b:YearAccessed>2024</b:YearAccessed>
    <b:MonthAccessed>June</b:MonthAccessed>
    <b:DayAccessed>18</b:DayAccessed>
    <b:URL>https://hmicfrs.justiceinspectorates.gov.uk/glossary/national-decision-model/</b:URL>
    <b:RefOrder>6</b:RefOrder>
  </b:Source>
  <b:Source>
    <b:Tag>gov233</b:Tag>
    <b:SourceType>InternetSite</b:SourceType>
    <b:Guid>{A901A10A-CE14-4C2D-A139-0BD0CE07548E}</b:Guid>
    <b:Author>
      <b:Author>
        <b:Corporate>gov.uk</b:Corporate>
      </b:Author>
    </b:Author>
    <b:Title>Police and Criminal Evidence Act 1984</b:Title>
    <b:Year>2023 </b:Year>
    <b:YearAccessed>2024</b:YearAccessed>
    <b:MonthAccessed>June</b:MonthAccessed>
    <b:DayAccessed>18</b:DayAccessed>
    <b:URL>https://www.gov.uk/guidance/police-and-criminal-evidence-act-1984-pace-codes-of-practice</b:URL>
    <b:RefOrder>8</b:RefOrder>
  </b:Source>
  <b:Source>
    <b:Tag>psn22</b:Tag>
    <b:SourceType>InternetSite</b:SourceType>
    <b:Guid>{1CD0480D-9045-4DB3-B0CA-BB4AD323426B}</b:Guid>
    <b:Author>
      <b:Author>
        <b:Corporate>psni.police.uk</b:Corporate>
      </b:Author>
    </b:Author>
    <b:Title>PSNI Manual of Policy, Procedure and Guidance on Conflict Management</b:Title>
    <b:Year>2022</b:Year>
    <b:YearAccessed>2024</b:YearAccessed>
    <b:MonthAccessed>June</b:MonthAccessed>
    <b:DayAccessed>18</b:DayAccessed>
    <b:URL>https://www.psni.police.uk/sites/default/files/2022-09/Introduction.pdf</b:URL>
    <b:RefOrder>7</b:RefOrder>
  </b:Source>
</b:Sources>
</file>

<file path=customXml/itemProps1.xml><?xml version="1.0" encoding="utf-8"?>
<ds:datastoreItem xmlns:ds="http://schemas.openxmlformats.org/officeDocument/2006/customXml" ds:itemID="{3189A52A-68C7-43E3-9286-A8152184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2024-06-20T09:34:00Z</dcterms:created>
  <dcterms:modified xsi:type="dcterms:W3CDTF">2024-06-21T18:48:00Z</dcterms:modified>
</cp:coreProperties>
</file>