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4183C" w14:textId="77777777" w:rsidR="00010E33" w:rsidRDefault="00010E33" w:rsidP="008B1774">
      <w:pPr>
        <w:jc w:val="center"/>
        <w:rPr>
          <w:rFonts w:ascii="Arial" w:hAnsi="Arial" w:cs="Arial"/>
          <w:b/>
          <w:bCs/>
          <w:sz w:val="32"/>
          <w:szCs w:val="32"/>
        </w:rPr>
      </w:pPr>
    </w:p>
    <w:p w14:paraId="5051C735" w14:textId="77777777" w:rsidR="00010E33" w:rsidRDefault="00010E33" w:rsidP="008B1774">
      <w:pPr>
        <w:jc w:val="center"/>
        <w:rPr>
          <w:rFonts w:ascii="Arial" w:hAnsi="Arial" w:cs="Arial"/>
          <w:b/>
          <w:bCs/>
          <w:sz w:val="32"/>
          <w:szCs w:val="32"/>
        </w:rPr>
      </w:pPr>
    </w:p>
    <w:p w14:paraId="73F9C4B2" w14:textId="77777777" w:rsidR="00010E33" w:rsidRDefault="00010E33" w:rsidP="008B1774">
      <w:pPr>
        <w:jc w:val="center"/>
        <w:rPr>
          <w:rFonts w:ascii="Arial" w:hAnsi="Arial" w:cs="Arial"/>
          <w:b/>
          <w:bCs/>
          <w:sz w:val="32"/>
          <w:szCs w:val="32"/>
        </w:rPr>
      </w:pPr>
    </w:p>
    <w:p w14:paraId="0928A1DA" w14:textId="77777777" w:rsidR="00010E33" w:rsidRDefault="00010E33" w:rsidP="008B1774">
      <w:pPr>
        <w:jc w:val="center"/>
        <w:rPr>
          <w:rFonts w:ascii="Arial" w:hAnsi="Arial" w:cs="Arial"/>
          <w:b/>
          <w:bCs/>
          <w:sz w:val="32"/>
          <w:szCs w:val="32"/>
        </w:rPr>
      </w:pPr>
    </w:p>
    <w:p w14:paraId="10420585" w14:textId="77777777" w:rsidR="00010E33" w:rsidRDefault="00010E33" w:rsidP="003E7DEC">
      <w:pPr>
        <w:rPr>
          <w:rFonts w:ascii="Arial" w:hAnsi="Arial" w:cs="Arial"/>
          <w:b/>
          <w:bCs/>
          <w:sz w:val="32"/>
          <w:szCs w:val="32"/>
        </w:rPr>
      </w:pPr>
    </w:p>
    <w:p w14:paraId="0C051551" w14:textId="77777777" w:rsidR="00010E33" w:rsidRDefault="00010E33" w:rsidP="008B1774">
      <w:pPr>
        <w:jc w:val="center"/>
        <w:rPr>
          <w:rFonts w:ascii="Arial" w:hAnsi="Arial" w:cs="Arial"/>
          <w:b/>
          <w:bCs/>
          <w:sz w:val="32"/>
          <w:szCs w:val="32"/>
        </w:rPr>
      </w:pPr>
    </w:p>
    <w:p w14:paraId="4F80960E" w14:textId="4FDA7D48" w:rsidR="00C25FAA" w:rsidRPr="008B1774" w:rsidRDefault="005B7B79" w:rsidP="008B1774">
      <w:pPr>
        <w:jc w:val="center"/>
        <w:rPr>
          <w:rFonts w:ascii="Arial" w:hAnsi="Arial" w:cs="Arial"/>
          <w:sz w:val="32"/>
          <w:szCs w:val="32"/>
        </w:rPr>
      </w:pPr>
      <w:r w:rsidRPr="008B1774">
        <w:rPr>
          <w:rFonts w:ascii="Arial" w:hAnsi="Arial" w:cs="Arial"/>
          <w:b/>
          <w:bCs/>
          <w:sz w:val="32"/>
          <w:szCs w:val="32"/>
        </w:rPr>
        <w:t xml:space="preserve">Student Name: </w:t>
      </w:r>
      <w:r w:rsidRPr="008B1774">
        <w:rPr>
          <w:rFonts w:ascii="Arial" w:hAnsi="Arial" w:cs="Arial"/>
          <w:sz w:val="32"/>
          <w:szCs w:val="32"/>
        </w:rPr>
        <w:t>Fatima Ali</w:t>
      </w:r>
    </w:p>
    <w:p w14:paraId="119F3815" w14:textId="42ED138F" w:rsidR="005B7B79" w:rsidRPr="008B1774" w:rsidRDefault="005440B8" w:rsidP="008B1774">
      <w:pPr>
        <w:jc w:val="center"/>
        <w:rPr>
          <w:rFonts w:ascii="Arial" w:hAnsi="Arial" w:cs="Arial"/>
          <w:sz w:val="32"/>
          <w:szCs w:val="32"/>
        </w:rPr>
      </w:pPr>
      <w:r w:rsidRPr="008B1774">
        <w:rPr>
          <w:rFonts w:ascii="Arial" w:hAnsi="Arial" w:cs="Arial"/>
          <w:b/>
          <w:bCs/>
          <w:sz w:val="32"/>
          <w:szCs w:val="32"/>
        </w:rPr>
        <w:t xml:space="preserve">Student Number: </w:t>
      </w:r>
      <w:r w:rsidRPr="008B1774">
        <w:rPr>
          <w:rFonts w:ascii="Arial" w:hAnsi="Arial" w:cs="Arial"/>
          <w:sz w:val="32"/>
          <w:szCs w:val="32"/>
        </w:rPr>
        <w:t>2222409</w:t>
      </w:r>
    </w:p>
    <w:p w14:paraId="1CC69EB4" w14:textId="6634D27F" w:rsidR="00490A64" w:rsidRPr="008B1774" w:rsidRDefault="00D612D9" w:rsidP="008B1774">
      <w:pPr>
        <w:jc w:val="center"/>
        <w:rPr>
          <w:rFonts w:ascii="Arial" w:hAnsi="Arial" w:cs="Arial"/>
          <w:sz w:val="32"/>
          <w:szCs w:val="32"/>
        </w:rPr>
      </w:pPr>
      <w:r w:rsidRPr="008B1774">
        <w:rPr>
          <w:rFonts w:ascii="Arial" w:hAnsi="Arial" w:cs="Arial"/>
          <w:b/>
          <w:bCs/>
          <w:sz w:val="32"/>
          <w:szCs w:val="32"/>
        </w:rPr>
        <w:t xml:space="preserve">Module: </w:t>
      </w:r>
      <w:r w:rsidR="006216A2" w:rsidRPr="008B1774">
        <w:rPr>
          <w:rFonts w:ascii="Arial" w:hAnsi="Arial" w:cs="Arial"/>
          <w:sz w:val="32"/>
          <w:szCs w:val="32"/>
        </w:rPr>
        <w:t>BMHP6030</w:t>
      </w:r>
    </w:p>
    <w:p w14:paraId="6F9EFC99" w14:textId="137C3A84" w:rsidR="00D612D9" w:rsidRPr="008B1774" w:rsidRDefault="00490A64" w:rsidP="008B1774">
      <w:pPr>
        <w:jc w:val="center"/>
        <w:rPr>
          <w:rFonts w:ascii="Arial" w:hAnsi="Arial" w:cs="Arial"/>
          <w:sz w:val="32"/>
          <w:szCs w:val="32"/>
        </w:rPr>
      </w:pPr>
      <w:r w:rsidRPr="008B1774">
        <w:rPr>
          <w:rFonts w:ascii="Arial" w:hAnsi="Arial" w:cs="Arial"/>
          <w:b/>
          <w:bCs/>
          <w:sz w:val="32"/>
          <w:szCs w:val="32"/>
        </w:rPr>
        <w:t>Assi</w:t>
      </w:r>
      <w:r w:rsidR="008D6EF2" w:rsidRPr="008B1774">
        <w:rPr>
          <w:rFonts w:ascii="Arial" w:hAnsi="Arial" w:cs="Arial"/>
          <w:b/>
          <w:bCs/>
          <w:sz w:val="32"/>
          <w:szCs w:val="32"/>
        </w:rPr>
        <w:t xml:space="preserve">gnment Title: </w:t>
      </w:r>
      <w:r w:rsidR="00F513B0" w:rsidRPr="008B1774">
        <w:rPr>
          <w:rFonts w:ascii="Arial" w:hAnsi="Arial" w:cs="Arial"/>
          <w:sz w:val="32"/>
          <w:szCs w:val="32"/>
        </w:rPr>
        <w:t xml:space="preserve">Sustainable Development Goal, </w:t>
      </w:r>
      <w:r w:rsidR="002E2C22" w:rsidRPr="008B1774">
        <w:rPr>
          <w:rFonts w:ascii="Arial" w:hAnsi="Arial" w:cs="Arial"/>
          <w:sz w:val="32"/>
          <w:szCs w:val="32"/>
        </w:rPr>
        <w:t>Good Health and wellbeing</w:t>
      </w:r>
    </w:p>
    <w:p w14:paraId="37649B8F" w14:textId="7812041D" w:rsidR="008D6EF2" w:rsidRPr="008B1774" w:rsidRDefault="00D35AAA" w:rsidP="008B1774">
      <w:pPr>
        <w:jc w:val="center"/>
        <w:rPr>
          <w:rFonts w:ascii="Arial" w:hAnsi="Arial" w:cs="Arial"/>
          <w:sz w:val="32"/>
          <w:szCs w:val="32"/>
        </w:rPr>
      </w:pPr>
      <w:r w:rsidRPr="008B1774">
        <w:rPr>
          <w:rFonts w:ascii="Arial" w:hAnsi="Arial" w:cs="Arial"/>
          <w:b/>
          <w:bCs/>
          <w:sz w:val="32"/>
          <w:szCs w:val="32"/>
        </w:rPr>
        <w:t>Lecturer Name:</w:t>
      </w:r>
      <w:r w:rsidR="00045B6D" w:rsidRPr="008B1774">
        <w:rPr>
          <w:rFonts w:ascii="Arial" w:hAnsi="Arial" w:cs="Arial"/>
          <w:b/>
          <w:bCs/>
          <w:sz w:val="32"/>
          <w:szCs w:val="32"/>
        </w:rPr>
        <w:t xml:space="preserve"> </w:t>
      </w:r>
      <w:r w:rsidR="00BA2CC3" w:rsidRPr="008B1774">
        <w:rPr>
          <w:rFonts w:ascii="Arial" w:hAnsi="Arial" w:cs="Arial"/>
          <w:sz w:val="32"/>
          <w:szCs w:val="32"/>
        </w:rPr>
        <w:t>Pa</w:t>
      </w:r>
      <w:r w:rsidR="008B1774" w:rsidRPr="008B1774">
        <w:rPr>
          <w:rFonts w:ascii="Arial" w:hAnsi="Arial" w:cs="Arial"/>
          <w:sz w:val="32"/>
          <w:szCs w:val="32"/>
        </w:rPr>
        <w:t>rese Ahmed</w:t>
      </w:r>
    </w:p>
    <w:p w14:paraId="4AE26CE9" w14:textId="77777777" w:rsidR="00490A64" w:rsidRDefault="00490A64">
      <w:pPr>
        <w:rPr>
          <w:rFonts w:ascii="Arial" w:hAnsi="Arial" w:cs="Arial"/>
        </w:rPr>
      </w:pPr>
    </w:p>
    <w:p w14:paraId="2484CE3C" w14:textId="77777777" w:rsidR="009661D8" w:rsidRDefault="009661D8">
      <w:pPr>
        <w:rPr>
          <w:rFonts w:ascii="Arial" w:hAnsi="Arial" w:cs="Arial"/>
        </w:rPr>
      </w:pPr>
    </w:p>
    <w:p w14:paraId="19AD9FA6" w14:textId="77777777" w:rsidR="009661D8" w:rsidRDefault="009661D8">
      <w:pPr>
        <w:rPr>
          <w:rFonts w:ascii="Arial" w:hAnsi="Arial" w:cs="Arial"/>
        </w:rPr>
      </w:pPr>
    </w:p>
    <w:p w14:paraId="06D62B9F" w14:textId="77777777" w:rsidR="009661D8" w:rsidRDefault="009661D8">
      <w:pPr>
        <w:rPr>
          <w:rFonts w:ascii="Arial" w:hAnsi="Arial" w:cs="Arial"/>
        </w:rPr>
      </w:pPr>
    </w:p>
    <w:p w14:paraId="751ABA85" w14:textId="77777777" w:rsidR="009661D8" w:rsidRDefault="009661D8">
      <w:pPr>
        <w:rPr>
          <w:rFonts w:ascii="Arial" w:hAnsi="Arial" w:cs="Arial"/>
        </w:rPr>
      </w:pPr>
    </w:p>
    <w:p w14:paraId="486F3177" w14:textId="77777777" w:rsidR="009661D8" w:rsidRDefault="009661D8">
      <w:pPr>
        <w:rPr>
          <w:rFonts w:ascii="Arial" w:hAnsi="Arial" w:cs="Arial"/>
        </w:rPr>
      </w:pPr>
    </w:p>
    <w:p w14:paraId="09D762A3" w14:textId="77777777" w:rsidR="009661D8" w:rsidRDefault="009661D8">
      <w:pPr>
        <w:rPr>
          <w:rFonts w:ascii="Arial" w:hAnsi="Arial" w:cs="Arial"/>
        </w:rPr>
      </w:pPr>
    </w:p>
    <w:p w14:paraId="54307D1D" w14:textId="77777777" w:rsidR="009661D8" w:rsidRDefault="009661D8">
      <w:pPr>
        <w:rPr>
          <w:rFonts w:ascii="Arial" w:hAnsi="Arial" w:cs="Arial"/>
        </w:rPr>
      </w:pPr>
    </w:p>
    <w:p w14:paraId="267ACB0D" w14:textId="77777777" w:rsidR="009661D8" w:rsidRDefault="009661D8">
      <w:pPr>
        <w:rPr>
          <w:rFonts w:ascii="Arial" w:hAnsi="Arial" w:cs="Arial"/>
        </w:rPr>
      </w:pPr>
    </w:p>
    <w:p w14:paraId="709518B6" w14:textId="77777777" w:rsidR="009661D8" w:rsidRDefault="009661D8">
      <w:pPr>
        <w:rPr>
          <w:rFonts w:ascii="Arial" w:hAnsi="Arial" w:cs="Arial"/>
        </w:rPr>
      </w:pPr>
    </w:p>
    <w:p w14:paraId="0C44B6D6" w14:textId="77777777" w:rsidR="009661D8" w:rsidRDefault="009661D8">
      <w:pPr>
        <w:rPr>
          <w:rFonts w:ascii="Arial" w:hAnsi="Arial" w:cs="Arial"/>
        </w:rPr>
      </w:pPr>
    </w:p>
    <w:p w14:paraId="73DC9453" w14:textId="77777777" w:rsidR="003E7DEC" w:rsidRDefault="003E7DEC">
      <w:pPr>
        <w:rPr>
          <w:rFonts w:ascii="Arial" w:hAnsi="Arial" w:cs="Arial"/>
          <w:b/>
          <w:bCs/>
          <w:sz w:val="28"/>
          <w:szCs w:val="28"/>
          <w:u w:val="single"/>
        </w:rPr>
      </w:pPr>
    </w:p>
    <w:p w14:paraId="77F372CD" w14:textId="77777777" w:rsidR="003E7DEC" w:rsidRDefault="003E7DEC">
      <w:pPr>
        <w:rPr>
          <w:rFonts w:ascii="Arial" w:hAnsi="Arial" w:cs="Arial"/>
          <w:b/>
          <w:bCs/>
          <w:sz w:val="28"/>
          <w:szCs w:val="28"/>
          <w:u w:val="single"/>
        </w:rPr>
      </w:pPr>
    </w:p>
    <w:p w14:paraId="6AA7C6A2" w14:textId="77777777" w:rsidR="003E7DEC" w:rsidRDefault="003E7DEC">
      <w:pPr>
        <w:rPr>
          <w:rFonts w:ascii="Arial" w:hAnsi="Arial" w:cs="Arial"/>
          <w:b/>
          <w:bCs/>
          <w:sz w:val="28"/>
          <w:szCs w:val="28"/>
          <w:u w:val="single"/>
        </w:rPr>
      </w:pPr>
    </w:p>
    <w:p w14:paraId="51AAF2AF" w14:textId="77777777" w:rsidR="003E7DEC" w:rsidRDefault="003E7DEC">
      <w:pPr>
        <w:rPr>
          <w:rFonts w:ascii="Arial" w:hAnsi="Arial" w:cs="Arial"/>
          <w:b/>
          <w:bCs/>
          <w:sz w:val="28"/>
          <w:szCs w:val="28"/>
          <w:u w:val="single"/>
        </w:rPr>
      </w:pPr>
    </w:p>
    <w:p w14:paraId="28DCE7D8" w14:textId="77777777" w:rsidR="003E7DEC" w:rsidRDefault="003E7DEC">
      <w:pPr>
        <w:rPr>
          <w:rFonts w:ascii="Arial" w:hAnsi="Arial" w:cs="Arial"/>
          <w:b/>
          <w:bCs/>
          <w:sz w:val="28"/>
          <w:szCs w:val="28"/>
          <w:u w:val="single"/>
        </w:rPr>
      </w:pPr>
    </w:p>
    <w:p w14:paraId="3196B021" w14:textId="77777777" w:rsidR="003E7DEC" w:rsidRDefault="003E7DEC">
      <w:pPr>
        <w:rPr>
          <w:rFonts w:ascii="Arial" w:hAnsi="Arial" w:cs="Arial"/>
          <w:b/>
          <w:bCs/>
          <w:sz w:val="28"/>
          <w:szCs w:val="28"/>
          <w:u w:val="single"/>
        </w:rPr>
      </w:pPr>
    </w:p>
    <w:p w14:paraId="111187B4" w14:textId="77777777" w:rsidR="003E7DEC" w:rsidRDefault="003E7DEC">
      <w:pPr>
        <w:rPr>
          <w:rFonts w:ascii="Arial" w:hAnsi="Arial" w:cs="Arial"/>
          <w:b/>
          <w:bCs/>
          <w:sz w:val="28"/>
          <w:szCs w:val="28"/>
          <w:u w:val="single"/>
        </w:rPr>
      </w:pPr>
    </w:p>
    <w:p w14:paraId="06269C5D" w14:textId="7CEFA81E" w:rsidR="009661D8" w:rsidRPr="00010E33" w:rsidRDefault="009661D8">
      <w:pPr>
        <w:rPr>
          <w:rFonts w:ascii="Arial" w:hAnsi="Arial" w:cs="Arial"/>
          <w:b/>
          <w:bCs/>
          <w:sz w:val="28"/>
          <w:szCs w:val="28"/>
          <w:u w:val="single"/>
        </w:rPr>
      </w:pPr>
      <w:r w:rsidRPr="00010E33">
        <w:rPr>
          <w:rFonts w:ascii="Arial" w:hAnsi="Arial" w:cs="Arial"/>
          <w:b/>
          <w:bCs/>
          <w:sz w:val="28"/>
          <w:szCs w:val="28"/>
          <w:u w:val="single"/>
        </w:rPr>
        <w:t>INTRODUCTION</w:t>
      </w:r>
    </w:p>
    <w:p w14:paraId="38E28DCF" w14:textId="2B6A492E" w:rsidR="001E3ADF" w:rsidRPr="001E3ADF" w:rsidRDefault="001E3ADF" w:rsidP="001E3ADF">
      <w:pPr>
        <w:rPr>
          <w:rFonts w:ascii="Arial" w:hAnsi="Arial" w:cs="Arial"/>
        </w:rPr>
      </w:pPr>
      <w:r w:rsidRPr="001E3ADF">
        <w:rPr>
          <w:rFonts w:ascii="Arial" w:hAnsi="Arial" w:cs="Arial"/>
        </w:rPr>
        <w:t>This report examines the significance of Sustainable Development Goals (SDGs), focusing on SDG 3 (Good Health and Well-being) and SDG 16 (Peace, Justice, and Strong Institutions). The primary objectives are to assess the global importance of these goals, explore national and local policies and initiatives, and evaluate their effectiveness in promoting sustainable development.</w:t>
      </w:r>
    </w:p>
    <w:p w14:paraId="6667181C" w14:textId="77777777" w:rsidR="001E3ADF" w:rsidRPr="001E3ADF" w:rsidRDefault="001E3ADF" w:rsidP="001E3ADF">
      <w:pPr>
        <w:rPr>
          <w:rFonts w:ascii="Arial" w:hAnsi="Arial" w:cs="Arial"/>
        </w:rPr>
      </w:pPr>
    </w:p>
    <w:p w14:paraId="1C14E92E" w14:textId="77777777" w:rsidR="001E3ADF" w:rsidRPr="00010E33" w:rsidRDefault="001E3ADF" w:rsidP="001E3ADF">
      <w:pPr>
        <w:rPr>
          <w:rFonts w:ascii="Arial" w:hAnsi="Arial" w:cs="Arial"/>
          <w:b/>
          <w:bCs/>
          <w:sz w:val="28"/>
          <w:szCs w:val="28"/>
        </w:rPr>
      </w:pPr>
      <w:r w:rsidRPr="00010E33">
        <w:rPr>
          <w:rFonts w:ascii="Arial" w:hAnsi="Arial" w:cs="Arial"/>
          <w:b/>
          <w:bCs/>
          <w:sz w:val="28"/>
          <w:szCs w:val="28"/>
        </w:rPr>
        <w:t>Global Importance of SDGs</w:t>
      </w:r>
    </w:p>
    <w:p w14:paraId="320BCC3B" w14:textId="6CABA037" w:rsidR="001E3ADF" w:rsidRPr="001E3ADF" w:rsidRDefault="001E3ADF" w:rsidP="001E3ADF">
      <w:pPr>
        <w:rPr>
          <w:rFonts w:ascii="Arial" w:hAnsi="Arial" w:cs="Arial"/>
        </w:rPr>
      </w:pPr>
      <w:r w:rsidRPr="001E3ADF">
        <w:rPr>
          <w:rFonts w:ascii="Arial" w:hAnsi="Arial" w:cs="Arial"/>
        </w:rPr>
        <w:t xml:space="preserve">SDGs are integral to addressing global challenges, aiming to end poverty, protect the planet, and ensure prosperity for all. SDG 3 focuses on ensuring healthy lives and promoting well-being for all at all ages, addressing issues such as maternal and child mortality, infectious diseases, and access to healthcare (United Nations, </w:t>
      </w:r>
      <w:r w:rsidR="00474883">
        <w:rPr>
          <w:rFonts w:ascii="Arial" w:hAnsi="Arial" w:cs="Arial"/>
        </w:rPr>
        <w:t>2025</w:t>
      </w:r>
      <w:r w:rsidRPr="001E3ADF">
        <w:rPr>
          <w:rFonts w:ascii="Arial" w:hAnsi="Arial" w:cs="Arial"/>
        </w:rPr>
        <w:t xml:space="preserve">.). SDG 16 seeks to promote peaceful and inclusive societies, provide access to justice for all, and build effective, accountable, and inclusive institutions at all levels (United Nations, </w:t>
      </w:r>
      <w:r w:rsidR="008310D1">
        <w:rPr>
          <w:rFonts w:ascii="Arial" w:hAnsi="Arial" w:cs="Arial"/>
        </w:rPr>
        <w:t>2025</w:t>
      </w:r>
      <w:r w:rsidRPr="001E3ADF">
        <w:rPr>
          <w:rFonts w:ascii="Arial" w:hAnsi="Arial" w:cs="Arial"/>
        </w:rPr>
        <w:t>).</w:t>
      </w:r>
    </w:p>
    <w:p w14:paraId="7BC75B3C" w14:textId="77777777" w:rsidR="00010E33" w:rsidRDefault="00010E33" w:rsidP="001E3ADF">
      <w:pPr>
        <w:rPr>
          <w:rFonts w:ascii="Arial" w:hAnsi="Arial" w:cs="Arial"/>
          <w:b/>
          <w:bCs/>
          <w:sz w:val="28"/>
          <w:szCs w:val="28"/>
        </w:rPr>
      </w:pPr>
    </w:p>
    <w:p w14:paraId="09A6D12C" w14:textId="0C6AE45C" w:rsidR="001E3ADF" w:rsidRPr="00010E33" w:rsidRDefault="001E3ADF" w:rsidP="001E3ADF">
      <w:pPr>
        <w:rPr>
          <w:rFonts w:ascii="Arial" w:hAnsi="Arial" w:cs="Arial"/>
          <w:b/>
          <w:bCs/>
          <w:sz w:val="28"/>
          <w:szCs w:val="28"/>
        </w:rPr>
      </w:pPr>
      <w:r w:rsidRPr="00010E33">
        <w:rPr>
          <w:rFonts w:ascii="Arial" w:hAnsi="Arial" w:cs="Arial"/>
          <w:b/>
          <w:bCs/>
          <w:sz w:val="28"/>
          <w:szCs w:val="28"/>
        </w:rPr>
        <w:t>Palestine's Efforts towards SDGs</w:t>
      </w:r>
    </w:p>
    <w:p w14:paraId="7B003882" w14:textId="19128C41" w:rsidR="001E3ADF" w:rsidRPr="001E3ADF" w:rsidRDefault="001E3ADF" w:rsidP="001E3ADF">
      <w:pPr>
        <w:rPr>
          <w:rFonts w:ascii="Arial" w:hAnsi="Arial" w:cs="Arial"/>
        </w:rPr>
      </w:pPr>
      <w:r w:rsidRPr="001E3ADF">
        <w:rPr>
          <w:rFonts w:ascii="Arial" w:hAnsi="Arial" w:cs="Arial"/>
        </w:rPr>
        <w:t xml:space="preserve">In Palestine, achieving SDG 3 faces significant challenges due to ongoing conflicts and resource constraints. Despite these obstacles, the Palestinian Ministry of Health, with support from UN agencies, has implemented initiatives to improve healthcare services. These include enhancing primary healthcare, expanding immunization programs, and improving maternal and child health services (United Nations in Palestine, </w:t>
      </w:r>
      <w:r w:rsidR="003201A7">
        <w:rPr>
          <w:rFonts w:ascii="Arial" w:hAnsi="Arial" w:cs="Arial"/>
        </w:rPr>
        <w:t>2025</w:t>
      </w:r>
      <w:r w:rsidRPr="001E3ADF">
        <w:rPr>
          <w:rFonts w:ascii="Arial" w:hAnsi="Arial" w:cs="Arial"/>
        </w:rPr>
        <w:t>).</w:t>
      </w:r>
    </w:p>
    <w:p w14:paraId="4BE0FE05" w14:textId="57275D12" w:rsidR="001E3ADF" w:rsidRPr="001E3ADF" w:rsidRDefault="001E3ADF" w:rsidP="001E3ADF">
      <w:pPr>
        <w:rPr>
          <w:rFonts w:ascii="Arial" w:hAnsi="Arial" w:cs="Arial"/>
        </w:rPr>
      </w:pPr>
      <w:r w:rsidRPr="001E3ADF">
        <w:rPr>
          <w:rFonts w:ascii="Arial" w:hAnsi="Arial" w:cs="Arial"/>
        </w:rPr>
        <w:t>For SDG 16, Palestine has focused on strengthening governance and promoting justice. The United Nations Sustainable Development Cooperation Framework (UNSDCF) for 2023–2025 emphasizes enhancing the accountability and effectiveness of Palestinian government institutions, aligning with SDG 16 targets (United Nations, 2023). Additionally, civil society organizations play a crucial role in promoting peace and justice, with initiatives aimed at reducing gender-based violence and enhancing legal aid services (</w:t>
      </w:r>
      <w:r w:rsidR="00760C2A" w:rsidRPr="00760C2A">
        <w:rPr>
          <w:rFonts w:ascii="Arial" w:hAnsi="Arial" w:cs="Arial"/>
        </w:rPr>
        <w:t>UNRWA</w:t>
      </w:r>
      <w:r w:rsidR="00760C2A">
        <w:rPr>
          <w:rFonts w:ascii="Arial" w:hAnsi="Arial" w:cs="Arial"/>
        </w:rPr>
        <w:t xml:space="preserve">, </w:t>
      </w:r>
      <w:r w:rsidR="00760C2A" w:rsidRPr="00760C2A">
        <w:rPr>
          <w:rFonts w:ascii="Arial" w:hAnsi="Arial" w:cs="Arial"/>
        </w:rPr>
        <w:t>2019).</w:t>
      </w:r>
    </w:p>
    <w:p w14:paraId="117DDBFD" w14:textId="77777777" w:rsidR="001E3ADF" w:rsidRPr="00010E33" w:rsidRDefault="001E3ADF" w:rsidP="001E3ADF">
      <w:pPr>
        <w:rPr>
          <w:rFonts w:ascii="Arial" w:hAnsi="Arial" w:cs="Arial"/>
          <w:b/>
          <w:bCs/>
          <w:sz w:val="28"/>
          <w:szCs w:val="28"/>
        </w:rPr>
      </w:pPr>
      <w:r w:rsidRPr="00010E33">
        <w:rPr>
          <w:rFonts w:ascii="Arial" w:hAnsi="Arial" w:cs="Arial"/>
          <w:b/>
          <w:bCs/>
          <w:sz w:val="28"/>
          <w:szCs w:val="28"/>
        </w:rPr>
        <w:t>Conclusion</w:t>
      </w:r>
    </w:p>
    <w:p w14:paraId="1D61539C" w14:textId="0AA5EB24" w:rsidR="009661D8" w:rsidRDefault="001E3ADF" w:rsidP="001E3ADF">
      <w:pPr>
        <w:rPr>
          <w:rFonts w:ascii="Arial" w:hAnsi="Arial" w:cs="Arial"/>
        </w:rPr>
      </w:pPr>
      <w:r w:rsidRPr="001E3ADF">
        <w:rPr>
          <w:rFonts w:ascii="Arial" w:hAnsi="Arial" w:cs="Arial"/>
        </w:rPr>
        <w:t>Achieving SDG 3 and SDG 16 in Palestine requires coordinated efforts at the global, national, and local levels. While challenges persist, ongoing initiatives demonstrate a commitment to improving health outcomes and strengthening institutions, contributing to the broader objectives of sustainable development.</w:t>
      </w:r>
    </w:p>
    <w:p w14:paraId="68A67D2A" w14:textId="77777777" w:rsidR="0054527A" w:rsidRDefault="0054527A" w:rsidP="001E3ADF">
      <w:pPr>
        <w:rPr>
          <w:rFonts w:ascii="Arial" w:hAnsi="Arial" w:cs="Arial"/>
        </w:rPr>
      </w:pPr>
    </w:p>
    <w:p w14:paraId="2230737D" w14:textId="77777777" w:rsidR="0054527A" w:rsidRDefault="0054527A" w:rsidP="001E3ADF">
      <w:pPr>
        <w:rPr>
          <w:rFonts w:ascii="Arial" w:hAnsi="Arial" w:cs="Arial"/>
        </w:rPr>
      </w:pPr>
    </w:p>
    <w:p w14:paraId="09C5384E" w14:textId="77777777" w:rsidR="0054527A" w:rsidRDefault="0054527A" w:rsidP="001E3ADF">
      <w:pPr>
        <w:rPr>
          <w:rFonts w:ascii="Arial" w:hAnsi="Arial" w:cs="Arial"/>
        </w:rPr>
      </w:pPr>
    </w:p>
    <w:p w14:paraId="1FA8CF36" w14:textId="77777777" w:rsidR="0054527A" w:rsidRDefault="0054527A" w:rsidP="001E3ADF">
      <w:pPr>
        <w:rPr>
          <w:rFonts w:ascii="Arial" w:hAnsi="Arial" w:cs="Arial"/>
        </w:rPr>
      </w:pPr>
    </w:p>
    <w:p w14:paraId="4E49E909" w14:textId="77777777" w:rsidR="0054527A" w:rsidRDefault="0054527A" w:rsidP="001E3ADF">
      <w:pPr>
        <w:rPr>
          <w:rFonts w:ascii="Arial" w:hAnsi="Arial" w:cs="Arial"/>
        </w:rPr>
      </w:pPr>
    </w:p>
    <w:p w14:paraId="1E230709" w14:textId="77777777" w:rsidR="00760C2A" w:rsidRDefault="00760C2A" w:rsidP="001E3ADF">
      <w:pPr>
        <w:rPr>
          <w:rFonts w:ascii="Arial" w:hAnsi="Arial" w:cs="Arial"/>
        </w:rPr>
      </w:pPr>
    </w:p>
    <w:p w14:paraId="4504BD0F" w14:textId="4AC44FD5" w:rsidR="00760C2A" w:rsidRDefault="007B0D62" w:rsidP="001E3ADF">
      <w:pPr>
        <w:rPr>
          <w:rFonts w:ascii="Arial" w:hAnsi="Arial" w:cs="Arial"/>
          <w:b/>
          <w:bCs/>
          <w:sz w:val="32"/>
          <w:szCs w:val="32"/>
          <w:u w:val="single"/>
        </w:rPr>
      </w:pPr>
      <w:r>
        <w:rPr>
          <w:rFonts w:ascii="Arial" w:hAnsi="Arial" w:cs="Arial"/>
          <w:b/>
          <w:bCs/>
          <w:sz w:val="32"/>
          <w:szCs w:val="32"/>
          <w:u w:val="single"/>
        </w:rPr>
        <w:t xml:space="preserve">Section 1: </w:t>
      </w:r>
      <w:r w:rsidR="00475534">
        <w:rPr>
          <w:rFonts w:ascii="Arial" w:hAnsi="Arial" w:cs="Arial"/>
          <w:b/>
          <w:bCs/>
          <w:sz w:val="32"/>
          <w:szCs w:val="32"/>
          <w:u w:val="single"/>
        </w:rPr>
        <w:t>SDG 3- Good Health and Wellbeing</w:t>
      </w:r>
    </w:p>
    <w:p w14:paraId="00B0D63A" w14:textId="7837E1DA" w:rsidR="00345346" w:rsidRPr="00010E33" w:rsidRDefault="00345346" w:rsidP="001E3ADF">
      <w:pPr>
        <w:rPr>
          <w:rFonts w:ascii="Arial" w:hAnsi="Arial" w:cs="Arial"/>
          <w:b/>
          <w:bCs/>
          <w:sz w:val="28"/>
          <w:szCs w:val="28"/>
        </w:rPr>
      </w:pPr>
      <w:r w:rsidRPr="00010E33">
        <w:rPr>
          <w:rFonts w:ascii="Arial" w:hAnsi="Arial" w:cs="Arial"/>
          <w:b/>
          <w:bCs/>
          <w:sz w:val="28"/>
          <w:szCs w:val="28"/>
        </w:rPr>
        <w:t xml:space="preserve">Overview </w:t>
      </w:r>
      <w:r w:rsidR="00ED633A" w:rsidRPr="00010E33">
        <w:rPr>
          <w:rFonts w:ascii="Arial" w:hAnsi="Arial" w:cs="Arial"/>
          <w:b/>
          <w:bCs/>
          <w:sz w:val="28"/>
          <w:szCs w:val="28"/>
        </w:rPr>
        <w:t>of SDG 3</w:t>
      </w:r>
    </w:p>
    <w:p w14:paraId="492A758E" w14:textId="0EA41869" w:rsidR="002C1B6C" w:rsidRPr="00E82FB4" w:rsidRDefault="00E82FB4" w:rsidP="001E3ADF">
      <w:pPr>
        <w:rPr>
          <w:rFonts w:ascii="Arial" w:hAnsi="Arial" w:cs="Arial"/>
        </w:rPr>
      </w:pPr>
      <w:r w:rsidRPr="00E82FB4">
        <w:rPr>
          <w:rFonts w:ascii="Arial" w:hAnsi="Arial" w:cs="Arial"/>
        </w:rPr>
        <w:t>Sustainable Development Goal 3 (SDG 3) aims to “ensure healthy lives and promote wellbeing for all at all ages” (UN, 2015). It encompasses a wide range of health priorities including maternal and child health, communicable and non-communicable diseases, mental health, substance abuse, road safety, and universal health coverage. Key targets include reducing maternal mortality to below 70 per 100,000 live births, ending preventable deaths of children under five, and achieving universal access to sexual and reproductive healthcare by 2030 (UNICEF, 2024; WHO, 2024).</w:t>
      </w:r>
    </w:p>
    <w:p w14:paraId="43742102" w14:textId="376A6C03" w:rsidR="00ED633A" w:rsidRPr="00010E33" w:rsidRDefault="00ED633A" w:rsidP="001E3ADF">
      <w:pPr>
        <w:rPr>
          <w:rFonts w:ascii="Arial" w:hAnsi="Arial" w:cs="Arial"/>
          <w:b/>
          <w:bCs/>
          <w:sz w:val="28"/>
          <w:szCs w:val="28"/>
        </w:rPr>
      </w:pPr>
      <w:r w:rsidRPr="00010E33">
        <w:rPr>
          <w:rFonts w:ascii="Arial" w:hAnsi="Arial" w:cs="Arial"/>
          <w:b/>
          <w:bCs/>
          <w:sz w:val="28"/>
          <w:szCs w:val="28"/>
        </w:rPr>
        <w:t>Global Policies and Ini</w:t>
      </w:r>
      <w:r w:rsidR="0040032C" w:rsidRPr="00010E33">
        <w:rPr>
          <w:rFonts w:ascii="Arial" w:hAnsi="Arial" w:cs="Arial"/>
          <w:b/>
          <w:bCs/>
          <w:sz w:val="28"/>
          <w:szCs w:val="28"/>
        </w:rPr>
        <w:t xml:space="preserve">tiatives </w:t>
      </w:r>
      <w:r w:rsidR="0067644B" w:rsidRPr="00010E33">
        <w:rPr>
          <w:rFonts w:ascii="Arial" w:hAnsi="Arial" w:cs="Arial"/>
          <w:b/>
          <w:bCs/>
          <w:sz w:val="28"/>
          <w:szCs w:val="28"/>
        </w:rPr>
        <w:t>(</w:t>
      </w:r>
      <w:r w:rsidR="00A04D2C" w:rsidRPr="00010E33">
        <w:rPr>
          <w:rFonts w:ascii="Arial" w:hAnsi="Arial" w:cs="Arial"/>
          <w:b/>
          <w:bCs/>
          <w:sz w:val="28"/>
          <w:szCs w:val="28"/>
        </w:rPr>
        <w:t>All over global</w:t>
      </w:r>
      <w:r w:rsidR="0067644B" w:rsidRPr="00010E33">
        <w:rPr>
          <w:rFonts w:ascii="Arial" w:hAnsi="Arial" w:cs="Arial"/>
          <w:b/>
          <w:bCs/>
          <w:sz w:val="28"/>
          <w:szCs w:val="28"/>
        </w:rPr>
        <w:t>)</w:t>
      </w:r>
    </w:p>
    <w:p w14:paraId="265E7A1C" w14:textId="77777777" w:rsidR="00433485" w:rsidRPr="00433485" w:rsidRDefault="00433485" w:rsidP="00433485">
      <w:pPr>
        <w:rPr>
          <w:rFonts w:ascii="Arial" w:hAnsi="Arial" w:cs="Arial"/>
        </w:rPr>
      </w:pPr>
      <w:r w:rsidRPr="00433485">
        <w:rPr>
          <w:rFonts w:ascii="Arial" w:hAnsi="Arial" w:cs="Arial"/>
        </w:rPr>
        <w:t>Globally, SDG 3 is supported by the Global Action Plan for Healthy Lives and Wellbeing for All (SDG3 GAP), a collaboration among 13 major health and development agencies including WHO, UNICEF, and the World Bank. This initiative promotes alignment across global health efforts, focusing on strengthening primary healthcare, improving health financing, and scaling up essential services (WHO, 2024).</w:t>
      </w:r>
    </w:p>
    <w:p w14:paraId="117F50AD" w14:textId="77777777" w:rsidR="00433485" w:rsidRPr="00433485" w:rsidRDefault="00433485" w:rsidP="00433485">
      <w:pPr>
        <w:rPr>
          <w:rFonts w:ascii="Arial" w:hAnsi="Arial" w:cs="Arial"/>
          <w:b/>
          <w:bCs/>
        </w:rPr>
      </w:pPr>
      <w:r w:rsidRPr="00433485">
        <w:rPr>
          <w:rFonts w:ascii="Arial" w:hAnsi="Arial" w:cs="Arial"/>
          <w:b/>
          <w:bCs/>
        </w:rPr>
        <w:t>Key global strategies include:</w:t>
      </w:r>
    </w:p>
    <w:p w14:paraId="5C46C1C8" w14:textId="1BC8985E" w:rsidR="00433485" w:rsidRPr="00433485" w:rsidRDefault="00433485" w:rsidP="00433485">
      <w:pPr>
        <w:rPr>
          <w:rFonts w:ascii="Arial" w:hAnsi="Arial" w:cs="Arial"/>
        </w:rPr>
      </w:pPr>
      <w:r w:rsidRPr="00433485">
        <w:rPr>
          <w:rFonts w:ascii="Arial" w:hAnsi="Arial" w:cs="Arial"/>
        </w:rPr>
        <w:t xml:space="preserve">• </w:t>
      </w:r>
      <w:r w:rsidRPr="00433485">
        <w:rPr>
          <w:rFonts w:ascii="Arial" w:hAnsi="Arial" w:cs="Arial"/>
          <w:b/>
          <w:bCs/>
        </w:rPr>
        <w:t>WHO’s Essential Medicines List:</w:t>
      </w:r>
      <w:r w:rsidRPr="00433485">
        <w:rPr>
          <w:rFonts w:ascii="Arial" w:hAnsi="Arial" w:cs="Arial"/>
        </w:rPr>
        <w:t xml:space="preserve"> Ensures access to life-saving treatments, especially for cancer and diabetes.</w:t>
      </w:r>
    </w:p>
    <w:p w14:paraId="2184F3B2" w14:textId="798A03CB" w:rsidR="00433485" w:rsidRPr="00433485" w:rsidRDefault="00433485" w:rsidP="00433485">
      <w:pPr>
        <w:rPr>
          <w:rFonts w:ascii="Arial" w:hAnsi="Arial" w:cs="Arial"/>
        </w:rPr>
      </w:pPr>
      <w:r w:rsidRPr="00433485">
        <w:rPr>
          <w:rFonts w:ascii="Arial" w:hAnsi="Arial" w:cs="Arial"/>
        </w:rPr>
        <w:t xml:space="preserve">• </w:t>
      </w:r>
      <w:r w:rsidRPr="00433485">
        <w:rPr>
          <w:rFonts w:ascii="Arial" w:hAnsi="Arial" w:cs="Arial"/>
          <w:b/>
          <w:bCs/>
        </w:rPr>
        <w:t>UNICEF’s Vaccine Equity Campaigns:</w:t>
      </w:r>
      <w:r w:rsidRPr="00433485">
        <w:rPr>
          <w:rFonts w:ascii="Arial" w:hAnsi="Arial" w:cs="Arial"/>
        </w:rPr>
        <w:t xml:space="preserve"> Target under-five mortality and neonatal health through immunisation programmes.</w:t>
      </w:r>
    </w:p>
    <w:p w14:paraId="0485A592" w14:textId="3EC0850C" w:rsidR="00433485" w:rsidRPr="00433485" w:rsidRDefault="00433485" w:rsidP="00433485">
      <w:pPr>
        <w:rPr>
          <w:rFonts w:ascii="Arial" w:hAnsi="Arial" w:cs="Arial"/>
        </w:rPr>
      </w:pPr>
      <w:r w:rsidRPr="00433485">
        <w:rPr>
          <w:rFonts w:ascii="Arial" w:hAnsi="Arial" w:cs="Arial"/>
        </w:rPr>
        <w:t xml:space="preserve">• </w:t>
      </w:r>
      <w:r w:rsidRPr="00433485">
        <w:rPr>
          <w:rFonts w:ascii="Arial" w:hAnsi="Arial" w:cs="Arial"/>
          <w:b/>
          <w:bCs/>
        </w:rPr>
        <w:t>Global Fund to Fight AIDS, Tuberculosis and Malaria:</w:t>
      </w:r>
      <w:r w:rsidRPr="00433485">
        <w:rPr>
          <w:rFonts w:ascii="Arial" w:hAnsi="Arial" w:cs="Arial"/>
        </w:rPr>
        <w:t xml:space="preserve"> Mobilises resources for communicable disease control in low-income countries.</w:t>
      </w:r>
    </w:p>
    <w:p w14:paraId="2439FB68" w14:textId="162D8478" w:rsidR="008D2A24" w:rsidRPr="008D2A24" w:rsidRDefault="00433485" w:rsidP="00433485">
      <w:pPr>
        <w:rPr>
          <w:rFonts w:ascii="Arial" w:hAnsi="Arial" w:cs="Arial"/>
        </w:rPr>
      </w:pPr>
      <w:r w:rsidRPr="00433485">
        <w:rPr>
          <w:rFonts w:ascii="Arial" w:hAnsi="Arial" w:cs="Arial"/>
        </w:rPr>
        <w:t>Despite progress, global disparities persist. For example, sub-Saharan Africa still faces high maternal and child mortality rates, while mental health services remain underfunded worldwide (WHO, 2023).</w:t>
      </w:r>
    </w:p>
    <w:p w14:paraId="1A276A5F" w14:textId="44C309FA" w:rsidR="00E82FB4" w:rsidRPr="00010E33" w:rsidRDefault="008D2A24" w:rsidP="001E3ADF">
      <w:pPr>
        <w:rPr>
          <w:rFonts w:ascii="Arial" w:hAnsi="Arial" w:cs="Arial"/>
          <w:b/>
          <w:bCs/>
          <w:sz w:val="28"/>
          <w:szCs w:val="28"/>
        </w:rPr>
      </w:pPr>
      <w:r w:rsidRPr="00010E33">
        <w:rPr>
          <w:rFonts w:ascii="Arial" w:hAnsi="Arial" w:cs="Arial"/>
          <w:b/>
          <w:bCs/>
          <w:sz w:val="28"/>
          <w:szCs w:val="28"/>
        </w:rPr>
        <w:t>National and Local Examples (UK and Birmingham)</w:t>
      </w:r>
    </w:p>
    <w:p w14:paraId="1B530A57" w14:textId="77777777" w:rsidR="00CF2466" w:rsidRPr="00CF2466" w:rsidRDefault="00CF2466" w:rsidP="00CF2466">
      <w:pPr>
        <w:rPr>
          <w:rFonts w:ascii="Arial" w:hAnsi="Arial" w:cs="Arial"/>
        </w:rPr>
      </w:pPr>
      <w:r w:rsidRPr="00CF2466">
        <w:rPr>
          <w:rFonts w:ascii="Arial" w:hAnsi="Arial" w:cs="Arial"/>
        </w:rPr>
        <w:t>In the UK, SDG 3 is embedded within the Health and Care Act 2022, which promotes integrated care systems (ICSs) to improve population health. The NHS Long Term Plan (2019) aligns with SDG 3 by prioritising mental health, cancer care, and prevention of cardiovascular disease.</w:t>
      </w:r>
    </w:p>
    <w:p w14:paraId="5BC0782E" w14:textId="77777777" w:rsidR="00CF2466" w:rsidRPr="00CF2466" w:rsidRDefault="00CF2466" w:rsidP="00CF2466">
      <w:pPr>
        <w:rPr>
          <w:rFonts w:ascii="Arial" w:hAnsi="Arial" w:cs="Arial"/>
          <w:b/>
          <w:bCs/>
        </w:rPr>
      </w:pPr>
      <w:r w:rsidRPr="00CF2466">
        <w:rPr>
          <w:rFonts w:ascii="Arial" w:hAnsi="Arial" w:cs="Arial"/>
          <w:b/>
          <w:bCs/>
        </w:rPr>
        <w:t>National initiatives include:</w:t>
      </w:r>
    </w:p>
    <w:p w14:paraId="01CF6EFB" w14:textId="73326A45" w:rsidR="00CF2466" w:rsidRPr="00CF2466" w:rsidRDefault="00CF2466" w:rsidP="00CF2466">
      <w:pPr>
        <w:rPr>
          <w:rFonts w:ascii="Arial" w:hAnsi="Arial" w:cs="Arial"/>
        </w:rPr>
      </w:pPr>
      <w:r w:rsidRPr="00CF2466">
        <w:rPr>
          <w:rFonts w:ascii="Arial" w:hAnsi="Arial" w:cs="Arial"/>
        </w:rPr>
        <w:t>• Public Health England’s campaigns on smoking cessation, obesity, and mental wellbeing.</w:t>
      </w:r>
    </w:p>
    <w:p w14:paraId="0DE146BD" w14:textId="7023CBDB" w:rsidR="00CF2466" w:rsidRPr="00CF2466" w:rsidRDefault="00CF2466" w:rsidP="00CF2466">
      <w:pPr>
        <w:rPr>
          <w:rFonts w:ascii="Arial" w:hAnsi="Arial" w:cs="Arial"/>
        </w:rPr>
      </w:pPr>
      <w:r w:rsidRPr="00CF2466">
        <w:rPr>
          <w:rFonts w:ascii="Arial" w:hAnsi="Arial" w:cs="Arial"/>
        </w:rPr>
        <w:t xml:space="preserve">• </w:t>
      </w:r>
      <w:r w:rsidRPr="00A35DF1">
        <w:rPr>
          <w:rFonts w:ascii="Arial" w:hAnsi="Arial" w:cs="Arial"/>
          <w:b/>
          <w:bCs/>
        </w:rPr>
        <w:t>NHS Digital:</w:t>
      </w:r>
      <w:r w:rsidRPr="00CF2466">
        <w:rPr>
          <w:rFonts w:ascii="Arial" w:hAnsi="Arial" w:cs="Arial"/>
        </w:rPr>
        <w:t xml:space="preserve"> Enhancing data-driven decision-making for health equity.</w:t>
      </w:r>
    </w:p>
    <w:p w14:paraId="166372F1" w14:textId="77777777" w:rsidR="00CF2466" w:rsidRPr="00CF2466" w:rsidRDefault="00CF2466" w:rsidP="00CF2466">
      <w:pPr>
        <w:rPr>
          <w:rFonts w:ascii="Arial" w:hAnsi="Arial" w:cs="Arial"/>
          <w:b/>
          <w:bCs/>
        </w:rPr>
      </w:pPr>
      <w:r w:rsidRPr="00CF2466">
        <w:rPr>
          <w:rFonts w:ascii="Arial" w:hAnsi="Arial" w:cs="Arial"/>
          <w:b/>
          <w:bCs/>
        </w:rPr>
        <w:t>Local example – Birmingham:</w:t>
      </w:r>
    </w:p>
    <w:p w14:paraId="003D4D77" w14:textId="285074E4" w:rsidR="00CF2466" w:rsidRPr="00CF2466" w:rsidRDefault="00CF2466" w:rsidP="00CF2466">
      <w:pPr>
        <w:rPr>
          <w:rFonts w:ascii="Arial" w:hAnsi="Arial" w:cs="Arial"/>
        </w:rPr>
      </w:pPr>
      <w:r w:rsidRPr="00CF2466">
        <w:rPr>
          <w:rFonts w:ascii="Arial" w:hAnsi="Arial" w:cs="Arial"/>
        </w:rPr>
        <w:t>• Birmingham’s Health and Wellbeing Strategy (2021–2025) focuses on reducing health inequalities, especially among ethnic minorities and deprived communities.</w:t>
      </w:r>
    </w:p>
    <w:p w14:paraId="4AD16D66" w14:textId="31A10AB2" w:rsidR="00CF2466" w:rsidRPr="00CF2466" w:rsidRDefault="00CF2466" w:rsidP="00CF2466">
      <w:pPr>
        <w:rPr>
          <w:rFonts w:ascii="Arial" w:hAnsi="Arial" w:cs="Arial"/>
        </w:rPr>
      </w:pPr>
      <w:r w:rsidRPr="00CF2466">
        <w:rPr>
          <w:rFonts w:ascii="Arial" w:hAnsi="Arial" w:cs="Arial"/>
        </w:rPr>
        <w:t>• The Birmingham Children’s Partnership integrates services across education, health, and social care to improve outcomes for children and families.</w:t>
      </w:r>
    </w:p>
    <w:p w14:paraId="77213ADB" w14:textId="0A242D87" w:rsidR="008D739D" w:rsidRPr="008D739D" w:rsidRDefault="00CF2466" w:rsidP="00CF2466">
      <w:pPr>
        <w:rPr>
          <w:rFonts w:ascii="Arial" w:hAnsi="Arial" w:cs="Arial"/>
        </w:rPr>
      </w:pPr>
      <w:r w:rsidRPr="00CF2466">
        <w:rPr>
          <w:rFonts w:ascii="Arial" w:hAnsi="Arial" w:cs="Arial"/>
        </w:rPr>
        <w:lastRenderedPageBreak/>
        <w:t xml:space="preserve">• </w:t>
      </w:r>
      <w:r w:rsidRPr="00215F82">
        <w:rPr>
          <w:rFonts w:ascii="Arial" w:hAnsi="Arial" w:cs="Arial"/>
        </w:rPr>
        <w:t xml:space="preserve">Local campaigns </w:t>
      </w:r>
      <w:r w:rsidRPr="00CF2466">
        <w:rPr>
          <w:rFonts w:ascii="Arial" w:hAnsi="Arial" w:cs="Arial"/>
        </w:rPr>
        <w:t>such as Be Active Birmingham promote physical activity and mental wellbeing through community engagement.</w:t>
      </w:r>
    </w:p>
    <w:p w14:paraId="77E92994" w14:textId="7F6FBC76" w:rsidR="0040032C" w:rsidRPr="00010E33" w:rsidRDefault="0040032C" w:rsidP="001E3ADF">
      <w:pPr>
        <w:rPr>
          <w:rFonts w:ascii="Arial" w:hAnsi="Arial" w:cs="Arial"/>
          <w:b/>
          <w:bCs/>
          <w:sz w:val="28"/>
          <w:szCs w:val="28"/>
        </w:rPr>
      </w:pPr>
      <w:r w:rsidRPr="00010E33">
        <w:rPr>
          <w:rFonts w:ascii="Arial" w:hAnsi="Arial" w:cs="Arial"/>
          <w:b/>
          <w:bCs/>
          <w:sz w:val="28"/>
          <w:szCs w:val="28"/>
        </w:rPr>
        <w:t xml:space="preserve">Use of </w:t>
      </w:r>
      <w:r w:rsidR="00811409" w:rsidRPr="00010E33">
        <w:rPr>
          <w:rFonts w:ascii="Arial" w:hAnsi="Arial" w:cs="Arial"/>
          <w:b/>
          <w:bCs/>
          <w:sz w:val="28"/>
          <w:szCs w:val="28"/>
        </w:rPr>
        <w:t xml:space="preserve">theories/ models </w:t>
      </w:r>
    </w:p>
    <w:p w14:paraId="6F2BF715" w14:textId="77777777" w:rsidR="00215F82" w:rsidRPr="00215F82" w:rsidRDefault="00215F82" w:rsidP="00215F82">
      <w:pPr>
        <w:rPr>
          <w:rFonts w:ascii="Arial" w:hAnsi="Arial" w:cs="Arial"/>
        </w:rPr>
      </w:pPr>
      <w:r w:rsidRPr="00215F82">
        <w:rPr>
          <w:rFonts w:ascii="Arial" w:hAnsi="Arial" w:cs="Arial"/>
        </w:rPr>
        <w:t>SDG 3 implementation benefits from health promotion and behaviour change theories:</w:t>
      </w:r>
    </w:p>
    <w:p w14:paraId="04B2C8A2" w14:textId="4029E6BD" w:rsidR="00215F82" w:rsidRPr="00215F82" w:rsidRDefault="00215F82" w:rsidP="00215F82">
      <w:pPr>
        <w:rPr>
          <w:rFonts w:ascii="Arial" w:hAnsi="Arial" w:cs="Arial"/>
        </w:rPr>
      </w:pPr>
      <w:r w:rsidRPr="00215F82">
        <w:rPr>
          <w:rFonts w:ascii="Arial" w:hAnsi="Arial" w:cs="Arial"/>
        </w:rPr>
        <w:t xml:space="preserve">• </w:t>
      </w:r>
      <w:r w:rsidRPr="004F794A">
        <w:rPr>
          <w:rFonts w:ascii="Arial" w:hAnsi="Arial" w:cs="Arial"/>
          <w:b/>
          <w:bCs/>
        </w:rPr>
        <w:t>Health Belief Model (HBM):</w:t>
      </w:r>
      <w:r w:rsidRPr="00215F82">
        <w:rPr>
          <w:rFonts w:ascii="Arial" w:hAnsi="Arial" w:cs="Arial"/>
        </w:rPr>
        <w:t xml:space="preserve"> Explains individual health behaviours based on perceived susceptibility, severity, benefits, and barriers. Used in vaccination uptake and screening programmes.</w:t>
      </w:r>
    </w:p>
    <w:p w14:paraId="59C7A6D2" w14:textId="0AC1997C" w:rsidR="00215F82" w:rsidRPr="00215F82" w:rsidRDefault="00215F82" w:rsidP="00215F82">
      <w:pPr>
        <w:rPr>
          <w:rFonts w:ascii="Arial" w:hAnsi="Arial" w:cs="Arial"/>
        </w:rPr>
      </w:pPr>
      <w:r w:rsidRPr="00215F82">
        <w:rPr>
          <w:rFonts w:ascii="Arial" w:hAnsi="Arial" w:cs="Arial"/>
        </w:rPr>
        <w:t xml:space="preserve">• </w:t>
      </w:r>
      <w:r w:rsidRPr="004F794A">
        <w:rPr>
          <w:rFonts w:ascii="Arial" w:hAnsi="Arial" w:cs="Arial"/>
          <w:b/>
          <w:bCs/>
        </w:rPr>
        <w:t>COM-B Model:</w:t>
      </w:r>
      <w:r w:rsidRPr="00215F82">
        <w:rPr>
          <w:rFonts w:ascii="Arial" w:hAnsi="Arial" w:cs="Arial"/>
        </w:rPr>
        <w:t xml:space="preserve"> Highlights Capability, Opportunity, and Motivation as drivers of behaviour. Applied in designing interventions for smoking cessation and physical activity.</w:t>
      </w:r>
    </w:p>
    <w:p w14:paraId="5B57BA6D" w14:textId="6A925486" w:rsidR="00215F82" w:rsidRPr="00215F82" w:rsidRDefault="00215F82" w:rsidP="00215F82">
      <w:pPr>
        <w:rPr>
          <w:rFonts w:ascii="Arial" w:hAnsi="Arial" w:cs="Arial"/>
        </w:rPr>
      </w:pPr>
      <w:r w:rsidRPr="00215F82">
        <w:rPr>
          <w:rFonts w:ascii="Arial" w:hAnsi="Arial" w:cs="Arial"/>
        </w:rPr>
        <w:t xml:space="preserve">• </w:t>
      </w:r>
      <w:r w:rsidRPr="004F794A">
        <w:rPr>
          <w:rFonts w:ascii="Arial" w:hAnsi="Arial" w:cs="Arial"/>
          <w:b/>
          <w:bCs/>
        </w:rPr>
        <w:t>Biopsychosocial Model:</w:t>
      </w:r>
      <w:r w:rsidRPr="00215F82">
        <w:rPr>
          <w:rFonts w:ascii="Arial" w:hAnsi="Arial" w:cs="Arial"/>
        </w:rPr>
        <w:t xml:space="preserve"> Emphasises the interplay of biological, psychological, and social factors in health. Crucial for mental health services and holistic care planning.</w:t>
      </w:r>
    </w:p>
    <w:p w14:paraId="35402A55" w14:textId="4F97D644" w:rsidR="00215F82" w:rsidRPr="00215F82" w:rsidRDefault="00215F82" w:rsidP="00215F82">
      <w:pPr>
        <w:rPr>
          <w:rFonts w:ascii="Arial" w:hAnsi="Arial" w:cs="Arial"/>
        </w:rPr>
      </w:pPr>
      <w:r w:rsidRPr="00215F82">
        <w:rPr>
          <w:rFonts w:ascii="Arial" w:hAnsi="Arial" w:cs="Arial"/>
        </w:rPr>
        <w:t>These models guide policy design, campaign messaging, and service delivery, ensuring interventions are person-centred and contextually relevant.</w:t>
      </w:r>
    </w:p>
    <w:p w14:paraId="53F2107F" w14:textId="78499621" w:rsidR="00811409" w:rsidRPr="00010E33" w:rsidRDefault="00811409" w:rsidP="001E3ADF">
      <w:pPr>
        <w:rPr>
          <w:rFonts w:ascii="Arial" w:hAnsi="Arial" w:cs="Arial"/>
          <w:b/>
          <w:bCs/>
          <w:sz w:val="28"/>
          <w:szCs w:val="28"/>
        </w:rPr>
      </w:pPr>
      <w:r w:rsidRPr="00010E33">
        <w:rPr>
          <w:rFonts w:ascii="Arial" w:hAnsi="Arial" w:cs="Arial"/>
          <w:b/>
          <w:bCs/>
          <w:sz w:val="28"/>
          <w:szCs w:val="28"/>
        </w:rPr>
        <w:t xml:space="preserve">Critical </w:t>
      </w:r>
      <w:r w:rsidR="00C474D4" w:rsidRPr="00010E33">
        <w:rPr>
          <w:rFonts w:ascii="Arial" w:hAnsi="Arial" w:cs="Arial"/>
          <w:b/>
          <w:bCs/>
          <w:sz w:val="28"/>
          <w:szCs w:val="28"/>
        </w:rPr>
        <w:t>E</w:t>
      </w:r>
      <w:r w:rsidR="00C46471" w:rsidRPr="00010E33">
        <w:rPr>
          <w:rFonts w:ascii="Arial" w:hAnsi="Arial" w:cs="Arial"/>
          <w:b/>
          <w:bCs/>
          <w:sz w:val="28"/>
          <w:szCs w:val="28"/>
        </w:rPr>
        <w:t>valuation</w:t>
      </w:r>
    </w:p>
    <w:p w14:paraId="18D88D8F" w14:textId="77777777" w:rsidR="009E7CD3" w:rsidRPr="009E7CD3" w:rsidRDefault="009E7CD3" w:rsidP="009E7CD3">
      <w:pPr>
        <w:rPr>
          <w:rFonts w:ascii="Arial" w:hAnsi="Arial" w:cs="Arial"/>
        </w:rPr>
      </w:pPr>
      <w:r w:rsidRPr="009E7CD3">
        <w:rPr>
          <w:rFonts w:ascii="Arial" w:hAnsi="Arial" w:cs="Arial"/>
        </w:rPr>
        <w:t>While SDG 3 has catalysed global momentum, several challenges hinder its full realisation:</w:t>
      </w:r>
    </w:p>
    <w:p w14:paraId="46BB5987" w14:textId="2C5455DC" w:rsidR="009E7CD3" w:rsidRPr="009E7CD3" w:rsidRDefault="009E7CD3" w:rsidP="009E7CD3">
      <w:pPr>
        <w:rPr>
          <w:rFonts w:ascii="Arial" w:hAnsi="Arial" w:cs="Arial"/>
        </w:rPr>
      </w:pPr>
      <w:r w:rsidRPr="009E7CD3">
        <w:rPr>
          <w:rFonts w:ascii="Arial" w:hAnsi="Arial" w:cs="Arial"/>
        </w:rPr>
        <w:t xml:space="preserve">• </w:t>
      </w:r>
      <w:r w:rsidRPr="009E7CD3">
        <w:rPr>
          <w:rFonts w:ascii="Arial" w:hAnsi="Arial" w:cs="Arial"/>
          <w:b/>
          <w:bCs/>
        </w:rPr>
        <w:t>Fragmentation of services:</w:t>
      </w:r>
      <w:r w:rsidRPr="009E7CD3">
        <w:rPr>
          <w:rFonts w:ascii="Arial" w:hAnsi="Arial" w:cs="Arial"/>
        </w:rPr>
        <w:t xml:space="preserve"> Despite integrated care efforts, siloed systems persist, especially in mental health and social care.</w:t>
      </w:r>
    </w:p>
    <w:p w14:paraId="1C665AD3" w14:textId="3A6EA4FA" w:rsidR="009E7CD3" w:rsidRPr="009E7CD3" w:rsidRDefault="009E7CD3" w:rsidP="009E7CD3">
      <w:pPr>
        <w:rPr>
          <w:rFonts w:ascii="Arial" w:hAnsi="Arial" w:cs="Arial"/>
        </w:rPr>
      </w:pPr>
      <w:r w:rsidRPr="009E7CD3">
        <w:rPr>
          <w:rFonts w:ascii="Arial" w:hAnsi="Arial" w:cs="Arial"/>
        </w:rPr>
        <w:t xml:space="preserve">• </w:t>
      </w:r>
      <w:r w:rsidRPr="009E7CD3">
        <w:rPr>
          <w:rFonts w:ascii="Arial" w:hAnsi="Arial" w:cs="Arial"/>
          <w:b/>
          <w:bCs/>
        </w:rPr>
        <w:t>Health inequalities:</w:t>
      </w:r>
      <w:r w:rsidRPr="009E7CD3">
        <w:rPr>
          <w:rFonts w:ascii="Arial" w:hAnsi="Arial" w:cs="Arial"/>
        </w:rPr>
        <w:t xml:space="preserve"> Socioeconomic, ethnic, and geographic disparities remain stark. In Birmingham, life expectancy varies by up to 10 years between wards (Birmingham City Council, 2023).</w:t>
      </w:r>
    </w:p>
    <w:p w14:paraId="1DB70EC5" w14:textId="41BBCC4F" w:rsidR="009E7CD3" w:rsidRPr="009E7CD3" w:rsidRDefault="009E7CD3" w:rsidP="009E7CD3">
      <w:pPr>
        <w:rPr>
          <w:rFonts w:ascii="Arial" w:hAnsi="Arial" w:cs="Arial"/>
        </w:rPr>
      </w:pPr>
      <w:r w:rsidRPr="009E7CD3">
        <w:rPr>
          <w:rFonts w:ascii="Arial" w:hAnsi="Arial" w:cs="Arial"/>
        </w:rPr>
        <w:t xml:space="preserve">• </w:t>
      </w:r>
      <w:r w:rsidRPr="009E7CD3">
        <w:rPr>
          <w:rFonts w:ascii="Arial" w:hAnsi="Arial" w:cs="Arial"/>
          <w:b/>
          <w:bCs/>
        </w:rPr>
        <w:t>Underfunding and workforce shortages</w:t>
      </w:r>
      <w:r w:rsidRPr="009E7CD3">
        <w:rPr>
          <w:rFonts w:ascii="Arial" w:hAnsi="Arial" w:cs="Arial"/>
        </w:rPr>
        <w:t>: The UK faces a critical shortage of nurses, particularly in primary schools, affecting early intervention and safeguarding (RCN, 2024).</w:t>
      </w:r>
    </w:p>
    <w:p w14:paraId="12BE654D" w14:textId="5C99C319" w:rsidR="009E7CD3" w:rsidRPr="009E7CD3" w:rsidRDefault="009E7CD3" w:rsidP="009E7CD3">
      <w:pPr>
        <w:rPr>
          <w:rFonts w:ascii="Arial" w:hAnsi="Arial" w:cs="Arial"/>
        </w:rPr>
      </w:pPr>
      <w:r w:rsidRPr="009E7CD3">
        <w:rPr>
          <w:rFonts w:ascii="Arial" w:hAnsi="Arial" w:cs="Arial"/>
          <w:b/>
          <w:bCs/>
        </w:rPr>
        <w:t>• Data gaps and monitoring:</w:t>
      </w:r>
      <w:r w:rsidRPr="009E7CD3">
        <w:rPr>
          <w:rFonts w:ascii="Arial" w:hAnsi="Arial" w:cs="Arial"/>
        </w:rPr>
        <w:t xml:space="preserve"> Global progress is uneven due to limited data in low-resource settings, affecting accountability and targeted action.</w:t>
      </w:r>
    </w:p>
    <w:p w14:paraId="0FE38651" w14:textId="2D40E442" w:rsidR="004F794A" w:rsidRPr="009E7CD3" w:rsidRDefault="009E7CD3" w:rsidP="009E7CD3">
      <w:pPr>
        <w:rPr>
          <w:rFonts w:ascii="Arial" w:hAnsi="Arial" w:cs="Arial"/>
        </w:rPr>
      </w:pPr>
      <w:r w:rsidRPr="009E7CD3">
        <w:rPr>
          <w:rFonts w:ascii="Arial" w:hAnsi="Arial" w:cs="Arial"/>
        </w:rPr>
        <w:t>Moreover, while theories like COM-B offer robust frameworks, their application can be inconsistent without adequate training and evaluation mechanisms.</w:t>
      </w:r>
    </w:p>
    <w:p w14:paraId="17C4DCFF" w14:textId="16707233" w:rsidR="00811409" w:rsidRPr="00010E33" w:rsidRDefault="00811409" w:rsidP="001E3ADF">
      <w:pPr>
        <w:rPr>
          <w:rFonts w:ascii="Arial" w:hAnsi="Arial" w:cs="Arial"/>
          <w:b/>
          <w:bCs/>
          <w:sz w:val="28"/>
          <w:szCs w:val="28"/>
        </w:rPr>
      </w:pPr>
      <w:r w:rsidRPr="00010E33">
        <w:rPr>
          <w:rFonts w:ascii="Arial" w:hAnsi="Arial" w:cs="Arial"/>
          <w:b/>
          <w:bCs/>
          <w:sz w:val="28"/>
          <w:szCs w:val="28"/>
        </w:rPr>
        <w:t>Recom</w:t>
      </w:r>
      <w:r w:rsidR="00C46471" w:rsidRPr="00010E33">
        <w:rPr>
          <w:rFonts w:ascii="Arial" w:hAnsi="Arial" w:cs="Arial"/>
          <w:b/>
          <w:bCs/>
          <w:sz w:val="28"/>
          <w:szCs w:val="28"/>
        </w:rPr>
        <w:t>mendations</w:t>
      </w:r>
      <w:r w:rsidR="00733699" w:rsidRPr="00010E33">
        <w:rPr>
          <w:rFonts w:ascii="Arial" w:hAnsi="Arial" w:cs="Arial"/>
          <w:b/>
          <w:bCs/>
          <w:sz w:val="28"/>
          <w:szCs w:val="28"/>
        </w:rPr>
        <w:t xml:space="preserve"> (</w:t>
      </w:r>
      <w:r w:rsidR="00BA4AAA" w:rsidRPr="00010E33">
        <w:rPr>
          <w:rFonts w:ascii="Arial" w:hAnsi="Arial" w:cs="Arial"/>
          <w:b/>
          <w:bCs/>
          <w:sz w:val="28"/>
          <w:szCs w:val="28"/>
        </w:rPr>
        <w:t>these should be critically discussed and evidence informed)</w:t>
      </w:r>
    </w:p>
    <w:p w14:paraId="4AD5BCBC" w14:textId="21DABAA9" w:rsidR="00F61333" w:rsidRPr="00F61333" w:rsidRDefault="00F61333" w:rsidP="00F61333">
      <w:pPr>
        <w:rPr>
          <w:rFonts w:ascii="Arial" w:hAnsi="Arial" w:cs="Arial"/>
        </w:rPr>
      </w:pPr>
      <w:r w:rsidRPr="00F61333">
        <w:rPr>
          <w:rFonts w:ascii="Arial" w:hAnsi="Arial" w:cs="Arial"/>
        </w:rPr>
        <w:t xml:space="preserve">1. </w:t>
      </w:r>
      <w:r w:rsidRPr="00A13E5E">
        <w:rPr>
          <w:rFonts w:ascii="Arial" w:hAnsi="Arial" w:cs="Arial"/>
          <w:b/>
          <w:bCs/>
        </w:rPr>
        <w:t>Invest in School Nursing</w:t>
      </w:r>
    </w:p>
    <w:p w14:paraId="04B660C0" w14:textId="77777777" w:rsidR="00F61333" w:rsidRPr="00F61333" w:rsidRDefault="00F61333" w:rsidP="00F61333">
      <w:pPr>
        <w:rPr>
          <w:rFonts w:ascii="Arial" w:hAnsi="Arial" w:cs="Arial"/>
        </w:rPr>
      </w:pPr>
      <w:r w:rsidRPr="00F61333">
        <w:rPr>
          <w:rFonts w:ascii="Arial" w:hAnsi="Arial" w:cs="Arial"/>
        </w:rPr>
        <w:t>Evidence shows that school nurses play a vital role in early identification of health issues, safeguarding, and health education. Expanding this workforce in UK primary schools would support SDG 3 targets on child health and mental wellbeing (RCN, 2024).</w:t>
      </w:r>
    </w:p>
    <w:p w14:paraId="63AA612B" w14:textId="7B26FD92" w:rsidR="00F61333" w:rsidRPr="00A13E5E" w:rsidRDefault="00F61333" w:rsidP="00F61333">
      <w:pPr>
        <w:rPr>
          <w:rFonts w:ascii="Arial" w:hAnsi="Arial" w:cs="Arial"/>
          <w:b/>
          <w:bCs/>
        </w:rPr>
      </w:pPr>
      <w:r w:rsidRPr="00F61333">
        <w:rPr>
          <w:rFonts w:ascii="Arial" w:hAnsi="Arial" w:cs="Arial"/>
        </w:rPr>
        <w:t xml:space="preserve">2. </w:t>
      </w:r>
      <w:r w:rsidRPr="00A13E5E">
        <w:rPr>
          <w:rFonts w:ascii="Arial" w:hAnsi="Arial" w:cs="Arial"/>
          <w:b/>
          <w:bCs/>
        </w:rPr>
        <w:t>Strengthen Community-Based Interventions</w:t>
      </w:r>
    </w:p>
    <w:p w14:paraId="1A5E8A09" w14:textId="77777777" w:rsidR="00F61333" w:rsidRPr="00F61333" w:rsidRDefault="00F61333" w:rsidP="00F61333">
      <w:pPr>
        <w:rPr>
          <w:rFonts w:ascii="Arial" w:hAnsi="Arial" w:cs="Arial"/>
        </w:rPr>
      </w:pPr>
      <w:r w:rsidRPr="00F61333">
        <w:rPr>
          <w:rFonts w:ascii="Arial" w:hAnsi="Arial" w:cs="Arial"/>
        </w:rPr>
        <w:t>Localised, culturally sensitive programmes—like Birmingham’s Be Active—should be scaled up. These initiatives align with the COM-B model by enhancing capability and motivation through peer support and accessible resources.</w:t>
      </w:r>
    </w:p>
    <w:p w14:paraId="37E245D3" w14:textId="4CE15281" w:rsidR="00F61333" w:rsidRPr="00F61333" w:rsidRDefault="00F61333" w:rsidP="00F61333">
      <w:pPr>
        <w:rPr>
          <w:rFonts w:ascii="Arial" w:hAnsi="Arial" w:cs="Arial"/>
        </w:rPr>
      </w:pPr>
      <w:r w:rsidRPr="00F61333">
        <w:rPr>
          <w:rFonts w:ascii="Arial" w:hAnsi="Arial" w:cs="Arial"/>
        </w:rPr>
        <w:t xml:space="preserve">3. </w:t>
      </w:r>
      <w:r w:rsidRPr="00A13E5E">
        <w:rPr>
          <w:rFonts w:ascii="Arial" w:hAnsi="Arial" w:cs="Arial"/>
          <w:b/>
          <w:bCs/>
        </w:rPr>
        <w:t>Enhance Data Systems and Equity Monitoring</w:t>
      </w:r>
    </w:p>
    <w:p w14:paraId="7E9D7F39" w14:textId="77777777" w:rsidR="00F61333" w:rsidRPr="00F61333" w:rsidRDefault="00F61333" w:rsidP="00F61333">
      <w:pPr>
        <w:rPr>
          <w:rFonts w:ascii="Arial" w:hAnsi="Arial" w:cs="Arial"/>
        </w:rPr>
      </w:pPr>
      <w:r w:rsidRPr="00F61333">
        <w:rPr>
          <w:rFonts w:ascii="Arial" w:hAnsi="Arial" w:cs="Arial"/>
        </w:rPr>
        <w:lastRenderedPageBreak/>
        <w:t>Improved data collection, especially disaggregated by ethnicity and deprivation, is essential for targeting interventions and reducing inequalities. NHS Digital and local authorities must collaborate to ensure transparency and responsiveness.</w:t>
      </w:r>
    </w:p>
    <w:p w14:paraId="7B26AA29" w14:textId="2E6DFF21" w:rsidR="00F61333" w:rsidRPr="00F61333" w:rsidRDefault="00F61333" w:rsidP="00F61333">
      <w:pPr>
        <w:rPr>
          <w:rFonts w:ascii="Arial" w:hAnsi="Arial" w:cs="Arial"/>
        </w:rPr>
      </w:pPr>
      <w:r w:rsidRPr="00F61333">
        <w:rPr>
          <w:rFonts w:ascii="Arial" w:hAnsi="Arial" w:cs="Arial"/>
        </w:rPr>
        <w:t xml:space="preserve">4. </w:t>
      </w:r>
      <w:r w:rsidRPr="00A13E5E">
        <w:rPr>
          <w:rFonts w:ascii="Arial" w:hAnsi="Arial" w:cs="Arial"/>
          <w:b/>
          <w:bCs/>
        </w:rPr>
        <w:t>Integrate Health Promotion into Education</w:t>
      </w:r>
    </w:p>
    <w:p w14:paraId="4AF783FA" w14:textId="155ADBDC" w:rsidR="00864B2E" w:rsidRDefault="00F61333" w:rsidP="00F61333">
      <w:pPr>
        <w:rPr>
          <w:rFonts w:ascii="Arial" w:hAnsi="Arial" w:cs="Arial"/>
        </w:rPr>
      </w:pPr>
      <w:r w:rsidRPr="00F61333">
        <w:rPr>
          <w:rFonts w:ascii="Arial" w:hAnsi="Arial" w:cs="Arial"/>
        </w:rPr>
        <w:t>Embedding health literacy and wellbeing into school curricula supports lifelong healthy behaviours. The HBM can inform curriculum design by addressing perceived barriers and benefits.</w:t>
      </w:r>
    </w:p>
    <w:p w14:paraId="5A276009" w14:textId="05116CAA" w:rsidR="00307FBA" w:rsidRPr="00307FBA" w:rsidRDefault="00307FBA" w:rsidP="00307FBA">
      <w:pPr>
        <w:rPr>
          <w:rFonts w:ascii="Arial" w:hAnsi="Arial" w:cs="Arial"/>
        </w:rPr>
      </w:pPr>
      <w:r w:rsidRPr="00307FBA">
        <w:rPr>
          <w:rFonts w:ascii="Arial" w:hAnsi="Arial" w:cs="Arial"/>
        </w:rPr>
        <w:t xml:space="preserve">5. </w:t>
      </w:r>
      <w:r w:rsidRPr="00307FBA">
        <w:rPr>
          <w:rFonts w:ascii="Arial" w:hAnsi="Arial" w:cs="Arial"/>
          <w:b/>
          <w:bCs/>
        </w:rPr>
        <w:t>Global Solidarity and Funding</w:t>
      </w:r>
    </w:p>
    <w:p w14:paraId="72FBF42A" w14:textId="339C313B" w:rsidR="00F61333" w:rsidRPr="002E24D5" w:rsidRDefault="00307FBA" w:rsidP="00307FBA">
      <w:pPr>
        <w:rPr>
          <w:rFonts w:ascii="Arial" w:hAnsi="Arial" w:cs="Arial"/>
        </w:rPr>
      </w:pPr>
      <w:r w:rsidRPr="00307FBA">
        <w:rPr>
          <w:rFonts w:ascii="Arial" w:hAnsi="Arial" w:cs="Arial"/>
        </w:rPr>
        <w:t>High-income countries must honour commitments to global health financing, particularly for vaccine equity and maternal health. The SDG3 GAP should be expanded to include more regional actors and civil society organisations.</w:t>
      </w:r>
    </w:p>
    <w:p w14:paraId="0C37D966" w14:textId="25AA0D0D" w:rsidR="004C6BFB" w:rsidRDefault="004C6BFB" w:rsidP="001E3ADF">
      <w:pPr>
        <w:rPr>
          <w:rFonts w:ascii="Arial" w:hAnsi="Arial" w:cs="Arial"/>
          <w:b/>
          <w:bCs/>
        </w:rPr>
      </w:pPr>
      <w:r>
        <w:rPr>
          <w:rFonts w:ascii="Arial" w:hAnsi="Arial" w:cs="Arial"/>
          <w:b/>
          <w:bCs/>
        </w:rPr>
        <w:t>Overview</w:t>
      </w:r>
      <w:r w:rsidR="0018389C">
        <w:rPr>
          <w:rFonts w:ascii="Arial" w:hAnsi="Arial" w:cs="Arial"/>
          <w:b/>
          <w:bCs/>
        </w:rPr>
        <w:t>, global / national/local poli</w:t>
      </w:r>
      <w:r w:rsidR="00E769C6">
        <w:rPr>
          <w:rFonts w:ascii="Arial" w:hAnsi="Arial" w:cs="Arial"/>
          <w:b/>
          <w:bCs/>
        </w:rPr>
        <w:t xml:space="preserve">ces and initiatives, use of theories, critical </w:t>
      </w:r>
      <w:r w:rsidR="00C40506">
        <w:rPr>
          <w:rFonts w:ascii="Arial" w:hAnsi="Arial" w:cs="Arial"/>
          <w:b/>
          <w:bCs/>
        </w:rPr>
        <w:t>evaluation, recommendations.</w:t>
      </w:r>
    </w:p>
    <w:p w14:paraId="08DC62ED" w14:textId="77777777" w:rsidR="001E7804" w:rsidRDefault="001E7804" w:rsidP="001E3ADF">
      <w:pPr>
        <w:rPr>
          <w:rFonts w:ascii="Arial" w:hAnsi="Arial" w:cs="Arial"/>
          <w:b/>
          <w:bCs/>
        </w:rPr>
      </w:pPr>
    </w:p>
    <w:p w14:paraId="28D4BCA6" w14:textId="5C118D8A" w:rsidR="00037BC4" w:rsidRPr="007E28CE" w:rsidRDefault="001E7804" w:rsidP="00037BC4">
      <w:pPr>
        <w:rPr>
          <w:rFonts w:ascii="Arial" w:hAnsi="Arial" w:cs="Arial"/>
          <w:b/>
          <w:bCs/>
          <w:sz w:val="32"/>
          <w:szCs w:val="32"/>
          <w:u w:val="single"/>
        </w:rPr>
      </w:pPr>
      <w:r>
        <w:rPr>
          <w:rFonts w:ascii="Arial" w:hAnsi="Arial" w:cs="Arial"/>
          <w:b/>
          <w:bCs/>
          <w:sz w:val="32"/>
          <w:szCs w:val="32"/>
          <w:u w:val="single"/>
        </w:rPr>
        <w:t>Section 2: SDG16</w:t>
      </w:r>
    </w:p>
    <w:p w14:paraId="7011AF52" w14:textId="2F692387" w:rsidR="00037BC4" w:rsidRPr="00037BC4" w:rsidRDefault="00037BC4" w:rsidP="00037BC4">
      <w:pPr>
        <w:rPr>
          <w:rFonts w:ascii="Arial" w:hAnsi="Arial" w:cs="Arial"/>
        </w:rPr>
      </w:pPr>
      <w:r w:rsidRPr="00037BC4">
        <w:rPr>
          <w:rFonts w:ascii="Arial" w:hAnsi="Arial" w:cs="Arial"/>
        </w:rPr>
        <w:t xml:space="preserve">Sustainable Development Goal 16 seeks “peaceful, just and inclusive societies” by strengthening institutions, ensuring access to justice, reducing violence, and promoting accountable, transparent governance at all levels (United Nations, </w:t>
      </w:r>
      <w:r w:rsidR="004E6D66">
        <w:rPr>
          <w:rFonts w:ascii="Arial" w:hAnsi="Arial" w:cs="Arial"/>
        </w:rPr>
        <w:t>2025</w:t>
      </w:r>
      <w:r w:rsidRPr="00037BC4">
        <w:rPr>
          <w:rFonts w:ascii="Arial" w:hAnsi="Arial" w:cs="Arial"/>
        </w:rPr>
        <w:t xml:space="preserve">.; UN General Assembly, 2015). SDG16 is distinctive because it targets both state capacity (institutions, rule of law) and social dimensions (participation, civic space), and therefore sits at the intersection of development, human rights and security. Progress on SDG16 is widely recognised as an enabler for other goals — weak governance undermines poverty reduction, health, and education outcomes — but measurement and implementation remain complex because many targets are qualitative and politically sensitive (Transparency International, 2020; UNODC, </w:t>
      </w:r>
      <w:r w:rsidR="00F80E69">
        <w:rPr>
          <w:rFonts w:ascii="Arial" w:hAnsi="Arial" w:cs="Arial"/>
        </w:rPr>
        <w:t>2022</w:t>
      </w:r>
      <w:r w:rsidRPr="00037BC4">
        <w:rPr>
          <w:rFonts w:ascii="Arial" w:hAnsi="Arial" w:cs="Arial"/>
        </w:rPr>
        <w:t>.).</w:t>
      </w:r>
    </w:p>
    <w:p w14:paraId="51AF899F" w14:textId="0FEB5C12" w:rsidR="00037BC4" w:rsidRPr="002C3A4D" w:rsidRDefault="00037BC4" w:rsidP="00037BC4">
      <w:pPr>
        <w:rPr>
          <w:rFonts w:ascii="Arial" w:hAnsi="Arial" w:cs="Arial"/>
          <w:b/>
          <w:bCs/>
          <w:sz w:val="28"/>
          <w:szCs w:val="28"/>
        </w:rPr>
      </w:pPr>
      <w:r w:rsidRPr="002C3A4D">
        <w:rPr>
          <w:rFonts w:ascii="Arial" w:hAnsi="Arial" w:cs="Arial"/>
          <w:b/>
          <w:bCs/>
          <w:sz w:val="28"/>
          <w:szCs w:val="28"/>
        </w:rPr>
        <w:t>Global policies and initiatives — focus on Palestine</w:t>
      </w:r>
    </w:p>
    <w:p w14:paraId="563F8688" w14:textId="3191B985" w:rsidR="00037BC4" w:rsidRPr="00037BC4" w:rsidRDefault="00037BC4" w:rsidP="00037BC4">
      <w:pPr>
        <w:rPr>
          <w:rFonts w:ascii="Arial" w:hAnsi="Arial" w:cs="Arial"/>
        </w:rPr>
      </w:pPr>
      <w:r w:rsidRPr="00037BC4">
        <w:rPr>
          <w:rFonts w:ascii="Arial" w:hAnsi="Arial" w:cs="Arial"/>
        </w:rPr>
        <w:t xml:space="preserve">At the multilateral level, the UN system promotes SDG16 through normative guidance, measurement tools and country-level programming (United Nations, </w:t>
      </w:r>
      <w:r w:rsidR="004E6D66">
        <w:rPr>
          <w:rFonts w:ascii="Arial" w:hAnsi="Arial" w:cs="Arial"/>
        </w:rPr>
        <w:t>2025</w:t>
      </w:r>
      <w:r w:rsidRPr="00037BC4">
        <w:rPr>
          <w:rFonts w:ascii="Arial" w:hAnsi="Arial" w:cs="Arial"/>
        </w:rPr>
        <w:t xml:space="preserve">.; UNODC, </w:t>
      </w:r>
      <w:r w:rsidR="00F80E69">
        <w:rPr>
          <w:rFonts w:ascii="Arial" w:hAnsi="Arial" w:cs="Arial"/>
        </w:rPr>
        <w:t>2022</w:t>
      </w:r>
      <w:r w:rsidRPr="00037BC4">
        <w:rPr>
          <w:rFonts w:ascii="Arial" w:hAnsi="Arial" w:cs="Arial"/>
        </w:rPr>
        <w:t xml:space="preserve">.). In the State of </w:t>
      </w:r>
      <w:r w:rsidR="004E6D66" w:rsidRPr="00037BC4">
        <w:rPr>
          <w:rFonts w:ascii="Arial" w:hAnsi="Arial" w:cs="Arial"/>
        </w:rPr>
        <w:t>Palestine,</w:t>
      </w:r>
      <w:r w:rsidRPr="00037BC4">
        <w:rPr>
          <w:rFonts w:ascii="Arial" w:hAnsi="Arial" w:cs="Arial"/>
        </w:rPr>
        <w:t xml:space="preserve"> the UN and partners have concentrated on rule-of-law strengthening and access to justice through integrated programmes. A flagship example is the joint “</w:t>
      </w:r>
      <w:proofErr w:type="spellStart"/>
      <w:r w:rsidRPr="00037BC4">
        <w:rPr>
          <w:rFonts w:ascii="Arial" w:hAnsi="Arial" w:cs="Arial"/>
        </w:rPr>
        <w:t>Sawasya</w:t>
      </w:r>
      <w:proofErr w:type="spellEnd"/>
      <w:r w:rsidRPr="00037BC4">
        <w:rPr>
          <w:rFonts w:ascii="Arial" w:hAnsi="Arial" w:cs="Arial"/>
        </w:rPr>
        <w:t xml:space="preserve"> II: Promoting the Rule of Law in Palestine” programme (UNDP/UN Women/UNICEF &amp; MPTF), which supports judicial capacity, legal aid, gender-sensitive justice, and community-level access to services — explicitly framed against SDG16 targets (MPTF/UNDP et al., 2024). These interventions operate in an extremely volatile political and security environment; programmes therefore combine institution-building with protection services and documentation, recognising that formal legal reform alone is insufficient where civic space is constrained and service delivery is intermittent (MPTF/UNDP et al., 2024).</w:t>
      </w:r>
    </w:p>
    <w:p w14:paraId="5E18ED37" w14:textId="77777777" w:rsidR="00037BC4" w:rsidRPr="00037BC4" w:rsidRDefault="00037BC4" w:rsidP="00037BC4">
      <w:pPr>
        <w:rPr>
          <w:rFonts w:ascii="Arial" w:hAnsi="Arial" w:cs="Arial"/>
        </w:rPr>
      </w:pPr>
    </w:p>
    <w:p w14:paraId="312C1E8C" w14:textId="1FA92011" w:rsidR="00037BC4" w:rsidRPr="002C3A4D" w:rsidRDefault="00037BC4" w:rsidP="00037BC4">
      <w:pPr>
        <w:rPr>
          <w:rFonts w:ascii="Arial" w:hAnsi="Arial" w:cs="Arial"/>
          <w:b/>
          <w:bCs/>
          <w:sz w:val="28"/>
          <w:szCs w:val="28"/>
        </w:rPr>
      </w:pPr>
      <w:r w:rsidRPr="002C3A4D">
        <w:rPr>
          <w:rFonts w:ascii="Arial" w:hAnsi="Arial" w:cs="Arial"/>
          <w:b/>
          <w:bCs/>
          <w:sz w:val="28"/>
          <w:szCs w:val="28"/>
        </w:rPr>
        <w:t>National and local examples — UK and Birmingham</w:t>
      </w:r>
    </w:p>
    <w:p w14:paraId="049C9CBB" w14:textId="77777777" w:rsidR="00037BC4" w:rsidRPr="00037BC4" w:rsidRDefault="00037BC4" w:rsidP="00037BC4">
      <w:pPr>
        <w:rPr>
          <w:rFonts w:ascii="Arial" w:hAnsi="Arial" w:cs="Arial"/>
        </w:rPr>
      </w:pPr>
      <w:r w:rsidRPr="00037BC4">
        <w:rPr>
          <w:rFonts w:ascii="Arial" w:hAnsi="Arial" w:cs="Arial"/>
        </w:rPr>
        <w:t xml:space="preserve">At national level the UK pursues SDG16-relevant aims through governance, anti-corruption and rule-of-law programming internationally, and through domestic mechanisms such as Community Safety Partnerships (CSPs) created under the Crime and Disorder Act (1998) to </w:t>
      </w:r>
      <w:r w:rsidRPr="00037BC4">
        <w:rPr>
          <w:rFonts w:ascii="Arial" w:hAnsi="Arial" w:cs="Arial"/>
        </w:rPr>
        <w:lastRenderedPageBreak/>
        <w:t>coordinate crime reduction and partnership working (GOV.UK, 2024). Locally, Birmingham provides a practical illustration of how SDG16-type objectives translate into municipal practice. The Birmingham Community Safety Partnership and the City Council’s community safety functions deliver crime-prevention, violence-reduction and victim support programmes while coordinating police, health, and probation services — operationalising inclusion, accountability and safety at neighbourhood scale (Birmingham Community Safety Partnership, n.d.; Birmingham City Council, 2024). Such local structures show how institutional arrangements can target both criminality and the social determinants of insecurity (e.g., youth services, housing), aligning with SDG16’s cross-sectoral logic.</w:t>
      </w:r>
    </w:p>
    <w:p w14:paraId="07356A6F" w14:textId="77777777" w:rsidR="00037BC4" w:rsidRPr="00037BC4" w:rsidRDefault="00037BC4" w:rsidP="00037BC4">
      <w:pPr>
        <w:rPr>
          <w:rFonts w:ascii="Arial" w:hAnsi="Arial" w:cs="Arial"/>
        </w:rPr>
      </w:pPr>
    </w:p>
    <w:p w14:paraId="7D6467FC" w14:textId="041F1CB1" w:rsidR="00037BC4" w:rsidRPr="002C3A4D" w:rsidRDefault="00037BC4" w:rsidP="00037BC4">
      <w:pPr>
        <w:rPr>
          <w:rFonts w:ascii="Arial" w:hAnsi="Arial" w:cs="Arial"/>
          <w:b/>
          <w:bCs/>
          <w:sz w:val="28"/>
          <w:szCs w:val="28"/>
        </w:rPr>
      </w:pPr>
      <w:r w:rsidRPr="002C3A4D">
        <w:rPr>
          <w:rFonts w:ascii="Arial" w:hAnsi="Arial" w:cs="Arial"/>
          <w:b/>
          <w:bCs/>
          <w:sz w:val="28"/>
          <w:szCs w:val="28"/>
        </w:rPr>
        <w:t>Use of theories / models</w:t>
      </w:r>
    </w:p>
    <w:p w14:paraId="630F005F" w14:textId="7AE10148" w:rsidR="001904ED" w:rsidRPr="001904ED" w:rsidRDefault="001904ED" w:rsidP="00037BC4">
      <w:pPr>
        <w:rPr>
          <w:rFonts w:ascii="Arial" w:hAnsi="Arial" w:cs="Arial"/>
        </w:rPr>
      </w:pPr>
      <w:r w:rsidRPr="001904ED">
        <w:rPr>
          <w:rFonts w:ascii="Arial" w:hAnsi="Arial" w:cs="Arial"/>
          <w:b/>
          <w:bCs/>
        </w:rPr>
        <w:t>Social Capital Theory (Putnam, 1993)</w:t>
      </w:r>
      <w:r w:rsidRPr="001904ED">
        <w:rPr>
          <w:rFonts w:ascii="Arial" w:hAnsi="Arial" w:cs="Arial"/>
        </w:rPr>
        <w:t xml:space="preserve"> shows that trust, reciprocity, and civic engagement are essential for effective governance, suggesting SDG16 reforms succeed only where communities can cooperate and hold authorities accountable. Institutional Theory (North, 1990) highlights that success depends on adapting to local norms and institutions</w:t>
      </w:r>
      <w:r w:rsidRPr="001904ED">
        <w:rPr>
          <w:rFonts w:ascii="Arial" w:hAnsi="Arial" w:cs="Arial"/>
          <w:b/>
          <w:bCs/>
        </w:rPr>
        <w:t>. Good and Multi-Level Governance models (Rhodes, 1996;</w:t>
      </w:r>
      <w:r w:rsidRPr="001904ED">
        <w:rPr>
          <w:rFonts w:ascii="Arial" w:hAnsi="Arial" w:cs="Arial"/>
        </w:rPr>
        <w:t xml:space="preserve"> </w:t>
      </w:r>
      <w:r w:rsidRPr="002C563D">
        <w:rPr>
          <w:rFonts w:ascii="Arial" w:hAnsi="Arial" w:cs="Arial"/>
          <w:b/>
          <w:bCs/>
        </w:rPr>
        <w:t>Pierre and Peters, 2000)</w:t>
      </w:r>
      <w:r w:rsidRPr="001904ED">
        <w:rPr>
          <w:rFonts w:ascii="Arial" w:hAnsi="Arial" w:cs="Arial"/>
        </w:rPr>
        <w:t xml:space="preserve"> stress coordination between global, national, and local actors. Birmingham’s Community Safety Partnerships exemplify collaborative governance (GOV.UK, 2024). Collectively, these theories reveal that achieving SDG16 requires structural reform alongside community participation, social trust, and inclusive, legitimate governance systems.</w:t>
      </w:r>
    </w:p>
    <w:p w14:paraId="42B0F3E4" w14:textId="1BBFD571" w:rsidR="00037BC4" w:rsidRPr="002C3A4D" w:rsidRDefault="00037BC4" w:rsidP="00037BC4">
      <w:pPr>
        <w:rPr>
          <w:rFonts w:ascii="Arial" w:hAnsi="Arial" w:cs="Arial"/>
          <w:b/>
          <w:bCs/>
          <w:sz w:val="28"/>
          <w:szCs w:val="28"/>
        </w:rPr>
      </w:pPr>
      <w:r w:rsidRPr="002C3A4D">
        <w:rPr>
          <w:rFonts w:ascii="Arial" w:hAnsi="Arial" w:cs="Arial"/>
          <w:b/>
          <w:bCs/>
          <w:sz w:val="28"/>
          <w:szCs w:val="28"/>
        </w:rPr>
        <w:t>Critical evaluation</w:t>
      </w:r>
    </w:p>
    <w:p w14:paraId="1152B138" w14:textId="47EA5B5D" w:rsidR="002C563D" w:rsidRDefault="00037BC4" w:rsidP="00037BC4">
      <w:pPr>
        <w:rPr>
          <w:rFonts w:ascii="Arial" w:hAnsi="Arial" w:cs="Arial"/>
        </w:rPr>
      </w:pPr>
      <w:r w:rsidRPr="00037BC4">
        <w:rPr>
          <w:rFonts w:ascii="Arial" w:hAnsi="Arial" w:cs="Arial"/>
        </w:rPr>
        <w:t xml:space="preserve">SDG16’s strengths lie in its comprehensive framing — linking justice, institutions and participation — and in catalysing policy coherence across sectors. However, progress has been uneven. Measurement problems (limited data on access to justice, civic space indicators) and political sensitivity (targets touch on sovereignty, conflict and corruption) impede monitoring and accountability (Transparency International, 2020; UNODC, </w:t>
      </w:r>
      <w:r w:rsidR="007356A2">
        <w:rPr>
          <w:rFonts w:ascii="Arial" w:hAnsi="Arial" w:cs="Arial"/>
        </w:rPr>
        <w:t>2022</w:t>
      </w:r>
      <w:r w:rsidRPr="00037BC4">
        <w:rPr>
          <w:rFonts w:ascii="Arial" w:hAnsi="Arial" w:cs="Arial"/>
        </w:rPr>
        <w:t xml:space="preserve">.). In fragile contexts, donor-led institutional programmes (e.g., </w:t>
      </w:r>
      <w:proofErr w:type="spellStart"/>
      <w:r w:rsidRPr="00037BC4">
        <w:rPr>
          <w:rFonts w:ascii="Arial" w:hAnsi="Arial" w:cs="Arial"/>
        </w:rPr>
        <w:t>Sawasya</w:t>
      </w:r>
      <w:proofErr w:type="spellEnd"/>
      <w:r w:rsidRPr="00037BC4">
        <w:rPr>
          <w:rFonts w:ascii="Arial" w:hAnsi="Arial" w:cs="Arial"/>
        </w:rPr>
        <w:t xml:space="preserve"> II) have achieved important capacity gains but are vulnerable to short funding cycles and political shocks; capacity building without parallel advances in political settlements or civic freedoms risks limited sustainability (MPTF/UNDP et al., 2024). At local levels in the UK, CSPs demonstrate good practice in partnership working, yet evidence on long-term prevention and equality of outcomes is mixed — outcomes often depend on resourcing, data-sharing, and the strength of community trust (GOV.UK, 2024; Birmingham Community Safety Partnership, </w:t>
      </w:r>
      <w:r w:rsidR="00BB4D6F">
        <w:rPr>
          <w:rFonts w:ascii="Arial" w:hAnsi="Arial" w:cs="Arial"/>
        </w:rPr>
        <w:t>2025</w:t>
      </w:r>
      <w:r w:rsidRPr="00037BC4">
        <w:rPr>
          <w:rFonts w:ascii="Arial" w:hAnsi="Arial" w:cs="Arial"/>
        </w:rPr>
        <w:t>.).</w:t>
      </w:r>
    </w:p>
    <w:p w14:paraId="78456D0B" w14:textId="77777777" w:rsidR="002C563D" w:rsidRDefault="002C563D" w:rsidP="00037BC4">
      <w:pPr>
        <w:rPr>
          <w:rFonts w:ascii="Arial" w:hAnsi="Arial" w:cs="Arial"/>
        </w:rPr>
      </w:pPr>
    </w:p>
    <w:p w14:paraId="10EB4836" w14:textId="46033C4C" w:rsidR="00037BC4" w:rsidRPr="002C3A4D" w:rsidRDefault="00037BC4" w:rsidP="00037BC4">
      <w:pPr>
        <w:rPr>
          <w:rFonts w:ascii="Arial" w:hAnsi="Arial" w:cs="Arial"/>
          <w:b/>
          <w:bCs/>
          <w:sz w:val="28"/>
          <w:szCs w:val="28"/>
        </w:rPr>
      </w:pPr>
      <w:r w:rsidRPr="002C3A4D">
        <w:rPr>
          <w:rFonts w:ascii="Arial" w:hAnsi="Arial" w:cs="Arial"/>
          <w:b/>
          <w:bCs/>
          <w:sz w:val="28"/>
          <w:szCs w:val="28"/>
        </w:rPr>
        <w:t>Recommendations (critically discussed and evidence-informed)</w:t>
      </w:r>
    </w:p>
    <w:p w14:paraId="62B8BFC8" w14:textId="66786B84" w:rsidR="00C474D4" w:rsidRPr="00653A04" w:rsidRDefault="00653A04" w:rsidP="001E3ADF">
      <w:pPr>
        <w:rPr>
          <w:rFonts w:ascii="Arial" w:hAnsi="Arial" w:cs="Arial"/>
        </w:rPr>
      </w:pPr>
      <w:r w:rsidRPr="00653A04">
        <w:rPr>
          <w:rFonts w:ascii="Arial" w:hAnsi="Arial" w:cs="Arial"/>
        </w:rPr>
        <w:t xml:space="preserve">To advance SDG16, five key recommendations emerge. First, strengthen measurement and transparency by investing in nationally representative surveys and administrative data to track indicators and improve accountability (UNODC, n.d.; Transparency International, 2020). Data collection, however, must protect vulnerable groups. Second, combine formal reforms with social capital building—linking judicial capacity-building with community engagement to foster trust and resilience (Putnam, 1993; MPTF/UNDP et al., 2024). Third, ensure sustained funding and local ownership through long-term, context-sensitive donor support that empowers local actors; </w:t>
      </w:r>
      <w:r w:rsidR="002C3A4D" w:rsidRPr="00653A04">
        <w:rPr>
          <w:rFonts w:ascii="Arial" w:hAnsi="Arial" w:cs="Arial"/>
        </w:rPr>
        <w:t>yet</w:t>
      </w:r>
      <w:r w:rsidRPr="00653A04">
        <w:rPr>
          <w:rFonts w:ascii="Arial" w:hAnsi="Arial" w:cs="Arial"/>
        </w:rPr>
        <w:t xml:space="preserve"> political constraints may limit reform autonomy (MPTF/UNDP et al., 2024). Fourth, scale best practices at municipal levels—UK Community Safety Partnerships demonstrate the benefits of cross-agency collaboration and evidence-</w:t>
      </w:r>
      <w:r w:rsidRPr="00653A04">
        <w:rPr>
          <w:rFonts w:ascii="Arial" w:hAnsi="Arial" w:cs="Arial"/>
        </w:rPr>
        <w:lastRenderedPageBreak/>
        <w:t>based prevention (GOV.UK, 2024; Birmingham Community Safety Partnership, 2025). Finally, protect civic space and strengthen anti-corruption measures by supporting independent watchdogs and civil society oversight (Transparency International, 2020). Collectively, these actions highlight the need for integrated, inclusive, and politically informed approaches bridging global frameworks with local realities.</w:t>
      </w:r>
    </w:p>
    <w:p w14:paraId="1275409E" w14:textId="77777777" w:rsidR="00001391" w:rsidRDefault="00001391" w:rsidP="001E3ADF">
      <w:pPr>
        <w:rPr>
          <w:rFonts w:ascii="Arial" w:hAnsi="Arial" w:cs="Arial"/>
          <w:b/>
          <w:bCs/>
          <w:sz w:val="32"/>
          <w:szCs w:val="32"/>
          <w:u w:val="single"/>
        </w:rPr>
      </w:pPr>
    </w:p>
    <w:p w14:paraId="42912545" w14:textId="7F702251" w:rsidR="00C474D4" w:rsidRDefault="00C474D4" w:rsidP="001E3ADF">
      <w:pPr>
        <w:rPr>
          <w:rFonts w:ascii="Arial" w:hAnsi="Arial" w:cs="Arial"/>
          <w:b/>
          <w:bCs/>
          <w:sz w:val="32"/>
          <w:szCs w:val="32"/>
          <w:u w:val="single"/>
        </w:rPr>
      </w:pPr>
      <w:r>
        <w:rPr>
          <w:rFonts w:ascii="Arial" w:hAnsi="Arial" w:cs="Arial"/>
          <w:b/>
          <w:bCs/>
          <w:sz w:val="32"/>
          <w:szCs w:val="32"/>
          <w:u w:val="single"/>
        </w:rPr>
        <w:t>Conclusion</w:t>
      </w:r>
    </w:p>
    <w:p w14:paraId="0CFE9F4E" w14:textId="2EFA8B5A" w:rsidR="00532D21" w:rsidRPr="00532D21" w:rsidRDefault="00532D21" w:rsidP="00532D21">
      <w:pPr>
        <w:rPr>
          <w:rFonts w:ascii="Arial" w:hAnsi="Arial" w:cs="Arial"/>
        </w:rPr>
      </w:pPr>
      <w:r w:rsidRPr="00532D21">
        <w:rPr>
          <w:rFonts w:ascii="Arial" w:hAnsi="Arial" w:cs="Arial"/>
        </w:rPr>
        <w:t xml:space="preserve">SDG16 embodies the interdependence of peace, justice, and effective institutions as prerequisites for sustainable development (United Nations, </w:t>
      </w:r>
      <w:r w:rsidR="00533606">
        <w:rPr>
          <w:rFonts w:ascii="Arial" w:hAnsi="Arial" w:cs="Arial"/>
        </w:rPr>
        <w:t>2025</w:t>
      </w:r>
      <w:r w:rsidRPr="00532D21">
        <w:rPr>
          <w:rFonts w:ascii="Arial" w:hAnsi="Arial" w:cs="Arial"/>
        </w:rPr>
        <w:t xml:space="preserve">.). This analysis has shown that while the goal provides a comprehensive global framework, implementation remains uneven and context dependent. In Palestine, initiatives such as the </w:t>
      </w:r>
      <w:proofErr w:type="spellStart"/>
      <w:r w:rsidRPr="00532D21">
        <w:rPr>
          <w:rFonts w:ascii="Arial" w:hAnsi="Arial" w:cs="Arial"/>
          <w:i/>
          <w:iCs/>
        </w:rPr>
        <w:t>Sawasya</w:t>
      </w:r>
      <w:proofErr w:type="spellEnd"/>
      <w:r w:rsidRPr="00532D21">
        <w:rPr>
          <w:rFonts w:ascii="Arial" w:hAnsi="Arial" w:cs="Arial"/>
          <w:i/>
          <w:iCs/>
        </w:rPr>
        <w:t xml:space="preserve"> II</w:t>
      </w:r>
      <w:r w:rsidRPr="00532D21">
        <w:rPr>
          <w:rFonts w:ascii="Arial" w:hAnsi="Arial" w:cs="Arial"/>
        </w:rPr>
        <w:t xml:space="preserve"> programme demonstrate the value of integrated, rights-based approaches to justice reform, yet persistent political instability and limited local autonomy restrict long-term progress (MPTF/UNDP et al., 2024). In contrast, the UK and Birmingham illustrate how stable governance systems can operationalise SDG16 principles through community safety partnerships and inter-agency collaboration (Birmingham City Council, 2024; GOV.UK, 2024).</w:t>
      </w:r>
    </w:p>
    <w:p w14:paraId="1F323919" w14:textId="6123A7DD" w:rsidR="00532D21" w:rsidRPr="00532D21" w:rsidRDefault="00532D21" w:rsidP="00532D21">
      <w:pPr>
        <w:rPr>
          <w:rFonts w:ascii="Arial" w:hAnsi="Arial" w:cs="Arial"/>
        </w:rPr>
      </w:pPr>
      <w:r w:rsidRPr="00532D21">
        <w:rPr>
          <w:rFonts w:ascii="Arial" w:hAnsi="Arial" w:cs="Arial"/>
        </w:rPr>
        <w:t xml:space="preserve">The application of governance and institutional theories highlights that building social trust and legitimacy is as crucial as legal or procedural reform (Putnam, 1993; North, 1990). Strengthening data systems, supporting civic participation, and ensuring sustained funding emerged as key conditions for meaningful progress (Transparency International, 2020; UNODC, </w:t>
      </w:r>
      <w:r w:rsidR="00BF44C1">
        <w:rPr>
          <w:rFonts w:ascii="Arial" w:hAnsi="Arial" w:cs="Arial"/>
        </w:rPr>
        <w:t>2022</w:t>
      </w:r>
      <w:r w:rsidRPr="00532D21">
        <w:rPr>
          <w:rFonts w:ascii="Arial" w:hAnsi="Arial" w:cs="Arial"/>
        </w:rPr>
        <w:t>.).</w:t>
      </w:r>
    </w:p>
    <w:p w14:paraId="64C52BAD" w14:textId="77777777" w:rsidR="00532D21" w:rsidRPr="00532D21" w:rsidRDefault="00532D21" w:rsidP="00532D21">
      <w:pPr>
        <w:rPr>
          <w:rFonts w:ascii="Arial" w:hAnsi="Arial" w:cs="Arial"/>
        </w:rPr>
      </w:pPr>
      <w:r w:rsidRPr="00532D21">
        <w:rPr>
          <w:rFonts w:ascii="Arial" w:hAnsi="Arial" w:cs="Arial"/>
        </w:rPr>
        <w:t>More broadly, SDG16 is a cornerstone for achieving all other Sustainable Development Goals: without accountable institutions and societal trust, development gains are fragile. Therefore, global and local actors must prioritise inclusive, evidence-informed, and politically sensitive strategies to build the resilient institutions upon which sustainable peace and justice depend.</w:t>
      </w:r>
    </w:p>
    <w:p w14:paraId="4F64AD0F" w14:textId="77777777" w:rsidR="00532D21" w:rsidRPr="00532D21" w:rsidRDefault="00532D21" w:rsidP="001E3ADF">
      <w:pPr>
        <w:rPr>
          <w:rFonts w:ascii="Arial" w:hAnsi="Arial" w:cs="Arial"/>
        </w:rPr>
      </w:pPr>
    </w:p>
    <w:p w14:paraId="619C7C15" w14:textId="77777777" w:rsidR="00760C2A" w:rsidRDefault="00760C2A" w:rsidP="001E3ADF">
      <w:pPr>
        <w:rPr>
          <w:rFonts w:ascii="Arial" w:hAnsi="Arial" w:cs="Arial"/>
          <w:b/>
          <w:bCs/>
        </w:rPr>
      </w:pPr>
    </w:p>
    <w:p w14:paraId="76DC5AC7" w14:textId="77777777" w:rsidR="000A1D5D" w:rsidRDefault="000A1D5D" w:rsidP="001E3ADF">
      <w:pPr>
        <w:rPr>
          <w:rFonts w:ascii="Arial" w:hAnsi="Arial" w:cs="Arial"/>
          <w:b/>
          <w:bCs/>
        </w:rPr>
      </w:pPr>
    </w:p>
    <w:p w14:paraId="7AA56105" w14:textId="77777777" w:rsidR="000A1D5D" w:rsidRDefault="000A1D5D" w:rsidP="001E3ADF">
      <w:pPr>
        <w:rPr>
          <w:rFonts w:ascii="Arial" w:hAnsi="Arial" w:cs="Arial"/>
          <w:b/>
          <w:bCs/>
        </w:rPr>
      </w:pPr>
    </w:p>
    <w:p w14:paraId="3D69F5E8" w14:textId="77777777" w:rsidR="000A1D5D" w:rsidRDefault="000A1D5D" w:rsidP="001E3ADF">
      <w:pPr>
        <w:rPr>
          <w:rFonts w:ascii="Arial" w:hAnsi="Arial" w:cs="Arial"/>
          <w:b/>
          <w:bCs/>
        </w:rPr>
      </w:pPr>
    </w:p>
    <w:p w14:paraId="4BA1C5E3" w14:textId="77777777" w:rsidR="000A1D5D" w:rsidRDefault="000A1D5D" w:rsidP="001E3ADF">
      <w:pPr>
        <w:rPr>
          <w:rFonts w:ascii="Arial" w:hAnsi="Arial" w:cs="Arial"/>
          <w:b/>
          <w:bCs/>
        </w:rPr>
      </w:pPr>
    </w:p>
    <w:p w14:paraId="3D791EA3" w14:textId="77777777" w:rsidR="000A1D5D" w:rsidRDefault="000A1D5D" w:rsidP="001E3ADF">
      <w:pPr>
        <w:rPr>
          <w:rFonts w:ascii="Arial" w:hAnsi="Arial" w:cs="Arial"/>
          <w:b/>
          <w:bCs/>
        </w:rPr>
      </w:pPr>
    </w:p>
    <w:p w14:paraId="0DF58B35" w14:textId="77777777" w:rsidR="000A1D5D" w:rsidRDefault="000A1D5D" w:rsidP="001E3ADF">
      <w:pPr>
        <w:rPr>
          <w:rFonts w:ascii="Arial" w:hAnsi="Arial" w:cs="Arial"/>
          <w:b/>
          <w:bCs/>
        </w:rPr>
      </w:pPr>
    </w:p>
    <w:p w14:paraId="72FC7F07" w14:textId="77777777" w:rsidR="000A1D5D" w:rsidRDefault="000A1D5D" w:rsidP="001E3ADF">
      <w:pPr>
        <w:rPr>
          <w:rFonts w:ascii="Arial" w:hAnsi="Arial" w:cs="Arial"/>
          <w:b/>
          <w:bCs/>
        </w:rPr>
      </w:pPr>
    </w:p>
    <w:p w14:paraId="75EF3CA6" w14:textId="77777777" w:rsidR="000A1D5D" w:rsidRDefault="000A1D5D" w:rsidP="001E3ADF">
      <w:pPr>
        <w:rPr>
          <w:rFonts w:ascii="Arial" w:hAnsi="Arial" w:cs="Arial"/>
          <w:b/>
          <w:bCs/>
        </w:rPr>
      </w:pPr>
    </w:p>
    <w:p w14:paraId="5DD99A1F" w14:textId="77777777" w:rsidR="000A1D5D" w:rsidRDefault="000A1D5D" w:rsidP="001E3ADF">
      <w:pPr>
        <w:rPr>
          <w:rFonts w:ascii="Arial" w:hAnsi="Arial" w:cs="Arial"/>
          <w:b/>
          <w:bCs/>
        </w:rPr>
      </w:pPr>
    </w:p>
    <w:p w14:paraId="0CDEDB39" w14:textId="77777777" w:rsidR="00DD1947" w:rsidRDefault="00DD1947" w:rsidP="001E3ADF">
      <w:pPr>
        <w:rPr>
          <w:rFonts w:ascii="Arial" w:hAnsi="Arial" w:cs="Arial"/>
          <w:sz w:val="32"/>
          <w:szCs w:val="32"/>
        </w:rPr>
      </w:pPr>
    </w:p>
    <w:p w14:paraId="4E52E6BF" w14:textId="4CFFD017" w:rsidR="0054527A" w:rsidRPr="002C3A4D" w:rsidRDefault="002B4316" w:rsidP="001E3ADF">
      <w:pPr>
        <w:rPr>
          <w:rFonts w:ascii="Arial" w:hAnsi="Arial" w:cs="Arial"/>
          <w:b/>
          <w:bCs/>
          <w:sz w:val="32"/>
          <w:szCs w:val="32"/>
        </w:rPr>
      </w:pPr>
      <w:r w:rsidRPr="002C3A4D">
        <w:rPr>
          <w:rFonts w:ascii="Arial" w:hAnsi="Arial" w:cs="Arial"/>
          <w:b/>
          <w:bCs/>
          <w:sz w:val="32"/>
          <w:szCs w:val="32"/>
        </w:rPr>
        <w:lastRenderedPageBreak/>
        <w:t>Reference List</w:t>
      </w:r>
    </w:p>
    <w:p w14:paraId="50388A77" w14:textId="77777777" w:rsidR="00DF0CB3" w:rsidRPr="00760538" w:rsidRDefault="00DF0CB3" w:rsidP="009F3CAC">
      <w:pPr>
        <w:rPr>
          <w:rFonts w:ascii="Arial" w:hAnsi="Arial" w:cs="Arial"/>
        </w:rPr>
      </w:pPr>
    </w:p>
    <w:p w14:paraId="2424CA2E" w14:textId="77777777" w:rsidR="00DF0CB3" w:rsidRPr="00760538" w:rsidRDefault="00DF0CB3" w:rsidP="009F3CAC">
      <w:pPr>
        <w:rPr>
          <w:rFonts w:ascii="Arial" w:hAnsi="Arial" w:cs="Arial"/>
        </w:rPr>
      </w:pPr>
      <w:r w:rsidRPr="00760538">
        <w:rPr>
          <w:rFonts w:ascii="Arial" w:hAnsi="Arial" w:cs="Arial"/>
        </w:rPr>
        <w:t xml:space="preserve">Birmingham City Council (2023) </w:t>
      </w:r>
      <w:r w:rsidRPr="00760538">
        <w:rPr>
          <w:rFonts w:ascii="Arial" w:hAnsi="Arial" w:cs="Arial"/>
          <w:i/>
          <w:iCs/>
        </w:rPr>
        <w:t>Health and Wellbeing Strategy 2021–2025</w:t>
      </w:r>
      <w:r w:rsidRPr="00760538">
        <w:rPr>
          <w:rFonts w:ascii="Arial" w:hAnsi="Arial" w:cs="Arial"/>
        </w:rPr>
        <w:t xml:space="preserve">. Available at: </w:t>
      </w:r>
      <w:hyperlink r:id="rId5" w:history="1">
        <w:r w:rsidRPr="00760538">
          <w:rPr>
            <w:rStyle w:val="Hyperlink"/>
            <w:rFonts w:ascii="Arial" w:hAnsi="Arial" w:cs="Arial"/>
          </w:rPr>
          <w:t>https://www.birmingham.gov.uk</w:t>
        </w:r>
      </w:hyperlink>
      <w:r>
        <w:rPr>
          <w:rFonts w:ascii="Arial" w:hAnsi="Arial" w:cs="Arial"/>
        </w:rPr>
        <w:t xml:space="preserve"> (Accessed: 5 October 2025)</w:t>
      </w:r>
    </w:p>
    <w:p w14:paraId="326CFD1C" w14:textId="77777777" w:rsidR="00DF0CB3" w:rsidRPr="005B7AA4" w:rsidRDefault="00DF0CB3" w:rsidP="005B7AA4">
      <w:pPr>
        <w:rPr>
          <w:rFonts w:ascii="Arial" w:hAnsi="Arial" w:cs="Arial"/>
        </w:rPr>
      </w:pPr>
      <w:r w:rsidRPr="005B7AA4">
        <w:rPr>
          <w:rFonts w:ascii="Arial" w:hAnsi="Arial" w:cs="Arial"/>
        </w:rPr>
        <w:t xml:space="preserve">Birmingham City Council (2024) </w:t>
      </w:r>
      <w:r w:rsidRPr="005B7AA4">
        <w:rPr>
          <w:rFonts w:ascii="Arial" w:hAnsi="Arial" w:cs="Arial"/>
          <w:i/>
          <w:iCs/>
        </w:rPr>
        <w:t>Community safety</w:t>
      </w:r>
      <w:r w:rsidRPr="005B7AA4">
        <w:rPr>
          <w:rFonts w:ascii="Arial" w:hAnsi="Arial" w:cs="Arial"/>
        </w:rPr>
        <w:t xml:space="preserve">. Available at: </w:t>
      </w:r>
      <w:hyperlink r:id="rId6" w:history="1">
        <w:r w:rsidRPr="00995D70">
          <w:rPr>
            <w:rStyle w:val="Hyperlink"/>
            <w:rFonts w:ascii="Arial" w:hAnsi="Arial" w:cs="Arial"/>
          </w:rPr>
          <w:t>https://www.birmingham.gov.uk/info/50222/community_safety</w:t>
        </w:r>
      </w:hyperlink>
      <w:r>
        <w:rPr>
          <w:rFonts w:ascii="Arial" w:hAnsi="Arial" w:cs="Arial"/>
        </w:rPr>
        <w:t xml:space="preserve"> </w:t>
      </w:r>
      <w:r w:rsidRPr="005B7AA4">
        <w:rPr>
          <w:rFonts w:ascii="Arial" w:hAnsi="Arial" w:cs="Arial"/>
        </w:rPr>
        <w:t>(Accessed: 20 October 2025).</w:t>
      </w:r>
    </w:p>
    <w:p w14:paraId="1A36F011" w14:textId="77777777" w:rsidR="00DF0CB3" w:rsidRPr="005B7AA4" w:rsidRDefault="00DF0CB3" w:rsidP="005B7AA4">
      <w:pPr>
        <w:rPr>
          <w:rFonts w:ascii="Arial" w:hAnsi="Arial" w:cs="Arial"/>
        </w:rPr>
      </w:pPr>
      <w:r w:rsidRPr="005B7AA4">
        <w:rPr>
          <w:rFonts w:ascii="Arial" w:hAnsi="Arial" w:cs="Arial"/>
        </w:rPr>
        <w:t>Birmingham Community Safety Partnership (</w:t>
      </w:r>
      <w:r>
        <w:rPr>
          <w:rFonts w:ascii="Arial" w:hAnsi="Arial" w:cs="Arial"/>
        </w:rPr>
        <w:t>2025</w:t>
      </w:r>
      <w:r w:rsidRPr="005B7AA4">
        <w:rPr>
          <w:rFonts w:ascii="Arial" w:hAnsi="Arial" w:cs="Arial"/>
        </w:rPr>
        <w:t xml:space="preserve">) </w:t>
      </w:r>
      <w:r w:rsidRPr="005B7AA4">
        <w:rPr>
          <w:rFonts w:ascii="Arial" w:hAnsi="Arial" w:cs="Arial"/>
          <w:i/>
          <w:iCs/>
        </w:rPr>
        <w:t>What we do</w:t>
      </w:r>
      <w:r w:rsidRPr="005B7AA4">
        <w:rPr>
          <w:rFonts w:ascii="Arial" w:hAnsi="Arial" w:cs="Arial"/>
        </w:rPr>
        <w:t xml:space="preserve">. Available at: </w:t>
      </w:r>
      <w:hyperlink r:id="rId7" w:history="1">
        <w:r w:rsidRPr="00995D70">
          <w:rPr>
            <w:rStyle w:val="Hyperlink"/>
            <w:rFonts w:ascii="Arial" w:hAnsi="Arial" w:cs="Arial"/>
          </w:rPr>
          <w:t>https://www.birmingham-community-safety-partnership.co.uk/what-we-do/</w:t>
        </w:r>
      </w:hyperlink>
      <w:r>
        <w:rPr>
          <w:rFonts w:ascii="Arial" w:hAnsi="Arial" w:cs="Arial"/>
        </w:rPr>
        <w:t xml:space="preserve"> </w:t>
      </w:r>
      <w:r w:rsidRPr="005B7AA4">
        <w:rPr>
          <w:rFonts w:ascii="Arial" w:hAnsi="Arial" w:cs="Arial"/>
        </w:rPr>
        <w:t>(Accessed: 20 October 2025).</w:t>
      </w:r>
    </w:p>
    <w:p w14:paraId="48A48E4C" w14:textId="77777777" w:rsidR="00DF0CB3" w:rsidRPr="005B7AA4" w:rsidRDefault="00DF0CB3" w:rsidP="005B7AA4">
      <w:pPr>
        <w:rPr>
          <w:rFonts w:ascii="Arial" w:hAnsi="Arial" w:cs="Arial"/>
        </w:rPr>
      </w:pPr>
      <w:r w:rsidRPr="005B7AA4">
        <w:rPr>
          <w:rFonts w:ascii="Arial" w:hAnsi="Arial" w:cs="Arial"/>
        </w:rPr>
        <w:t xml:space="preserve">GOV.UK (2024) </w:t>
      </w:r>
      <w:r w:rsidRPr="005B7AA4">
        <w:rPr>
          <w:rFonts w:ascii="Arial" w:hAnsi="Arial" w:cs="Arial"/>
          <w:i/>
          <w:iCs/>
        </w:rPr>
        <w:t>Community Safety Partnerships</w:t>
      </w:r>
      <w:r w:rsidRPr="005B7AA4">
        <w:rPr>
          <w:rFonts w:ascii="Arial" w:hAnsi="Arial" w:cs="Arial"/>
        </w:rPr>
        <w:t xml:space="preserve">. Available at: </w:t>
      </w:r>
      <w:hyperlink r:id="rId8" w:history="1">
        <w:r w:rsidRPr="00995D70">
          <w:rPr>
            <w:rStyle w:val="Hyperlink"/>
            <w:rFonts w:ascii="Arial" w:hAnsi="Arial" w:cs="Arial"/>
          </w:rPr>
          <w:t>https://www.gov.uk/government/publications/community-safety-partnerships/community-safety-partnerships</w:t>
        </w:r>
      </w:hyperlink>
      <w:r>
        <w:rPr>
          <w:rFonts w:ascii="Arial" w:hAnsi="Arial" w:cs="Arial"/>
        </w:rPr>
        <w:t xml:space="preserve"> </w:t>
      </w:r>
      <w:r w:rsidRPr="005B7AA4">
        <w:rPr>
          <w:rFonts w:ascii="Arial" w:hAnsi="Arial" w:cs="Arial"/>
        </w:rPr>
        <w:t>(Accessed: 20 October 2025).</w:t>
      </w:r>
    </w:p>
    <w:p w14:paraId="6BF3D671" w14:textId="77777777" w:rsidR="00DF0CB3" w:rsidRPr="005B7AA4" w:rsidRDefault="00DF0CB3" w:rsidP="005B7AA4">
      <w:pPr>
        <w:rPr>
          <w:rFonts w:ascii="Arial" w:hAnsi="Arial" w:cs="Arial"/>
        </w:rPr>
      </w:pPr>
      <w:r w:rsidRPr="005B7AA4">
        <w:rPr>
          <w:rFonts w:ascii="Arial" w:hAnsi="Arial" w:cs="Arial"/>
        </w:rPr>
        <w:t xml:space="preserve">MPTF Office / UNDP / UN Women / UNICEF (2024) </w:t>
      </w:r>
      <w:proofErr w:type="spellStart"/>
      <w:r w:rsidRPr="009D7CB5">
        <w:rPr>
          <w:rFonts w:ascii="Arial" w:hAnsi="Arial" w:cs="Arial"/>
        </w:rPr>
        <w:t>Sawasya</w:t>
      </w:r>
      <w:proofErr w:type="spellEnd"/>
      <w:r w:rsidRPr="009D7CB5">
        <w:rPr>
          <w:rFonts w:ascii="Arial" w:hAnsi="Arial" w:cs="Arial"/>
        </w:rPr>
        <w:t xml:space="preserve"> II</w:t>
      </w:r>
      <w:r w:rsidRPr="005B7AA4">
        <w:rPr>
          <w:rFonts w:ascii="Arial" w:hAnsi="Arial" w:cs="Arial"/>
          <w:i/>
          <w:iCs/>
        </w:rPr>
        <w:t xml:space="preserve">: Promoting the Rule of Law in Palestine </w:t>
      </w:r>
      <w:r w:rsidRPr="009D7CB5">
        <w:rPr>
          <w:rFonts w:ascii="Arial" w:hAnsi="Arial" w:cs="Arial"/>
        </w:rPr>
        <w:t>— Final report.</w:t>
      </w:r>
      <w:r w:rsidRPr="005B7AA4">
        <w:rPr>
          <w:rFonts w:ascii="Arial" w:hAnsi="Arial" w:cs="Arial"/>
        </w:rPr>
        <w:t xml:space="preserve"> Available at: </w:t>
      </w:r>
      <w:hyperlink r:id="rId9" w:history="1">
        <w:r w:rsidRPr="00995D70">
          <w:rPr>
            <w:rStyle w:val="Hyperlink"/>
            <w:rFonts w:ascii="Arial" w:hAnsi="Arial" w:cs="Arial"/>
          </w:rPr>
          <w:t>https://mptf.undp.org/sites/default/files/documents/2024-05/2024.05.24_sawasya_ii_final_report.pdf</w:t>
        </w:r>
      </w:hyperlink>
      <w:r>
        <w:rPr>
          <w:rFonts w:ascii="Arial" w:hAnsi="Arial" w:cs="Arial"/>
        </w:rPr>
        <w:t xml:space="preserve"> </w:t>
      </w:r>
      <w:r w:rsidRPr="005B7AA4">
        <w:rPr>
          <w:rFonts w:ascii="Arial" w:hAnsi="Arial" w:cs="Arial"/>
        </w:rPr>
        <w:t xml:space="preserve"> (Accessed: 20 October 2025).</w:t>
      </w:r>
    </w:p>
    <w:p w14:paraId="0476AF48" w14:textId="77777777" w:rsidR="00DF0CB3" w:rsidRPr="00760538" w:rsidRDefault="00DF0CB3" w:rsidP="009F3CAC">
      <w:pPr>
        <w:rPr>
          <w:rFonts w:ascii="Arial" w:hAnsi="Arial" w:cs="Arial"/>
        </w:rPr>
      </w:pPr>
      <w:r w:rsidRPr="00760538">
        <w:rPr>
          <w:rFonts w:ascii="Arial" w:hAnsi="Arial" w:cs="Arial"/>
        </w:rPr>
        <w:t xml:space="preserve">NHS England (2019) </w:t>
      </w:r>
      <w:r w:rsidRPr="00760538">
        <w:rPr>
          <w:rFonts w:ascii="Arial" w:hAnsi="Arial" w:cs="Arial"/>
          <w:i/>
          <w:iCs/>
        </w:rPr>
        <w:t>The NHS Long Term Plan</w:t>
      </w:r>
      <w:r w:rsidRPr="00760538">
        <w:rPr>
          <w:rFonts w:ascii="Arial" w:hAnsi="Arial" w:cs="Arial"/>
        </w:rPr>
        <w:t xml:space="preserve">. Available at: </w:t>
      </w:r>
      <w:r>
        <w:rPr>
          <w:rFonts w:ascii="Arial" w:hAnsi="Arial" w:cs="Arial"/>
        </w:rPr>
        <w:t>(</w:t>
      </w:r>
      <w:hyperlink r:id="rId10" w:history="1">
        <w:r w:rsidRPr="00760538">
          <w:rPr>
            <w:rStyle w:val="Hyperlink"/>
            <w:rFonts w:ascii="Arial" w:hAnsi="Arial" w:cs="Arial"/>
          </w:rPr>
          <w:t>https://www.longtermplan.nhs.uk</w:t>
        </w:r>
      </w:hyperlink>
      <w:r>
        <w:rPr>
          <w:rFonts w:ascii="Arial" w:hAnsi="Arial" w:cs="Arial"/>
        </w:rPr>
        <w:t xml:space="preserve"> (Accessed: 5 October 2025)</w:t>
      </w:r>
    </w:p>
    <w:p w14:paraId="582F04F1" w14:textId="77777777" w:rsidR="00DF0CB3" w:rsidRPr="005B7AA4" w:rsidRDefault="00DF0CB3" w:rsidP="005B7AA4">
      <w:pPr>
        <w:rPr>
          <w:rFonts w:ascii="Arial" w:hAnsi="Arial" w:cs="Arial"/>
        </w:rPr>
      </w:pPr>
      <w:r w:rsidRPr="005B7AA4">
        <w:rPr>
          <w:rFonts w:ascii="Arial" w:hAnsi="Arial" w:cs="Arial"/>
        </w:rPr>
        <w:t xml:space="preserve">North, D.C. (1990) </w:t>
      </w:r>
      <w:r w:rsidRPr="005B7AA4">
        <w:rPr>
          <w:rFonts w:ascii="Arial" w:hAnsi="Arial" w:cs="Arial"/>
          <w:i/>
          <w:iCs/>
        </w:rPr>
        <w:t>Institutions, Institutional Change and Economic Performance</w:t>
      </w:r>
      <w:r w:rsidRPr="005B7AA4">
        <w:rPr>
          <w:rFonts w:ascii="Arial" w:hAnsi="Arial" w:cs="Arial"/>
        </w:rPr>
        <w:t>. Cambridge: Cambridge University Press.</w:t>
      </w:r>
    </w:p>
    <w:p w14:paraId="1EDD7CB3" w14:textId="77777777" w:rsidR="00DF0CB3" w:rsidRPr="00760538" w:rsidRDefault="00DF0CB3" w:rsidP="009F3CAC">
      <w:pPr>
        <w:rPr>
          <w:rFonts w:ascii="Arial" w:hAnsi="Arial" w:cs="Arial"/>
        </w:rPr>
      </w:pPr>
      <w:r w:rsidRPr="00760538">
        <w:rPr>
          <w:rFonts w:ascii="Arial" w:hAnsi="Arial" w:cs="Arial"/>
        </w:rPr>
        <w:t xml:space="preserve">Public Health England (2021) </w:t>
      </w:r>
      <w:r w:rsidRPr="00760538">
        <w:rPr>
          <w:rFonts w:ascii="Arial" w:hAnsi="Arial" w:cs="Arial"/>
          <w:i/>
          <w:iCs/>
        </w:rPr>
        <w:t>Health Profile for Birmingham</w:t>
      </w:r>
      <w:r w:rsidRPr="00760538">
        <w:rPr>
          <w:rFonts w:ascii="Arial" w:hAnsi="Arial" w:cs="Arial"/>
        </w:rPr>
        <w:t xml:space="preserve">. Available at: </w:t>
      </w:r>
      <w:hyperlink r:id="rId11" w:history="1">
        <w:r w:rsidRPr="00760538">
          <w:rPr>
            <w:rStyle w:val="Hyperlink"/>
            <w:rFonts w:ascii="Arial" w:hAnsi="Arial" w:cs="Arial"/>
          </w:rPr>
          <w:t>https://fingertips.phe.org.uk</w:t>
        </w:r>
      </w:hyperlink>
      <w:r>
        <w:rPr>
          <w:rFonts w:ascii="Arial" w:hAnsi="Arial" w:cs="Arial"/>
        </w:rPr>
        <w:t xml:space="preserve"> (Accessed: 6 October 2025)</w:t>
      </w:r>
    </w:p>
    <w:p w14:paraId="3205AF20" w14:textId="77777777" w:rsidR="00DF0CB3" w:rsidRPr="005B7AA4" w:rsidRDefault="00DF0CB3" w:rsidP="005B7AA4">
      <w:pPr>
        <w:rPr>
          <w:rFonts w:ascii="Arial" w:hAnsi="Arial" w:cs="Arial"/>
        </w:rPr>
      </w:pPr>
      <w:r w:rsidRPr="005B7AA4">
        <w:rPr>
          <w:rFonts w:ascii="Arial" w:hAnsi="Arial" w:cs="Arial"/>
        </w:rPr>
        <w:t xml:space="preserve">Putnam, R.D. (1993) </w:t>
      </w:r>
      <w:r w:rsidRPr="005B7AA4">
        <w:rPr>
          <w:rFonts w:ascii="Arial" w:hAnsi="Arial" w:cs="Arial"/>
          <w:i/>
          <w:iCs/>
        </w:rPr>
        <w:t>Making Democracy Work: Civic Traditions in Modern Italy</w:t>
      </w:r>
      <w:r w:rsidRPr="005B7AA4">
        <w:rPr>
          <w:rFonts w:ascii="Arial" w:hAnsi="Arial" w:cs="Arial"/>
        </w:rPr>
        <w:t>. Princeton, NJ: Princeton University Press.</w:t>
      </w:r>
    </w:p>
    <w:p w14:paraId="1F1C3F23" w14:textId="77777777" w:rsidR="00DF0CB3" w:rsidRPr="00760538" w:rsidRDefault="00DF0CB3" w:rsidP="009F3CAC">
      <w:pPr>
        <w:rPr>
          <w:rFonts w:ascii="Arial" w:hAnsi="Arial" w:cs="Arial"/>
        </w:rPr>
      </w:pPr>
      <w:r w:rsidRPr="00760538">
        <w:rPr>
          <w:rFonts w:ascii="Arial" w:hAnsi="Arial" w:cs="Arial"/>
        </w:rPr>
        <w:t xml:space="preserve">Royal College of Nursing (2024) </w:t>
      </w:r>
      <w:r w:rsidRPr="00760538">
        <w:rPr>
          <w:rFonts w:ascii="Arial" w:hAnsi="Arial" w:cs="Arial"/>
          <w:i/>
          <w:iCs/>
        </w:rPr>
        <w:t>School Nursing Workforce Report</w:t>
      </w:r>
      <w:r w:rsidRPr="00760538">
        <w:rPr>
          <w:rFonts w:ascii="Arial" w:hAnsi="Arial" w:cs="Arial"/>
        </w:rPr>
        <w:t xml:space="preserve">. Available at: </w:t>
      </w:r>
      <w:hyperlink r:id="rId12" w:history="1">
        <w:r w:rsidRPr="00760538">
          <w:rPr>
            <w:rStyle w:val="Hyperlink"/>
            <w:rFonts w:ascii="Arial" w:hAnsi="Arial" w:cs="Arial"/>
          </w:rPr>
          <w:t>https://www.rcn.org.uk</w:t>
        </w:r>
      </w:hyperlink>
      <w:r>
        <w:rPr>
          <w:rFonts w:ascii="Arial" w:hAnsi="Arial" w:cs="Arial"/>
        </w:rPr>
        <w:t xml:space="preserve"> (Accessed: 6 October 2025)</w:t>
      </w:r>
    </w:p>
    <w:p w14:paraId="19AED365" w14:textId="77777777" w:rsidR="00DF0CB3" w:rsidRPr="005B7AA4" w:rsidRDefault="00DF0CB3" w:rsidP="005B7AA4">
      <w:pPr>
        <w:rPr>
          <w:rFonts w:ascii="Arial" w:hAnsi="Arial" w:cs="Arial"/>
        </w:rPr>
      </w:pPr>
      <w:r w:rsidRPr="005B7AA4">
        <w:rPr>
          <w:rFonts w:ascii="Arial" w:hAnsi="Arial" w:cs="Arial"/>
        </w:rPr>
        <w:t xml:space="preserve">Transparency International (2020) </w:t>
      </w:r>
      <w:r w:rsidRPr="005B7AA4">
        <w:rPr>
          <w:rFonts w:ascii="Arial" w:hAnsi="Arial" w:cs="Arial"/>
          <w:i/>
          <w:iCs/>
        </w:rPr>
        <w:t>SDG16 Data Initiative Global Report</w:t>
      </w:r>
      <w:r w:rsidRPr="005B7AA4">
        <w:rPr>
          <w:rFonts w:ascii="Arial" w:hAnsi="Arial" w:cs="Arial"/>
        </w:rPr>
        <w:t xml:space="preserve">. Available at: </w:t>
      </w:r>
      <w:hyperlink r:id="rId13" w:history="1">
        <w:r w:rsidRPr="00995D70">
          <w:rPr>
            <w:rStyle w:val="Hyperlink"/>
            <w:rFonts w:ascii="Arial" w:hAnsi="Arial" w:cs="Arial"/>
          </w:rPr>
          <w:t>https://knowledgehub.transparency.org/product/2020-sdg16-data-initiative-report</w:t>
        </w:r>
      </w:hyperlink>
      <w:r>
        <w:rPr>
          <w:rFonts w:ascii="Arial" w:hAnsi="Arial" w:cs="Arial"/>
        </w:rPr>
        <w:t xml:space="preserve"> </w:t>
      </w:r>
      <w:r w:rsidRPr="005B7AA4">
        <w:rPr>
          <w:rFonts w:ascii="Arial" w:hAnsi="Arial" w:cs="Arial"/>
        </w:rPr>
        <w:t xml:space="preserve"> (Accessed: 20 October 2025).</w:t>
      </w:r>
    </w:p>
    <w:p w14:paraId="62F08D93" w14:textId="77777777" w:rsidR="00DF0CB3" w:rsidRDefault="00DF0CB3" w:rsidP="009F3CAC">
      <w:pPr>
        <w:rPr>
          <w:rFonts w:ascii="Arial" w:hAnsi="Arial" w:cs="Arial"/>
        </w:rPr>
      </w:pPr>
      <w:r w:rsidRPr="00760538">
        <w:rPr>
          <w:rFonts w:ascii="Arial" w:hAnsi="Arial" w:cs="Arial"/>
        </w:rPr>
        <w:t xml:space="preserve">UK SDG Data (2024) </w:t>
      </w:r>
      <w:r w:rsidRPr="00760538">
        <w:rPr>
          <w:rFonts w:ascii="Arial" w:hAnsi="Arial" w:cs="Arial"/>
          <w:i/>
          <w:iCs/>
        </w:rPr>
        <w:t>Goal 3 Indicators</w:t>
      </w:r>
      <w:r w:rsidRPr="00760538">
        <w:rPr>
          <w:rFonts w:ascii="Arial" w:hAnsi="Arial" w:cs="Arial"/>
        </w:rPr>
        <w:t xml:space="preserve">. Available at: </w:t>
      </w:r>
      <w:hyperlink r:id="rId14" w:history="1">
        <w:r w:rsidRPr="00760538">
          <w:rPr>
            <w:rStyle w:val="Hyperlink"/>
            <w:rFonts w:ascii="Arial" w:hAnsi="Arial" w:cs="Arial"/>
          </w:rPr>
          <w:t>https://sdgdata.gov.uk/3/</w:t>
        </w:r>
      </w:hyperlink>
      <w:r>
        <w:rPr>
          <w:rFonts w:ascii="Arial" w:hAnsi="Arial" w:cs="Arial"/>
        </w:rPr>
        <w:t xml:space="preserve"> (Accessed: 7 October 2025)</w:t>
      </w:r>
    </w:p>
    <w:p w14:paraId="41742FF9" w14:textId="77777777" w:rsidR="00DF0CB3" w:rsidRDefault="00DF0CB3" w:rsidP="002B4316">
      <w:pPr>
        <w:rPr>
          <w:rFonts w:ascii="Arial" w:hAnsi="Arial" w:cs="Arial"/>
        </w:rPr>
      </w:pPr>
      <w:r w:rsidRPr="002B4316">
        <w:rPr>
          <w:rFonts w:ascii="Arial" w:hAnsi="Arial" w:cs="Arial"/>
        </w:rPr>
        <w:t>Un.org. (2025). </w:t>
      </w:r>
      <w:r w:rsidRPr="002B4316">
        <w:rPr>
          <w:rFonts w:ascii="Arial" w:hAnsi="Arial" w:cs="Arial"/>
          <w:i/>
          <w:iCs/>
        </w:rPr>
        <w:t>2025 SDG Global Business Forum | Department of Economic and Social Affairs</w:t>
      </w:r>
      <w:r w:rsidRPr="002B4316">
        <w:rPr>
          <w:rFonts w:ascii="Arial" w:hAnsi="Arial" w:cs="Arial"/>
        </w:rPr>
        <w:t xml:space="preserve">. Available at: </w:t>
      </w:r>
      <w:hyperlink r:id="rId15" w:history="1">
        <w:r w:rsidRPr="002B4316">
          <w:rPr>
            <w:rStyle w:val="Hyperlink"/>
            <w:rFonts w:ascii="Arial" w:hAnsi="Arial" w:cs="Arial"/>
          </w:rPr>
          <w:t>https://sdgs.un.org/2025-SDG-BusinessForum</w:t>
        </w:r>
      </w:hyperlink>
      <w:r w:rsidRPr="002B4316">
        <w:rPr>
          <w:rFonts w:ascii="Arial" w:hAnsi="Arial" w:cs="Arial"/>
        </w:rPr>
        <w:t>.</w:t>
      </w:r>
      <w:r>
        <w:rPr>
          <w:rFonts w:ascii="Arial" w:hAnsi="Arial" w:cs="Arial"/>
        </w:rPr>
        <w:t xml:space="preserve"> (Accessed: 2 October 2025)</w:t>
      </w:r>
    </w:p>
    <w:p w14:paraId="216128B1" w14:textId="77777777" w:rsidR="00DF0CB3" w:rsidRPr="00760538" w:rsidRDefault="00DF0CB3" w:rsidP="009F3CAC">
      <w:pPr>
        <w:rPr>
          <w:rFonts w:ascii="Arial" w:hAnsi="Arial" w:cs="Arial"/>
        </w:rPr>
      </w:pPr>
      <w:r w:rsidRPr="00760538">
        <w:rPr>
          <w:rFonts w:ascii="Arial" w:hAnsi="Arial" w:cs="Arial"/>
        </w:rPr>
        <w:t xml:space="preserve">UNICEF (2024) </w:t>
      </w:r>
      <w:r w:rsidRPr="00760538">
        <w:rPr>
          <w:rFonts w:ascii="Arial" w:hAnsi="Arial" w:cs="Arial"/>
          <w:i/>
          <w:iCs/>
        </w:rPr>
        <w:t>SDG Goal 3: Good Health and Well-being</w:t>
      </w:r>
      <w:r w:rsidRPr="00760538">
        <w:rPr>
          <w:rFonts w:ascii="Arial" w:hAnsi="Arial" w:cs="Arial"/>
        </w:rPr>
        <w:t xml:space="preserve">. Available at: </w:t>
      </w:r>
      <w:hyperlink r:id="rId16" w:history="1">
        <w:r w:rsidRPr="00760538">
          <w:rPr>
            <w:rStyle w:val="Hyperlink"/>
            <w:rFonts w:ascii="Arial" w:hAnsi="Arial" w:cs="Arial"/>
          </w:rPr>
          <w:t>https://data.unicef.org/sdgs/goal-3-good-health-wellbeing/</w:t>
        </w:r>
      </w:hyperlink>
      <w:r>
        <w:rPr>
          <w:rFonts w:ascii="Arial" w:hAnsi="Arial" w:cs="Arial"/>
        </w:rPr>
        <w:t xml:space="preserve"> (Accessed: 7 October 2025)</w:t>
      </w:r>
    </w:p>
    <w:p w14:paraId="2762E1D9" w14:textId="77777777" w:rsidR="00DF0CB3" w:rsidRDefault="00DF0CB3" w:rsidP="002B4316">
      <w:pPr>
        <w:rPr>
          <w:rFonts w:ascii="Arial" w:hAnsi="Arial" w:cs="Arial"/>
        </w:rPr>
      </w:pPr>
      <w:r w:rsidRPr="003F4AC0">
        <w:rPr>
          <w:rFonts w:ascii="Arial" w:hAnsi="Arial" w:cs="Arial"/>
        </w:rPr>
        <w:t xml:space="preserve">United Nations (2025). </w:t>
      </w:r>
      <w:r w:rsidRPr="003F4AC0">
        <w:rPr>
          <w:rFonts w:ascii="Arial" w:hAnsi="Arial" w:cs="Arial"/>
          <w:i/>
          <w:iCs/>
        </w:rPr>
        <w:t>Peace, justice and strong institutions</w:t>
      </w:r>
      <w:r w:rsidRPr="003F4AC0">
        <w:rPr>
          <w:rFonts w:ascii="Arial" w:hAnsi="Arial" w:cs="Arial"/>
        </w:rPr>
        <w:t xml:space="preserve">.  United Nations Sustainable Development. Available at: </w:t>
      </w:r>
      <w:hyperlink r:id="rId17" w:history="1">
        <w:r w:rsidRPr="005C14CF">
          <w:rPr>
            <w:rStyle w:val="Hyperlink"/>
            <w:rFonts w:ascii="Arial" w:hAnsi="Arial" w:cs="Arial"/>
          </w:rPr>
          <w:t>https://www.un.org/sustainabledevelopment/peace-justice/</w:t>
        </w:r>
      </w:hyperlink>
      <w:r w:rsidRPr="003F4AC0">
        <w:rPr>
          <w:rFonts w:ascii="Arial" w:hAnsi="Arial" w:cs="Arial"/>
        </w:rPr>
        <w:t>.</w:t>
      </w:r>
      <w:r>
        <w:rPr>
          <w:rFonts w:ascii="Arial" w:hAnsi="Arial" w:cs="Arial"/>
        </w:rPr>
        <w:t xml:space="preserve"> (Accessed: 2 October 2025)</w:t>
      </w:r>
    </w:p>
    <w:p w14:paraId="177F099E" w14:textId="77777777" w:rsidR="00DF0CB3" w:rsidRPr="005B7AA4" w:rsidRDefault="00DF0CB3" w:rsidP="005B7AA4">
      <w:pPr>
        <w:rPr>
          <w:rFonts w:ascii="Arial" w:hAnsi="Arial" w:cs="Arial"/>
        </w:rPr>
      </w:pPr>
      <w:r w:rsidRPr="005B7AA4">
        <w:rPr>
          <w:rFonts w:ascii="Arial" w:hAnsi="Arial" w:cs="Arial"/>
        </w:rPr>
        <w:lastRenderedPageBreak/>
        <w:t>United Nations (</w:t>
      </w:r>
      <w:r>
        <w:rPr>
          <w:rFonts w:ascii="Arial" w:hAnsi="Arial" w:cs="Arial"/>
        </w:rPr>
        <w:t>2025</w:t>
      </w:r>
      <w:r w:rsidRPr="005B7AA4">
        <w:rPr>
          <w:rFonts w:ascii="Arial" w:hAnsi="Arial" w:cs="Arial"/>
        </w:rPr>
        <w:t xml:space="preserve">.) </w:t>
      </w:r>
      <w:r w:rsidRPr="005B7AA4">
        <w:rPr>
          <w:rFonts w:ascii="Arial" w:hAnsi="Arial" w:cs="Arial"/>
          <w:i/>
          <w:iCs/>
        </w:rPr>
        <w:t>Goal 16: Peace, justice and strong institutions</w:t>
      </w:r>
      <w:r w:rsidRPr="005B7AA4">
        <w:rPr>
          <w:rFonts w:ascii="Arial" w:hAnsi="Arial" w:cs="Arial"/>
        </w:rPr>
        <w:t xml:space="preserve">. Available at: </w:t>
      </w:r>
      <w:hyperlink r:id="rId18" w:tgtFrame="_new" w:history="1">
        <w:r w:rsidRPr="005B7AA4">
          <w:rPr>
            <w:rStyle w:val="Hyperlink"/>
            <w:rFonts w:ascii="Arial" w:hAnsi="Arial" w:cs="Arial"/>
          </w:rPr>
          <w:t>https://www.un.org/sustainabledevelopment/peace-justice/</w:t>
        </w:r>
      </w:hyperlink>
      <w:r w:rsidRPr="005B7AA4">
        <w:rPr>
          <w:rFonts w:ascii="Arial" w:hAnsi="Arial" w:cs="Arial"/>
        </w:rPr>
        <w:t xml:space="preserve"> (Accessed: 20 October 2025).</w:t>
      </w:r>
    </w:p>
    <w:p w14:paraId="7FA0A652" w14:textId="77777777" w:rsidR="00DF0CB3" w:rsidRDefault="00DF0CB3" w:rsidP="002B4316">
      <w:pPr>
        <w:rPr>
          <w:rFonts w:ascii="Arial" w:hAnsi="Arial" w:cs="Arial"/>
        </w:rPr>
      </w:pPr>
      <w:r w:rsidRPr="001C0055">
        <w:rPr>
          <w:rFonts w:ascii="Arial" w:hAnsi="Arial" w:cs="Arial"/>
        </w:rPr>
        <w:t>United Nations in Palestine. (</w:t>
      </w:r>
      <w:r>
        <w:rPr>
          <w:rFonts w:ascii="Arial" w:hAnsi="Arial" w:cs="Arial"/>
        </w:rPr>
        <w:t>2022</w:t>
      </w:r>
      <w:r w:rsidRPr="001C0055">
        <w:rPr>
          <w:rFonts w:ascii="Arial" w:hAnsi="Arial" w:cs="Arial"/>
        </w:rPr>
        <w:t xml:space="preserve">.). </w:t>
      </w:r>
      <w:r w:rsidRPr="001C0055">
        <w:rPr>
          <w:rFonts w:ascii="Arial" w:hAnsi="Arial" w:cs="Arial"/>
          <w:i/>
          <w:iCs/>
        </w:rPr>
        <w:t>Sustainable Development Goal 16: Peace, Justice and Strong Institutions</w:t>
      </w:r>
      <w:r w:rsidRPr="001C0055">
        <w:rPr>
          <w:rFonts w:ascii="Arial" w:hAnsi="Arial" w:cs="Arial"/>
        </w:rPr>
        <w:t>.</w:t>
      </w:r>
      <w:r>
        <w:rPr>
          <w:rFonts w:ascii="Arial" w:hAnsi="Arial" w:cs="Arial"/>
        </w:rPr>
        <w:t xml:space="preserve"> Available at: </w:t>
      </w:r>
      <w:hyperlink r:id="rId19" w:history="1">
        <w:r w:rsidRPr="005C14CF">
          <w:rPr>
            <w:rStyle w:val="Hyperlink"/>
            <w:rFonts w:ascii="Arial" w:hAnsi="Arial" w:cs="Arial"/>
          </w:rPr>
          <w:t>https://www.unrwa.org/unrwa-and-sdg-16-peace-justice-and-strong-institutions</w:t>
        </w:r>
      </w:hyperlink>
      <w:r>
        <w:rPr>
          <w:rFonts w:ascii="Arial" w:hAnsi="Arial" w:cs="Arial"/>
        </w:rPr>
        <w:t xml:space="preserve"> </w:t>
      </w:r>
      <w:r w:rsidRPr="009654A5">
        <w:rPr>
          <w:rFonts w:ascii="Arial" w:hAnsi="Arial" w:cs="Arial"/>
        </w:rPr>
        <w:t>(Accessed: 2 October 2025)</w:t>
      </w:r>
    </w:p>
    <w:p w14:paraId="51199345" w14:textId="77777777" w:rsidR="00DF0CB3" w:rsidRDefault="00DF0CB3" w:rsidP="002B4316">
      <w:pPr>
        <w:rPr>
          <w:rFonts w:ascii="Arial" w:hAnsi="Arial" w:cs="Arial"/>
        </w:rPr>
      </w:pPr>
      <w:r w:rsidRPr="0011076E">
        <w:rPr>
          <w:rFonts w:ascii="Arial" w:hAnsi="Arial" w:cs="Arial"/>
        </w:rPr>
        <w:t>United Nations in Palestine. (</w:t>
      </w:r>
      <w:r>
        <w:rPr>
          <w:rFonts w:ascii="Arial" w:hAnsi="Arial" w:cs="Arial"/>
        </w:rPr>
        <w:t>2025</w:t>
      </w:r>
      <w:r w:rsidRPr="0011076E">
        <w:rPr>
          <w:rFonts w:ascii="Arial" w:hAnsi="Arial" w:cs="Arial"/>
        </w:rPr>
        <w:t xml:space="preserve">). </w:t>
      </w:r>
      <w:r w:rsidRPr="001C0055">
        <w:rPr>
          <w:rFonts w:ascii="Arial" w:hAnsi="Arial" w:cs="Arial"/>
          <w:i/>
          <w:iCs/>
        </w:rPr>
        <w:t>Sustainable Development Goal 3</w:t>
      </w:r>
      <w:r w:rsidRPr="0011076E">
        <w:rPr>
          <w:rFonts w:ascii="Arial" w:hAnsi="Arial" w:cs="Arial"/>
        </w:rPr>
        <w:t xml:space="preserve">: Good Health and Well-being. </w:t>
      </w:r>
      <w:r>
        <w:rPr>
          <w:rFonts w:ascii="Arial" w:hAnsi="Arial" w:cs="Arial"/>
        </w:rPr>
        <w:t xml:space="preserve">Available at: </w:t>
      </w:r>
      <w:hyperlink r:id="rId20" w:history="1">
        <w:r w:rsidRPr="005C14CF">
          <w:rPr>
            <w:rStyle w:val="Hyperlink"/>
            <w:rFonts w:ascii="Arial" w:hAnsi="Arial" w:cs="Arial"/>
          </w:rPr>
          <w:t>https://palestine.un.org/en/sdgs/3/key-activities</w:t>
        </w:r>
      </w:hyperlink>
      <w:r>
        <w:rPr>
          <w:rFonts w:ascii="Arial" w:hAnsi="Arial" w:cs="Arial"/>
        </w:rPr>
        <w:t xml:space="preserve"> (Accessed: 2 October 2025)</w:t>
      </w:r>
    </w:p>
    <w:p w14:paraId="5D33A517" w14:textId="77777777" w:rsidR="00DF0CB3" w:rsidRDefault="00DF0CB3" w:rsidP="002B4316">
      <w:pPr>
        <w:rPr>
          <w:rFonts w:ascii="Arial" w:hAnsi="Arial" w:cs="Arial"/>
        </w:rPr>
      </w:pPr>
      <w:r w:rsidRPr="00C67F10">
        <w:rPr>
          <w:rFonts w:ascii="Arial" w:hAnsi="Arial" w:cs="Arial"/>
        </w:rPr>
        <w:t>United Nations. (2023). United Nations Sustainable Development Cooperation Framework (UNSDCF) 2023–2025.</w:t>
      </w:r>
      <w:r>
        <w:rPr>
          <w:rFonts w:ascii="Arial" w:hAnsi="Arial" w:cs="Arial"/>
        </w:rPr>
        <w:t xml:space="preserve"> Available at: </w:t>
      </w:r>
      <w:hyperlink r:id="rId21" w:history="1">
        <w:r w:rsidRPr="005C14CF">
          <w:rPr>
            <w:rStyle w:val="Hyperlink"/>
            <w:rFonts w:ascii="Arial" w:hAnsi="Arial" w:cs="Arial"/>
          </w:rPr>
          <w:t>https://palestine.un.org/sites/default/files/2023-03/UNSDCF%202023-2025_Final.pdf</w:t>
        </w:r>
      </w:hyperlink>
      <w:r>
        <w:rPr>
          <w:rFonts w:ascii="Arial" w:hAnsi="Arial" w:cs="Arial"/>
        </w:rPr>
        <w:t xml:space="preserve"> (Accessed: 2 October 2025)</w:t>
      </w:r>
    </w:p>
    <w:p w14:paraId="21515A32" w14:textId="77777777" w:rsidR="00DF0CB3" w:rsidRPr="005B7AA4" w:rsidRDefault="00DF0CB3" w:rsidP="005B7AA4">
      <w:pPr>
        <w:rPr>
          <w:rFonts w:ascii="Arial" w:hAnsi="Arial" w:cs="Arial"/>
        </w:rPr>
      </w:pPr>
      <w:r w:rsidRPr="005B7AA4">
        <w:rPr>
          <w:rFonts w:ascii="Arial" w:hAnsi="Arial" w:cs="Arial"/>
        </w:rPr>
        <w:t>UNODC (</w:t>
      </w:r>
      <w:r>
        <w:rPr>
          <w:rFonts w:ascii="Arial" w:hAnsi="Arial" w:cs="Arial"/>
        </w:rPr>
        <w:t>2022</w:t>
      </w:r>
      <w:r w:rsidRPr="005B7AA4">
        <w:rPr>
          <w:rFonts w:ascii="Arial" w:hAnsi="Arial" w:cs="Arial"/>
        </w:rPr>
        <w:t xml:space="preserve">.) </w:t>
      </w:r>
      <w:r w:rsidRPr="005B7AA4">
        <w:rPr>
          <w:rFonts w:ascii="Arial" w:hAnsi="Arial" w:cs="Arial"/>
          <w:i/>
          <w:iCs/>
        </w:rPr>
        <w:t>SDG16 Survey Initiative — Implementation Manual</w:t>
      </w:r>
      <w:r w:rsidRPr="005B7AA4">
        <w:rPr>
          <w:rFonts w:ascii="Arial" w:hAnsi="Arial" w:cs="Arial"/>
        </w:rPr>
        <w:t xml:space="preserve">. Available at: </w:t>
      </w:r>
      <w:hyperlink r:id="rId22" w:history="1">
        <w:r w:rsidRPr="00995D70">
          <w:rPr>
            <w:rStyle w:val="Hyperlink"/>
            <w:rFonts w:ascii="Arial" w:hAnsi="Arial" w:cs="Arial"/>
          </w:rPr>
          <w:t>https://www.unodc.org/documents/data-and-analysis/sdgs/SDG16_Survey_Initiative_-_Implementation_Manual.pdf</w:t>
        </w:r>
      </w:hyperlink>
      <w:r>
        <w:rPr>
          <w:rFonts w:ascii="Arial" w:hAnsi="Arial" w:cs="Arial"/>
        </w:rPr>
        <w:t xml:space="preserve"> </w:t>
      </w:r>
      <w:r w:rsidRPr="005B7AA4">
        <w:rPr>
          <w:rFonts w:ascii="Arial" w:hAnsi="Arial" w:cs="Arial"/>
        </w:rPr>
        <w:t>(Accessed: 20 October 2025).</w:t>
      </w:r>
    </w:p>
    <w:p w14:paraId="48FDE6C9" w14:textId="77777777" w:rsidR="00DF0CB3" w:rsidRDefault="00DF0CB3" w:rsidP="002B4316">
      <w:pPr>
        <w:rPr>
          <w:rFonts w:ascii="Arial" w:hAnsi="Arial" w:cs="Arial"/>
        </w:rPr>
      </w:pPr>
      <w:r w:rsidRPr="00055B47">
        <w:rPr>
          <w:rFonts w:ascii="Arial" w:hAnsi="Arial" w:cs="Arial"/>
        </w:rPr>
        <w:br/>
        <w:t>UNRWA (2019). </w:t>
      </w:r>
      <w:r w:rsidRPr="00055B47">
        <w:rPr>
          <w:rFonts w:ascii="Arial" w:hAnsi="Arial" w:cs="Arial"/>
          <w:i/>
          <w:iCs/>
        </w:rPr>
        <w:t>UNRWA | United Nations Relief and Works Agency for Palestine Refugees</w:t>
      </w:r>
      <w:r w:rsidRPr="00055B47">
        <w:rPr>
          <w:rFonts w:ascii="Arial" w:hAnsi="Arial" w:cs="Arial"/>
        </w:rPr>
        <w:t xml:space="preserve">. UNRWA. Available at: </w:t>
      </w:r>
      <w:hyperlink r:id="rId23" w:history="1">
        <w:r w:rsidRPr="005C14CF">
          <w:rPr>
            <w:rStyle w:val="Hyperlink"/>
            <w:rFonts w:ascii="Arial" w:hAnsi="Arial" w:cs="Arial"/>
          </w:rPr>
          <w:t>https://www.unrwa.org/</w:t>
        </w:r>
      </w:hyperlink>
      <w:r w:rsidRPr="00055B47">
        <w:rPr>
          <w:rFonts w:ascii="Arial" w:hAnsi="Arial" w:cs="Arial"/>
        </w:rPr>
        <w:t>.</w:t>
      </w:r>
      <w:r>
        <w:rPr>
          <w:rFonts w:ascii="Arial" w:hAnsi="Arial" w:cs="Arial"/>
        </w:rPr>
        <w:t xml:space="preserve"> (Accessed: 2 October 2025)</w:t>
      </w:r>
    </w:p>
    <w:p w14:paraId="4F8B96D1" w14:textId="77777777" w:rsidR="00DF0CB3" w:rsidRPr="00760538" w:rsidRDefault="00DF0CB3" w:rsidP="009F3CAC">
      <w:pPr>
        <w:rPr>
          <w:rFonts w:ascii="Arial" w:hAnsi="Arial" w:cs="Arial"/>
        </w:rPr>
      </w:pPr>
      <w:r w:rsidRPr="00760538">
        <w:rPr>
          <w:rFonts w:ascii="Arial" w:hAnsi="Arial" w:cs="Arial"/>
        </w:rPr>
        <w:t xml:space="preserve">World Health Organization (2024) </w:t>
      </w:r>
      <w:r w:rsidRPr="00760538">
        <w:rPr>
          <w:rFonts w:ascii="Arial" w:hAnsi="Arial" w:cs="Arial"/>
          <w:i/>
          <w:iCs/>
        </w:rPr>
        <w:t>SDG3 Global Action Plan Progress Report</w:t>
      </w:r>
      <w:r w:rsidRPr="00760538">
        <w:rPr>
          <w:rFonts w:ascii="Arial" w:hAnsi="Arial" w:cs="Arial"/>
        </w:rPr>
        <w:t xml:space="preserve">. Available at: </w:t>
      </w:r>
      <w:hyperlink r:id="rId24" w:history="1">
        <w:r w:rsidRPr="00760538">
          <w:rPr>
            <w:rStyle w:val="Hyperlink"/>
            <w:rFonts w:ascii="Arial" w:hAnsi="Arial" w:cs="Arial"/>
          </w:rPr>
          <w:t>https://www.who.int/initiatives/sdg3-global-action-plan/progress-and-impact/progress-reports</w:t>
        </w:r>
      </w:hyperlink>
      <w:r>
        <w:rPr>
          <w:rFonts w:ascii="Arial" w:hAnsi="Arial" w:cs="Arial"/>
        </w:rPr>
        <w:t xml:space="preserve"> (Accessed: 7 October 2025)</w:t>
      </w:r>
    </w:p>
    <w:p w14:paraId="5F4E20A2" w14:textId="77777777" w:rsidR="002B4316" w:rsidRPr="002B4316" w:rsidRDefault="002B4316" w:rsidP="001E3ADF">
      <w:pPr>
        <w:rPr>
          <w:rFonts w:ascii="Arial" w:hAnsi="Arial" w:cs="Arial"/>
          <w:sz w:val="32"/>
          <w:szCs w:val="32"/>
        </w:rPr>
      </w:pPr>
    </w:p>
    <w:sectPr w:rsidR="002B4316" w:rsidRPr="002B4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7666F"/>
    <w:multiLevelType w:val="multilevel"/>
    <w:tmpl w:val="D9BA7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F675E0"/>
    <w:multiLevelType w:val="multilevel"/>
    <w:tmpl w:val="B92C4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715627"/>
    <w:multiLevelType w:val="multilevel"/>
    <w:tmpl w:val="BC382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7E096C"/>
    <w:multiLevelType w:val="multilevel"/>
    <w:tmpl w:val="26C6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635D7E"/>
    <w:multiLevelType w:val="multilevel"/>
    <w:tmpl w:val="D0E6C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0519F7"/>
    <w:multiLevelType w:val="multilevel"/>
    <w:tmpl w:val="C0B45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5E56DC"/>
    <w:multiLevelType w:val="multilevel"/>
    <w:tmpl w:val="FC3AC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931C38"/>
    <w:multiLevelType w:val="multilevel"/>
    <w:tmpl w:val="ADA4F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4969652">
    <w:abstractNumId w:val="1"/>
  </w:num>
  <w:num w:numId="2" w16cid:durableId="1882476925">
    <w:abstractNumId w:val="3"/>
  </w:num>
  <w:num w:numId="3" w16cid:durableId="495389830">
    <w:abstractNumId w:val="6"/>
  </w:num>
  <w:num w:numId="4" w16cid:durableId="736127792">
    <w:abstractNumId w:val="0"/>
  </w:num>
  <w:num w:numId="5" w16cid:durableId="1874225044">
    <w:abstractNumId w:val="4"/>
  </w:num>
  <w:num w:numId="6" w16cid:durableId="1916821742">
    <w:abstractNumId w:val="5"/>
  </w:num>
  <w:num w:numId="7" w16cid:durableId="1380009567">
    <w:abstractNumId w:val="2"/>
  </w:num>
  <w:num w:numId="8" w16cid:durableId="10510740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164"/>
    <w:rsid w:val="00001391"/>
    <w:rsid w:val="00002B64"/>
    <w:rsid w:val="00010E33"/>
    <w:rsid w:val="00036643"/>
    <w:rsid w:val="00037BC4"/>
    <w:rsid w:val="00045B6D"/>
    <w:rsid w:val="00054019"/>
    <w:rsid w:val="00055B47"/>
    <w:rsid w:val="00060B66"/>
    <w:rsid w:val="00077D58"/>
    <w:rsid w:val="000A1D5D"/>
    <w:rsid w:val="000B4E22"/>
    <w:rsid w:val="0011076E"/>
    <w:rsid w:val="0018389C"/>
    <w:rsid w:val="001904ED"/>
    <w:rsid w:val="001A3AF9"/>
    <w:rsid w:val="001C0055"/>
    <w:rsid w:val="001E3ADF"/>
    <w:rsid w:val="001E59F1"/>
    <w:rsid w:val="001E7804"/>
    <w:rsid w:val="00215F82"/>
    <w:rsid w:val="002654DE"/>
    <w:rsid w:val="00282C7B"/>
    <w:rsid w:val="002B0B37"/>
    <w:rsid w:val="002B4316"/>
    <w:rsid w:val="002C1B6C"/>
    <w:rsid w:val="002C3A4D"/>
    <w:rsid w:val="002C563D"/>
    <w:rsid w:val="002D55DC"/>
    <w:rsid w:val="002E24D5"/>
    <w:rsid w:val="002E2C22"/>
    <w:rsid w:val="00307FBA"/>
    <w:rsid w:val="003201A7"/>
    <w:rsid w:val="00341ACD"/>
    <w:rsid w:val="00345346"/>
    <w:rsid w:val="003471F2"/>
    <w:rsid w:val="0035659A"/>
    <w:rsid w:val="00376705"/>
    <w:rsid w:val="003B206C"/>
    <w:rsid w:val="003E7DEC"/>
    <w:rsid w:val="003F3FAC"/>
    <w:rsid w:val="003F4AC0"/>
    <w:rsid w:val="0040032C"/>
    <w:rsid w:val="0040171D"/>
    <w:rsid w:val="00407F3D"/>
    <w:rsid w:val="00433485"/>
    <w:rsid w:val="00467A4A"/>
    <w:rsid w:val="00474883"/>
    <w:rsid w:val="00475534"/>
    <w:rsid w:val="00490A64"/>
    <w:rsid w:val="004C6BFB"/>
    <w:rsid w:val="004E6D66"/>
    <w:rsid w:val="004F794A"/>
    <w:rsid w:val="00532D21"/>
    <w:rsid w:val="00533606"/>
    <w:rsid w:val="00541C5D"/>
    <w:rsid w:val="005440B8"/>
    <w:rsid w:val="0054527A"/>
    <w:rsid w:val="005B7AA4"/>
    <w:rsid w:val="005B7B79"/>
    <w:rsid w:val="00613F81"/>
    <w:rsid w:val="006153E0"/>
    <w:rsid w:val="006216A2"/>
    <w:rsid w:val="006242B3"/>
    <w:rsid w:val="00645D3C"/>
    <w:rsid w:val="00653A04"/>
    <w:rsid w:val="00664447"/>
    <w:rsid w:val="0067644B"/>
    <w:rsid w:val="0069097E"/>
    <w:rsid w:val="006B0817"/>
    <w:rsid w:val="006E02C5"/>
    <w:rsid w:val="006E56CF"/>
    <w:rsid w:val="007042D8"/>
    <w:rsid w:val="0071467A"/>
    <w:rsid w:val="00733699"/>
    <w:rsid w:val="007356A2"/>
    <w:rsid w:val="00746164"/>
    <w:rsid w:val="00753A6E"/>
    <w:rsid w:val="00756404"/>
    <w:rsid w:val="00760538"/>
    <w:rsid w:val="00760C2A"/>
    <w:rsid w:val="007742F3"/>
    <w:rsid w:val="00791631"/>
    <w:rsid w:val="007A77B4"/>
    <w:rsid w:val="007B0D62"/>
    <w:rsid w:val="007E28CE"/>
    <w:rsid w:val="00811409"/>
    <w:rsid w:val="008124AE"/>
    <w:rsid w:val="0081478C"/>
    <w:rsid w:val="008310D1"/>
    <w:rsid w:val="00864B2E"/>
    <w:rsid w:val="00865F2B"/>
    <w:rsid w:val="0087425A"/>
    <w:rsid w:val="008B1774"/>
    <w:rsid w:val="008D2A24"/>
    <w:rsid w:val="008D6EF2"/>
    <w:rsid w:val="008D739D"/>
    <w:rsid w:val="00901A57"/>
    <w:rsid w:val="009654A5"/>
    <w:rsid w:val="009661D8"/>
    <w:rsid w:val="00972B99"/>
    <w:rsid w:val="00975F17"/>
    <w:rsid w:val="009A3279"/>
    <w:rsid w:val="009A3310"/>
    <w:rsid w:val="009D7CB5"/>
    <w:rsid w:val="009E54F6"/>
    <w:rsid w:val="009E7CD3"/>
    <w:rsid w:val="009F3CAC"/>
    <w:rsid w:val="00A04D2C"/>
    <w:rsid w:val="00A13E5E"/>
    <w:rsid w:val="00A31892"/>
    <w:rsid w:val="00A35DF1"/>
    <w:rsid w:val="00A436CA"/>
    <w:rsid w:val="00A6599D"/>
    <w:rsid w:val="00A675F2"/>
    <w:rsid w:val="00A73909"/>
    <w:rsid w:val="00A77FB4"/>
    <w:rsid w:val="00AD5D3D"/>
    <w:rsid w:val="00AD648C"/>
    <w:rsid w:val="00AF7AD1"/>
    <w:rsid w:val="00B11A29"/>
    <w:rsid w:val="00B37946"/>
    <w:rsid w:val="00B8425D"/>
    <w:rsid w:val="00BA2CC3"/>
    <w:rsid w:val="00BA4AAA"/>
    <w:rsid w:val="00BB4D6F"/>
    <w:rsid w:val="00BD3365"/>
    <w:rsid w:val="00BF44C1"/>
    <w:rsid w:val="00C25FAA"/>
    <w:rsid w:val="00C40506"/>
    <w:rsid w:val="00C46471"/>
    <w:rsid w:val="00C474D4"/>
    <w:rsid w:val="00C5269B"/>
    <w:rsid w:val="00C6212B"/>
    <w:rsid w:val="00C67F10"/>
    <w:rsid w:val="00C76C3C"/>
    <w:rsid w:val="00C835E7"/>
    <w:rsid w:val="00CF2466"/>
    <w:rsid w:val="00D2374A"/>
    <w:rsid w:val="00D35AAA"/>
    <w:rsid w:val="00D54C64"/>
    <w:rsid w:val="00D612D9"/>
    <w:rsid w:val="00D95BAE"/>
    <w:rsid w:val="00DB3F4B"/>
    <w:rsid w:val="00DD1947"/>
    <w:rsid w:val="00DD1C92"/>
    <w:rsid w:val="00DF0CB3"/>
    <w:rsid w:val="00E51793"/>
    <w:rsid w:val="00E769C6"/>
    <w:rsid w:val="00E82FB4"/>
    <w:rsid w:val="00ED633A"/>
    <w:rsid w:val="00F2021A"/>
    <w:rsid w:val="00F35E50"/>
    <w:rsid w:val="00F513B0"/>
    <w:rsid w:val="00F61333"/>
    <w:rsid w:val="00F80E69"/>
    <w:rsid w:val="00FF1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9331F"/>
  <w15:chartTrackingRefBased/>
  <w15:docId w15:val="{E2850F89-EE7E-425D-A535-9BAA4F4E0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1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61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61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1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1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1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1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1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1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1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1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1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1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1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1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1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1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164"/>
    <w:rPr>
      <w:rFonts w:eastAsiaTheme="majorEastAsia" w:cstheme="majorBidi"/>
      <w:color w:val="272727" w:themeColor="text1" w:themeTint="D8"/>
    </w:rPr>
  </w:style>
  <w:style w:type="paragraph" w:styleId="Title">
    <w:name w:val="Title"/>
    <w:basedOn w:val="Normal"/>
    <w:next w:val="Normal"/>
    <w:link w:val="TitleChar"/>
    <w:uiPriority w:val="10"/>
    <w:qFormat/>
    <w:rsid w:val="007461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1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1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1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164"/>
    <w:pPr>
      <w:spacing w:before="160"/>
      <w:jc w:val="center"/>
    </w:pPr>
    <w:rPr>
      <w:i/>
      <w:iCs/>
      <w:color w:val="404040" w:themeColor="text1" w:themeTint="BF"/>
    </w:rPr>
  </w:style>
  <w:style w:type="character" w:customStyle="1" w:styleId="QuoteChar">
    <w:name w:val="Quote Char"/>
    <w:basedOn w:val="DefaultParagraphFont"/>
    <w:link w:val="Quote"/>
    <w:uiPriority w:val="29"/>
    <w:rsid w:val="00746164"/>
    <w:rPr>
      <w:i/>
      <w:iCs/>
      <w:color w:val="404040" w:themeColor="text1" w:themeTint="BF"/>
    </w:rPr>
  </w:style>
  <w:style w:type="paragraph" w:styleId="ListParagraph">
    <w:name w:val="List Paragraph"/>
    <w:basedOn w:val="Normal"/>
    <w:uiPriority w:val="34"/>
    <w:qFormat/>
    <w:rsid w:val="00746164"/>
    <w:pPr>
      <w:ind w:left="720"/>
      <w:contextualSpacing/>
    </w:pPr>
  </w:style>
  <w:style w:type="character" w:styleId="IntenseEmphasis">
    <w:name w:val="Intense Emphasis"/>
    <w:basedOn w:val="DefaultParagraphFont"/>
    <w:uiPriority w:val="21"/>
    <w:qFormat/>
    <w:rsid w:val="00746164"/>
    <w:rPr>
      <w:i/>
      <w:iCs/>
      <w:color w:val="0F4761" w:themeColor="accent1" w:themeShade="BF"/>
    </w:rPr>
  </w:style>
  <w:style w:type="paragraph" w:styleId="IntenseQuote">
    <w:name w:val="Intense Quote"/>
    <w:basedOn w:val="Normal"/>
    <w:next w:val="Normal"/>
    <w:link w:val="IntenseQuoteChar"/>
    <w:uiPriority w:val="30"/>
    <w:qFormat/>
    <w:rsid w:val="007461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164"/>
    <w:rPr>
      <w:i/>
      <w:iCs/>
      <w:color w:val="0F4761" w:themeColor="accent1" w:themeShade="BF"/>
    </w:rPr>
  </w:style>
  <w:style w:type="character" w:styleId="IntenseReference">
    <w:name w:val="Intense Reference"/>
    <w:basedOn w:val="DefaultParagraphFont"/>
    <w:uiPriority w:val="32"/>
    <w:qFormat/>
    <w:rsid w:val="00746164"/>
    <w:rPr>
      <w:b/>
      <w:bCs/>
      <w:smallCaps/>
      <w:color w:val="0F4761" w:themeColor="accent1" w:themeShade="BF"/>
      <w:spacing w:val="5"/>
    </w:rPr>
  </w:style>
  <w:style w:type="character" w:styleId="Hyperlink">
    <w:name w:val="Hyperlink"/>
    <w:basedOn w:val="DefaultParagraphFont"/>
    <w:uiPriority w:val="99"/>
    <w:unhideWhenUsed/>
    <w:rsid w:val="002B4316"/>
    <w:rPr>
      <w:color w:val="467886" w:themeColor="hyperlink"/>
      <w:u w:val="single"/>
    </w:rPr>
  </w:style>
  <w:style w:type="character" w:styleId="UnresolvedMention">
    <w:name w:val="Unresolved Mention"/>
    <w:basedOn w:val="DefaultParagraphFont"/>
    <w:uiPriority w:val="99"/>
    <w:semiHidden/>
    <w:unhideWhenUsed/>
    <w:rsid w:val="002B43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mmunity-safety-partnerships/community-safety-partnerships" TargetMode="External"/><Relationship Id="rId13" Type="http://schemas.openxmlformats.org/officeDocument/2006/relationships/hyperlink" Target="https://knowledgehub.transparency.org/product/2020-sdg16-data-initiative-report" TargetMode="External"/><Relationship Id="rId18" Type="http://schemas.openxmlformats.org/officeDocument/2006/relationships/hyperlink" Target="https://www.un.org/sustainabledevelopment/peace-justice/?utm_source=chatgpt.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alestine.un.org/sites/default/files/2023-03/UNSDCF%202023-2025_Final.pdf" TargetMode="External"/><Relationship Id="rId7" Type="http://schemas.openxmlformats.org/officeDocument/2006/relationships/hyperlink" Target="https://www.birmingham-community-safety-partnership.co.uk/what-we-do/" TargetMode="External"/><Relationship Id="rId12" Type="http://schemas.openxmlformats.org/officeDocument/2006/relationships/hyperlink" Target="https://www.rcn.org.uk/" TargetMode="External"/><Relationship Id="rId17" Type="http://schemas.openxmlformats.org/officeDocument/2006/relationships/hyperlink" Target="https://www.un.org/sustainabledevelopment/peace-justic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ata.unicef.org/sdgs/goal-3-good-health-wellbeing/" TargetMode="External"/><Relationship Id="rId20" Type="http://schemas.openxmlformats.org/officeDocument/2006/relationships/hyperlink" Target="https://palestine.un.org/en/sdgs/3/key-activities" TargetMode="External"/><Relationship Id="rId1" Type="http://schemas.openxmlformats.org/officeDocument/2006/relationships/numbering" Target="numbering.xml"/><Relationship Id="rId6" Type="http://schemas.openxmlformats.org/officeDocument/2006/relationships/hyperlink" Target="https://www.birmingham.gov.uk/info/50222/community_safety" TargetMode="External"/><Relationship Id="rId11" Type="http://schemas.openxmlformats.org/officeDocument/2006/relationships/hyperlink" Target="https://fingertips.phe.org.uk/" TargetMode="External"/><Relationship Id="rId24" Type="http://schemas.openxmlformats.org/officeDocument/2006/relationships/hyperlink" Target="https://www.who.int/initiatives/sdg3-global-action-plan/progress-and-impact/progress-reports" TargetMode="External"/><Relationship Id="rId5" Type="http://schemas.openxmlformats.org/officeDocument/2006/relationships/hyperlink" Target="https://www.birmingham.gov.uk/" TargetMode="External"/><Relationship Id="rId15" Type="http://schemas.openxmlformats.org/officeDocument/2006/relationships/hyperlink" Target="https://sdgs.un.org/2025-SDG-BusinessForum" TargetMode="External"/><Relationship Id="rId23" Type="http://schemas.openxmlformats.org/officeDocument/2006/relationships/hyperlink" Target="https://www.unrwa.org/" TargetMode="External"/><Relationship Id="rId10" Type="http://schemas.openxmlformats.org/officeDocument/2006/relationships/hyperlink" Target="https://www.longtermplan.nhs.uk" TargetMode="External"/><Relationship Id="rId19" Type="http://schemas.openxmlformats.org/officeDocument/2006/relationships/hyperlink" Target="https://www.unrwa.org/unrwa-and-sdg-16-peace-justice-and-strong-institutions" TargetMode="External"/><Relationship Id="rId4" Type="http://schemas.openxmlformats.org/officeDocument/2006/relationships/webSettings" Target="webSettings.xml"/><Relationship Id="rId9" Type="http://schemas.openxmlformats.org/officeDocument/2006/relationships/hyperlink" Target="https://mptf.undp.org/sites/default/files/documents/2024-05/2024.05.24_sawasya_ii_final_report.pdf" TargetMode="External"/><Relationship Id="rId14" Type="http://schemas.openxmlformats.org/officeDocument/2006/relationships/hyperlink" Target="https://sdgdata.gov.uk/3/" TargetMode="External"/><Relationship Id="rId22" Type="http://schemas.openxmlformats.org/officeDocument/2006/relationships/hyperlink" Target="https://www.unodc.org/documents/data-and-analysis/sdgs/SDG16_Survey_Initiative_-_Implementation_Manu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9</Pages>
  <Words>3181</Words>
  <Characters>18138</Characters>
  <Application>Microsoft Office Word</Application>
  <DocSecurity>0</DocSecurity>
  <Lines>151</Lines>
  <Paragraphs>42</Paragraphs>
  <ScaleCrop>false</ScaleCrop>
  <Company/>
  <LinksUpToDate>false</LinksUpToDate>
  <CharactersWithSpaces>21277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Ali (2222409)</dc:creator>
  <cp:keywords/>
  <dc:description/>
  <cp:lastModifiedBy>Fatima Ali (2222409)</cp:lastModifiedBy>
  <cp:revision>149</cp:revision>
  <dcterms:created xsi:type="dcterms:W3CDTF">2025-10-02T10:30:00Z</dcterms:created>
  <dcterms:modified xsi:type="dcterms:W3CDTF">2025-10-22T14:01:00Z</dcterms:modified>
</cp:coreProperties>
</file>