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12F7D" w14:textId="77777777" w:rsidR="00BE346B" w:rsidRPr="00BE346B" w:rsidRDefault="00BE346B" w:rsidP="00BE346B">
      <w:pPr>
        <w:jc w:val="both"/>
        <w:rPr>
          <w:rFonts w:asciiTheme="majorBidi" w:hAnsiTheme="majorBidi" w:cstheme="majorBidi"/>
          <w:sz w:val="20"/>
          <w:szCs w:val="20"/>
          <w:lang w:val="en-GB"/>
        </w:rPr>
      </w:pPr>
    </w:p>
    <w:p w14:paraId="10E7A4E1" w14:textId="77777777" w:rsidR="00BE346B" w:rsidRPr="00BE346B" w:rsidRDefault="00BE346B" w:rsidP="00BE346B">
      <w:pPr>
        <w:jc w:val="center"/>
        <w:rPr>
          <w:rFonts w:asciiTheme="majorBidi" w:hAnsiTheme="majorBidi" w:cstheme="majorBidi"/>
          <w:b/>
          <w:color w:val="000000" w:themeColor="text1"/>
          <w:sz w:val="22"/>
          <w:szCs w:val="22"/>
        </w:rPr>
      </w:pPr>
      <w:r w:rsidRPr="00BE346B">
        <w:rPr>
          <w:rFonts w:asciiTheme="majorBidi" w:hAnsiTheme="majorBidi" w:cstheme="majorBidi"/>
          <w:b/>
          <w:color w:val="000000" w:themeColor="text1"/>
          <w:sz w:val="22"/>
          <w:szCs w:val="22"/>
        </w:rPr>
        <w:t>Programme: Certificate of Higher Education</w:t>
      </w:r>
    </w:p>
    <w:p w14:paraId="21AD16BE" w14:textId="77777777" w:rsidR="00BE346B" w:rsidRPr="00BE346B" w:rsidRDefault="00BE346B" w:rsidP="00BE346B">
      <w:pPr>
        <w:jc w:val="center"/>
        <w:rPr>
          <w:rFonts w:asciiTheme="majorBidi" w:hAnsiTheme="majorBidi" w:cstheme="majorBidi"/>
          <w:b/>
          <w:color w:val="000000" w:themeColor="text1"/>
          <w:sz w:val="22"/>
          <w:szCs w:val="22"/>
        </w:rPr>
      </w:pPr>
      <w:r w:rsidRPr="00BE346B">
        <w:rPr>
          <w:rFonts w:asciiTheme="majorBidi" w:hAnsiTheme="majorBidi" w:cstheme="majorBidi"/>
          <w:b/>
          <w:color w:val="000000" w:themeColor="text1"/>
          <w:sz w:val="22"/>
          <w:szCs w:val="22"/>
        </w:rPr>
        <w:t>Employability Skills</w:t>
      </w:r>
    </w:p>
    <w:p w14:paraId="084E4A0C" w14:textId="77777777" w:rsidR="00BE346B" w:rsidRPr="00BE346B" w:rsidRDefault="00BE346B" w:rsidP="00BE346B">
      <w:pPr>
        <w:jc w:val="center"/>
        <w:rPr>
          <w:rFonts w:asciiTheme="majorBidi" w:hAnsiTheme="majorBidi" w:cstheme="majorBidi"/>
          <w:b/>
          <w:color w:val="000000" w:themeColor="text1"/>
          <w:sz w:val="22"/>
          <w:szCs w:val="22"/>
        </w:rPr>
      </w:pPr>
    </w:p>
    <w:p w14:paraId="3E7B6BBA" w14:textId="70B2BE35" w:rsidR="00BE346B" w:rsidRPr="00BE346B" w:rsidRDefault="00BE346B" w:rsidP="00BE346B">
      <w:pPr>
        <w:jc w:val="center"/>
        <w:rPr>
          <w:rFonts w:asciiTheme="majorBidi" w:hAnsiTheme="majorBidi" w:cstheme="majorBidi"/>
          <w:b/>
          <w:color w:val="000000" w:themeColor="text1"/>
          <w:sz w:val="22"/>
          <w:szCs w:val="22"/>
        </w:rPr>
      </w:pPr>
      <w:r w:rsidRPr="00BE346B">
        <w:rPr>
          <w:rFonts w:asciiTheme="majorBidi" w:hAnsiTheme="majorBidi" w:cstheme="majorBidi"/>
          <w:b/>
          <w:color w:val="000000" w:themeColor="text1"/>
          <w:sz w:val="22"/>
          <w:szCs w:val="22"/>
        </w:rPr>
        <w:t>Module: Professional Career Development</w:t>
      </w:r>
    </w:p>
    <w:p w14:paraId="1FE08F58" w14:textId="77777777" w:rsidR="00BE346B" w:rsidRPr="00BE346B" w:rsidRDefault="00BE346B" w:rsidP="00BE346B">
      <w:pPr>
        <w:jc w:val="center"/>
        <w:rPr>
          <w:rFonts w:asciiTheme="majorBidi" w:hAnsiTheme="majorBidi" w:cstheme="majorBidi"/>
          <w:b/>
          <w:color w:val="000000" w:themeColor="text1"/>
          <w:sz w:val="22"/>
          <w:szCs w:val="22"/>
        </w:rPr>
      </w:pPr>
      <w:r w:rsidRPr="00BE346B">
        <w:rPr>
          <w:rFonts w:asciiTheme="majorBidi" w:hAnsiTheme="majorBidi" w:cstheme="majorBidi"/>
          <w:b/>
          <w:color w:val="000000" w:themeColor="text1"/>
          <w:sz w:val="22"/>
          <w:szCs w:val="22"/>
        </w:rPr>
        <w:t>Module Code: BMSW4012</w:t>
      </w:r>
    </w:p>
    <w:p w14:paraId="04E7F578" w14:textId="77777777" w:rsidR="00BE346B" w:rsidRPr="00BE346B" w:rsidRDefault="00BE346B" w:rsidP="00BE34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Bidi" w:hAnsiTheme="majorBidi" w:cstheme="majorBidi"/>
          <w:b/>
          <w:color w:val="000000" w:themeColor="text1"/>
          <w:sz w:val="22"/>
          <w:szCs w:val="22"/>
        </w:rPr>
      </w:pPr>
      <w:r w:rsidRPr="00BE346B">
        <w:rPr>
          <w:rFonts w:asciiTheme="majorBidi" w:hAnsiTheme="majorBidi" w:cstheme="majorBidi"/>
          <w:b/>
          <w:color w:val="000000" w:themeColor="text1"/>
          <w:sz w:val="22"/>
          <w:szCs w:val="22"/>
        </w:rPr>
        <w:t>Lecturer: Muhammad Cassamo</w:t>
      </w:r>
    </w:p>
    <w:p w14:paraId="51C0AF8B" w14:textId="77777777" w:rsidR="00BE346B" w:rsidRPr="00BE346B" w:rsidRDefault="00BE346B" w:rsidP="00BE346B">
      <w:pPr>
        <w:jc w:val="center"/>
        <w:rPr>
          <w:rFonts w:asciiTheme="majorBidi" w:hAnsiTheme="majorBidi" w:cstheme="majorBidi"/>
          <w:b/>
          <w:color w:val="000000" w:themeColor="text1"/>
          <w:sz w:val="22"/>
          <w:szCs w:val="22"/>
        </w:rPr>
      </w:pPr>
      <w:r w:rsidRPr="00BE346B">
        <w:rPr>
          <w:rFonts w:asciiTheme="majorBidi" w:hAnsiTheme="majorBidi" w:cstheme="majorBidi"/>
          <w:b/>
          <w:color w:val="000000" w:themeColor="text1"/>
          <w:sz w:val="22"/>
          <w:szCs w:val="22"/>
        </w:rPr>
        <w:t>Name: Sulafa Yousif</w:t>
      </w:r>
    </w:p>
    <w:p w14:paraId="681B551D" w14:textId="77777777" w:rsidR="00BE346B" w:rsidRPr="00BE346B" w:rsidRDefault="00BE346B" w:rsidP="00BE346B">
      <w:pPr>
        <w:jc w:val="center"/>
        <w:rPr>
          <w:rFonts w:asciiTheme="majorBidi" w:hAnsiTheme="majorBidi" w:cstheme="majorBidi"/>
          <w:b/>
          <w:color w:val="000000" w:themeColor="text1"/>
          <w:sz w:val="22"/>
          <w:szCs w:val="22"/>
        </w:rPr>
      </w:pPr>
      <w:r w:rsidRPr="00BE346B">
        <w:rPr>
          <w:rFonts w:asciiTheme="majorBidi" w:hAnsiTheme="majorBidi" w:cstheme="majorBidi"/>
          <w:b/>
          <w:color w:val="000000" w:themeColor="text1"/>
          <w:sz w:val="22"/>
          <w:szCs w:val="22"/>
        </w:rPr>
        <w:t>Student No: 2233989</w:t>
      </w:r>
    </w:p>
    <w:p w14:paraId="7B9D2FC5" w14:textId="77777777" w:rsidR="00BE346B" w:rsidRPr="00BE346B" w:rsidRDefault="00BE346B" w:rsidP="00BE346B">
      <w:pPr>
        <w:jc w:val="center"/>
        <w:rPr>
          <w:rFonts w:asciiTheme="majorBidi" w:hAnsiTheme="majorBidi" w:cstheme="majorBidi"/>
          <w:b/>
          <w:color w:val="000000" w:themeColor="text1"/>
          <w:sz w:val="22"/>
          <w:szCs w:val="22"/>
        </w:rPr>
      </w:pPr>
    </w:p>
    <w:p w14:paraId="583E8A88" w14:textId="77777777" w:rsidR="00BE346B" w:rsidRPr="00BE346B" w:rsidRDefault="00BE346B" w:rsidP="00BE346B">
      <w:pPr>
        <w:jc w:val="center"/>
        <w:rPr>
          <w:rFonts w:asciiTheme="majorBidi" w:hAnsiTheme="majorBidi" w:cstheme="majorBidi"/>
          <w:b/>
          <w:sz w:val="22"/>
          <w:szCs w:val="22"/>
        </w:rPr>
      </w:pPr>
    </w:p>
    <w:p w14:paraId="725567E2" w14:textId="1437FCDB" w:rsidR="00BE346B" w:rsidRPr="00BE346B" w:rsidRDefault="00BE346B" w:rsidP="00BE346B">
      <w:pPr>
        <w:jc w:val="center"/>
        <w:rPr>
          <w:rFonts w:asciiTheme="majorBidi" w:hAnsiTheme="majorBidi" w:cstheme="majorBidi"/>
          <w:b/>
          <w:color w:val="000000" w:themeColor="text1"/>
          <w:sz w:val="22"/>
          <w:szCs w:val="22"/>
          <w:u w:val="single"/>
        </w:rPr>
      </w:pPr>
      <w:r w:rsidRPr="00BE346B">
        <w:rPr>
          <w:rFonts w:asciiTheme="majorBidi" w:hAnsiTheme="majorBidi" w:cstheme="majorBidi"/>
          <w:b/>
          <w:color w:val="000000" w:themeColor="text1"/>
          <w:sz w:val="22"/>
          <w:szCs w:val="22"/>
          <w:u w:val="single"/>
        </w:rPr>
        <w:t>Part1: Individual Reflection</w:t>
      </w:r>
    </w:p>
    <w:p w14:paraId="517F3932" w14:textId="77777777" w:rsidR="00BE346B" w:rsidRPr="00BE346B" w:rsidRDefault="00BE346B" w:rsidP="00BE346B">
      <w:pPr>
        <w:jc w:val="both"/>
        <w:rPr>
          <w:rFonts w:asciiTheme="majorBidi" w:hAnsiTheme="majorBidi" w:cstheme="majorBidi"/>
          <w:b/>
          <w:sz w:val="20"/>
          <w:szCs w:val="20"/>
          <w:lang w:val="en-GB"/>
        </w:rPr>
      </w:pPr>
    </w:p>
    <w:p w14:paraId="18C202D1" w14:textId="77777777" w:rsidR="00BE346B" w:rsidRPr="00BE346B" w:rsidRDefault="00BE346B" w:rsidP="00BE34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jc w:val="both"/>
        <w:rPr>
          <w:rFonts w:asciiTheme="majorBidi" w:hAnsiTheme="majorBidi" w:cstheme="majorBidi"/>
          <w:b/>
          <w:bCs/>
          <w:sz w:val="20"/>
          <w:szCs w:val="20"/>
          <w:lang w:val="en-GB"/>
        </w:rPr>
      </w:pPr>
      <w:r w:rsidRPr="00BE346B">
        <w:rPr>
          <w:rFonts w:asciiTheme="majorBidi" w:hAnsiTheme="majorBidi" w:cstheme="majorBidi"/>
          <w:sz w:val="20"/>
          <w:szCs w:val="20"/>
          <w:lang w:val="en-GB"/>
        </w:rPr>
        <w:t xml:space="preserve">                                          </w:t>
      </w:r>
    </w:p>
    <w:p w14:paraId="6F68A90A" w14:textId="7401B5A0" w:rsidR="00BE346B" w:rsidRPr="00BE346B" w:rsidRDefault="00BE346B" w:rsidP="00BE34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jc w:val="both"/>
        <w:rPr>
          <w:rFonts w:asciiTheme="majorBidi" w:hAnsiTheme="majorBidi" w:cstheme="majorBidi"/>
          <w:color w:val="000000"/>
          <w:sz w:val="20"/>
          <w:szCs w:val="20"/>
          <w:lang w:val="en-GB"/>
        </w:rPr>
      </w:pPr>
      <w:r>
        <w:rPr>
          <w:rFonts w:asciiTheme="majorBidi" w:hAnsiTheme="majorBidi" w:cstheme="majorBidi"/>
          <w:b/>
          <w:bCs/>
          <w:sz w:val="20"/>
          <w:szCs w:val="20"/>
          <w:u w:val="single"/>
          <w:lang w:val="en-GB"/>
        </w:rPr>
        <w:t xml:space="preserve"> </w:t>
      </w:r>
      <w:r w:rsidRPr="00BE346B">
        <w:rPr>
          <w:rFonts w:asciiTheme="majorBidi" w:hAnsiTheme="majorBidi" w:cstheme="majorBidi"/>
          <w:sz w:val="20"/>
          <w:szCs w:val="20"/>
        </w:rPr>
        <w:t>This model encouraged a dynamic approach to learning from experiences. Engaging with each stage, I enhanced my understanding of any situations, emotions, actions, and outcomes, the aim is to enhance personal and professional growth. Gibbs' model, Gibbs</w:t>
      </w:r>
      <w:r w:rsidRPr="00BE346B">
        <w:rPr>
          <w:rFonts w:asciiTheme="majorBidi" w:hAnsiTheme="majorBidi" w:cstheme="majorBidi"/>
          <w:color w:val="000000"/>
          <w:sz w:val="20"/>
          <w:szCs w:val="20"/>
          <w:lang w:val="en-GB"/>
        </w:rPr>
        <w:t xml:space="preserve">, G. (1988). Learning by Doing: A Guide to Teaching and Learning Methods. Oxford Polytechnic: Further Education Unit. </w:t>
      </w:r>
      <w:r w:rsidRPr="00BE346B">
        <w:rPr>
          <w:rFonts w:asciiTheme="majorBidi" w:hAnsiTheme="majorBidi" w:cstheme="majorBidi"/>
          <w:sz w:val="20"/>
          <w:szCs w:val="20"/>
        </w:rPr>
        <w:t>provided a valuable tool for enhancing my self-awareness, improving critical thinking, and continuous learning and improvement through reflection.</w:t>
      </w:r>
    </w:p>
    <w:p w14:paraId="1D29E955" w14:textId="77777777" w:rsidR="00BE346B" w:rsidRPr="00BE346B" w:rsidRDefault="00BE346B" w:rsidP="00BE346B">
      <w:pPr>
        <w:jc w:val="both"/>
        <w:rPr>
          <w:rFonts w:asciiTheme="majorBidi" w:hAnsiTheme="majorBidi" w:cstheme="majorBidi"/>
          <w:sz w:val="20"/>
          <w:szCs w:val="20"/>
          <w:lang w:val="en-GB"/>
        </w:rPr>
      </w:pPr>
      <w:r w:rsidRPr="00BE346B">
        <w:rPr>
          <w:rFonts w:asciiTheme="majorBidi" w:hAnsiTheme="majorBidi" w:cstheme="majorBidi"/>
          <w:sz w:val="20"/>
          <w:szCs w:val="20"/>
          <w:lang w:val="en-GB"/>
        </w:rPr>
        <w:t>reflection is crucial for both professional and personal growth, since it includes applying learnt information rather than just regurgitating it. According to Hicks et al. (2019), people can come up with new ideas by using their emotions and thoughts that come from thinking about a scenario. Gibbs Reflective Cycle will be used to assess the skills and knowledge obtained from the Professional Career Development lessons, which have improved my employability and study skills,  The Gibbs Reflective Cycle involves six key stages: Description, where individuals narrate what happened; Feelings, where emotions and thoughts are explored; Evaluation, where the experience is critically assessed; Analysis, where the situation is broken down to understand contributing factors; Conclusion, where insights are drawn from the reflection; and Action Plan, where specific steps are outlined for future improvement. This structured model guides individuals through a systematic process of reflection on experiences to promote learning, personal growth, and professional development.</w:t>
      </w:r>
    </w:p>
    <w:p w14:paraId="6BE92FBA" w14:textId="77777777" w:rsidR="00BE346B" w:rsidRPr="00BE346B" w:rsidRDefault="00BE346B" w:rsidP="00BE346B">
      <w:pPr>
        <w:jc w:val="both"/>
        <w:rPr>
          <w:rFonts w:asciiTheme="majorBidi" w:hAnsiTheme="majorBidi" w:cstheme="majorBidi"/>
          <w:sz w:val="20"/>
          <w:szCs w:val="20"/>
          <w:lang w:val="en-GB"/>
        </w:rPr>
      </w:pPr>
      <w:r w:rsidRPr="00BE346B">
        <w:rPr>
          <w:rFonts w:asciiTheme="majorBidi" w:hAnsiTheme="majorBidi" w:cstheme="majorBidi"/>
          <w:sz w:val="20"/>
          <w:szCs w:val="20"/>
          <w:lang w:val="en-GB"/>
        </w:rPr>
        <w:t xml:space="preserve">Another reflective cycle that I have found to be relevant is, Concrete Experience (feeling), Reflective Observation (reflection), Abstract Conceptualisation (learning/concluding), and Active Experimentation (action) by (Kolb and Kolb, 2019). </w:t>
      </w:r>
    </w:p>
    <w:p w14:paraId="6BD8E835" w14:textId="77777777" w:rsidR="00BE346B" w:rsidRPr="00BE346B" w:rsidRDefault="00BE346B" w:rsidP="00BE346B">
      <w:pPr>
        <w:jc w:val="both"/>
        <w:rPr>
          <w:rFonts w:asciiTheme="majorBidi" w:hAnsiTheme="majorBidi" w:cstheme="majorBidi"/>
          <w:sz w:val="20"/>
          <w:szCs w:val="20"/>
        </w:rPr>
      </w:pPr>
    </w:p>
    <w:p w14:paraId="7B5119D5" w14:textId="77777777" w:rsidR="00BE346B" w:rsidRPr="00BE346B" w:rsidRDefault="00BE346B" w:rsidP="00BE346B">
      <w:pPr>
        <w:jc w:val="both"/>
        <w:rPr>
          <w:rFonts w:asciiTheme="majorBidi" w:hAnsiTheme="majorBidi" w:cstheme="majorBidi"/>
          <w:sz w:val="20"/>
          <w:szCs w:val="20"/>
        </w:rPr>
      </w:pPr>
      <w:r w:rsidRPr="00BE346B">
        <w:rPr>
          <w:rFonts w:asciiTheme="majorBidi" w:hAnsiTheme="majorBidi" w:cstheme="majorBidi"/>
          <w:sz w:val="20"/>
          <w:szCs w:val="20"/>
        </w:rPr>
        <w:t>The SWOT analysis model, a cornerstone of the lectures, is a powerful tool for evaluating personal strengths, weaknesses, opportunities, and threats. In a recent team project, I employed SWOT analysis to assess my skill set. Recognizing my strength in leadership but acknowledging a weakness in time management, I implemented strategies to improve my organization and delegation skills. This reflective process enhanced my overall performance and teamwork abilities.</w:t>
      </w:r>
    </w:p>
    <w:p w14:paraId="715905D3" w14:textId="77777777" w:rsidR="00BE346B" w:rsidRPr="00BE346B" w:rsidRDefault="00BE346B" w:rsidP="00BE346B">
      <w:pPr>
        <w:jc w:val="both"/>
        <w:rPr>
          <w:rFonts w:asciiTheme="majorBidi" w:hAnsiTheme="majorBidi" w:cstheme="majorBidi"/>
          <w:sz w:val="20"/>
          <w:szCs w:val="20"/>
        </w:rPr>
      </w:pPr>
    </w:p>
    <w:p w14:paraId="7F415CD2" w14:textId="77777777" w:rsidR="00BE346B" w:rsidRPr="00BE346B" w:rsidRDefault="00BE346B" w:rsidP="00BE346B">
      <w:pPr>
        <w:jc w:val="both"/>
        <w:rPr>
          <w:rFonts w:asciiTheme="majorBidi" w:hAnsiTheme="majorBidi" w:cstheme="majorBidi"/>
          <w:sz w:val="20"/>
          <w:szCs w:val="20"/>
        </w:rPr>
      </w:pPr>
      <w:r w:rsidRPr="00BE346B">
        <w:rPr>
          <w:rFonts w:asciiTheme="majorBidi" w:hAnsiTheme="majorBidi" w:cstheme="majorBidi"/>
          <w:sz w:val="20"/>
          <w:szCs w:val="20"/>
        </w:rPr>
        <w:t>The SMART goals framework has been instrumental in guiding my goal-setting process towards greater effectiveness. For instance, when aiming to enhance my presentation skills, I formulated a SMART goal outlining specific milestones and measurable objectives. By breaking down the task into manageable steps and setting a realistic timeline, I successfully improved my public speaking skills, culminating in a successful client presentation that garnered positive feedback.</w:t>
      </w:r>
    </w:p>
    <w:p w14:paraId="0992D728" w14:textId="77777777" w:rsidR="00BE346B" w:rsidRPr="00BE346B" w:rsidRDefault="00BE346B" w:rsidP="00BE346B">
      <w:pPr>
        <w:jc w:val="both"/>
        <w:rPr>
          <w:rFonts w:asciiTheme="majorBidi" w:hAnsiTheme="majorBidi" w:cstheme="majorBidi"/>
          <w:sz w:val="20"/>
          <w:szCs w:val="20"/>
        </w:rPr>
      </w:pPr>
      <w:r w:rsidRPr="00BE346B">
        <w:rPr>
          <w:rFonts w:asciiTheme="majorBidi" w:hAnsiTheme="majorBidi" w:cstheme="majorBidi"/>
          <w:sz w:val="20"/>
          <w:szCs w:val="20"/>
        </w:rPr>
        <w:t>Exploring the Johari Window model has deepened my understanding of self-awareness and interpersonal dynamics. Through feedback from colleagues and self-reflection, I expanded the 'open' quadrant by actively seeking constructive criticism to enhance professional relationships. This transparent communication approach fostered trust within my team and contributed to more cohesive collaborations and project outcomes.</w:t>
      </w:r>
    </w:p>
    <w:p w14:paraId="6154DE8A" w14:textId="77777777" w:rsidR="00BE346B" w:rsidRPr="00BE346B" w:rsidRDefault="00BE346B" w:rsidP="00BE346B">
      <w:pPr>
        <w:jc w:val="both"/>
        <w:rPr>
          <w:rFonts w:asciiTheme="majorBidi" w:hAnsiTheme="majorBidi" w:cstheme="majorBidi"/>
          <w:sz w:val="20"/>
          <w:szCs w:val="20"/>
        </w:rPr>
      </w:pPr>
    </w:p>
    <w:p w14:paraId="0FEA3924" w14:textId="77777777" w:rsidR="00BE346B" w:rsidRPr="00BE346B" w:rsidRDefault="00BE346B" w:rsidP="00BE346B">
      <w:pPr>
        <w:jc w:val="both"/>
        <w:rPr>
          <w:rFonts w:asciiTheme="majorBidi" w:hAnsiTheme="majorBidi" w:cstheme="majorBidi"/>
          <w:sz w:val="20"/>
          <w:szCs w:val="20"/>
        </w:rPr>
      </w:pPr>
      <w:r w:rsidRPr="00BE346B">
        <w:rPr>
          <w:rFonts w:asciiTheme="majorBidi" w:hAnsiTheme="majorBidi" w:cstheme="majorBidi"/>
          <w:sz w:val="20"/>
          <w:szCs w:val="20"/>
        </w:rPr>
        <w:t>Creating a Personal Development Plan (PDP) post-lecture has been transformative in setting clear career objectives and actionable steps towards their attainment. By outlining short-term goals such as acquiring a new certification and long-term goals like transitioning to a management role, I have been able to stay focused on my professional advancement. Regularly revisiting and revising my PDP ensures that I remain aligned with my career aspirations and evolving skill requirements.</w:t>
      </w:r>
    </w:p>
    <w:p w14:paraId="279EC7DC" w14:textId="77777777" w:rsidR="00BE346B" w:rsidRPr="00BE346B" w:rsidRDefault="00BE346B" w:rsidP="00BE346B">
      <w:pPr>
        <w:jc w:val="both"/>
        <w:rPr>
          <w:rFonts w:asciiTheme="majorBidi" w:hAnsiTheme="majorBidi" w:cstheme="majorBidi"/>
          <w:sz w:val="20"/>
          <w:szCs w:val="20"/>
        </w:rPr>
      </w:pPr>
    </w:p>
    <w:p w14:paraId="11661C17" w14:textId="77777777" w:rsidR="00BE346B" w:rsidRPr="00BE346B" w:rsidRDefault="00BE346B" w:rsidP="00BE346B">
      <w:pPr>
        <w:jc w:val="both"/>
        <w:rPr>
          <w:rFonts w:asciiTheme="majorBidi" w:hAnsiTheme="majorBidi" w:cstheme="majorBidi"/>
          <w:sz w:val="20"/>
          <w:szCs w:val="20"/>
        </w:rPr>
      </w:pPr>
      <w:r w:rsidRPr="00BE346B">
        <w:rPr>
          <w:rFonts w:asciiTheme="majorBidi" w:hAnsiTheme="majorBidi" w:cstheme="majorBidi"/>
          <w:sz w:val="20"/>
          <w:szCs w:val="20"/>
        </w:rPr>
        <w:lastRenderedPageBreak/>
        <w:t>Understanding various learning styles has enabled me to optimize my learning experiences for enhanced comprehension and retention. Recognizing my auditory learning preference, I have incorporated techniques such as verbal repetition and podcasts into my study routine. This adaptation has significantly improved my knowledge acquisition and retention, enabling me to grasp complex concepts more efficiently.</w:t>
      </w:r>
    </w:p>
    <w:p w14:paraId="155057AE" w14:textId="77777777" w:rsidR="00BE346B" w:rsidRPr="00BE346B" w:rsidRDefault="00BE346B" w:rsidP="00BE346B">
      <w:pPr>
        <w:jc w:val="both"/>
        <w:rPr>
          <w:rFonts w:asciiTheme="majorBidi" w:hAnsiTheme="majorBidi" w:cstheme="majorBidi"/>
          <w:b/>
          <w:bCs/>
          <w:sz w:val="20"/>
          <w:szCs w:val="20"/>
          <w:u w:val="single"/>
          <w:lang w:val="en-GB"/>
        </w:rPr>
      </w:pPr>
    </w:p>
    <w:p w14:paraId="46405FF7" w14:textId="77777777" w:rsidR="00BE346B" w:rsidRPr="00BE346B" w:rsidRDefault="00BE346B" w:rsidP="00BE346B">
      <w:pPr>
        <w:jc w:val="both"/>
        <w:rPr>
          <w:rFonts w:asciiTheme="majorBidi" w:hAnsiTheme="majorBidi" w:cstheme="majorBidi"/>
          <w:sz w:val="20"/>
          <w:szCs w:val="20"/>
          <w:lang w:val="en-GB"/>
        </w:rPr>
      </w:pPr>
      <w:r w:rsidRPr="00BE346B">
        <w:rPr>
          <w:rFonts w:asciiTheme="majorBidi" w:hAnsiTheme="majorBidi" w:cstheme="majorBidi"/>
          <w:sz w:val="20"/>
          <w:szCs w:val="20"/>
          <w:lang w:val="en-GB"/>
        </w:rPr>
        <w:t xml:space="preserve">These exercises offered the possibilities for developing my written, visual, and spoken communication abilities in an academic and professional settings. Throughout these lectures, we studied in-demand communication techniques as well as effective methods for enhancing them. Success in both the personal and professional spheres depends on having effective communication abilities (Cameron, 2016). I also conducted a self-assessment after learning about the PDP to examine my abilities and to broaden my knowledge, experience, and skills to better meet my goals. Additionally, time management and self-management abilities were emphasised in remarkable ways. For academic success and employment, time and self-management management are crucial (Cameron, 2016). Time management principles, time management practices, and components of time were all discussed throughout the lecture. </w:t>
      </w:r>
    </w:p>
    <w:p w14:paraId="2EAE5196" w14:textId="77777777" w:rsidR="00BE346B" w:rsidRPr="00BE346B" w:rsidRDefault="00BE346B" w:rsidP="00BE346B">
      <w:pPr>
        <w:jc w:val="both"/>
        <w:rPr>
          <w:rFonts w:asciiTheme="majorBidi" w:hAnsiTheme="majorBidi" w:cstheme="majorBidi"/>
          <w:sz w:val="20"/>
          <w:szCs w:val="20"/>
          <w:lang w:val="en-GB"/>
        </w:rPr>
      </w:pPr>
    </w:p>
    <w:p w14:paraId="707CAC93" w14:textId="77777777" w:rsidR="00BE346B" w:rsidRPr="00BE346B" w:rsidRDefault="00BE346B" w:rsidP="00BE346B">
      <w:pPr>
        <w:jc w:val="both"/>
        <w:rPr>
          <w:rFonts w:asciiTheme="majorBidi" w:hAnsiTheme="majorBidi" w:cstheme="majorBidi"/>
          <w:sz w:val="20"/>
          <w:szCs w:val="20"/>
          <w:lang w:val="en-GB"/>
        </w:rPr>
      </w:pPr>
      <w:r w:rsidRPr="00BE346B">
        <w:rPr>
          <w:rFonts w:asciiTheme="majorBidi" w:hAnsiTheme="majorBidi" w:cstheme="majorBidi"/>
          <w:sz w:val="20"/>
          <w:szCs w:val="20"/>
          <w:lang w:val="en-GB"/>
        </w:rPr>
        <w:t xml:space="preserve"> The ability to actively listen stood out as one of the core elements of effective communication, since it calls for paying attention to both verbal and non-verbal indicators including tone, pitch, eye contact, body language, and gestures. Additionally, my self-awareness and self-control, which are essential, were strengthened because of my reflection on this lesson, which helps in improving my emotional intelligent. These revelations made it easier for me to see why certain teams function well while others struggle. The PDP self-assessment task produced insightful information on how well I understood the course material, ideas, and concepts. This exercise also helped me to recognise where my knowledge was lacking and served as a crucial "wake-up call" by highlighting areas for improvement and areas of strength. Reading the Robbins and Judge (2017) model of stress improved my understanding of the causes, effects, and methods of managing stress related to work. I still struggle with procrastination at times which may impact my future career as it leads to missed appointments, hastily prepared meetings and ADHD whish cause a lack of focus.</w:t>
      </w:r>
    </w:p>
    <w:p w14:paraId="79F56F5F" w14:textId="77777777" w:rsidR="00BE346B" w:rsidRPr="00BE346B" w:rsidRDefault="00BE346B" w:rsidP="00BE346B">
      <w:pPr>
        <w:jc w:val="both"/>
        <w:rPr>
          <w:rFonts w:asciiTheme="majorBidi" w:hAnsiTheme="majorBidi" w:cstheme="majorBidi"/>
          <w:b/>
          <w:bCs/>
          <w:sz w:val="20"/>
          <w:szCs w:val="20"/>
          <w:u w:val="single"/>
          <w:lang w:val="en-GB"/>
        </w:rPr>
      </w:pPr>
    </w:p>
    <w:p w14:paraId="57BE85F9" w14:textId="77777777" w:rsidR="00BE346B" w:rsidRPr="00BE346B" w:rsidRDefault="00BE346B" w:rsidP="00BE346B">
      <w:pPr>
        <w:jc w:val="both"/>
        <w:rPr>
          <w:rFonts w:asciiTheme="majorBidi" w:hAnsiTheme="majorBidi" w:cstheme="majorBidi"/>
          <w:sz w:val="20"/>
          <w:szCs w:val="20"/>
          <w:lang w:val="en-GB"/>
        </w:rPr>
      </w:pPr>
      <w:r w:rsidRPr="00BE346B">
        <w:rPr>
          <w:rFonts w:asciiTheme="majorBidi" w:hAnsiTheme="majorBidi" w:cstheme="majorBidi"/>
          <w:sz w:val="20"/>
          <w:szCs w:val="20"/>
          <w:lang w:val="en-GB"/>
        </w:rPr>
        <w:t xml:space="preserve"> I discovered that attentive listening calls for observing verbal and non-verbal indicators including tone, pitch, eye contact, body language, and gestures. According to McShane and Von Glinow (2018), observing these habits might help one better interpret messages and the speaker's emotions. Also, I’ve learned that team members exhibit a strong sense of group identity and take greater personal responsibility for accomplishing well-articulated goals and well-coordinated interactions (McShane and Von Glinow, 2018). Another key lesson learned from this experience is that emotions have an impact on how individuals perceive and comprehend others. </w:t>
      </w:r>
      <w:proofErr w:type="spellStart"/>
      <w:r w:rsidRPr="00BE346B">
        <w:rPr>
          <w:rFonts w:asciiTheme="majorBidi" w:hAnsiTheme="majorBidi" w:cstheme="majorBidi"/>
          <w:sz w:val="20"/>
          <w:szCs w:val="20"/>
          <w:lang w:val="en-GB"/>
        </w:rPr>
        <w:t>Raeissi</w:t>
      </w:r>
      <w:proofErr w:type="spellEnd"/>
      <w:r w:rsidRPr="00BE346B">
        <w:rPr>
          <w:rFonts w:asciiTheme="majorBidi" w:hAnsiTheme="majorBidi" w:cstheme="majorBidi"/>
          <w:sz w:val="20"/>
          <w:szCs w:val="20"/>
          <w:lang w:val="en-GB"/>
        </w:rPr>
        <w:t xml:space="preserve"> et al. (2021), who concur with this discovery, assert that emotions offer tools for understanding oneself, others, and the messages they convey. Moreover, I learned the importance focusing my goals and breaking them down into manageable phases, so I can monitor my personal growth by continuously using the PDP model. I noted that fixing problems is a continual process that calls for a flexible, unstructured framework or approach. According to Shukla and Kumar (2017), problem-solving is one of the most in-demand soft talents right now. Success in tasks like lesson plans, classroom sessions with students, and social life depends on managing stress and time (Hen and </w:t>
      </w:r>
      <w:proofErr w:type="spellStart"/>
      <w:r w:rsidRPr="00BE346B">
        <w:rPr>
          <w:rFonts w:asciiTheme="majorBidi" w:hAnsiTheme="majorBidi" w:cstheme="majorBidi"/>
          <w:sz w:val="20"/>
          <w:szCs w:val="20"/>
          <w:lang w:val="en-GB"/>
        </w:rPr>
        <w:t>Goroshit</w:t>
      </w:r>
      <w:proofErr w:type="spellEnd"/>
      <w:r w:rsidRPr="00BE346B">
        <w:rPr>
          <w:rFonts w:asciiTheme="majorBidi" w:hAnsiTheme="majorBidi" w:cstheme="majorBidi"/>
          <w:sz w:val="20"/>
          <w:szCs w:val="20"/>
          <w:lang w:val="en-GB"/>
        </w:rPr>
        <w:t>, 2020). Accordingly, I have been able to develop priorities, SMART objectives, and practical plans with the use of tools like to-do lists, Covey's four-quadrant to-do, and time journals.</w:t>
      </w:r>
    </w:p>
    <w:p w14:paraId="4326820A" w14:textId="77777777" w:rsidR="00BE346B" w:rsidRPr="00BE346B" w:rsidRDefault="00BE346B" w:rsidP="00BE346B">
      <w:pPr>
        <w:jc w:val="both"/>
        <w:rPr>
          <w:rFonts w:asciiTheme="majorBidi" w:hAnsiTheme="majorBidi" w:cstheme="majorBidi"/>
          <w:b/>
          <w:bCs/>
          <w:sz w:val="20"/>
          <w:szCs w:val="20"/>
          <w:u w:val="single"/>
          <w:lang w:val="en-GB"/>
        </w:rPr>
      </w:pPr>
    </w:p>
    <w:p w14:paraId="375798A5" w14:textId="77777777" w:rsidR="00BE346B" w:rsidRPr="00BE346B" w:rsidRDefault="00BE346B" w:rsidP="00BE346B">
      <w:pPr>
        <w:jc w:val="both"/>
        <w:rPr>
          <w:rFonts w:asciiTheme="majorBidi" w:hAnsiTheme="majorBidi" w:cstheme="majorBidi"/>
          <w:sz w:val="20"/>
          <w:szCs w:val="20"/>
          <w:lang w:val="en-GB"/>
        </w:rPr>
      </w:pPr>
      <w:r w:rsidRPr="00BE346B">
        <w:rPr>
          <w:rFonts w:asciiTheme="majorBidi" w:hAnsiTheme="majorBidi" w:cstheme="majorBidi"/>
          <w:sz w:val="20"/>
          <w:szCs w:val="20"/>
          <w:lang w:val="en-GB"/>
        </w:rPr>
        <w:t>I will further develop my communication skills by paying close attention to speakers, removing any distractions, offering criticism, deferring judgment, and responding properly. I also intend to create suitable structures, ask my peers, professors, and management for the right kind of support, and get coaching and consulting help from professionals. These techniques will assist me in developing and maintaining my networking and teamwork abilities in my future career (McShane and Von Glinow, 2018). I also intend to develop my study and employment abilities by displaying empathy, carrying out thorough research, limiting distractions, identifying and regulating strong emotions, and utilising evidence-based problem-solving techniques. These abilities will enable me to foster an atmosphere where everyone feels secure and inspired to communicate their thoughts, feelings, and worries (Cottrell, 2013). I have created a six-stage problem-solving model, which I determine to use this methodology to more effectively identify and resolve issues. The model involves, the definition of the problem, determining the causative factors, developing alternative solutions, selecting a solution, implementing the solution, and evaluation of the outcomes. Lastly, I will continuously use the time-management skills acquired to meet deadlines and resist my habit of juggling multiple tasks at once, stick to plans and work fighting my procrastination habits.</w:t>
      </w:r>
    </w:p>
    <w:p w14:paraId="3687B1B5" w14:textId="77777777" w:rsidR="00BE346B" w:rsidRPr="00BE346B" w:rsidRDefault="00BE346B" w:rsidP="00BE346B">
      <w:pPr>
        <w:jc w:val="both"/>
        <w:rPr>
          <w:rFonts w:asciiTheme="majorBidi" w:hAnsiTheme="majorBidi" w:cstheme="majorBidi"/>
          <w:b/>
          <w:bCs/>
          <w:sz w:val="20"/>
          <w:szCs w:val="20"/>
          <w:u w:val="single"/>
          <w:lang w:val="en-GB"/>
        </w:rPr>
      </w:pPr>
    </w:p>
    <w:p w14:paraId="0EB93656" w14:textId="77777777" w:rsidR="00BE346B" w:rsidRPr="00BE346B" w:rsidRDefault="00BE346B" w:rsidP="00BE346B">
      <w:pPr>
        <w:jc w:val="both"/>
        <w:rPr>
          <w:rFonts w:asciiTheme="majorBidi" w:hAnsiTheme="majorBidi" w:cstheme="majorBidi"/>
          <w:sz w:val="20"/>
          <w:szCs w:val="20"/>
          <w:lang w:val="en-GB"/>
        </w:rPr>
      </w:pPr>
      <w:r w:rsidRPr="00BE346B">
        <w:rPr>
          <w:rFonts w:asciiTheme="majorBidi" w:hAnsiTheme="majorBidi" w:cstheme="majorBidi"/>
          <w:sz w:val="20"/>
          <w:szCs w:val="20"/>
          <w:lang w:val="en-GB"/>
        </w:rPr>
        <w:t xml:space="preserve">Several opportunities to develop and improve study and employment skills were offered through the Professional Career Development lectures. Effective communication, especially active listening, is one of my strengths. The </w:t>
      </w:r>
      <w:r w:rsidRPr="00BE346B">
        <w:rPr>
          <w:rFonts w:asciiTheme="majorBidi" w:hAnsiTheme="majorBidi" w:cstheme="majorBidi"/>
          <w:sz w:val="20"/>
          <w:szCs w:val="20"/>
          <w:lang w:val="en-GB"/>
        </w:rPr>
        <w:lastRenderedPageBreak/>
        <w:t xml:space="preserve">lectures also helped me acquire strong networking, time management, and problem-solving abilities. However, I need to develop my capacity to show empathy, synthesise and critically assess the information that already exists, manage the distractions that come with using technology in my career development, identify and control strong emotions “Goleman D. (2007) Emotional Intelligence.” </w:t>
      </w:r>
      <w:proofErr w:type="gramStart"/>
      <w:r w:rsidRPr="00BE346B">
        <w:rPr>
          <w:rFonts w:asciiTheme="majorBidi" w:hAnsiTheme="majorBidi" w:cstheme="majorBidi"/>
          <w:sz w:val="20"/>
          <w:szCs w:val="20"/>
          <w:lang w:val="en-GB"/>
        </w:rPr>
        <w:t xml:space="preserve">“ </w:t>
      </w:r>
      <w:r w:rsidRPr="00BE346B">
        <w:rPr>
          <w:rFonts w:asciiTheme="majorBidi" w:hAnsiTheme="majorBidi" w:cstheme="majorBidi"/>
          <w:sz w:val="20"/>
          <w:szCs w:val="20"/>
        </w:rPr>
        <w:t>"</w:t>
      </w:r>
      <w:proofErr w:type="gramEnd"/>
      <w:r w:rsidRPr="00BE346B">
        <w:rPr>
          <w:rFonts w:asciiTheme="majorBidi" w:hAnsiTheme="majorBidi" w:cstheme="majorBidi"/>
          <w:sz w:val="20"/>
          <w:szCs w:val="20"/>
        </w:rPr>
        <w:t>Emotional Intelligence: Why It Can Matter More Than IQ.</w:t>
      </w:r>
      <w:r w:rsidRPr="00BE346B">
        <w:rPr>
          <w:rFonts w:asciiTheme="majorBidi" w:hAnsiTheme="majorBidi" w:cstheme="majorBidi"/>
          <w:sz w:val="20"/>
          <w:szCs w:val="20"/>
          <w:lang w:val="en-GB"/>
        </w:rPr>
        <w:t>, as well as use models for problem-solving that are supported by the available evidence.</w:t>
      </w:r>
    </w:p>
    <w:p w14:paraId="726642F4" w14:textId="77777777" w:rsidR="00BE346B" w:rsidRPr="00BE346B" w:rsidRDefault="00BE346B" w:rsidP="00BE346B">
      <w:pPr>
        <w:jc w:val="both"/>
        <w:rPr>
          <w:rFonts w:asciiTheme="majorBidi" w:hAnsiTheme="majorBidi" w:cstheme="majorBidi"/>
          <w:sz w:val="20"/>
          <w:szCs w:val="20"/>
        </w:rPr>
      </w:pPr>
    </w:p>
    <w:p w14:paraId="58236FF1" w14:textId="77777777" w:rsidR="00BE346B" w:rsidRPr="00BE346B" w:rsidRDefault="00BE346B" w:rsidP="00BE346B">
      <w:pPr>
        <w:jc w:val="both"/>
        <w:rPr>
          <w:rFonts w:asciiTheme="majorBidi" w:hAnsiTheme="majorBidi" w:cstheme="majorBidi"/>
          <w:sz w:val="20"/>
          <w:szCs w:val="20"/>
        </w:rPr>
      </w:pPr>
      <w:r w:rsidRPr="00BE346B">
        <w:rPr>
          <w:rFonts w:asciiTheme="majorBidi" w:hAnsiTheme="majorBidi" w:cstheme="majorBidi"/>
          <w:sz w:val="20"/>
          <w:szCs w:val="20"/>
        </w:rPr>
        <w:t>In conclusion, the Professional Career Development lectures have equipped me with invaluable tools and frameworks to navigate the complexities of career growth effectively. Applying models such as SWOT analysis, SMART goals, the Johari Window, PDP, and Learning Styles has not only broadened my theoretical understanding but has also catalyzed tangible improvements in my professional capabilities and personal development. Moving forward, I am committed to incorporating these models into my everyday practices to drive continuous learning and advancement in my career.</w:t>
      </w:r>
    </w:p>
    <w:p w14:paraId="628A6091" w14:textId="77777777" w:rsidR="00BE346B" w:rsidRPr="00BE346B" w:rsidRDefault="00BE346B" w:rsidP="00BE346B">
      <w:pPr>
        <w:jc w:val="both"/>
        <w:rPr>
          <w:rFonts w:asciiTheme="majorBidi" w:hAnsiTheme="majorBidi" w:cstheme="majorBidi"/>
          <w:sz w:val="20"/>
          <w:szCs w:val="20"/>
        </w:rPr>
      </w:pPr>
    </w:p>
    <w:p w14:paraId="2C40E9EC" w14:textId="77777777" w:rsidR="00BE346B" w:rsidRPr="00BE346B" w:rsidRDefault="00BE346B" w:rsidP="00BE346B">
      <w:pPr>
        <w:jc w:val="both"/>
        <w:rPr>
          <w:rFonts w:asciiTheme="majorBidi" w:hAnsiTheme="majorBidi" w:cstheme="majorBidi"/>
          <w:b/>
          <w:bCs/>
          <w:sz w:val="20"/>
          <w:szCs w:val="20"/>
          <w:u w:val="single"/>
          <w:lang w:val="en-GB"/>
        </w:rPr>
      </w:pPr>
      <w:r w:rsidRPr="00BE346B">
        <w:rPr>
          <w:rFonts w:asciiTheme="majorBidi" w:hAnsiTheme="majorBidi" w:cstheme="majorBidi"/>
          <w:b/>
          <w:bCs/>
          <w:sz w:val="20"/>
          <w:szCs w:val="20"/>
          <w:u w:val="single"/>
          <w:lang w:val="en-GB"/>
        </w:rPr>
        <w:t>References</w:t>
      </w:r>
    </w:p>
    <w:p w14:paraId="515AC917" w14:textId="77777777" w:rsidR="00BE346B" w:rsidRPr="00BE346B" w:rsidRDefault="00BE346B" w:rsidP="00BE346B">
      <w:pPr>
        <w:ind w:hanging="720"/>
        <w:jc w:val="both"/>
        <w:rPr>
          <w:rFonts w:asciiTheme="majorBidi" w:hAnsiTheme="majorBidi" w:cstheme="majorBidi"/>
          <w:b/>
          <w:bCs/>
          <w:sz w:val="20"/>
          <w:szCs w:val="20"/>
          <w:u w:val="single"/>
          <w:lang w:val="en-GB"/>
        </w:rPr>
      </w:pPr>
    </w:p>
    <w:p w14:paraId="22E166B3" w14:textId="77777777" w:rsidR="00BE346B" w:rsidRPr="00BE346B" w:rsidRDefault="00BE346B" w:rsidP="00BE346B">
      <w:pPr>
        <w:pStyle w:val="ListParagraph"/>
        <w:numPr>
          <w:ilvl w:val="0"/>
          <w:numId w:val="1"/>
        </w:numPr>
        <w:jc w:val="both"/>
        <w:rPr>
          <w:rFonts w:asciiTheme="majorBidi" w:hAnsiTheme="majorBidi" w:cstheme="majorBidi"/>
          <w:sz w:val="20"/>
          <w:szCs w:val="20"/>
          <w:lang w:val="en-GB"/>
        </w:rPr>
      </w:pPr>
      <w:r w:rsidRPr="00BE346B">
        <w:rPr>
          <w:rFonts w:asciiTheme="majorBidi" w:hAnsiTheme="majorBidi" w:cstheme="majorBidi"/>
          <w:sz w:val="20"/>
          <w:szCs w:val="20"/>
          <w:lang w:val="en-GB"/>
        </w:rPr>
        <w:t xml:space="preserve">Cameron, S., 2016. </w:t>
      </w:r>
      <w:r w:rsidRPr="00BE346B">
        <w:rPr>
          <w:rFonts w:asciiTheme="majorBidi" w:hAnsiTheme="majorBidi" w:cstheme="majorBidi"/>
          <w:i/>
          <w:iCs/>
          <w:sz w:val="20"/>
          <w:szCs w:val="20"/>
          <w:lang w:val="en-GB"/>
        </w:rPr>
        <w:t xml:space="preserve">The business student’s handbook </w:t>
      </w:r>
      <w:r w:rsidRPr="00BE346B">
        <w:rPr>
          <w:rFonts w:asciiTheme="majorBidi" w:hAnsiTheme="majorBidi" w:cstheme="majorBidi"/>
          <w:sz w:val="20"/>
          <w:szCs w:val="20"/>
          <w:lang w:val="en-GB"/>
        </w:rPr>
        <w:t>(6</w:t>
      </w:r>
      <w:r w:rsidRPr="00BE346B">
        <w:rPr>
          <w:rFonts w:asciiTheme="majorBidi" w:hAnsiTheme="majorBidi" w:cstheme="majorBidi"/>
          <w:sz w:val="20"/>
          <w:szCs w:val="20"/>
          <w:vertAlign w:val="superscript"/>
          <w:lang w:val="en-GB"/>
        </w:rPr>
        <w:t>th</w:t>
      </w:r>
      <w:r w:rsidRPr="00BE346B">
        <w:rPr>
          <w:rFonts w:asciiTheme="majorBidi" w:hAnsiTheme="majorBidi" w:cstheme="majorBidi"/>
          <w:sz w:val="20"/>
          <w:szCs w:val="20"/>
          <w:lang w:val="en-GB"/>
        </w:rPr>
        <w:t xml:space="preserve"> Edition). Harlow: Pearson Education Limited.</w:t>
      </w:r>
    </w:p>
    <w:p w14:paraId="3C2DB7B8" w14:textId="77777777" w:rsidR="00BE346B" w:rsidRPr="00BE346B" w:rsidRDefault="00BE346B" w:rsidP="00BE346B">
      <w:pPr>
        <w:pStyle w:val="ListParagraph"/>
        <w:numPr>
          <w:ilvl w:val="0"/>
          <w:numId w:val="1"/>
        </w:numPr>
        <w:jc w:val="both"/>
        <w:rPr>
          <w:rFonts w:asciiTheme="majorBidi" w:hAnsiTheme="majorBidi" w:cstheme="majorBidi"/>
          <w:sz w:val="20"/>
          <w:szCs w:val="20"/>
          <w:lang w:val="en-GB"/>
        </w:rPr>
      </w:pPr>
      <w:r w:rsidRPr="00BE346B">
        <w:rPr>
          <w:rFonts w:asciiTheme="majorBidi" w:hAnsiTheme="majorBidi" w:cstheme="majorBidi"/>
          <w:sz w:val="20"/>
          <w:szCs w:val="20"/>
          <w:lang w:val="en-GB"/>
        </w:rPr>
        <w:t xml:space="preserve">Cottrell, S., 2013. </w:t>
      </w:r>
      <w:r w:rsidRPr="00BE346B">
        <w:rPr>
          <w:rFonts w:asciiTheme="majorBidi" w:hAnsiTheme="majorBidi" w:cstheme="majorBidi"/>
          <w:i/>
          <w:iCs/>
          <w:sz w:val="20"/>
          <w:szCs w:val="20"/>
          <w:lang w:val="en-GB"/>
        </w:rPr>
        <w:t xml:space="preserve">The study skills handbook </w:t>
      </w:r>
      <w:r w:rsidRPr="00BE346B">
        <w:rPr>
          <w:rFonts w:asciiTheme="majorBidi" w:hAnsiTheme="majorBidi" w:cstheme="majorBidi"/>
          <w:sz w:val="20"/>
          <w:szCs w:val="20"/>
          <w:lang w:val="en-GB"/>
        </w:rPr>
        <w:t>(4</w:t>
      </w:r>
      <w:r w:rsidRPr="00BE346B">
        <w:rPr>
          <w:rFonts w:asciiTheme="majorBidi" w:hAnsiTheme="majorBidi" w:cstheme="majorBidi"/>
          <w:sz w:val="20"/>
          <w:szCs w:val="20"/>
          <w:vertAlign w:val="superscript"/>
          <w:lang w:val="en-GB"/>
        </w:rPr>
        <w:t>th</w:t>
      </w:r>
      <w:r w:rsidRPr="00BE346B">
        <w:rPr>
          <w:rFonts w:asciiTheme="majorBidi" w:hAnsiTheme="majorBidi" w:cstheme="majorBidi"/>
          <w:sz w:val="20"/>
          <w:szCs w:val="20"/>
          <w:lang w:val="en-GB"/>
        </w:rPr>
        <w:t xml:space="preserve"> Edition). London: Palgrave Macmillan Ltd.</w:t>
      </w:r>
    </w:p>
    <w:p w14:paraId="40EDEDC1" w14:textId="77777777" w:rsidR="00BE346B" w:rsidRPr="00BE346B" w:rsidRDefault="00BE346B" w:rsidP="00BE346B">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jc w:val="both"/>
        <w:rPr>
          <w:rFonts w:asciiTheme="majorBidi" w:hAnsiTheme="majorBidi" w:cstheme="majorBidi"/>
          <w:color w:val="000000"/>
          <w:sz w:val="20"/>
          <w:szCs w:val="20"/>
          <w:lang w:val="en-GB"/>
        </w:rPr>
      </w:pPr>
      <w:r w:rsidRPr="00BE346B">
        <w:rPr>
          <w:rFonts w:asciiTheme="majorBidi" w:hAnsiTheme="majorBidi" w:cstheme="majorBidi"/>
          <w:color w:val="000000"/>
          <w:sz w:val="20"/>
          <w:szCs w:val="20"/>
          <w:lang w:val="en-GB"/>
        </w:rPr>
        <w:t>Gibbs, G. (1988). Learning by Doing: A Guide to Teaching and Learning Methods. Oxford Polytechnic: Further Education Unit.</w:t>
      </w:r>
      <w:r w:rsidRPr="00BE346B">
        <w:rPr>
          <w:rFonts w:asciiTheme="majorBidi" w:hAnsiTheme="majorBidi" w:cstheme="majorBidi"/>
          <w:sz w:val="20"/>
          <w:szCs w:val="20"/>
          <w:lang w:val="en-GB"/>
        </w:rPr>
        <w:t xml:space="preserve"> </w:t>
      </w:r>
    </w:p>
    <w:p w14:paraId="02C6CBC6" w14:textId="77777777" w:rsidR="00BE346B" w:rsidRPr="00BE346B" w:rsidRDefault="00BE346B" w:rsidP="00BE346B">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jc w:val="both"/>
        <w:rPr>
          <w:rFonts w:asciiTheme="majorBidi" w:hAnsiTheme="majorBidi" w:cstheme="majorBidi"/>
          <w:color w:val="000000"/>
          <w:sz w:val="20"/>
          <w:szCs w:val="20"/>
          <w:lang w:val="en-GB"/>
        </w:rPr>
      </w:pPr>
      <w:r w:rsidRPr="00BE346B">
        <w:rPr>
          <w:rFonts w:asciiTheme="majorBidi" w:hAnsiTheme="majorBidi" w:cstheme="majorBidi"/>
          <w:sz w:val="20"/>
          <w:szCs w:val="20"/>
          <w:lang w:val="en-GB"/>
        </w:rPr>
        <w:t>Goleman D (2007). Emotional Intelligence (10</w:t>
      </w:r>
      <w:r w:rsidRPr="00BE346B">
        <w:rPr>
          <w:rFonts w:asciiTheme="majorBidi" w:hAnsiTheme="majorBidi" w:cstheme="majorBidi"/>
          <w:sz w:val="20"/>
          <w:szCs w:val="20"/>
          <w:vertAlign w:val="superscript"/>
          <w:lang w:val="en-GB"/>
        </w:rPr>
        <w:t>th</w:t>
      </w:r>
      <w:r w:rsidRPr="00BE346B">
        <w:rPr>
          <w:rFonts w:asciiTheme="majorBidi" w:hAnsiTheme="majorBidi" w:cstheme="majorBidi"/>
          <w:sz w:val="20"/>
          <w:szCs w:val="20"/>
          <w:lang w:val="en-GB"/>
        </w:rPr>
        <w:t xml:space="preserve"> ed.) </w:t>
      </w:r>
      <w:r w:rsidRPr="00BE346B">
        <w:rPr>
          <w:rFonts w:asciiTheme="majorBidi" w:hAnsiTheme="majorBidi" w:cstheme="majorBidi"/>
          <w:sz w:val="20"/>
          <w:szCs w:val="20"/>
        </w:rPr>
        <w:t>"Emotional Intelligence: Why It Can Matter More Than IQ.</w:t>
      </w:r>
      <w:r w:rsidRPr="00BE346B">
        <w:rPr>
          <w:rFonts w:asciiTheme="majorBidi" w:hAnsiTheme="majorBidi" w:cstheme="majorBidi"/>
          <w:sz w:val="20"/>
          <w:szCs w:val="20"/>
          <w:lang w:val="en-GB"/>
        </w:rPr>
        <w:t xml:space="preserve"> NY: Bantam Books.                                                                      </w:t>
      </w:r>
    </w:p>
    <w:p w14:paraId="1F84296C" w14:textId="77777777" w:rsidR="00BE346B" w:rsidRPr="00BE346B" w:rsidRDefault="00BE346B" w:rsidP="00BE346B">
      <w:pPr>
        <w:pStyle w:val="ListParagraph"/>
        <w:numPr>
          <w:ilvl w:val="0"/>
          <w:numId w:val="1"/>
        </w:numPr>
        <w:jc w:val="both"/>
        <w:rPr>
          <w:rFonts w:asciiTheme="majorBidi" w:hAnsiTheme="majorBidi" w:cstheme="majorBidi"/>
          <w:sz w:val="20"/>
          <w:szCs w:val="20"/>
          <w:lang w:val="en-GB"/>
        </w:rPr>
      </w:pPr>
      <w:r w:rsidRPr="00BE346B">
        <w:rPr>
          <w:rFonts w:asciiTheme="majorBidi" w:hAnsiTheme="majorBidi" w:cstheme="majorBidi"/>
          <w:sz w:val="20"/>
          <w:szCs w:val="20"/>
          <w:lang w:val="en-GB"/>
        </w:rPr>
        <w:t xml:space="preserve">Hen, M. and </w:t>
      </w:r>
      <w:proofErr w:type="spellStart"/>
      <w:r w:rsidRPr="00BE346B">
        <w:rPr>
          <w:rFonts w:asciiTheme="majorBidi" w:hAnsiTheme="majorBidi" w:cstheme="majorBidi"/>
          <w:sz w:val="20"/>
          <w:szCs w:val="20"/>
          <w:lang w:val="en-GB"/>
        </w:rPr>
        <w:t>Goroshit</w:t>
      </w:r>
      <w:proofErr w:type="spellEnd"/>
      <w:r w:rsidRPr="00BE346B">
        <w:rPr>
          <w:rFonts w:asciiTheme="majorBidi" w:hAnsiTheme="majorBidi" w:cstheme="majorBidi"/>
          <w:sz w:val="20"/>
          <w:szCs w:val="20"/>
          <w:lang w:val="en-GB"/>
        </w:rPr>
        <w:t xml:space="preserve">, M., 2020. The effects of decisional and academic procrastination on students’ feelings toward academic procrastination. </w:t>
      </w:r>
      <w:r w:rsidRPr="00BE346B">
        <w:rPr>
          <w:rFonts w:asciiTheme="majorBidi" w:hAnsiTheme="majorBidi" w:cstheme="majorBidi"/>
          <w:i/>
          <w:iCs/>
          <w:sz w:val="20"/>
          <w:szCs w:val="20"/>
          <w:lang w:val="en-GB"/>
        </w:rPr>
        <w:t xml:space="preserve">Current Psychology, </w:t>
      </w:r>
      <w:r w:rsidRPr="00BE346B">
        <w:rPr>
          <w:rFonts w:asciiTheme="majorBidi" w:hAnsiTheme="majorBidi" w:cstheme="majorBidi"/>
          <w:b/>
          <w:bCs/>
          <w:sz w:val="20"/>
          <w:szCs w:val="20"/>
          <w:lang w:val="en-GB"/>
        </w:rPr>
        <w:t>39</w:t>
      </w:r>
      <w:r w:rsidRPr="00BE346B">
        <w:rPr>
          <w:rFonts w:asciiTheme="majorBidi" w:hAnsiTheme="majorBidi" w:cstheme="majorBidi"/>
          <w:sz w:val="20"/>
          <w:szCs w:val="20"/>
          <w:lang w:val="en-GB"/>
        </w:rPr>
        <w:t>(2), pp. 556-563.</w:t>
      </w:r>
    </w:p>
    <w:p w14:paraId="2C35DA72" w14:textId="77777777" w:rsidR="00BE346B" w:rsidRPr="00BE346B" w:rsidRDefault="00BE346B" w:rsidP="00BE346B">
      <w:pPr>
        <w:pStyle w:val="ListParagraph"/>
        <w:numPr>
          <w:ilvl w:val="0"/>
          <w:numId w:val="1"/>
        </w:numPr>
        <w:jc w:val="both"/>
        <w:rPr>
          <w:rFonts w:asciiTheme="majorBidi" w:hAnsiTheme="majorBidi" w:cstheme="majorBidi"/>
          <w:sz w:val="20"/>
          <w:szCs w:val="20"/>
          <w:lang w:val="en-GB"/>
        </w:rPr>
      </w:pPr>
      <w:r w:rsidRPr="00BE346B">
        <w:rPr>
          <w:rFonts w:asciiTheme="majorBidi" w:hAnsiTheme="majorBidi" w:cstheme="majorBidi"/>
          <w:sz w:val="20"/>
          <w:szCs w:val="20"/>
          <w:lang w:val="en-GB"/>
        </w:rPr>
        <w:t xml:space="preserve">Hicks, Q. S., Hammond, B. M., Winters, R. L. and Boersma, J. M., 2019. Identifying the influence of factors on the quality of critical reflection: Framing, frequency, and feedback. </w:t>
      </w:r>
      <w:r w:rsidRPr="00BE346B">
        <w:rPr>
          <w:rFonts w:asciiTheme="majorBidi" w:hAnsiTheme="majorBidi" w:cstheme="majorBidi"/>
          <w:i/>
          <w:iCs/>
          <w:sz w:val="20"/>
          <w:szCs w:val="20"/>
          <w:lang w:val="en-GB"/>
        </w:rPr>
        <w:t xml:space="preserve">Journal of Applied Learning and Teaching, </w:t>
      </w:r>
      <w:r w:rsidRPr="00BE346B">
        <w:rPr>
          <w:rFonts w:asciiTheme="majorBidi" w:hAnsiTheme="majorBidi" w:cstheme="majorBidi"/>
          <w:b/>
          <w:bCs/>
          <w:sz w:val="20"/>
          <w:szCs w:val="20"/>
          <w:lang w:val="en-GB"/>
        </w:rPr>
        <w:t>2</w:t>
      </w:r>
      <w:r w:rsidRPr="00BE346B">
        <w:rPr>
          <w:rFonts w:asciiTheme="majorBidi" w:hAnsiTheme="majorBidi" w:cstheme="majorBidi"/>
          <w:sz w:val="20"/>
          <w:szCs w:val="20"/>
          <w:lang w:val="en-GB"/>
        </w:rPr>
        <w:t>(1), pp. 07-15.</w:t>
      </w:r>
    </w:p>
    <w:p w14:paraId="290A1976" w14:textId="77777777" w:rsidR="00BE346B" w:rsidRPr="00BE346B" w:rsidRDefault="00BE346B" w:rsidP="00BE346B">
      <w:pPr>
        <w:pStyle w:val="ListParagraph"/>
        <w:numPr>
          <w:ilvl w:val="0"/>
          <w:numId w:val="1"/>
        </w:numPr>
        <w:jc w:val="both"/>
        <w:rPr>
          <w:rFonts w:asciiTheme="majorBidi" w:hAnsiTheme="majorBidi" w:cstheme="majorBidi"/>
          <w:sz w:val="20"/>
          <w:szCs w:val="20"/>
          <w:lang w:val="en-GB"/>
        </w:rPr>
      </w:pPr>
      <w:r w:rsidRPr="00BE346B">
        <w:rPr>
          <w:rFonts w:asciiTheme="majorBidi" w:hAnsiTheme="majorBidi" w:cstheme="majorBidi"/>
          <w:sz w:val="20"/>
          <w:szCs w:val="20"/>
          <w:lang w:val="en-GB"/>
        </w:rPr>
        <w:t xml:space="preserve">Kolb, A. and Kolb, D., 2018. Eight important things to know about the experiential learning cycle. </w:t>
      </w:r>
      <w:r w:rsidRPr="00BE346B">
        <w:rPr>
          <w:rFonts w:asciiTheme="majorBidi" w:hAnsiTheme="majorBidi" w:cstheme="majorBidi"/>
          <w:i/>
          <w:iCs/>
          <w:sz w:val="20"/>
          <w:szCs w:val="20"/>
          <w:lang w:val="en-GB"/>
        </w:rPr>
        <w:t xml:space="preserve">Australian Educational Leader, </w:t>
      </w:r>
      <w:r w:rsidRPr="00BE346B">
        <w:rPr>
          <w:rFonts w:asciiTheme="majorBidi" w:hAnsiTheme="majorBidi" w:cstheme="majorBidi"/>
          <w:b/>
          <w:bCs/>
          <w:sz w:val="20"/>
          <w:szCs w:val="20"/>
          <w:lang w:val="en-GB"/>
        </w:rPr>
        <w:t>40</w:t>
      </w:r>
      <w:r w:rsidRPr="00BE346B">
        <w:rPr>
          <w:rFonts w:asciiTheme="majorBidi" w:hAnsiTheme="majorBidi" w:cstheme="majorBidi"/>
          <w:sz w:val="20"/>
          <w:szCs w:val="20"/>
          <w:lang w:val="en-GB"/>
        </w:rPr>
        <w:t>(3), pp. 8-14.</w:t>
      </w:r>
    </w:p>
    <w:p w14:paraId="037F99BD" w14:textId="77777777" w:rsidR="00BE346B" w:rsidRPr="00BE346B" w:rsidRDefault="00BE346B" w:rsidP="00BE346B">
      <w:pPr>
        <w:pStyle w:val="ListParagraph"/>
        <w:numPr>
          <w:ilvl w:val="0"/>
          <w:numId w:val="1"/>
        </w:numPr>
        <w:jc w:val="both"/>
        <w:rPr>
          <w:rFonts w:asciiTheme="majorBidi" w:hAnsiTheme="majorBidi" w:cstheme="majorBidi"/>
          <w:sz w:val="20"/>
          <w:szCs w:val="20"/>
          <w:lang w:val="en-GB"/>
        </w:rPr>
      </w:pPr>
      <w:r w:rsidRPr="00BE346B">
        <w:rPr>
          <w:rFonts w:asciiTheme="majorBidi" w:hAnsiTheme="majorBidi" w:cstheme="majorBidi"/>
          <w:sz w:val="20"/>
          <w:szCs w:val="20"/>
          <w:lang w:val="en-GB"/>
        </w:rPr>
        <w:t xml:space="preserve">McShane, S. L. and Von Glinow, M. A. 2018. </w:t>
      </w:r>
      <w:r w:rsidRPr="00BE346B">
        <w:rPr>
          <w:rFonts w:asciiTheme="majorBidi" w:hAnsiTheme="majorBidi" w:cstheme="majorBidi"/>
          <w:i/>
          <w:iCs/>
          <w:sz w:val="20"/>
          <w:szCs w:val="20"/>
          <w:lang w:val="en-GB"/>
        </w:rPr>
        <w:t xml:space="preserve">Organisational behaviour </w:t>
      </w:r>
      <w:r w:rsidRPr="00BE346B">
        <w:rPr>
          <w:rFonts w:asciiTheme="majorBidi" w:hAnsiTheme="majorBidi" w:cstheme="majorBidi"/>
          <w:sz w:val="20"/>
          <w:szCs w:val="20"/>
          <w:lang w:val="en-GB"/>
        </w:rPr>
        <w:t>(8</w:t>
      </w:r>
      <w:r w:rsidRPr="00BE346B">
        <w:rPr>
          <w:rFonts w:asciiTheme="majorBidi" w:hAnsiTheme="majorBidi" w:cstheme="majorBidi"/>
          <w:sz w:val="20"/>
          <w:szCs w:val="20"/>
          <w:vertAlign w:val="superscript"/>
          <w:lang w:val="en-GB"/>
        </w:rPr>
        <w:t>th</w:t>
      </w:r>
      <w:r w:rsidRPr="00BE346B">
        <w:rPr>
          <w:rFonts w:asciiTheme="majorBidi" w:hAnsiTheme="majorBidi" w:cstheme="majorBidi"/>
          <w:sz w:val="20"/>
          <w:szCs w:val="20"/>
          <w:lang w:val="en-GB"/>
        </w:rPr>
        <w:t xml:space="preserve"> Edition). New York, NY: McGraw-Hill Education.</w:t>
      </w:r>
    </w:p>
    <w:p w14:paraId="5139A147" w14:textId="77777777" w:rsidR="00BE346B" w:rsidRPr="00BE346B" w:rsidRDefault="00BE346B" w:rsidP="00BE346B">
      <w:pPr>
        <w:pStyle w:val="ListParagraph"/>
        <w:numPr>
          <w:ilvl w:val="0"/>
          <w:numId w:val="1"/>
        </w:numPr>
        <w:jc w:val="both"/>
        <w:rPr>
          <w:rFonts w:asciiTheme="majorBidi" w:hAnsiTheme="majorBidi" w:cstheme="majorBidi"/>
          <w:sz w:val="20"/>
          <w:szCs w:val="20"/>
          <w:lang w:val="en-GB"/>
        </w:rPr>
      </w:pPr>
      <w:proofErr w:type="spellStart"/>
      <w:r w:rsidRPr="00BE346B">
        <w:rPr>
          <w:rFonts w:asciiTheme="majorBidi" w:hAnsiTheme="majorBidi" w:cstheme="majorBidi"/>
          <w:sz w:val="20"/>
          <w:szCs w:val="20"/>
          <w:lang w:val="en-GB"/>
        </w:rPr>
        <w:t>Raeissi</w:t>
      </w:r>
      <w:proofErr w:type="spellEnd"/>
      <w:r w:rsidRPr="00BE346B">
        <w:rPr>
          <w:rFonts w:asciiTheme="majorBidi" w:hAnsiTheme="majorBidi" w:cstheme="majorBidi"/>
          <w:sz w:val="20"/>
          <w:szCs w:val="20"/>
          <w:lang w:val="en-GB"/>
        </w:rPr>
        <w:t xml:space="preserve">, P., </w:t>
      </w:r>
      <w:proofErr w:type="spellStart"/>
      <w:r w:rsidRPr="00BE346B">
        <w:rPr>
          <w:rFonts w:asciiTheme="majorBidi" w:hAnsiTheme="majorBidi" w:cstheme="majorBidi"/>
          <w:sz w:val="20"/>
          <w:szCs w:val="20"/>
          <w:lang w:val="en-GB"/>
        </w:rPr>
        <w:t>Zandian</w:t>
      </w:r>
      <w:proofErr w:type="spellEnd"/>
      <w:r w:rsidRPr="00BE346B">
        <w:rPr>
          <w:rFonts w:asciiTheme="majorBidi" w:hAnsiTheme="majorBidi" w:cstheme="majorBidi"/>
          <w:sz w:val="20"/>
          <w:szCs w:val="20"/>
          <w:lang w:val="en-GB"/>
        </w:rPr>
        <w:t xml:space="preserve">, H., </w:t>
      </w:r>
      <w:proofErr w:type="spellStart"/>
      <w:r w:rsidRPr="00BE346B">
        <w:rPr>
          <w:rFonts w:asciiTheme="majorBidi" w:hAnsiTheme="majorBidi" w:cstheme="majorBidi"/>
          <w:sz w:val="20"/>
          <w:szCs w:val="20"/>
          <w:lang w:val="en-GB"/>
        </w:rPr>
        <w:t>Mirzarahimy</w:t>
      </w:r>
      <w:proofErr w:type="spellEnd"/>
      <w:r w:rsidRPr="00BE346B">
        <w:rPr>
          <w:rFonts w:asciiTheme="majorBidi" w:hAnsiTheme="majorBidi" w:cstheme="majorBidi"/>
          <w:sz w:val="20"/>
          <w:szCs w:val="20"/>
          <w:lang w:val="en-GB"/>
        </w:rPr>
        <w:t xml:space="preserve">, T., </w:t>
      </w:r>
      <w:proofErr w:type="spellStart"/>
      <w:r w:rsidRPr="00BE346B">
        <w:rPr>
          <w:rFonts w:asciiTheme="majorBidi" w:hAnsiTheme="majorBidi" w:cstheme="majorBidi"/>
          <w:sz w:val="20"/>
          <w:szCs w:val="20"/>
          <w:lang w:val="en-GB"/>
        </w:rPr>
        <w:t>Delavari</w:t>
      </w:r>
      <w:proofErr w:type="spellEnd"/>
      <w:r w:rsidRPr="00BE346B">
        <w:rPr>
          <w:rFonts w:asciiTheme="majorBidi" w:hAnsiTheme="majorBidi" w:cstheme="majorBidi"/>
          <w:sz w:val="20"/>
          <w:szCs w:val="20"/>
          <w:lang w:val="en-GB"/>
        </w:rPr>
        <w:t xml:space="preserve">, S., Moghadam, T. Z. and Rahimi, G., 2022. Relationship between communication skills and emotional intelligence among nurses. </w:t>
      </w:r>
      <w:r w:rsidRPr="00BE346B">
        <w:rPr>
          <w:rFonts w:asciiTheme="majorBidi" w:hAnsiTheme="majorBidi" w:cstheme="majorBidi"/>
          <w:i/>
          <w:iCs/>
          <w:sz w:val="20"/>
          <w:szCs w:val="20"/>
          <w:lang w:val="en-GB"/>
        </w:rPr>
        <w:t xml:space="preserve">Nursing Management, </w:t>
      </w:r>
      <w:r w:rsidRPr="00BE346B">
        <w:rPr>
          <w:rFonts w:asciiTheme="majorBidi" w:hAnsiTheme="majorBidi" w:cstheme="majorBidi"/>
          <w:b/>
          <w:bCs/>
          <w:sz w:val="20"/>
          <w:szCs w:val="20"/>
          <w:lang w:val="en-GB"/>
        </w:rPr>
        <w:t>29</w:t>
      </w:r>
      <w:r w:rsidRPr="00BE346B">
        <w:rPr>
          <w:rFonts w:asciiTheme="majorBidi" w:hAnsiTheme="majorBidi" w:cstheme="majorBidi"/>
          <w:sz w:val="20"/>
          <w:szCs w:val="20"/>
          <w:lang w:val="en-GB"/>
        </w:rPr>
        <w:t>(4).</w:t>
      </w:r>
    </w:p>
    <w:p w14:paraId="2AED14C9" w14:textId="77777777" w:rsidR="00BE346B" w:rsidRPr="00BE346B" w:rsidRDefault="00BE346B" w:rsidP="00BE346B">
      <w:pPr>
        <w:pStyle w:val="ListParagraph"/>
        <w:numPr>
          <w:ilvl w:val="0"/>
          <w:numId w:val="1"/>
        </w:numPr>
        <w:jc w:val="both"/>
        <w:rPr>
          <w:rFonts w:asciiTheme="majorBidi" w:hAnsiTheme="majorBidi" w:cstheme="majorBidi"/>
          <w:sz w:val="20"/>
          <w:szCs w:val="20"/>
          <w:lang w:val="en-GB"/>
        </w:rPr>
      </w:pPr>
      <w:r w:rsidRPr="00BE346B">
        <w:rPr>
          <w:rFonts w:asciiTheme="majorBidi" w:hAnsiTheme="majorBidi" w:cstheme="majorBidi"/>
          <w:sz w:val="20"/>
          <w:szCs w:val="20"/>
          <w:lang w:val="en-GB"/>
        </w:rPr>
        <w:t xml:space="preserve">Robbins, S. P. and Judge, T. A. 2017. </w:t>
      </w:r>
      <w:r w:rsidRPr="00BE346B">
        <w:rPr>
          <w:rFonts w:asciiTheme="majorBidi" w:hAnsiTheme="majorBidi" w:cstheme="majorBidi"/>
          <w:i/>
          <w:iCs/>
          <w:sz w:val="20"/>
          <w:szCs w:val="20"/>
          <w:lang w:val="en-GB"/>
        </w:rPr>
        <w:t xml:space="preserve">Organizational </w:t>
      </w:r>
      <w:proofErr w:type="spellStart"/>
      <w:r w:rsidRPr="00BE346B">
        <w:rPr>
          <w:rFonts w:asciiTheme="majorBidi" w:hAnsiTheme="majorBidi" w:cstheme="majorBidi"/>
          <w:i/>
          <w:iCs/>
          <w:sz w:val="20"/>
          <w:szCs w:val="20"/>
          <w:lang w:val="en-GB"/>
        </w:rPr>
        <w:t>behavior</w:t>
      </w:r>
      <w:proofErr w:type="spellEnd"/>
      <w:r w:rsidRPr="00BE346B">
        <w:rPr>
          <w:rFonts w:asciiTheme="majorBidi" w:hAnsiTheme="majorBidi" w:cstheme="majorBidi"/>
          <w:i/>
          <w:iCs/>
          <w:sz w:val="20"/>
          <w:szCs w:val="20"/>
          <w:lang w:val="en-GB"/>
        </w:rPr>
        <w:t xml:space="preserve"> </w:t>
      </w:r>
      <w:r w:rsidRPr="00BE346B">
        <w:rPr>
          <w:rFonts w:asciiTheme="majorBidi" w:hAnsiTheme="majorBidi" w:cstheme="majorBidi"/>
          <w:sz w:val="20"/>
          <w:szCs w:val="20"/>
          <w:lang w:val="en-GB"/>
        </w:rPr>
        <w:t>(17</w:t>
      </w:r>
      <w:r w:rsidRPr="00BE346B">
        <w:rPr>
          <w:rFonts w:asciiTheme="majorBidi" w:hAnsiTheme="majorBidi" w:cstheme="majorBidi"/>
          <w:sz w:val="20"/>
          <w:szCs w:val="20"/>
          <w:vertAlign w:val="superscript"/>
          <w:lang w:val="en-GB"/>
        </w:rPr>
        <w:t>th</w:t>
      </w:r>
      <w:r w:rsidRPr="00BE346B">
        <w:rPr>
          <w:rFonts w:asciiTheme="majorBidi" w:hAnsiTheme="majorBidi" w:cstheme="majorBidi"/>
          <w:sz w:val="20"/>
          <w:szCs w:val="20"/>
          <w:lang w:val="en-GB"/>
        </w:rPr>
        <w:t xml:space="preserve"> Edition). Harlow: Pearson Education Limited.</w:t>
      </w:r>
    </w:p>
    <w:p w14:paraId="64431D63" w14:textId="77777777" w:rsidR="00BE346B" w:rsidRPr="00BE346B" w:rsidRDefault="00BE346B" w:rsidP="00BE346B">
      <w:pPr>
        <w:pStyle w:val="ListParagraph"/>
        <w:numPr>
          <w:ilvl w:val="0"/>
          <w:numId w:val="1"/>
        </w:numPr>
        <w:jc w:val="both"/>
        <w:rPr>
          <w:rFonts w:asciiTheme="majorBidi" w:hAnsiTheme="majorBidi" w:cstheme="majorBidi"/>
          <w:sz w:val="20"/>
          <w:szCs w:val="20"/>
          <w:lang w:val="en-GB"/>
        </w:rPr>
      </w:pPr>
      <w:r w:rsidRPr="00BE346B">
        <w:rPr>
          <w:rFonts w:asciiTheme="majorBidi" w:hAnsiTheme="majorBidi" w:cstheme="majorBidi"/>
          <w:sz w:val="20"/>
          <w:szCs w:val="20"/>
          <w:lang w:val="en-GB"/>
        </w:rPr>
        <w:t xml:space="preserve">Shukla, A. and Kumar, G., 2017. Essential soft skills for employability–A longitudinal study. </w:t>
      </w:r>
      <w:r w:rsidRPr="00BE346B">
        <w:rPr>
          <w:rFonts w:asciiTheme="majorBidi" w:hAnsiTheme="majorBidi" w:cstheme="majorBidi"/>
          <w:i/>
          <w:iCs/>
          <w:sz w:val="20"/>
          <w:szCs w:val="20"/>
          <w:lang w:val="en-GB"/>
        </w:rPr>
        <w:t xml:space="preserve">Advances in Economics and Business Management, </w:t>
      </w:r>
      <w:r w:rsidRPr="00BE346B">
        <w:rPr>
          <w:rFonts w:asciiTheme="majorBidi" w:hAnsiTheme="majorBidi" w:cstheme="majorBidi"/>
          <w:b/>
          <w:bCs/>
          <w:sz w:val="20"/>
          <w:szCs w:val="20"/>
          <w:lang w:val="en-GB"/>
        </w:rPr>
        <w:t>4</w:t>
      </w:r>
      <w:r w:rsidRPr="00BE346B">
        <w:rPr>
          <w:rFonts w:asciiTheme="majorBidi" w:hAnsiTheme="majorBidi" w:cstheme="majorBidi"/>
          <w:sz w:val="20"/>
          <w:szCs w:val="20"/>
          <w:lang w:val="en-GB"/>
        </w:rPr>
        <w:t>(6), pp. 362-367.</w:t>
      </w:r>
    </w:p>
    <w:p w14:paraId="6FA61EF2" w14:textId="77777777" w:rsidR="00AB2925" w:rsidRDefault="00AB2925"/>
    <w:sectPr w:rsidR="00AB2925">
      <w:headerReference w:type="default" r:id="rId5"/>
      <w:pgSz w:w="12240" w:h="15840"/>
      <w:pgMar w:top="1440" w:right="1440" w:bottom="1440" w:left="1440" w:header="708"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B4BE8" w14:textId="77777777" w:rsidR="00000000" w:rsidRPr="00D7669C" w:rsidRDefault="00000000">
    <w:pPr>
      <w:pStyle w:val="Header"/>
      <w:tabs>
        <w:tab w:val="clear" w:pos="9360"/>
        <w:tab w:val="right" w:pos="9340"/>
      </w:tabs>
      <w:jc w:val="right"/>
      <w:rPr>
        <w:rFonts w:ascii="Times New Roman" w:hAnsi="Times New Roman" w:cs="Times New Roman"/>
        <w:sz w:val="24"/>
        <w:szCs w:val="24"/>
        <w:lang w:val="en-GB"/>
      </w:rPr>
    </w:pPr>
    <w:r w:rsidRPr="00D7669C">
      <w:rPr>
        <w:rFonts w:ascii="Times New Roman" w:hAnsi="Times New Roman" w:cs="Times New Roman"/>
        <w:sz w:val="24"/>
        <w:szCs w:val="24"/>
        <w:lang w:val="en-GB"/>
      </w:rPr>
      <w:t>C1- Reflection</w:t>
    </w:r>
    <w:r w:rsidRPr="00D7669C">
      <w:rPr>
        <w:rFonts w:ascii="Times New Roman" w:hAnsi="Times New Roman" w:cs="Times New Roman"/>
        <w:sz w:val="24"/>
        <w:szCs w:val="24"/>
        <w:lang w:val="en-GB"/>
      </w:rPr>
      <w:t xml:space="preserve"> </w:t>
    </w:r>
    <w:r w:rsidRPr="00D7669C">
      <w:rPr>
        <w:rFonts w:ascii="Times New Roman" w:eastAsia="Times New Roman" w:hAnsi="Times New Roman" w:cs="Times New Roman"/>
        <w:sz w:val="24"/>
        <w:szCs w:val="24"/>
        <w:lang w:val="en-GB"/>
      </w:rPr>
      <w:fldChar w:fldCharType="begin"/>
    </w:r>
    <w:r w:rsidRPr="00D7669C">
      <w:rPr>
        <w:rFonts w:ascii="Times New Roman" w:eastAsia="Times New Roman" w:hAnsi="Times New Roman" w:cs="Times New Roman"/>
        <w:sz w:val="24"/>
        <w:szCs w:val="24"/>
        <w:lang w:val="en-GB"/>
      </w:rPr>
      <w:instrText xml:space="preserve"> PAGE </w:instrText>
    </w:r>
    <w:r w:rsidRPr="00D7669C">
      <w:rPr>
        <w:rFonts w:ascii="Times New Roman" w:eastAsia="Times New Roman" w:hAnsi="Times New Roman" w:cs="Times New Roman"/>
        <w:sz w:val="24"/>
        <w:szCs w:val="24"/>
        <w:lang w:val="en-GB"/>
      </w:rPr>
      <w:fldChar w:fldCharType="separate"/>
    </w:r>
    <w:r w:rsidRPr="00D7669C">
      <w:rPr>
        <w:rFonts w:ascii="Times New Roman" w:eastAsia="Times New Roman" w:hAnsi="Times New Roman" w:cs="Times New Roman"/>
        <w:noProof/>
        <w:sz w:val="24"/>
        <w:szCs w:val="24"/>
        <w:lang w:val="en-GB"/>
      </w:rPr>
      <w:t>8</w:t>
    </w:r>
    <w:r w:rsidRPr="00D7669C">
      <w:rPr>
        <w:rFonts w:ascii="Times New Roman" w:eastAsia="Times New Roman" w:hAnsi="Times New Roman" w:cs="Times New Roman"/>
        <w:sz w:val="24"/>
        <w:szCs w:val="24"/>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08019B"/>
    <w:multiLevelType w:val="hybridMultilevel"/>
    <w:tmpl w:val="8A288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5294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46B"/>
    <w:rsid w:val="00100FBB"/>
    <w:rsid w:val="004C09BA"/>
    <w:rsid w:val="00AB2925"/>
    <w:rsid w:val="00BE34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4A920ABB"/>
  <w15:chartTrackingRefBased/>
  <w15:docId w15:val="{27BB68AC-750A-A241-80CF-0C07E465B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46B"/>
    <w:pPr>
      <w:suppressAutoHyphens/>
    </w:pPr>
    <w:rPr>
      <w:rFonts w:ascii="Times New Roman" w:eastAsia="Arial Unicode MS" w:hAnsi="Times New Roman" w:cs="Times New Roman"/>
      <w:kern w:val="0"/>
      <w:lang w:val="en-US"/>
      <w14:ligatures w14:val="none"/>
    </w:rPr>
  </w:style>
  <w:style w:type="paragraph" w:styleId="Heading1">
    <w:name w:val="heading 1"/>
    <w:basedOn w:val="Normal"/>
    <w:next w:val="Normal"/>
    <w:link w:val="Heading1Char"/>
    <w:uiPriority w:val="9"/>
    <w:qFormat/>
    <w:rsid w:val="00BE34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34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34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34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34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346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46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46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46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4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34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34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34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34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34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4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4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46B"/>
    <w:rPr>
      <w:rFonts w:eastAsiaTheme="majorEastAsia" w:cstheme="majorBidi"/>
      <w:color w:val="272727" w:themeColor="text1" w:themeTint="D8"/>
    </w:rPr>
  </w:style>
  <w:style w:type="paragraph" w:styleId="Title">
    <w:name w:val="Title"/>
    <w:basedOn w:val="Normal"/>
    <w:next w:val="Normal"/>
    <w:link w:val="TitleChar"/>
    <w:uiPriority w:val="10"/>
    <w:qFormat/>
    <w:rsid w:val="00BE346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4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346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4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46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E346B"/>
    <w:rPr>
      <w:i/>
      <w:iCs/>
      <w:color w:val="404040" w:themeColor="text1" w:themeTint="BF"/>
    </w:rPr>
  </w:style>
  <w:style w:type="paragraph" w:styleId="ListParagraph">
    <w:name w:val="List Paragraph"/>
    <w:basedOn w:val="Normal"/>
    <w:uiPriority w:val="34"/>
    <w:qFormat/>
    <w:rsid w:val="00BE346B"/>
    <w:pPr>
      <w:ind w:left="720"/>
      <w:contextualSpacing/>
    </w:pPr>
  </w:style>
  <w:style w:type="character" w:styleId="IntenseEmphasis">
    <w:name w:val="Intense Emphasis"/>
    <w:basedOn w:val="DefaultParagraphFont"/>
    <w:uiPriority w:val="21"/>
    <w:qFormat/>
    <w:rsid w:val="00BE346B"/>
    <w:rPr>
      <w:i/>
      <w:iCs/>
      <w:color w:val="0F4761" w:themeColor="accent1" w:themeShade="BF"/>
    </w:rPr>
  </w:style>
  <w:style w:type="paragraph" w:styleId="IntenseQuote">
    <w:name w:val="Intense Quote"/>
    <w:basedOn w:val="Normal"/>
    <w:next w:val="Normal"/>
    <w:link w:val="IntenseQuoteChar"/>
    <w:uiPriority w:val="30"/>
    <w:qFormat/>
    <w:rsid w:val="00BE34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346B"/>
    <w:rPr>
      <w:i/>
      <w:iCs/>
      <w:color w:val="0F4761" w:themeColor="accent1" w:themeShade="BF"/>
    </w:rPr>
  </w:style>
  <w:style w:type="character" w:styleId="IntenseReference">
    <w:name w:val="Intense Reference"/>
    <w:basedOn w:val="DefaultParagraphFont"/>
    <w:uiPriority w:val="32"/>
    <w:qFormat/>
    <w:rsid w:val="00BE346B"/>
    <w:rPr>
      <w:b/>
      <w:bCs/>
      <w:smallCaps/>
      <w:color w:val="0F4761" w:themeColor="accent1" w:themeShade="BF"/>
      <w:spacing w:val="5"/>
    </w:rPr>
  </w:style>
  <w:style w:type="paragraph" w:styleId="Header">
    <w:name w:val="header"/>
    <w:link w:val="HeaderChar"/>
    <w:rsid w:val="00BE346B"/>
    <w:pPr>
      <w:tabs>
        <w:tab w:val="center" w:pos="4680"/>
        <w:tab w:val="right" w:pos="9360"/>
      </w:tabs>
      <w:suppressAutoHyphens/>
    </w:pPr>
    <w:rPr>
      <w:rFonts w:ascii="Calibri" w:eastAsia="Arial Unicode MS" w:hAnsi="Calibri" w:cs="Arial Unicode MS"/>
      <w:color w:val="000000"/>
      <w:kern w:val="0"/>
      <w:sz w:val="22"/>
      <w:szCs w:val="22"/>
      <w:u w:color="000000"/>
      <w:lang w:val="en-US"/>
      <w14:ligatures w14:val="none"/>
    </w:rPr>
  </w:style>
  <w:style w:type="character" w:customStyle="1" w:styleId="HeaderChar">
    <w:name w:val="Header Char"/>
    <w:basedOn w:val="DefaultParagraphFont"/>
    <w:link w:val="Header"/>
    <w:rsid w:val="00BE346B"/>
    <w:rPr>
      <w:rFonts w:ascii="Calibri" w:eastAsia="Arial Unicode MS" w:hAnsi="Calibri" w:cs="Arial Unicode MS"/>
      <w:color w:val="000000"/>
      <w:kern w:val="0"/>
      <w:sz w:val="22"/>
      <w:szCs w:val="22"/>
      <w:u w:color="00000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1852</Words>
  <Characters>10557</Characters>
  <Application>Microsoft Office Word</Application>
  <DocSecurity>0</DocSecurity>
  <Lines>87</Lines>
  <Paragraphs>24</Paragraphs>
  <ScaleCrop>false</ScaleCrop>
  <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sulafa Yousif</dc:creator>
  <cp:keywords/>
  <dc:description/>
  <cp:lastModifiedBy>sulafa Yousif</cp:lastModifiedBy>
  <cp:revision>1</cp:revision>
  <dcterms:created xsi:type="dcterms:W3CDTF">2024-06-05T12:51:00Z</dcterms:created>
  <dcterms:modified xsi:type="dcterms:W3CDTF">2024-06-05T12:54:00Z</dcterms:modified>
</cp:coreProperties>
</file>