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footnotes.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beforeAutospacing="0" w:before="0" w:afterAutospacing="0" w:after="0"/>
        <w:ind w:left="-180" w:right="-334" w:hanging="0"/>
        <w:rPr/>
      </w:pPr>
      <w:r>
        <w:rPr/>
        <w:drawing>
          <wp:inline distT="0" distB="0" distL="0" distR="0">
            <wp:extent cx="1908175" cy="63627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1908175" cy="636270"/>
                    </a:xfrm>
                    <a:prstGeom prst="rect">
                      <a:avLst/>
                    </a:prstGeom>
                    <a:ln w="19050">
                      <a:solidFill>
                        <a:srgbClr val="000000"/>
                      </a:solidFill>
                    </a:ln>
                  </pic:spPr>
                </pic:pic>
              </a:graphicData>
            </a:graphic>
          </wp:inline>
        </w:drawing>
      </w:r>
    </w:p>
    <w:p>
      <w:pPr>
        <w:pStyle w:val="NormalWeb"/>
        <w:spacing w:beforeAutospacing="0" w:before="0" w:afterAutospacing="0" w:after="0"/>
        <w:ind w:left="-180" w:right="-334" w:hanging="0"/>
        <w:rPr/>
      </w:pPr>
      <w:r>
        <w:rPr/>
      </w:r>
    </w:p>
    <w:p>
      <w:pPr>
        <w:pStyle w:val="NormalWeb"/>
        <w:spacing w:beforeAutospacing="0" w:before="0" w:afterAutospacing="0" w:after="0"/>
        <w:ind w:left="-180" w:right="-334" w:hanging="0"/>
        <w:rPr/>
      </w:pPr>
      <w:r>
        <w:rPr/>
      </w:r>
    </w:p>
    <w:p>
      <w:pPr>
        <w:pStyle w:val="NormalWeb"/>
        <w:spacing w:beforeAutospacing="0" w:before="0" w:afterAutospacing="0" w:after="0"/>
        <w:ind w:left="-180" w:right="-334" w:hanging="0"/>
        <w:jc w:val="center"/>
        <w:rPr>
          <w:rFonts w:ascii="Arial" w:hAnsi="Arial" w:cs="Arial"/>
          <w:b/>
          <w:b/>
          <w:sz w:val="28"/>
          <w:szCs w:val="28"/>
          <w:lang w:val="cy-GB"/>
        </w:rPr>
      </w:pPr>
      <w:r>
        <w:rPr>
          <w:rFonts w:cs="Arial" w:ascii="Arial" w:hAnsi="Arial"/>
          <w:b/>
          <w:sz w:val="28"/>
          <w:szCs w:val="28"/>
          <w:lang w:val="cy-GB"/>
        </w:rPr>
        <w:t xml:space="preserve">Postgraduate/Distance Learning </w:t>
      </w:r>
    </w:p>
    <w:p>
      <w:pPr>
        <w:pStyle w:val="NormalWeb"/>
        <w:spacing w:beforeAutospacing="0" w:before="0" w:afterAutospacing="0" w:after="0"/>
        <w:ind w:left="-180" w:right="-334" w:hanging="0"/>
        <w:jc w:val="center"/>
        <w:rPr>
          <w:rFonts w:ascii="Arial" w:hAnsi="Arial" w:cs="Arial"/>
          <w:b/>
          <w:b/>
          <w:sz w:val="28"/>
          <w:szCs w:val="28"/>
        </w:rPr>
      </w:pPr>
      <w:r>
        <w:rPr>
          <w:rFonts w:cs="Arial" w:ascii="Arial" w:hAnsi="Arial"/>
          <w:b/>
          <w:sz w:val="28"/>
          <w:szCs w:val="28"/>
          <w:lang w:val="cy-GB"/>
        </w:rPr>
        <w:t>Assignment coversheet &amp; feedback form</w:t>
      </w:r>
    </w:p>
    <w:p>
      <w:pPr>
        <w:pStyle w:val="Normal"/>
        <w:rPr>
          <w:rFonts w:ascii="Arial" w:hAnsi="Arial" w:cs="Arial"/>
          <w:sz w:val="28"/>
          <w:szCs w:val="28"/>
          <w:lang w:val="cy-GB"/>
        </w:rPr>
      </w:pPr>
      <w:r>
        <w:rPr>
          <w:rFonts w:cs="Arial" w:ascii="Arial" w:hAnsi="Arial"/>
          <w:sz w:val="28"/>
          <w:szCs w:val="28"/>
          <w:lang w:val="cy-GB"/>
        </w:rPr>
      </w:r>
    </w:p>
    <w:p>
      <w:pPr>
        <w:pStyle w:val="Heading3"/>
        <w:jc w:val="center"/>
        <w:rPr>
          <w:lang w:val="cy-GB"/>
        </w:rPr>
      </w:pPr>
      <w:r>
        <w:rPr>
          <w:lang w:val="cy-GB"/>
        </w:rPr>
        <w:t>THIS SHEET MUST BE THE FIRST PAGE OF THE ASSIGNMENT YOU ARE SUBMITTING  (DO NOT SEND AS A SEPARATE FILE)</w:t>
      </w:r>
    </w:p>
    <w:p>
      <w:pPr>
        <w:pStyle w:val="Heading3"/>
        <w:jc w:val="center"/>
        <w:rPr>
          <w:rFonts w:ascii="Trebuchet MS" w:hAnsi="Trebuchet MS"/>
        </w:rPr>
      </w:pPr>
      <w:r>
        <w:rPr>
          <w:rFonts w:ascii="Trebuchet MS" w:hAnsi="Trebuchet MS"/>
        </w:rPr>
      </w:r>
    </w:p>
    <w:tbl>
      <w:tblPr>
        <w:tblW w:w="86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614"/>
        <w:gridCol w:w="423"/>
        <w:gridCol w:w="1515"/>
        <w:gridCol w:w="290"/>
        <w:gridCol w:w="1794"/>
      </w:tblGrid>
      <w:tr>
        <w:trPr>
          <w:trHeight w:val="614" w:hRule="atLeast"/>
        </w:trPr>
        <w:tc>
          <w:tcPr>
            <w:tcW w:w="8636" w:type="dxa"/>
            <w:gridSpan w:val="5"/>
            <w:tcBorders>
              <w:top w:val="single" w:sz="4" w:space="0" w:color="000000"/>
              <w:left w:val="single" w:sz="4" w:space="0" w:color="000000"/>
              <w:bottom w:val="single" w:sz="4" w:space="0" w:color="000000"/>
              <w:right w:val="single" w:sz="4" w:space="0" w:color="000000"/>
            </w:tcBorders>
          </w:tcPr>
          <w:p>
            <w:pPr>
              <w:pStyle w:val="NormalWeb"/>
              <w:widowControl w:val="false"/>
              <w:spacing w:beforeAutospacing="0" w:before="0" w:afterAutospacing="0" w:after="0"/>
              <w:ind w:right="34" w:hanging="0"/>
              <w:rPr>
                <w:rFonts w:ascii="Arial" w:hAnsi="Arial" w:cs="Arial"/>
                <w:sz w:val="22"/>
                <w:szCs w:val="22"/>
              </w:rPr>
            </w:pPr>
            <w:r>
              <w:rPr>
                <w:rFonts w:cs="Arial" w:ascii="Arial" w:hAnsi="Arial"/>
                <w:b/>
                <w:sz w:val="22"/>
                <w:szCs w:val="22"/>
              </w:rPr>
              <w:t>For completion by the student</w:t>
            </w:r>
            <w:r>
              <w:rPr>
                <w:rFonts w:cs="Arial" w:ascii="Arial" w:hAnsi="Arial"/>
                <w:sz w:val="22"/>
                <w:szCs w:val="22"/>
              </w:rPr>
              <w:t>:</w:t>
            </w:r>
          </w:p>
        </w:tc>
      </w:tr>
      <w:tr>
        <w:trPr>
          <w:trHeight w:val="718" w:hRule="atLeast"/>
        </w:trPr>
        <w:tc>
          <w:tcPr>
            <w:tcW w:w="8636" w:type="dxa"/>
            <w:gridSpan w:val="5"/>
            <w:tcBorders>
              <w:top w:val="single" w:sz="4" w:space="0" w:color="000000"/>
              <w:left w:val="single" w:sz="4" w:space="0" w:color="000000"/>
              <w:bottom w:val="single" w:sz="4" w:space="0" w:color="000000"/>
              <w:right w:val="single" w:sz="4" w:space="0" w:color="000000"/>
            </w:tcBorders>
          </w:tcPr>
          <w:p>
            <w:pPr>
              <w:pStyle w:val="NormalWeb"/>
              <w:widowControl w:val="false"/>
              <w:spacing w:beforeAutospacing="0" w:before="0" w:afterAutospacing="0" w:after="0"/>
              <w:ind w:right="34" w:hanging="0"/>
              <w:rPr>
                <w:rFonts w:ascii="Arial" w:hAnsi="Arial" w:cs="Arial"/>
                <w:sz w:val="22"/>
                <w:szCs w:val="22"/>
              </w:rPr>
            </w:pPr>
            <w:r>
              <w:rPr>
                <w:rFonts w:cs="Arial" w:ascii="Arial" w:hAnsi="Arial"/>
                <w:sz w:val="22"/>
                <w:szCs w:val="22"/>
              </w:rPr>
              <w:t xml:space="preserve">Student Name: Rebecca Booker </w:t>
            </w:r>
          </w:p>
          <w:p>
            <w:pPr>
              <w:pStyle w:val="NormalWeb"/>
              <w:widowControl w:val="false"/>
              <w:spacing w:beforeAutospacing="0" w:before="0" w:afterAutospacing="0" w:after="0"/>
              <w:ind w:right="34" w:hanging="0"/>
              <w:rPr>
                <w:rFonts w:ascii="Arial" w:hAnsi="Arial" w:cs="Arial"/>
                <w:sz w:val="22"/>
                <w:szCs w:val="22"/>
              </w:rPr>
            </w:pPr>
            <w:r>
              <w:rPr>
                <w:rFonts w:cs="Arial" w:ascii="Arial" w:hAnsi="Arial"/>
                <w:sz w:val="22"/>
                <w:szCs w:val="22"/>
              </w:rPr>
            </w:r>
          </w:p>
        </w:tc>
      </w:tr>
      <w:tr>
        <w:trPr>
          <w:trHeight w:val="849" w:hRule="atLeast"/>
        </w:trPr>
        <w:tc>
          <w:tcPr>
            <w:tcW w:w="4614"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Autospacing="0" w:before="0" w:afterAutospacing="0" w:after="0"/>
              <w:ind w:right="34" w:hanging="0"/>
              <w:rPr>
                <w:rFonts w:ascii="Arial" w:hAnsi="Arial" w:cs="Arial"/>
                <w:sz w:val="22"/>
                <w:szCs w:val="22"/>
              </w:rPr>
            </w:pPr>
            <w:r>
              <w:rPr>
                <w:rFonts w:cs="Arial" w:ascii="Arial" w:hAnsi="Arial"/>
                <w:sz w:val="22"/>
                <w:szCs w:val="22"/>
              </w:rPr>
              <w:t>Module code: HPCA7027</w:t>
            </w:r>
          </w:p>
          <w:p>
            <w:pPr>
              <w:pStyle w:val="NormalWeb"/>
              <w:widowControl w:val="false"/>
              <w:spacing w:beforeAutospacing="0" w:before="0" w:afterAutospacing="0" w:after="0"/>
              <w:ind w:right="34" w:hanging="0"/>
              <w:rPr>
                <w:rFonts w:ascii="Arial" w:hAnsi="Arial" w:cs="Arial"/>
                <w:sz w:val="22"/>
                <w:szCs w:val="22"/>
              </w:rPr>
            </w:pPr>
            <w:r>
              <w:rPr>
                <w:rFonts w:cs="Arial" w:ascii="Arial" w:hAnsi="Arial"/>
                <w:sz w:val="22"/>
                <w:szCs w:val="22"/>
              </w:rPr>
            </w:r>
          </w:p>
          <w:p>
            <w:pPr>
              <w:pStyle w:val="NormalWeb"/>
              <w:widowControl w:val="false"/>
              <w:spacing w:beforeAutospacing="0" w:before="0" w:afterAutospacing="0" w:after="0"/>
              <w:ind w:right="34" w:hanging="0"/>
              <w:rPr>
                <w:rFonts w:ascii="Arial" w:hAnsi="Arial" w:cs="Arial"/>
                <w:sz w:val="22"/>
                <w:szCs w:val="22"/>
              </w:rPr>
            </w:pPr>
            <w:r>
              <w:rPr>
                <w:rFonts w:cs="Arial" w:ascii="Arial" w:hAnsi="Arial"/>
                <w:sz w:val="22"/>
                <w:szCs w:val="22"/>
              </w:rPr>
              <w:t xml:space="preserve">Module title: Cosmology, Magic and Divination </w:t>
            </w:r>
          </w:p>
          <w:p>
            <w:pPr>
              <w:pStyle w:val="NormalWeb"/>
              <w:widowControl w:val="false"/>
              <w:spacing w:beforeAutospacing="0" w:before="0" w:afterAutospacing="0" w:after="0"/>
              <w:ind w:right="34" w:hanging="0"/>
              <w:rPr>
                <w:rFonts w:ascii="Arial" w:hAnsi="Arial" w:cs="Arial"/>
                <w:sz w:val="22"/>
                <w:szCs w:val="22"/>
              </w:rPr>
            </w:pPr>
            <w:r>
              <w:rPr>
                <w:rFonts w:cs="Arial" w:ascii="Arial" w:hAnsi="Arial"/>
                <w:sz w:val="22"/>
                <w:szCs w:val="22"/>
              </w:rPr>
            </w:r>
          </w:p>
          <w:p>
            <w:pPr>
              <w:pStyle w:val="NormalWeb"/>
              <w:widowControl w:val="false"/>
              <w:spacing w:beforeAutospacing="0" w:before="0" w:afterAutospacing="0" w:after="0"/>
              <w:ind w:right="34" w:hanging="0"/>
              <w:rPr>
                <w:rFonts w:ascii="Arial" w:hAnsi="Arial" w:cs="Arial"/>
                <w:sz w:val="22"/>
                <w:szCs w:val="22"/>
              </w:rPr>
            </w:pPr>
            <w:r>
              <w:rPr>
                <w:rFonts w:cs="Arial" w:ascii="Arial" w:hAnsi="Arial"/>
                <w:sz w:val="22"/>
                <w:szCs w:val="22"/>
              </w:rPr>
            </w:r>
          </w:p>
        </w:tc>
        <w:tc>
          <w:tcPr>
            <w:tcW w:w="2228" w:type="dxa"/>
            <w:gridSpan w:val="3"/>
            <w:tcBorders>
              <w:top w:val="single" w:sz="4" w:space="0" w:color="000000"/>
              <w:left w:val="single" w:sz="4" w:space="0" w:color="000000"/>
              <w:bottom w:val="single" w:sz="4" w:space="0" w:color="000000"/>
              <w:right w:val="single" w:sz="4" w:space="0" w:color="000000"/>
            </w:tcBorders>
          </w:tcPr>
          <w:p>
            <w:pPr>
              <w:pStyle w:val="NormalWeb"/>
              <w:widowControl w:val="false"/>
              <w:spacing w:beforeAutospacing="0" w:before="0" w:afterAutospacing="0" w:after="0"/>
              <w:ind w:right="34" w:hanging="0"/>
              <w:rPr>
                <w:rFonts w:ascii="Arial" w:hAnsi="Arial" w:cs="Arial"/>
                <w:sz w:val="22"/>
                <w:szCs w:val="22"/>
              </w:rPr>
            </w:pPr>
            <w:r>
              <w:rPr>
                <w:rFonts w:cs="Arial" w:ascii="Arial" w:hAnsi="Arial"/>
                <w:sz w:val="22"/>
                <w:szCs w:val="22"/>
              </w:rPr>
              <w:t>Student ID number:</w:t>
            </w:r>
          </w:p>
          <w:p>
            <w:pPr>
              <w:pStyle w:val="NormalWeb"/>
              <w:widowControl w:val="false"/>
              <w:spacing w:beforeAutospacing="0" w:before="0" w:afterAutospacing="0" w:after="0"/>
              <w:ind w:right="34" w:hanging="0"/>
              <w:rPr>
                <w:rFonts w:ascii="Arial" w:hAnsi="Arial" w:cs="Arial"/>
                <w:sz w:val="22"/>
                <w:szCs w:val="22"/>
              </w:rPr>
            </w:pPr>
            <w:r>
              <w:rPr>
                <w:rFonts w:cs="Arial" w:ascii="Arial" w:hAnsi="Arial"/>
                <w:sz w:val="22"/>
                <w:szCs w:val="22"/>
              </w:rPr>
              <w:t>2218810</w:t>
            </w:r>
          </w:p>
        </w:tc>
        <w:tc>
          <w:tcPr>
            <w:tcW w:w="1794"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Autospacing="0" w:before="0" w:afterAutospacing="0" w:after="0"/>
              <w:ind w:right="34" w:hanging="0"/>
              <w:rPr>
                <w:rFonts w:ascii="Arial" w:hAnsi="Arial" w:cs="Arial"/>
                <w:sz w:val="22"/>
                <w:szCs w:val="22"/>
              </w:rPr>
            </w:pPr>
            <w:r>
              <w:rPr>
                <w:rFonts w:cs="Arial" w:ascii="Arial" w:hAnsi="Arial"/>
                <w:sz w:val="22"/>
                <w:szCs w:val="22"/>
              </w:rPr>
              <w:t>Educational support needs:</w:t>
            </w:r>
          </w:p>
          <w:p>
            <w:pPr>
              <w:pStyle w:val="NormalWeb"/>
              <w:widowControl w:val="false"/>
              <w:spacing w:beforeAutospacing="0" w:before="0" w:afterAutospacing="0" w:after="0"/>
              <w:ind w:right="34" w:hanging="0"/>
              <w:rPr>
                <w:rFonts w:ascii="Arial" w:hAnsi="Arial" w:cs="Arial"/>
                <w:sz w:val="22"/>
                <w:szCs w:val="22"/>
              </w:rPr>
            </w:pPr>
            <w:r>
              <w:rPr>
                <w:rFonts w:cs="Arial" w:ascii="Arial" w:hAnsi="Arial"/>
                <w:sz w:val="22"/>
                <w:szCs w:val="22"/>
              </w:rPr>
              <w:t>No</w:t>
            </w:r>
          </w:p>
        </w:tc>
      </w:tr>
      <w:tr>
        <w:trPr>
          <w:trHeight w:val="1139" w:hRule="atLeast"/>
        </w:trPr>
        <w:tc>
          <w:tcPr>
            <w:tcW w:w="8636" w:type="dxa"/>
            <w:gridSpan w:val="5"/>
            <w:tcBorders>
              <w:top w:val="single" w:sz="4" w:space="0" w:color="000000"/>
              <w:left w:val="single" w:sz="4" w:space="0" w:color="000000"/>
              <w:bottom w:val="single" w:sz="4" w:space="0" w:color="000000"/>
              <w:right w:val="single" w:sz="4" w:space="0" w:color="000000"/>
            </w:tcBorders>
          </w:tcPr>
          <w:p>
            <w:pPr>
              <w:pStyle w:val="NormalWeb"/>
              <w:widowControl w:val="false"/>
              <w:spacing w:beforeAutospacing="0" w:before="0" w:afterAutospacing="0" w:after="0"/>
              <w:ind w:right="34" w:hanging="0"/>
              <w:rPr>
                <w:rFonts w:ascii="Arial" w:hAnsi="Arial" w:cs="Arial"/>
                <w:sz w:val="22"/>
                <w:szCs w:val="22"/>
              </w:rPr>
            </w:pPr>
            <w:r>
              <w:rPr>
                <w:rFonts w:cs="Arial" w:ascii="Arial" w:hAnsi="Arial"/>
                <w:sz w:val="22"/>
                <w:szCs w:val="22"/>
              </w:rPr>
              <w:t xml:space="preserve">Module tutor: Dorian Greenbaum </w:t>
            </w:r>
          </w:p>
          <w:p>
            <w:pPr>
              <w:pStyle w:val="NormalWeb"/>
              <w:widowControl w:val="false"/>
              <w:spacing w:beforeAutospacing="0" w:before="0" w:afterAutospacing="0" w:after="0"/>
              <w:ind w:right="34" w:hanging="0"/>
              <w:rPr>
                <w:rFonts w:ascii="Arial" w:hAnsi="Arial" w:cs="Arial"/>
                <w:sz w:val="22"/>
                <w:szCs w:val="22"/>
              </w:rPr>
            </w:pPr>
            <w:r>
              <w:rPr>
                <w:rFonts w:cs="Arial" w:ascii="Arial" w:hAnsi="Arial"/>
                <w:sz w:val="22"/>
                <w:szCs w:val="22"/>
              </w:rPr>
            </w:r>
          </w:p>
          <w:p>
            <w:pPr>
              <w:pStyle w:val="NormalWeb"/>
              <w:widowControl w:val="false"/>
              <w:spacing w:beforeAutospacing="0" w:before="0" w:afterAutospacing="0" w:after="0"/>
              <w:ind w:right="34" w:hanging="0"/>
              <w:rPr>
                <w:rFonts w:ascii="Arial" w:hAnsi="Arial" w:cs="Arial"/>
                <w:sz w:val="22"/>
                <w:szCs w:val="22"/>
              </w:rPr>
            </w:pPr>
            <w:r>
              <w:rPr>
                <w:rFonts w:cs="Arial" w:ascii="Arial" w:hAnsi="Arial"/>
                <w:sz w:val="22"/>
                <w:szCs w:val="22"/>
              </w:rPr>
            </w:r>
          </w:p>
          <w:p>
            <w:pPr>
              <w:pStyle w:val="NormalWeb"/>
              <w:widowControl w:val="false"/>
              <w:spacing w:beforeAutospacing="0" w:before="0" w:afterAutospacing="0" w:after="0"/>
              <w:ind w:right="34" w:hanging="0"/>
              <w:rPr>
                <w:rFonts w:ascii="Arial" w:hAnsi="Arial" w:cs="Arial"/>
                <w:sz w:val="22"/>
                <w:szCs w:val="22"/>
              </w:rPr>
            </w:pPr>
            <w:r>
              <w:rPr>
                <w:rFonts w:cs="Arial" w:ascii="Arial" w:hAnsi="Arial"/>
                <w:sz w:val="22"/>
                <w:szCs w:val="22"/>
              </w:rPr>
              <w:t>Assignment due date: 24.4. 2023</w:t>
            </w:r>
          </w:p>
        </w:tc>
      </w:tr>
      <w:tr>
        <w:trPr>
          <w:trHeight w:val="978" w:hRule="atLeast"/>
        </w:trPr>
        <w:tc>
          <w:tcPr>
            <w:tcW w:w="8636"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22"/>
                <w:szCs w:val="22"/>
              </w:rPr>
            </w:pPr>
            <w:r>
              <w:rPr>
                <w:rFonts w:cs="Arial" w:ascii="Arial" w:hAnsi="Arial"/>
                <w:sz w:val="22"/>
                <w:szCs w:val="22"/>
              </w:rPr>
              <w:t>If your module has multiple submissions please indicate which piece of work this is.</w:t>
            </w:r>
          </w:p>
          <w:p>
            <w:pPr>
              <w:pStyle w:val="Normal"/>
              <w:widowControl w:val="false"/>
              <w:rPr>
                <w:rFonts w:ascii="Arial" w:hAnsi="Arial" w:cs="Arial"/>
                <w:sz w:val="22"/>
                <w:szCs w:val="22"/>
              </w:rPr>
            </w:pPr>
            <w:r>
              <w:rPr>
                <w:rFonts w:cs="Arial" w:ascii="Arial" w:hAnsi="Arial"/>
                <w:sz w:val="22"/>
                <w:szCs w:val="22"/>
              </w:rPr>
            </w:r>
          </w:p>
          <w:p>
            <w:pPr>
              <w:pStyle w:val="Normal"/>
              <w:widowControl w:val="false"/>
              <w:rPr>
                <w:rFonts w:ascii="Arial" w:hAnsi="Arial" w:cs="Arial"/>
                <w:sz w:val="22"/>
                <w:szCs w:val="22"/>
              </w:rPr>
            </w:pPr>
            <w:r>
              <w:rPr>
                <w:rFonts w:cs="Arial" w:ascii="Arial" w:hAnsi="Arial"/>
                <w:sz w:val="22"/>
                <w:szCs w:val="22"/>
              </w:rPr>
              <w:t>1</w:t>
            </w:r>
            <w:r>
              <w:rPr>
                <w:rFonts w:cs="Arial" w:ascii="Arial" w:hAnsi="Arial"/>
                <w:sz w:val="22"/>
                <w:szCs w:val="22"/>
                <w:vertAlign w:val="superscript"/>
              </w:rPr>
              <w:t xml:space="preserve">st </w:t>
            </w:r>
            <w:r>
              <w:fldChar w:fldCharType="begin">
                <w:ffData>
                  <w:name w:val=""/>
                  <w:enabled/>
                  <w:calcOnExit w:val="0"/>
                  <w:checkBox>
                    <w:sizeAuto/>
                  </w:checkBox>
                </w:ffData>
              </w:fldChar>
            </w:r>
            <w:r>
              <w:rPr>
                <w:vertAlign w:val="superscript"/>
                <w:sz w:val="22"/>
                <w:szCs w:val="22"/>
                <w:rFonts w:cs="Arial" w:ascii="Arial" w:hAnsi="Arial"/>
              </w:rPr>
              <w:instrText> FORMCHECKBOX </w:instrText>
            </w:r>
            <w:r>
              <w:rPr>
                <w:vertAlign w:val="superscript"/>
                <w:sz w:val="22"/>
                <w:szCs w:val="22"/>
                <w:rFonts w:cs="Arial" w:ascii="Arial" w:hAnsi="Arial"/>
              </w:rPr>
              <w:fldChar w:fldCharType="separate"/>
            </w:r>
            <w:bookmarkStart w:id="0" w:name="__Fieldmark__19_3753477666"/>
            <w:bookmarkStart w:id="1" w:name="__Fieldmark__19_3753477666"/>
            <w:bookmarkEnd w:id="1"/>
            <w:r>
              <w:rPr>
                <w:rFonts w:cs="Arial" w:ascii="Arial" w:hAnsi="Arial"/>
                <w:sz w:val="22"/>
                <w:szCs w:val="22"/>
                <w:vertAlign w:val="superscript"/>
              </w:rPr>
            </w:r>
            <w:r>
              <w:rPr>
                <w:vertAlign w:val="superscript"/>
                <w:sz w:val="22"/>
                <w:szCs w:val="22"/>
                <w:rFonts w:cs="Arial" w:ascii="Arial" w:hAnsi="Arial"/>
              </w:rPr>
              <w:fldChar w:fldCharType="end"/>
            </w:r>
            <w:bookmarkStart w:id="2" w:name="__Fieldmark__19_3459864102"/>
            <w:bookmarkStart w:id="3" w:name="__Fieldmark__19_2795565986"/>
            <w:bookmarkStart w:id="4" w:name="__Fieldmark__19_1288306487"/>
            <w:bookmarkStart w:id="5" w:name="__Fieldmark__19_1400422361"/>
            <w:bookmarkStart w:id="6" w:name="__Fieldmark__19_84568107"/>
            <w:bookmarkStart w:id="7" w:name="__Fieldmark__19_1567925586"/>
            <w:bookmarkStart w:id="8" w:name="__Fieldmark__19_3506933689"/>
            <w:bookmarkStart w:id="9" w:name="__Fieldmark__19_2570415799"/>
            <w:bookmarkStart w:id="10" w:name="__Fieldmark__19_2148998205"/>
            <w:bookmarkStart w:id="11" w:name="__Fieldmark__23_4167507749"/>
            <w:bookmarkStart w:id="12" w:name="__Fieldmark__300_3822388661"/>
            <w:bookmarkStart w:id="13" w:name="__Fieldmark__19_3775092319"/>
            <w:bookmarkStart w:id="14" w:name="__Fieldmark__19_1140662686"/>
            <w:bookmarkStart w:id="15" w:name="__Fieldmark__19_941350720"/>
            <w:bookmarkStart w:id="16" w:name="__Fieldmark__19_3221291687"/>
            <w:bookmarkStart w:id="17" w:name="__Fieldmark__19_787395990"/>
            <w:bookmarkStart w:id="18" w:name="__Fieldmark__19_2972406171"/>
            <w:bookmarkStart w:id="19" w:name="__Fieldmark__19_1020568009"/>
            <w:bookmarkStart w:id="20" w:name="__Fieldmark__19_1926054925"/>
            <w:bookmarkStart w:id="21" w:name="__Fieldmark__19_3855248653"/>
            <w:bookmarkStart w:id="22" w:name="__Fieldmark__19_2501922103"/>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r>
              <w:rPr>
                <w:rFonts w:cs="Arial" w:ascii="Arial" w:hAnsi="Arial"/>
                <w:sz w:val="22"/>
                <w:szCs w:val="22"/>
              </w:rPr>
              <w:t xml:space="preserve">    2</w:t>
            </w:r>
            <w:r>
              <w:rPr>
                <w:rFonts w:cs="Arial" w:ascii="Arial" w:hAnsi="Arial"/>
                <w:sz w:val="22"/>
                <w:szCs w:val="22"/>
                <w:vertAlign w:val="superscript"/>
              </w:rPr>
              <w:t>nd</w:t>
            </w:r>
            <w:r>
              <w:rPr>
                <w:rFonts w:cs="Arial" w:ascii="Arial" w:hAnsi="Arial"/>
                <w:sz w:val="22"/>
                <w:szCs w:val="22"/>
              </w:rPr>
              <w:t xml:space="preserve">  </w:t>
            </w:r>
            <w:r>
              <w:fldChar w:fldCharType="begin">
                <w:ffData>
                  <w:name w:val=""/>
                  <w:enabled/>
                  <w:calcOnExit w:val="0"/>
                  <w:checkBox>
                    <w:sizeAuto/>
                    <w:checked/>
                  </w:checkBox>
                </w:ffData>
              </w:fldChar>
            </w:r>
            <w:r>
              <w:rPr>
                <w:sz w:val="22"/>
                <w:szCs w:val="22"/>
                <w:rFonts w:cs="Arial" w:ascii="Arial" w:hAnsi="Arial"/>
              </w:rPr>
              <w:instrText> FORMCHECKBOX </w:instrText>
            </w:r>
            <w:r>
              <w:rPr>
                <w:sz w:val="22"/>
                <w:szCs w:val="22"/>
                <w:rFonts w:cs="Arial" w:ascii="Arial" w:hAnsi="Arial"/>
              </w:rPr>
              <w:fldChar w:fldCharType="separate"/>
            </w:r>
            <w:bookmarkStart w:id="23" w:name="__Fieldmark__88_3753477666"/>
            <w:bookmarkStart w:id="24" w:name="__Fieldmark__88_3753477666"/>
            <w:bookmarkEnd w:id="24"/>
            <w:r>
              <w:rPr>
                <w:rFonts w:cs="Arial" w:ascii="Arial" w:hAnsi="Arial"/>
                <w:sz w:val="22"/>
                <w:szCs w:val="22"/>
              </w:rPr>
            </w:r>
            <w:r>
              <w:rPr>
                <w:sz w:val="22"/>
                <w:szCs w:val="22"/>
                <w:rFonts w:cs="Arial" w:ascii="Arial" w:hAnsi="Arial"/>
              </w:rPr>
              <w:fldChar w:fldCharType="end"/>
            </w:r>
            <w:bookmarkStart w:id="25" w:name="__Fieldmark__82_3459864102"/>
            <w:bookmarkStart w:id="26" w:name="__Fieldmark__76_2795565986"/>
            <w:bookmarkStart w:id="27" w:name="__Fieldmark__70_1288306487"/>
            <w:bookmarkStart w:id="28" w:name="__Fieldmark__64_1400422361"/>
            <w:bookmarkStart w:id="29" w:name="__Fieldmark__58_84568107"/>
            <w:bookmarkStart w:id="30" w:name="__Fieldmark__52_1567925586"/>
            <w:bookmarkStart w:id="31" w:name="__Fieldmark__46_3506933689"/>
            <w:bookmarkStart w:id="32" w:name="__Fieldmark__40_2570415799"/>
            <w:bookmarkStart w:id="33" w:name="__Fieldmark__34_2148998205"/>
            <w:bookmarkStart w:id="34" w:name="__Fieldmark__32_4167507749"/>
            <w:bookmarkStart w:id="35" w:name="__Fieldmark__307_3822388661"/>
            <w:bookmarkStart w:id="36" w:name="__Fieldmark__31_3775092319"/>
            <w:bookmarkStart w:id="37" w:name="__Fieldmark__37_1140662686"/>
            <w:bookmarkStart w:id="38" w:name="__Fieldmark__43_941350720"/>
            <w:bookmarkStart w:id="39" w:name="__Fieldmark__49_3221291687"/>
            <w:bookmarkStart w:id="40" w:name="__Fieldmark__55_787395990"/>
            <w:bookmarkStart w:id="41" w:name="__Fieldmark__61_2972406171"/>
            <w:bookmarkStart w:id="42" w:name="__Fieldmark__67_1020568009"/>
            <w:bookmarkStart w:id="43" w:name="__Fieldmark__73_1926054925"/>
            <w:bookmarkStart w:id="44" w:name="__Fieldmark__79_3855248653"/>
            <w:bookmarkStart w:id="45" w:name="__Fieldmark__85_2501922103"/>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Pr>
                <w:rFonts w:cs="Arial" w:ascii="Arial" w:hAnsi="Arial"/>
                <w:sz w:val="22"/>
                <w:szCs w:val="22"/>
              </w:rPr>
              <w:t xml:space="preserve">     3</w:t>
            </w:r>
            <w:r>
              <w:rPr>
                <w:rFonts w:cs="Arial" w:ascii="Arial" w:hAnsi="Arial"/>
                <w:sz w:val="22"/>
                <w:szCs w:val="22"/>
                <w:vertAlign w:val="superscript"/>
              </w:rPr>
              <w:t>rd</w:t>
            </w:r>
            <w:r>
              <w:rPr>
                <w:rFonts w:cs="Arial" w:ascii="Arial" w:hAnsi="Arial"/>
                <w:sz w:val="22"/>
                <w:szCs w:val="22"/>
              </w:rPr>
              <w:t xml:space="preserve">  </w:t>
            </w:r>
            <w:r>
              <w:fldChar w:fldCharType="begin">
                <w:ffData>
                  <w:name w:val=""/>
                  <w:enabled/>
                  <w:calcOnExit w:val="0"/>
                  <w:checkBox>
                    <w:sizeAuto/>
                  </w:checkBox>
                </w:ffData>
              </w:fldChar>
            </w:r>
            <w:r>
              <w:rPr>
                <w:sz w:val="22"/>
                <w:szCs w:val="22"/>
                <w:rFonts w:cs="Arial" w:ascii="Arial" w:hAnsi="Arial"/>
              </w:rPr>
              <w:instrText> FORMCHECKBOX </w:instrText>
            </w:r>
            <w:r>
              <w:rPr>
                <w:sz w:val="22"/>
                <w:szCs w:val="22"/>
                <w:rFonts w:cs="Arial" w:ascii="Arial" w:hAnsi="Arial"/>
              </w:rPr>
              <w:fldChar w:fldCharType="separate"/>
            </w:r>
            <w:bookmarkStart w:id="46" w:name="__Fieldmark__157_3753477666"/>
            <w:bookmarkStart w:id="47" w:name="__Fieldmark__157_3753477666"/>
            <w:bookmarkEnd w:id="47"/>
            <w:r>
              <w:rPr>
                <w:rFonts w:cs="Arial" w:ascii="Arial" w:hAnsi="Arial"/>
                <w:sz w:val="22"/>
                <w:szCs w:val="22"/>
              </w:rPr>
            </w:r>
            <w:r>
              <w:rPr>
                <w:sz w:val="22"/>
                <w:szCs w:val="22"/>
                <w:rFonts w:cs="Arial" w:ascii="Arial" w:hAnsi="Arial"/>
              </w:rPr>
              <w:fldChar w:fldCharType="end"/>
            </w:r>
            <w:bookmarkStart w:id="48" w:name="__Fieldmark__145_3459864102"/>
            <w:bookmarkStart w:id="49" w:name="__Fieldmark__133_2795565986"/>
            <w:bookmarkStart w:id="50" w:name="__Fieldmark__121_1288306487"/>
            <w:bookmarkStart w:id="51" w:name="__Fieldmark__109_1400422361"/>
            <w:bookmarkStart w:id="52" w:name="__Fieldmark__97_84568107"/>
            <w:bookmarkStart w:id="53" w:name="__Fieldmark__85_1567925586"/>
            <w:bookmarkStart w:id="54" w:name="__Fieldmark__73_3506933689"/>
            <w:bookmarkStart w:id="55" w:name="__Fieldmark__61_2570415799"/>
            <w:bookmarkStart w:id="56" w:name="__Fieldmark__49_2148998205"/>
            <w:bookmarkStart w:id="57" w:name="__Fieldmark__41_4167507749"/>
            <w:bookmarkStart w:id="58" w:name="__Fieldmark__314_3822388661"/>
            <w:bookmarkStart w:id="59" w:name="__Fieldmark__43_3775092319"/>
            <w:bookmarkStart w:id="60" w:name="__Fieldmark__55_1140662686"/>
            <w:bookmarkStart w:id="61" w:name="__Fieldmark__67_941350720"/>
            <w:bookmarkStart w:id="62" w:name="__Fieldmark__79_3221291687"/>
            <w:bookmarkStart w:id="63" w:name="__Fieldmark__91_787395990"/>
            <w:bookmarkStart w:id="64" w:name="__Fieldmark__103_2972406171"/>
            <w:bookmarkStart w:id="65" w:name="__Fieldmark__115_1020568009"/>
            <w:bookmarkStart w:id="66" w:name="__Fieldmark__127_1926054925"/>
            <w:bookmarkStart w:id="67" w:name="__Fieldmark__139_3855248653"/>
            <w:bookmarkStart w:id="68" w:name="__Fieldmark__151_2501922103"/>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Pr>
                <w:rFonts w:cs="Arial" w:ascii="Arial" w:hAnsi="Arial"/>
                <w:sz w:val="22"/>
                <w:szCs w:val="22"/>
              </w:rPr>
              <w:t xml:space="preserve">      4</w:t>
            </w:r>
            <w:r>
              <w:rPr>
                <w:rFonts w:cs="Arial" w:ascii="Arial" w:hAnsi="Arial"/>
                <w:sz w:val="22"/>
                <w:szCs w:val="22"/>
                <w:vertAlign w:val="superscript"/>
              </w:rPr>
              <w:t>th</w:t>
            </w:r>
            <w:r>
              <w:rPr>
                <w:rFonts w:cs="Arial" w:ascii="Arial" w:hAnsi="Arial"/>
                <w:sz w:val="22"/>
                <w:szCs w:val="22"/>
              </w:rPr>
              <w:t xml:space="preserve"> </w:t>
            </w:r>
            <w:r>
              <w:fldChar w:fldCharType="begin">
                <w:ffData>
                  <w:name w:val=""/>
                  <w:enabled/>
                  <w:calcOnExit w:val="0"/>
                  <w:checkBox>
                    <w:sizeAuto/>
                  </w:checkBox>
                </w:ffData>
              </w:fldChar>
            </w:r>
            <w:r>
              <w:rPr>
                <w:sz w:val="22"/>
                <w:szCs w:val="22"/>
                <w:rFonts w:cs="Arial" w:ascii="Arial" w:hAnsi="Arial"/>
              </w:rPr>
              <w:instrText> FORMCHECKBOX </w:instrText>
            </w:r>
            <w:r>
              <w:rPr>
                <w:sz w:val="22"/>
                <w:szCs w:val="22"/>
                <w:rFonts w:cs="Arial" w:ascii="Arial" w:hAnsi="Arial"/>
              </w:rPr>
              <w:fldChar w:fldCharType="separate"/>
            </w:r>
            <w:bookmarkStart w:id="69" w:name="__Fieldmark__226_3753477666"/>
            <w:bookmarkStart w:id="70" w:name="__Fieldmark__226_3753477666"/>
            <w:bookmarkEnd w:id="70"/>
            <w:r>
              <w:rPr>
                <w:rFonts w:cs="Arial" w:ascii="Arial" w:hAnsi="Arial"/>
                <w:sz w:val="22"/>
                <w:szCs w:val="22"/>
              </w:rPr>
            </w:r>
            <w:r>
              <w:rPr>
                <w:sz w:val="22"/>
                <w:szCs w:val="22"/>
                <w:rFonts w:cs="Arial" w:ascii="Arial" w:hAnsi="Arial"/>
              </w:rPr>
              <w:fldChar w:fldCharType="end"/>
            </w:r>
            <w:bookmarkStart w:id="71" w:name="__Fieldmark__208_3459864102"/>
            <w:bookmarkStart w:id="72" w:name="__Fieldmark__190_2795565986"/>
            <w:bookmarkStart w:id="73" w:name="__Fieldmark__172_1288306487"/>
            <w:bookmarkStart w:id="74" w:name="__Fieldmark__154_1400422361"/>
            <w:bookmarkStart w:id="75" w:name="__Fieldmark__136_84568107"/>
            <w:bookmarkStart w:id="76" w:name="__Fieldmark__118_1567925586"/>
            <w:bookmarkStart w:id="77" w:name="__Fieldmark__100_3506933689"/>
            <w:bookmarkStart w:id="78" w:name="__Fieldmark__82_2570415799"/>
            <w:bookmarkStart w:id="79" w:name="__Fieldmark__64_2148998205"/>
            <w:bookmarkStart w:id="80" w:name="__Fieldmark__50_4167507749"/>
            <w:bookmarkStart w:id="81" w:name="__Fieldmark__321_3822388661"/>
            <w:bookmarkStart w:id="82" w:name="__Fieldmark__55_3775092319"/>
            <w:bookmarkStart w:id="83" w:name="__Fieldmark__73_1140662686"/>
            <w:bookmarkStart w:id="84" w:name="__Fieldmark__91_941350720"/>
            <w:bookmarkStart w:id="85" w:name="__Fieldmark__109_3221291687"/>
            <w:bookmarkStart w:id="86" w:name="__Fieldmark__127_787395990"/>
            <w:bookmarkStart w:id="87" w:name="__Fieldmark__145_2972406171"/>
            <w:bookmarkStart w:id="88" w:name="__Fieldmark__163_1020568009"/>
            <w:bookmarkStart w:id="89" w:name="__Fieldmark__181_1926054925"/>
            <w:bookmarkStart w:id="90" w:name="__Fieldmark__199_3855248653"/>
            <w:bookmarkStart w:id="91" w:name="__Fieldmark__217_2501922103"/>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Pr>
                <w:rFonts w:cs="Arial" w:ascii="Arial" w:hAnsi="Arial"/>
                <w:sz w:val="22"/>
                <w:szCs w:val="22"/>
              </w:rPr>
              <w:t xml:space="preserve">      5</w:t>
            </w:r>
            <w:r>
              <w:rPr>
                <w:rFonts w:cs="Arial" w:ascii="Arial" w:hAnsi="Arial"/>
                <w:sz w:val="22"/>
                <w:szCs w:val="22"/>
                <w:vertAlign w:val="superscript"/>
              </w:rPr>
              <w:t>th</w:t>
            </w:r>
            <w:r>
              <w:rPr>
                <w:rFonts w:cs="Arial" w:ascii="Arial" w:hAnsi="Arial"/>
                <w:sz w:val="22"/>
                <w:szCs w:val="22"/>
              </w:rPr>
              <w:t xml:space="preserve"> </w:t>
            </w:r>
            <w:r>
              <w:fldChar w:fldCharType="begin">
                <w:ffData>
                  <w:name w:val=""/>
                  <w:enabled/>
                  <w:calcOnExit w:val="0"/>
                  <w:checkBox>
                    <w:sizeAuto/>
                  </w:checkBox>
                </w:ffData>
              </w:fldChar>
            </w:r>
            <w:r>
              <w:rPr>
                <w:sz w:val="22"/>
                <w:szCs w:val="22"/>
                <w:rFonts w:cs="Arial" w:ascii="Arial" w:hAnsi="Arial"/>
              </w:rPr>
              <w:instrText> FORMCHECKBOX </w:instrText>
            </w:r>
            <w:r>
              <w:rPr>
                <w:sz w:val="22"/>
                <w:szCs w:val="22"/>
                <w:rFonts w:cs="Arial" w:ascii="Arial" w:hAnsi="Arial"/>
              </w:rPr>
              <w:fldChar w:fldCharType="separate"/>
            </w:r>
            <w:bookmarkStart w:id="92" w:name="__Fieldmark__295_3753477666"/>
            <w:bookmarkStart w:id="93" w:name="__Fieldmark__295_3753477666"/>
            <w:bookmarkEnd w:id="93"/>
            <w:r>
              <w:rPr>
                <w:rFonts w:cs="Arial" w:ascii="Arial" w:hAnsi="Arial"/>
                <w:sz w:val="22"/>
                <w:szCs w:val="22"/>
              </w:rPr>
            </w:r>
            <w:r>
              <w:rPr>
                <w:sz w:val="22"/>
                <w:szCs w:val="22"/>
                <w:rFonts w:cs="Arial" w:ascii="Arial" w:hAnsi="Arial"/>
              </w:rPr>
              <w:fldChar w:fldCharType="end"/>
            </w:r>
            <w:bookmarkStart w:id="94" w:name="__Fieldmark__271_3459864102"/>
            <w:bookmarkStart w:id="95" w:name="__Fieldmark__247_2795565986"/>
            <w:bookmarkStart w:id="96" w:name="__Fieldmark__223_1288306487"/>
            <w:bookmarkStart w:id="97" w:name="__Fieldmark__199_1400422361"/>
            <w:bookmarkStart w:id="98" w:name="__Fieldmark__175_84568107"/>
            <w:bookmarkStart w:id="99" w:name="__Fieldmark__151_1567925586"/>
            <w:bookmarkStart w:id="100" w:name="__Fieldmark__127_3506933689"/>
            <w:bookmarkStart w:id="101" w:name="__Fieldmark__103_2570415799"/>
            <w:bookmarkStart w:id="102" w:name="__Fieldmark__79_2148998205"/>
            <w:bookmarkStart w:id="103" w:name="__Fieldmark__59_4167507749"/>
            <w:bookmarkStart w:id="104" w:name="__Fieldmark__328_3822388661"/>
            <w:bookmarkStart w:id="105" w:name="__Fieldmark__67_3775092319"/>
            <w:bookmarkStart w:id="106" w:name="__Fieldmark__91_1140662686"/>
            <w:bookmarkStart w:id="107" w:name="__Fieldmark__115_941350720"/>
            <w:bookmarkStart w:id="108" w:name="__Fieldmark__139_3221291687"/>
            <w:bookmarkStart w:id="109" w:name="__Fieldmark__163_787395990"/>
            <w:bookmarkStart w:id="110" w:name="__Fieldmark__187_2972406171"/>
            <w:bookmarkStart w:id="111" w:name="__Fieldmark__211_1020568009"/>
            <w:bookmarkStart w:id="112" w:name="__Fieldmark__235_1926054925"/>
            <w:bookmarkStart w:id="113" w:name="__Fieldmark__259_3855248653"/>
            <w:bookmarkStart w:id="114" w:name="__Fieldmark__283_250192210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rFonts w:cs="Arial" w:ascii="Arial" w:hAnsi="Arial"/>
                <w:sz w:val="22"/>
                <w:szCs w:val="22"/>
              </w:rPr>
              <w:t xml:space="preserve">      6</w:t>
            </w:r>
            <w:r>
              <w:rPr>
                <w:rFonts w:cs="Arial" w:ascii="Arial" w:hAnsi="Arial"/>
                <w:sz w:val="22"/>
                <w:szCs w:val="22"/>
                <w:vertAlign w:val="superscript"/>
              </w:rPr>
              <w:t>th</w:t>
            </w:r>
            <w:r>
              <w:rPr>
                <w:rFonts w:cs="Arial" w:ascii="Arial" w:hAnsi="Arial"/>
                <w:sz w:val="22"/>
                <w:szCs w:val="22"/>
              </w:rPr>
              <w:t xml:space="preserve"> </w:t>
            </w:r>
            <w:r>
              <w:fldChar w:fldCharType="begin">
                <w:ffData>
                  <w:name w:val=""/>
                  <w:enabled/>
                  <w:calcOnExit w:val="0"/>
                  <w:checkBox>
                    <w:sizeAuto/>
                  </w:checkBox>
                </w:ffData>
              </w:fldChar>
            </w:r>
            <w:r>
              <w:rPr>
                <w:sz w:val="22"/>
                <w:szCs w:val="22"/>
                <w:rFonts w:cs="Arial" w:ascii="Arial" w:hAnsi="Arial"/>
              </w:rPr>
              <w:instrText> FORMCHECKBOX </w:instrText>
            </w:r>
            <w:r>
              <w:rPr>
                <w:sz w:val="22"/>
                <w:szCs w:val="22"/>
                <w:rFonts w:cs="Arial" w:ascii="Arial" w:hAnsi="Arial"/>
              </w:rPr>
              <w:fldChar w:fldCharType="separate"/>
            </w:r>
            <w:bookmarkStart w:id="115" w:name="__Fieldmark__364_3753477666"/>
            <w:bookmarkStart w:id="116" w:name="__Fieldmark__364_3753477666"/>
            <w:bookmarkEnd w:id="116"/>
            <w:r>
              <w:rPr>
                <w:rFonts w:cs="Arial" w:ascii="Arial" w:hAnsi="Arial"/>
                <w:sz w:val="22"/>
                <w:szCs w:val="22"/>
              </w:rPr>
            </w:r>
            <w:r>
              <w:rPr>
                <w:sz w:val="22"/>
                <w:szCs w:val="22"/>
                <w:rFonts w:cs="Arial" w:ascii="Arial" w:hAnsi="Arial"/>
              </w:rPr>
              <w:fldChar w:fldCharType="end"/>
            </w:r>
          </w:p>
        </w:tc>
      </w:tr>
      <w:tr>
        <w:trPr>
          <w:trHeight w:val="978" w:hRule="atLeast"/>
        </w:trPr>
        <w:tc>
          <w:tcPr>
            <w:tcW w:w="8636" w:type="dxa"/>
            <w:gridSpan w:val="5"/>
            <w:tcBorders>
              <w:top w:val="single" w:sz="4" w:space="0" w:color="000000"/>
              <w:left w:val="single" w:sz="4" w:space="0" w:color="000000"/>
              <w:bottom w:val="single" w:sz="4" w:space="0" w:color="000000"/>
              <w:right w:val="single" w:sz="4" w:space="0" w:color="000000"/>
            </w:tcBorders>
            <w:shd w:color="auto" w:fill="D9D9D9" w:val="clear"/>
          </w:tcPr>
          <w:p>
            <w:pPr>
              <w:pStyle w:val="NormalWeb"/>
              <w:widowControl w:val="false"/>
              <w:spacing w:beforeAutospacing="0" w:before="0" w:afterAutospacing="0" w:after="0"/>
              <w:ind w:right="34" w:hanging="0"/>
              <w:rPr>
                <w:rFonts w:ascii="Arial" w:hAnsi="Arial" w:cs="Arial"/>
                <w:sz w:val="22"/>
                <w:szCs w:val="22"/>
              </w:rPr>
            </w:pPr>
            <w:r>
              <w:rPr>
                <w:rFonts w:cs="Arial" w:ascii="Arial" w:hAnsi="Arial"/>
                <w:sz w:val="22"/>
                <w:szCs w:val="22"/>
              </w:rPr>
              <w:t>I confirm that this is my original work and that I have adhered to the University policy on plagiarism.</w:t>
            </w:r>
          </w:p>
          <w:p>
            <w:pPr>
              <w:pStyle w:val="NormalWeb"/>
              <w:widowControl w:val="false"/>
              <w:spacing w:beforeAutospacing="0" w:before="0" w:afterAutospacing="0" w:after="0"/>
              <w:ind w:right="34" w:hanging="0"/>
              <w:rPr>
                <w:rFonts w:ascii="Arial" w:hAnsi="Arial" w:cs="Arial"/>
                <w:sz w:val="22"/>
                <w:szCs w:val="22"/>
              </w:rPr>
            </w:pPr>
            <w:r>
              <w:rPr>
                <w:rFonts w:cs="Arial" w:ascii="Arial" w:hAnsi="Arial"/>
                <w:sz w:val="22"/>
                <w:szCs w:val="22"/>
              </w:rPr>
              <w:t>Signed ……R. P. Booker</w:t>
            </w:r>
          </w:p>
          <w:p>
            <w:pPr>
              <w:pStyle w:val="NormalWeb"/>
              <w:widowControl w:val="false"/>
              <w:spacing w:beforeAutospacing="0" w:before="0" w:afterAutospacing="0" w:after="0"/>
              <w:ind w:right="34" w:hanging="0"/>
              <w:rPr>
                <w:rFonts w:ascii="Calibri" w:hAnsi="Calibri" w:cs="Calibri"/>
                <w:b/>
                <w:b/>
                <w:sz w:val="44"/>
                <w:szCs w:val="44"/>
              </w:rPr>
            </w:pPr>
            <w:r>
              <w:rPr>
                <w:rFonts w:cs="Tahoma" w:ascii="Calibri" w:hAnsi="Calibri"/>
                <w:b/>
                <w:sz w:val="24"/>
                <w:szCs w:val="24"/>
              </w:rPr>
              <w:t xml:space="preserve">Email submission: if you are submitting this form via email, please tick this box </w:t>
            </w:r>
            <w:r>
              <w:rPr>
                <w:rFonts w:cs="Calibri" w:ascii="Calibri" w:hAnsi="Calibri"/>
                <w:b/>
                <w:sz w:val="44"/>
                <w:szCs w:val="44"/>
              </w:rPr>
              <w:t>□</w:t>
            </w:r>
          </w:p>
          <w:p>
            <w:pPr>
              <w:pStyle w:val="NormalWeb"/>
              <w:widowControl w:val="false"/>
              <w:spacing w:beforeAutospacing="0" w:before="0" w:afterAutospacing="0" w:after="0"/>
              <w:ind w:right="34" w:hanging="0"/>
              <w:rPr>
                <w:rFonts w:ascii="Arial" w:hAnsi="Arial" w:cs="Arial"/>
                <w:sz w:val="22"/>
                <w:szCs w:val="22"/>
              </w:rPr>
            </w:pPr>
            <w:r>
              <w:rPr>
                <w:rFonts w:cs="Tahoma" w:ascii="Calibri" w:hAnsi="Calibri"/>
                <w:b/>
                <w:sz w:val="24"/>
                <w:szCs w:val="24"/>
              </w:rPr>
              <w:t>(as a substitute for your signature) to confirm that you agree to the above declaration.</w:t>
            </w:r>
          </w:p>
        </w:tc>
      </w:tr>
      <w:tr>
        <w:trPr>
          <w:trHeight w:val="3972" w:hRule="atLeast"/>
        </w:trPr>
        <w:tc>
          <w:tcPr>
            <w:tcW w:w="8636"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b/>
                <w:b/>
              </w:rPr>
            </w:pPr>
            <w:r>
              <w:rPr>
                <w:rFonts w:ascii="Arial" w:hAnsi="Arial"/>
                <w:b/>
              </w:rPr>
            </w:r>
          </w:p>
          <w:p>
            <w:pPr>
              <w:pStyle w:val="Normal"/>
              <w:widowControl w:val="false"/>
              <w:rPr>
                <w:rFonts w:ascii="Arial" w:hAnsi="Arial"/>
              </w:rPr>
            </w:pPr>
            <w:r>
              <w:rPr>
                <w:rFonts w:ascii="Arial" w:hAnsi="Arial"/>
                <w:b/>
              </w:rPr>
              <w:t>Assignment Mark</w:t>
            </w:r>
          </w:p>
          <w:tbl>
            <w:tblPr>
              <w:tblW w:w="8410" w:type="dxa"/>
              <w:jc w:val="left"/>
              <w:tblInd w:w="0" w:type="dxa"/>
              <w:tblLayout w:type="fixed"/>
              <w:tblCellMar>
                <w:top w:w="0" w:type="dxa"/>
                <w:left w:w="108" w:type="dxa"/>
                <w:bottom w:w="0" w:type="dxa"/>
                <w:right w:w="108" w:type="dxa"/>
              </w:tblCellMar>
              <w:tblLook w:firstRow="1" w:noVBand="0" w:lastRow="1" w:firstColumn="1" w:lastColumn="1" w:noHBand="0" w:val="01e0"/>
            </w:tblPr>
            <w:tblGrid>
              <w:gridCol w:w="6802"/>
              <w:gridCol w:w="1607"/>
            </w:tblGrid>
            <w:tr>
              <w:trPr/>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sz w:val="20"/>
                      <w:szCs w:val="20"/>
                    </w:rPr>
                  </w:pPr>
                  <w:r>
                    <w:rPr>
                      <w:rFonts w:ascii="Arial" w:hAnsi="Arial"/>
                      <w:sz w:val="20"/>
                      <w:szCs w:val="20"/>
                    </w:rPr>
                  </w:r>
                </w:p>
                <w:p>
                  <w:pPr>
                    <w:pStyle w:val="Normal"/>
                    <w:widowControl w:val="false"/>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0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sz w:val="20"/>
                      <w:szCs w:val="20"/>
                    </w:rPr>
                  </w:pPr>
                  <w:r>
                    <w:rPr>
                      <w:rFonts w:ascii="Arial" w:hAnsi="Arial"/>
                      <w:sz w:val="20"/>
                      <w:szCs w:val="20"/>
                    </w:rPr>
                  </w:r>
                </w:p>
              </w:tc>
            </w:tr>
            <w:tr>
              <w:trPr/>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sz w:val="20"/>
                      <w:szCs w:val="20"/>
                    </w:rPr>
                  </w:pPr>
                  <w:r>
                    <w:rPr>
                      <w:rFonts w:ascii="Arial" w:hAnsi="Arial"/>
                      <w:sz w:val="20"/>
                      <w:szCs w:val="20"/>
                    </w:rPr>
                  </w:r>
                </w:p>
                <w:p>
                  <w:pPr>
                    <w:pStyle w:val="Normal"/>
                    <w:widowControl w:val="false"/>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0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sz w:val="20"/>
                      <w:szCs w:val="20"/>
                    </w:rPr>
                  </w:pPr>
                  <w:r>
                    <w:rPr>
                      <w:rFonts w:ascii="Arial" w:hAnsi="Arial"/>
                      <w:sz w:val="20"/>
                      <w:szCs w:val="20"/>
                    </w:rPr>
                  </w:r>
                </w:p>
              </w:tc>
            </w:tr>
            <w:tr>
              <w:trPr/>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olor w:val="000000"/>
                      <w:sz w:val="20"/>
                      <w:szCs w:val="20"/>
                    </w:rPr>
                  </w:pPr>
                  <w:r>
                    <w:rPr>
                      <w:rFonts w:ascii="Arial" w:hAnsi="Arial"/>
                      <w:color w:val="000000"/>
                      <w:sz w:val="20"/>
                      <w:szCs w:val="20"/>
                    </w:rPr>
                    <w:t xml:space="preserve">Agreed Internal Mark: </w:t>
                  </w:r>
                </w:p>
                <w:p>
                  <w:pPr>
                    <w:pStyle w:val="Normal"/>
                    <w:widowControl w:val="false"/>
                    <w:rPr>
                      <w:rFonts w:ascii="Arial" w:hAnsi="Arial"/>
                      <w:sz w:val="20"/>
                      <w:szCs w:val="20"/>
                      <w:highlight w:val="yellow"/>
                    </w:rPr>
                  </w:pPr>
                  <w:r>
                    <w:rPr>
                      <w:rFonts w:ascii="Arial" w:hAnsi="Arial"/>
                      <w:sz w:val="20"/>
                      <w:szCs w:val="20"/>
                      <w:highlight w:val="yellow"/>
                    </w:rPr>
                  </w:r>
                </w:p>
              </w:tc>
              <w:tc>
                <w:tcPr>
                  <w:tcW w:w="160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sz w:val="20"/>
                      <w:szCs w:val="20"/>
                      <w:highlight w:val="yellow"/>
                    </w:rPr>
                  </w:pPr>
                  <w:r>
                    <w:rPr>
                      <w:rFonts w:ascii="Arial" w:hAnsi="Arial"/>
                      <w:sz w:val="20"/>
                      <w:szCs w:val="20"/>
                      <w:highlight w:val="yellow"/>
                    </w:rPr>
                  </w:r>
                </w:p>
              </w:tc>
            </w:tr>
            <w:tr>
              <w:trPr/>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sz w:val="20"/>
                      <w:szCs w:val="20"/>
                    </w:rPr>
                  </w:pPr>
                  <w:r>
                    <w:rPr>
                      <w:rFonts w:ascii="Arial" w:hAnsi="Arial"/>
                      <w:sz w:val="20"/>
                      <w:szCs w:val="20"/>
                    </w:rPr>
                  </w:r>
                </w:p>
                <w:p>
                  <w:pPr>
                    <w:pStyle w:val="Normal"/>
                    <w:widowControl w:val="false"/>
                    <w:rPr>
                      <w:rFonts w:ascii="Arial" w:hAnsi="Arial"/>
                      <w:sz w:val="20"/>
                      <w:szCs w:val="20"/>
                    </w:rPr>
                  </w:pPr>
                  <w:r>
                    <w:rPr>
                      <w:rFonts w:ascii="Arial" w:hAnsi="Arial"/>
                      <w:sz w:val="20"/>
                      <w:szCs w:val="20"/>
                    </w:rPr>
                    <w:t>External Examiner’s mark (if relevant)</w:t>
                  </w:r>
                </w:p>
              </w:tc>
              <w:tc>
                <w:tcPr>
                  <w:tcW w:w="160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sz w:val="20"/>
                      <w:szCs w:val="20"/>
                    </w:rPr>
                  </w:pPr>
                  <w:r>
                    <w:rPr>
                      <w:rFonts w:ascii="Arial" w:hAnsi="Arial"/>
                      <w:sz w:val="20"/>
                      <w:szCs w:val="20"/>
                    </w:rPr>
                  </w:r>
                </w:p>
              </w:tc>
            </w:tr>
            <w:tr>
              <w:trPr/>
              <w:tc>
                <w:tcPr>
                  <w:tcW w:w="680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sz w:val="20"/>
                      <w:szCs w:val="20"/>
                    </w:rPr>
                  </w:pPr>
                  <w:r>
                    <w:rPr>
                      <w:rFonts w:ascii="Arial" w:hAnsi="Arial"/>
                      <w:sz w:val="20"/>
                      <w:szCs w:val="20"/>
                    </w:rPr>
                  </w:r>
                </w:p>
                <w:p>
                  <w:pPr>
                    <w:pStyle w:val="Normal"/>
                    <w:widowControl w:val="false"/>
                    <w:rPr>
                      <w:rFonts w:ascii="Arial" w:hAnsi="Arial"/>
                      <w:b/>
                      <w:b/>
                      <w:sz w:val="20"/>
                      <w:szCs w:val="20"/>
                    </w:rPr>
                  </w:pPr>
                  <w:r>
                    <w:rPr>
                      <w:rFonts w:ascii="Arial" w:hAnsi="Arial"/>
                      <w:b/>
                      <w:sz w:val="20"/>
                      <w:szCs w:val="20"/>
                    </w:rPr>
                    <w:t>Final Mark</w:t>
                  </w:r>
                </w:p>
                <w:p>
                  <w:pPr>
                    <w:pStyle w:val="Normal"/>
                    <w:widowControl w:val="false"/>
                    <w:rPr>
                      <w:rFonts w:ascii="Arial" w:hAnsi="Arial"/>
                      <w:sz w:val="20"/>
                      <w:szCs w:val="20"/>
                    </w:rPr>
                  </w:pPr>
                  <w:r>
                    <w:rPr>
                      <w:rFonts w:ascii="Arial" w:hAnsi="Arial"/>
                      <w:sz w:val="20"/>
                      <w:szCs w:val="20"/>
                    </w:rPr>
                  </w:r>
                </w:p>
              </w:tc>
              <w:tc>
                <w:tcPr>
                  <w:tcW w:w="160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sz w:val="20"/>
                      <w:szCs w:val="20"/>
                    </w:rPr>
                  </w:pPr>
                  <w:r>
                    <w:rPr>
                      <w:rFonts w:ascii="Arial" w:hAnsi="Arial"/>
                      <w:sz w:val="20"/>
                      <w:szCs w:val="20"/>
                    </w:rPr>
                  </w:r>
                </w:p>
              </w:tc>
            </w:tr>
          </w:tbl>
          <w:p>
            <w:pPr>
              <w:pStyle w:val="NormalWeb"/>
              <w:widowControl w:val="false"/>
              <w:spacing w:beforeAutospacing="0" w:before="0" w:afterAutospacing="0" w:after="0"/>
              <w:ind w:left="142" w:right="34" w:hanging="0"/>
              <w:rPr>
                <w:rFonts w:ascii="Arial" w:hAnsi="Arial" w:cs="Arial"/>
                <w:b/>
                <w:b/>
                <w:sz w:val="22"/>
                <w:szCs w:val="22"/>
              </w:rPr>
            </w:pPr>
            <w:r>
              <w:rPr>
                <w:rFonts w:cs="Arial" w:ascii="Arial" w:hAnsi="Arial"/>
                <w:b/>
                <w:sz w:val="22"/>
                <w:szCs w:val="22"/>
              </w:rPr>
            </w:r>
          </w:p>
          <w:p>
            <w:pPr>
              <w:pStyle w:val="NormalWeb"/>
              <w:widowControl w:val="false"/>
              <w:spacing w:beforeAutospacing="0" w:before="0" w:afterAutospacing="0" w:after="0"/>
              <w:ind w:left="142" w:right="34" w:hanging="0"/>
              <w:rPr>
                <w:rFonts w:ascii="Arial" w:hAnsi="Arial" w:cs="Arial"/>
                <w:sz w:val="22"/>
                <w:szCs w:val="22"/>
              </w:rPr>
            </w:pPr>
            <w:r>
              <w:rPr>
                <w:rFonts w:cs="Arial" w:ascii="Arial" w:hAnsi="Arial"/>
                <w:b/>
                <w:sz w:val="22"/>
                <w:szCs w:val="22"/>
              </w:rPr>
              <w:t>NB.</w:t>
            </w:r>
            <w:r>
              <w:rPr>
                <w:rFonts w:cs="Arial" w:ascii="Arial" w:hAnsi="Arial"/>
                <w:sz w:val="22"/>
                <w:szCs w:val="22"/>
              </w:rPr>
              <w:t xml:space="preserve">  All marks are provisional until confirmed by the Final Examination Board.</w:t>
            </w:r>
          </w:p>
          <w:p>
            <w:pPr>
              <w:pStyle w:val="NormalWeb"/>
              <w:widowControl w:val="false"/>
              <w:spacing w:beforeAutospacing="0" w:before="0" w:afterAutospacing="0" w:after="0"/>
              <w:rPr>
                <w:rFonts w:ascii="Arial" w:hAnsi="Arial" w:cs="Arial"/>
                <w:b/>
                <w:b/>
                <w:sz w:val="22"/>
                <w:szCs w:val="22"/>
              </w:rPr>
            </w:pPr>
            <w:r>
              <w:rPr>
                <w:rFonts w:cs="Arial" w:ascii="Arial" w:hAnsi="Arial"/>
                <w:b/>
                <w:sz w:val="22"/>
                <w:szCs w:val="22"/>
              </w:rPr>
            </w:r>
          </w:p>
          <w:p>
            <w:pPr>
              <w:pStyle w:val="NormalWeb"/>
              <w:widowControl w:val="false"/>
              <w:spacing w:beforeAutospacing="0" w:before="0" w:afterAutospacing="0" w:after="0"/>
              <w:rPr>
                <w:rFonts w:ascii="Arial" w:hAnsi="Arial" w:cs="Arial"/>
                <w:b/>
                <w:b/>
                <w:sz w:val="22"/>
                <w:szCs w:val="22"/>
              </w:rPr>
            </w:pPr>
            <w:r>
              <w:rPr>
                <w:rFonts w:cs="Arial" w:ascii="Arial" w:hAnsi="Arial"/>
                <w:b/>
                <w:sz w:val="22"/>
                <w:szCs w:val="22"/>
              </w:rPr>
            </w:r>
          </w:p>
          <w:p>
            <w:pPr>
              <w:pStyle w:val="NormalWeb"/>
              <w:widowControl w:val="false"/>
              <w:spacing w:beforeAutospacing="0" w:before="0" w:afterAutospacing="0" w:after="0"/>
              <w:rPr>
                <w:rFonts w:ascii="Arial" w:hAnsi="Arial" w:cs="Arial"/>
                <w:b/>
                <w:b/>
                <w:sz w:val="22"/>
                <w:szCs w:val="22"/>
              </w:rPr>
            </w:pPr>
            <w:r>
              <w:rPr>
                <w:rFonts w:cs="Arial" w:ascii="Arial" w:hAnsi="Arial"/>
                <w:b/>
                <w:sz w:val="22"/>
                <w:szCs w:val="22"/>
              </w:rPr>
            </w:r>
          </w:p>
          <w:p>
            <w:pPr>
              <w:pStyle w:val="NormalWeb"/>
              <w:widowControl w:val="false"/>
              <w:spacing w:beforeAutospacing="0" w:before="0" w:afterAutospacing="0" w:after="0"/>
              <w:rPr>
                <w:rFonts w:ascii="Arial" w:hAnsi="Arial" w:cs="Arial"/>
                <w:b/>
                <w:b/>
                <w:sz w:val="22"/>
                <w:szCs w:val="22"/>
              </w:rPr>
            </w:pPr>
            <w:r>
              <w:rPr>
                <w:rFonts w:cs="Arial" w:ascii="Arial" w:hAnsi="Arial"/>
                <w:b/>
                <w:sz w:val="22"/>
                <w:szCs w:val="22"/>
              </w:rPr>
            </w:r>
          </w:p>
          <w:p>
            <w:pPr>
              <w:pStyle w:val="NormalWeb"/>
              <w:widowControl w:val="false"/>
              <w:spacing w:beforeAutospacing="0" w:before="0" w:afterAutospacing="0" w:after="0"/>
              <w:rPr>
                <w:rFonts w:ascii="Arial" w:hAnsi="Arial" w:cs="Arial"/>
                <w:b/>
                <w:b/>
                <w:sz w:val="22"/>
                <w:szCs w:val="22"/>
              </w:rPr>
            </w:pPr>
            <w:r>
              <w:rPr>
                <w:rFonts w:cs="Arial" w:ascii="Arial" w:hAnsi="Arial"/>
                <w:b/>
                <w:sz w:val="22"/>
                <w:szCs w:val="22"/>
              </w:rPr>
              <w:t>For completion by Marker 1 :</w:t>
            </w:r>
          </w:p>
          <w:p>
            <w:pPr>
              <w:pStyle w:val="NormalWeb"/>
              <w:widowControl w:val="false"/>
              <w:spacing w:before="49" w:after="49"/>
              <w:rPr>
                <w:rFonts w:ascii="Arial" w:hAnsi="Arial" w:cs="Arial"/>
                <w:sz w:val="22"/>
                <w:szCs w:val="22"/>
              </w:rPr>
            </w:pPr>
            <w:r>
              <w:rPr>
                <w:rFonts w:cs="Arial" w:ascii="Arial" w:hAnsi="Arial"/>
                <w:sz w:val="22"/>
                <w:szCs w:val="22"/>
              </w:rPr>
              <w:t>Comments:</w:t>
            </w:r>
          </w:p>
          <w:p>
            <w:pPr>
              <w:pStyle w:val="NormalWeb"/>
              <w:widowControl w:val="false"/>
              <w:spacing w:before="49" w:after="0"/>
              <w:rPr>
                <w:rFonts w:ascii="Arial" w:hAnsi="Arial" w:cs="Arial"/>
                <w:sz w:val="22"/>
                <w:szCs w:val="22"/>
              </w:rPr>
            </w:pPr>
            <w:r>
              <w:rPr>
                <w:rFonts w:cs="Arial" w:ascii="Arial" w:hAnsi="Arial"/>
                <w:sz w:val="22"/>
                <w:szCs w:val="22"/>
              </w:rPr>
            </w:r>
          </w:p>
        </w:tc>
      </w:tr>
      <w:tr>
        <w:trPr>
          <w:trHeight w:val="492" w:hRule="atLeast"/>
        </w:trPr>
        <w:tc>
          <w:tcPr>
            <w:tcW w:w="6552" w:type="dxa"/>
            <w:gridSpan w:val="3"/>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ind w:left="142" w:right="34" w:hanging="0"/>
              <w:rPr>
                <w:rFonts w:ascii="Arial" w:hAnsi="Arial" w:cs="Arial"/>
                <w:sz w:val="22"/>
                <w:szCs w:val="22"/>
              </w:rPr>
            </w:pPr>
            <w:r>
              <w:rPr>
                <w:rFonts w:cs="Arial" w:ascii="Arial" w:hAnsi="Arial"/>
                <w:sz w:val="22"/>
                <w:szCs w:val="22"/>
              </w:rPr>
              <w:t>Marker’s signature:</w:t>
            </w:r>
          </w:p>
        </w:tc>
        <w:tc>
          <w:tcPr>
            <w:tcW w:w="2084" w:type="dxa"/>
            <w:gridSpan w:val="2"/>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ind w:left="142" w:right="34" w:hanging="0"/>
              <w:rPr>
                <w:rFonts w:ascii="Arial" w:hAnsi="Arial" w:cs="Arial"/>
                <w:sz w:val="22"/>
                <w:szCs w:val="22"/>
              </w:rPr>
            </w:pPr>
            <w:r>
              <w:rPr>
                <w:rFonts w:cs="Arial" w:ascii="Arial" w:hAnsi="Arial"/>
                <w:sz w:val="22"/>
                <w:szCs w:val="22"/>
              </w:rPr>
              <w:t>Date:</w:t>
            </w:r>
          </w:p>
        </w:tc>
      </w:tr>
      <w:tr>
        <w:trPr/>
        <w:tc>
          <w:tcPr>
            <w:tcW w:w="8636" w:type="dxa"/>
            <w:gridSpan w:val="5"/>
            <w:tcBorders>
              <w:top w:val="single" w:sz="4" w:space="0" w:color="000000"/>
              <w:left w:val="single" w:sz="4" w:space="0" w:color="000000"/>
              <w:bottom w:val="single" w:sz="4" w:space="0" w:color="000000"/>
              <w:right w:val="single" w:sz="4" w:space="0" w:color="000000"/>
            </w:tcBorders>
          </w:tcPr>
          <w:p>
            <w:pPr>
              <w:pStyle w:val="NormalWeb"/>
              <w:widowControl w:val="false"/>
              <w:spacing w:beforeAutospacing="0" w:before="0" w:afterAutospacing="0" w:after="0"/>
              <w:ind w:right="-334" w:hanging="0"/>
              <w:rPr>
                <w:rFonts w:ascii="Arial" w:hAnsi="Arial" w:cs="Arial"/>
                <w:bCs/>
                <w:i/>
                <w:i/>
                <w:sz w:val="22"/>
                <w:szCs w:val="22"/>
              </w:rPr>
            </w:pPr>
            <w:r>
              <w:rPr>
                <w:rFonts w:cs="Arial" w:ascii="Arial" w:hAnsi="Arial"/>
                <w:bCs/>
                <w:i/>
                <w:sz w:val="22"/>
                <w:szCs w:val="22"/>
              </w:rPr>
            </w:r>
          </w:p>
          <w:p>
            <w:pPr>
              <w:pStyle w:val="NormalWeb"/>
              <w:widowControl w:val="false"/>
              <w:spacing w:beforeAutospacing="0" w:before="0" w:afterAutospacing="0" w:after="0"/>
              <w:ind w:right="-334" w:hanging="0"/>
              <w:rPr>
                <w:rFonts w:ascii="Arial" w:hAnsi="Arial" w:cs="Arial"/>
                <w:b/>
                <w:b/>
                <w:bCs/>
                <w:sz w:val="22"/>
                <w:szCs w:val="22"/>
              </w:rPr>
            </w:pPr>
            <w:r>
              <w:rPr>
                <w:rFonts w:cs="Arial" w:ascii="Arial" w:hAnsi="Arial"/>
                <w:b/>
                <w:bCs/>
                <w:sz w:val="22"/>
                <w:szCs w:val="22"/>
              </w:rPr>
              <w:t>For completion by Marker 2/Moderator:</w:t>
            </w:r>
          </w:p>
          <w:p>
            <w:pPr>
              <w:pStyle w:val="NormalWeb"/>
              <w:widowControl w:val="false"/>
              <w:spacing w:beforeAutospacing="0" w:before="0" w:afterAutospacing="0" w:after="0"/>
              <w:ind w:right="-334" w:hanging="0"/>
              <w:rPr>
                <w:rFonts w:ascii="Arial" w:hAnsi="Arial" w:cs="Arial"/>
                <w:b/>
                <w:b/>
                <w:bCs/>
                <w:sz w:val="22"/>
                <w:szCs w:val="22"/>
              </w:rPr>
            </w:pPr>
            <w:r>
              <w:rPr>
                <w:rFonts w:cs="Arial" w:ascii="Arial" w:hAnsi="Arial"/>
                <w:b/>
                <w:bCs/>
                <w:sz w:val="22"/>
                <w:szCs w:val="22"/>
              </w:rPr>
            </w:r>
          </w:p>
          <w:p>
            <w:pPr>
              <w:pStyle w:val="NormalWeb"/>
              <w:widowControl w:val="false"/>
              <w:spacing w:beforeAutospacing="0" w:before="0" w:afterAutospacing="0" w:after="0"/>
              <w:ind w:right="-334" w:hanging="0"/>
              <w:rPr>
                <w:rFonts w:ascii="Arial" w:hAnsi="Arial" w:cs="Arial"/>
                <w:bCs/>
                <w:sz w:val="22"/>
                <w:szCs w:val="22"/>
              </w:rPr>
            </w:pPr>
            <w:r>
              <w:rPr>
                <w:rFonts w:cs="Arial" w:ascii="Arial" w:hAnsi="Arial"/>
                <w:bCs/>
                <w:sz w:val="22"/>
                <w:szCs w:val="22"/>
              </w:rPr>
              <w:t>Comments:</w:t>
            </w:r>
          </w:p>
          <w:p>
            <w:pPr>
              <w:pStyle w:val="NormalWeb"/>
              <w:widowControl w:val="false"/>
              <w:spacing w:beforeAutospacing="0" w:before="0" w:afterAutospacing="0" w:after="0"/>
              <w:ind w:right="-334" w:hanging="0"/>
              <w:rPr>
                <w:rFonts w:ascii="Arial" w:hAnsi="Arial" w:cs="Arial"/>
                <w:bCs/>
                <w:sz w:val="22"/>
                <w:szCs w:val="22"/>
              </w:rPr>
            </w:pPr>
            <w:r>
              <w:rPr>
                <w:rFonts w:cs="Arial" w:ascii="Arial" w:hAnsi="Arial"/>
                <w:bCs/>
                <w:sz w:val="22"/>
                <w:szCs w:val="22"/>
              </w:rPr>
            </w:r>
          </w:p>
          <w:p>
            <w:pPr>
              <w:pStyle w:val="NormalWeb"/>
              <w:widowControl w:val="false"/>
              <w:spacing w:beforeAutospacing="0" w:before="0" w:afterAutospacing="0" w:after="0"/>
              <w:ind w:right="-334" w:hanging="0"/>
              <w:rPr>
                <w:rFonts w:ascii="Arial" w:hAnsi="Arial" w:cs="Arial"/>
                <w:bCs/>
                <w:sz w:val="22"/>
                <w:szCs w:val="22"/>
              </w:rPr>
            </w:pPr>
            <w:r>
              <w:rPr>
                <w:rFonts w:cs="Arial" w:ascii="Arial" w:hAnsi="Arial"/>
                <w:bCs/>
                <w:sz w:val="22"/>
                <w:szCs w:val="22"/>
              </w:rPr>
            </w:r>
          </w:p>
          <w:p>
            <w:pPr>
              <w:pStyle w:val="NormalWeb"/>
              <w:widowControl w:val="false"/>
              <w:spacing w:beforeAutospacing="0" w:before="0" w:afterAutospacing="0" w:after="0"/>
              <w:ind w:right="-334" w:hanging="0"/>
              <w:rPr>
                <w:rFonts w:ascii="Arial" w:hAnsi="Arial" w:cs="Arial"/>
                <w:bCs/>
                <w:sz w:val="22"/>
                <w:szCs w:val="22"/>
              </w:rPr>
            </w:pPr>
            <w:r>
              <w:rPr>
                <w:rFonts w:cs="Arial" w:ascii="Arial" w:hAnsi="Arial"/>
                <w:bCs/>
                <w:sz w:val="22"/>
                <w:szCs w:val="22"/>
              </w:rPr>
            </w:r>
          </w:p>
        </w:tc>
      </w:tr>
      <w:tr>
        <w:trPr>
          <w:trHeight w:val="720" w:hRule="atLeast"/>
        </w:trPr>
        <w:tc>
          <w:tcPr>
            <w:tcW w:w="5037" w:type="dxa"/>
            <w:gridSpan w:val="2"/>
            <w:tcBorders>
              <w:top w:val="single" w:sz="4" w:space="0" w:color="000000"/>
              <w:left w:val="single" w:sz="4" w:space="0" w:color="000000"/>
              <w:bottom w:val="single" w:sz="4" w:space="0" w:color="000000"/>
              <w:right w:val="single" w:sz="4" w:space="0" w:color="000000"/>
            </w:tcBorders>
          </w:tcPr>
          <w:p>
            <w:pPr>
              <w:pStyle w:val="NormalWeb"/>
              <w:widowControl w:val="false"/>
              <w:spacing w:beforeAutospacing="0" w:before="0" w:afterAutospacing="0" w:after="0"/>
              <w:ind w:right="-334" w:hanging="0"/>
              <w:rPr>
                <w:rFonts w:ascii="Arial" w:hAnsi="Arial" w:cs="Arial"/>
                <w:bCs/>
                <w:sz w:val="22"/>
                <w:szCs w:val="22"/>
              </w:rPr>
            </w:pPr>
            <w:r>
              <w:rPr>
                <w:rFonts w:cs="Arial" w:ascii="Arial" w:hAnsi="Arial"/>
                <w:bCs/>
                <w:sz w:val="22"/>
                <w:szCs w:val="22"/>
              </w:rPr>
              <w:t>Marker’s Signature:</w:t>
            </w:r>
          </w:p>
        </w:tc>
        <w:tc>
          <w:tcPr>
            <w:tcW w:w="3599" w:type="dxa"/>
            <w:gridSpan w:val="3"/>
            <w:tcBorders>
              <w:top w:val="single" w:sz="4" w:space="0" w:color="000000"/>
              <w:left w:val="single" w:sz="4" w:space="0" w:color="000000"/>
              <w:bottom w:val="single" w:sz="4" w:space="0" w:color="000000"/>
              <w:right w:val="single" w:sz="4" w:space="0" w:color="000000"/>
            </w:tcBorders>
          </w:tcPr>
          <w:p>
            <w:pPr>
              <w:pStyle w:val="NormalWeb"/>
              <w:widowControl w:val="false"/>
              <w:spacing w:beforeAutospacing="0" w:before="0" w:afterAutospacing="0" w:after="0"/>
              <w:ind w:right="-334" w:hanging="0"/>
              <w:rPr>
                <w:rFonts w:ascii="Arial" w:hAnsi="Arial" w:cs="Arial"/>
                <w:bCs/>
                <w:sz w:val="22"/>
                <w:szCs w:val="22"/>
              </w:rPr>
            </w:pPr>
            <w:r>
              <w:rPr>
                <w:rFonts w:cs="Arial" w:ascii="Arial" w:hAnsi="Arial"/>
                <w:bCs/>
                <w:sz w:val="22"/>
                <w:szCs w:val="22"/>
              </w:rPr>
              <w:t>Date:</w:t>
            </w:r>
          </w:p>
        </w:tc>
      </w:tr>
      <w:tr>
        <w:trPr>
          <w:trHeight w:val="720" w:hRule="atLeast"/>
        </w:trPr>
        <w:tc>
          <w:tcPr>
            <w:tcW w:w="8636"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b/>
                <w:b/>
                <w:sz w:val="22"/>
                <w:szCs w:val="22"/>
              </w:rPr>
            </w:pPr>
            <w:r>
              <w:rPr>
                <w:rFonts w:cs="Arial" w:ascii="Arial" w:hAnsi="Arial"/>
                <w:b/>
                <w:sz w:val="22"/>
                <w:szCs w:val="22"/>
              </w:rPr>
              <w:t>AGREED INTERNAL MARK (where necessary):</w:t>
            </w:r>
          </w:p>
          <w:p>
            <w:pPr>
              <w:pStyle w:val="Normal"/>
              <w:widowControl w:val="false"/>
              <w:rPr>
                <w:rFonts w:ascii="Arial" w:hAnsi="Arial" w:cs="Arial"/>
                <w:b/>
                <w:b/>
                <w:sz w:val="22"/>
                <w:szCs w:val="22"/>
              </w:rPr>
            </w:pPr>
            <w:r>
              <w:rPr>
                <w:rFonts w:cs="Arial" w:ascii="Arial" w:hAnsi="Arial"/>
                <w:b/>
                <w:sz w:val="22"/>
                <w:szCs w:val="22"/>
              </w:rPr>
            </w:r>
          </w:p>
          <w:p>
            <w:pPr>
              <w:pStyle w:val="Normal"/>
              <w:widowControl w:val="false"/>
              <w:rPr>
                <w:rFonts w:ascii="Arial" w:hAnsi="Arial" w:cs="Arial"/>
                <w:b/>
                <w:b/>
                <w:sz w:val="22"/>
                <w:szCs w:val="22"/>
              </w:rPr>
            </w:pPr>
            <w:r>
              <w:rPr>
                <w:rFonts w:cs="Arial" w:ascii="Arial" w:hAnsi="Arial"/>
                <w:b/>
                <w:sz w:val="22"/>
                <w:szCs w:val="22"/>
              </w:rPr>
              <w:t>Comment on process of arriving at agreed mark:</w:t>
            </w:r>
          </w:p>
          <w:p>
            <w:pPr>
              <w:pStyle w:val="Normal"/>
              <w:widowControl w:val="false"/>
              <w:rPr>
                <w:rFonts w:ascii="Arial" w:hAnsi="Arial" w:cs="Arial"/>
                <w:b/>
                <w:b/>
                <w:sz w:val="22"/>
                <w:szCs w:val="22"/>
              </w:rPr>
            </w:pPr>
            <w:r>
              <w:rPr>
                <w:rFonts w:cs="Arial" w:ascii="Arial" w:hAnsi="Arial"/>
                <w:b/>
                <w:sz w:val="22"/>
                <w:szCs w:val="22"/>
              </w:rPr>
            </w:r>
          </w:p>
          <w:p>
            <w:pPr>
              <w:pStyle w:val="Normal"/>
              <w:widowControl w:val="false"/>
              <w:rPr>
                <w:rFonts w:ascii="Arial" w:hAnsi="Arial" w:cs="Arial"/>
                <w:b/>
                <w:b/>
                <w:sz w:val="22"/>
                <w:szCs w:val="22"/>
              </w:rPr>
            </w:pPr>
            <w:r>
              <w:rPr>
                <w:rFonts w:cs="Arial" w:ascii="Arial" w:hAnsi="Arial"/>
                <w:b/>
                <w:sz w:val="22"/>
                <w:szCs w:val="22"/>
              </w:rPr>
            </w:r>
          </w:p>
          <w:p>
            <w:pPr>
              <w:pStyle w:val="Normal"/>
              <w:widowControl w:val="false"/>
              <w:rPr>
                <w:rFonts w:ascii="Arial" w:hAnsi="Arial" w:cs="Arial"/>
                <w:b/>
                <w:b/>
                <w:sz w:val="22"/>
                <w:szCs w:val="22"/>
              </w:rPr>
            </w:pPr>
            <w:r>
              <w:rPr>
                <w:rFonts w:cs="Arial" w:ascii="Arial" w:hAnsi="Arial"/>
                <w:b/>
                <w:sz w:val="22"/>
                <w:szCs w:val="22"/>
              </w:rPr>
            </w:r>
          </w:p>
          <w:p>
            <w:pPr>
              <w:pStyle w:val="Normal"/>
              <w:widowControl w:val="false"/>
              <w:rPr>
                <w:rFonts w:ascii="Arial" w:hAnsi="Arial" w:cs="Arial"/>
                <w:b/>
                <w:b/>
                <w:sz w:val="22"/>
                <w:szCs w:val="22"/>
              </w:rPr>
            </w:pPr>
            <w:r>
              <w:rPr>
                <w:rFonts w:cs="Arial" w:ascii="Arial" w:hAnsi="Arial"/>
                <w:b/>
                <w:sz w:val="22"/>
                <w:szCs w:val="22"/>
              </w:rPr>
            </w:r>
          </w:p>
          <w:p>
            <w:pPr>
              <w:pStyle w:val="Normal"/>
              <w:widowControl w:val="false"/>
              <w:rPr>
                <w:rFonts w:ascii="Arial" w:hAnsi="Arial" w:cs="Arial"/>
                <w:b/>
                <w:b/>
                <w:sz w:val="22"/>
                <w:szCs w:val="22"/>
              </w:rPr>
            </w:pPr>
            <w:r>
              <w:rPr>
                <w:rFonts w:cs="Arial" w:ascii="Arial" w:hAnsi="Arial"/>
                <w:b/>
                <w:sz w:val="22"/>
                <w:szCs w:val="22"/>
              </w:rPr>
            </w:r>
          </w:p>
          <w:p>
            <w:pPr>
              <w:pStyle w:val="Normal"/>
              <w:widowControl w:val="false"/>
              <w:rPr>
                <w:rFonts w:ascii="Arial" w:hAnsi="Arial" w:cs="Arial"/>
                <w:b/>
                <w:b/>
                <w:sz w:val="22"/>
                <w:szCs w:val="22"/>
              </w:rPr>
            </w:pPr>
            <w:r>
              <w:rPr>
                <w:rFonts w:cs="Arial" w:ascii="Arial" w:hAnsi="Arial"/>
                <w:b/>
                <w:sz w:val="22"/>
                <w:szCs w:val="22"/>
              </w:rPr>
            </w:r>
          </w:p>
          <w:p>
            <w:pPr>
              <w:pStyle w:val="Normal"/>
              <w:widowControl w:val="false"/>
              <w:rPr>
                <w:rFonts w:ascii="Arial" w:hAnsi="Arial" w:cs="Arial"/>
                <w:b/>
                <w:b/>
                <w:sz w:val="22"/>
                <w:szCs w:val="22"/>
              </w:rPr>
            </w:pPr>
            <w:r>
              <w:rPr>
                <w:rFonts w:cs="Arial" w:ascii="Arial" w:hAnsi="Arial"/>
                <w:b/>
                <w:sz w:val="22"/>
                <w:szCs w:val="22"/>
              </w:rPr>
            </w:r>
          </w:p>
          <w:p>
            <w:pPr>
              <w:pStyle w:val="Normal"/>
              <w:widowControl w:val="false"/>
              <w:rPr>
                <w:rFonts w:ascii="Arial" w:hAnsi="Arial" w:cs="Arial"/>
                <w:b/>
                <w:b/>
                <w:sz w:val="22"/>
                <w:szCs w:val="22"/>
              </w:rPr>
            </w:pPr>
            <w:r>
              <w:rPr>
                <w:rFonts w:cs="Arial" w:ascii="Arial" w:hAnsi="Arial"/>
                <w:b/>
                <w:sz w:val="22"/>
                <w:szCs w:val="22"/>
              </w:rPr>
            </w:r>
          </w:p>
        </w:tc>
      </w:tr>
      <w:tr>
        <w:trPr>
          <w:trHeight w:val="720" w:hRule="atLeast"/>
        </w:trPr>
        <w:tc>
          <w:tcPr>
            <w:tcW w:w="8636"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b/>
                <w:b/>
                <w:sz w:val="22"/>
                <w:szCs w:val="22"/>
              </w:rPr>
            </w:pPr>
            <w:r>
              <w:rPr>
                <w:rFonts w:cs="Arial" w:ascii="Arial" w:hAnsi="Arial"/>
                <w:b/>
                <w:sz w:val="22"/>
                <w:szCs w:val="22"/>
              </w:rPr>
              <w:t>External Examiner’s comments (if relevant)</w:t>
            </w:r>
          </w:p>
          <w:p>
            <w:pPr>
              <w:pStyle w:val="NormalWeb"/>
              <w:widowControl w:val="false"/>
              <w:spacing w:beforeAutospacing="0" w:before="0" w:afterAutospacing="0" w:after="0"/>
              <w:ind w:right="-334" w:hanging="0"/>
              <w:rPr>
                <w:rFonts w:ascii="Arial" w:hAnsi="Arial" w:cs="Arial"/>
                <w:bCs/>
                <w:sz w:val="22"/>
                <w:szCs w:val="22"/>
              </w:rPr>
            </w:pPr>
            <w:r>
              <w:rPr>
                <w:rFonts w:cs="Arial" w:ascii="Arial" w:hAnsi="Arial"/>
                <w:bCs/>
                <w:sz w:val="22"/>
                <w:szCs w:val="22"/>
              </w:rPr>
            </w:r>
          </w:p>
          <w:p>
            <w:pPr>
              <w:pStyle w:val="NormalWeb"/>
              <w:widowControl w:val="false"/>
              <w:spacing w:beforeAutospacing="0" w:before="0" w:afterAutospacing="0" w:after="0"/>
              <w:ind w:right="-334" w:hanging="0"/>
              <w:rPr>
                <w:rFonts w:ascii="Arial" w:hAnsi="Arial" w:cs="Arial"/>
                <w:bCs/>
                <w:sz w:val="22"/>
                <w:szCs w:val="22"/>
              </w:rPr>
            </w:pPr>
            <w:r>
              <w:rPr>
                <w:rFonts w:cs="Arial" w:ascii="Arial" w:hAnsi="Arial"/>
                <w:bCs/>
                <w:sz w:val="22"/>
                <w:szCs w:val="22"/>
              </w:rPr>
            </w:r>
          </w:p>
          <w:p>
            <w:pPr>
              <w:pStyle w:val="NormalWeb"/>
              <w:widowControl w:val="false"/>
              <w:spacing w:beforeAutospacing="0" w:before="0" w:afterAutospacing="0" w:after="0"/>
              <w:ind w:right="-334" w:hanging="0"/>
              <w:rPr>
                <w:rFonts w:ascii="Arial" w:hAnsi="Arial" w:cs="Arial"/>
                <w:bCs/>
                <w:sz w:val="22"/>
                <w:szCs w:val="22"/>
              </w:rPr>
            </w:pPr>
            <w:r>
              <w:rPr>
                <w:rFonts w:cs="Arial" w:ascii="Arial" w:hAnsi="Arial"/>
                <w:bCs/>
                <w:sz w:val="22"/>
                <w:szCs w:val="22"/>
              </w:rPr>
            </w:r>
          </w:p>
          <w:p>
            <w:pPr>
              <w:pStyle w:val="NormalWeb"/>
              <w:widowControl w:val="false"/>
              <w:spacing w:beforeAutospacing="0" w:before="0" w:afterAutospacing="0" w:after="0"/>
              <w:ind w:right="-334" w:hanging="0"/>
              <w:rPr>
                <w:rFonts w:ascii="Arial" w:hAnsi="Arial" w:cs="Arial"/>
                <w:bCs/>
                <w:sz w:val="22"/>
                <w:szCs w:val="22"/>
              </w:rPr>
            </w:pPr>
            <w:r>
              <w:rPr>
                <w:rFonts w:cs="Arial" w:ascii="Arial" w:hAnsi="Arial"/>
                <w:bCs/>
                <w:sz w:val="22"/>
                <w:szCs w:val="22"/>
              </w:rPr>
            </w:r>
          </w:p>
          <w:p>
            <w:pPr>
              <w:pStyle w:val="NormalWeb"/>
              <w:widowControl w:val="false"/>
              <w:spacing w:beforeAutospacing="0" w:before="0" w:afterAutospacing="0" w:after="0"/>
              <w:ind w:right="-334" w:hanging="0"/>
              <w:rPr>
                <w:rFonts w:ascii="Arial" w:hAnsi="Arial" w:cs="Arial"/>
                <w:bCs/>
                <w:sz w:val="22"/>
                <w:szCs w:val="22"/>
              </w:rPr>
            </w:pPr>
            <w:r>
              <w:rPr>
                <w:rFonts w:cs="Arial" w:ascii="Arial" w:hAnsi="Arial"/>
                <w:bCs/>
                <w:sz w:val="22"/>
                <w:szCs w:val="22"/>
              </w:rPr>
            </w:r>
          </w:p>
          <w:p>
            <w:pPr>
              <w:pStyle w:val="NormalWeb"/>
              <w:widowControl w:val="false"/>
              <w:spacing w:beforeAutospacing="0" w:before="0" w:afterAutospacing="0" w:after="0"/>
              <w:ind w:right="-334" w:hanging="0"/>
              <w:rPr>
                <w:rFonts w:ascii="Arial" w:hAnsi="Arial" w:cs="Arial"/>
                <w:bCs/>
                <w:sz w:val="22"/>
                <w:szCs w:val="22"/>
              </w:rPr>
            </w:pPr>
            <w:r>
              <w:rPr>
                <w:rFonts w:cs="Arial" w:ascii="Arial" w:hAnsi="Arial"/>
                <w:bCs/>
                <w:sz w:val="22"/>
                <w:szCs w:val="22"/>
              </w:rPr>
            </w:r>
          </w:p>
          <w:p>
            <w:pPr>
              <w:pStyle w:val="NormalWeb"/>
              <w:widowControl w:val="false"/>
              <w:spacing w:beforeAutospacing="0" w:before="0" w:afterAutospacing="0" w:after="0"/>
              <w:ind w:right="-334" w:hanging="0"/>
              <w:rPr>
                <w:rFonts w:ascii="Arial" w:hAnsi="Arial" w:cs="Arial"/>
                <w:bCs/>
                <w:sz w:val="22"/>
                <w:szCs w:val="22"/>
              </w:rPr>
            </w:pPr>
            <w:r>
              <w:rPr>
                <w:rFonts w:cs="Arial" w:ascii="Arial" w:hAnsi="Arial"/>
                <w:bCs/>
                <w:sz w:val="22"/>
                <w:szCs w:val="22"/>
              </w:rPr>
            </w:r>
          </w:p>
        </w:tc>
      </w:tr>
      <w:tr>
        <w:trPr>
          <w:trHeight w:val="720" w:hRule="atLeast"/>
        </w:trPr>
        <w:tc>
          <w:tcPr>
            <w:tcW w:w="503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22"/>
                <w:szCs w:val="22"/>
              </w:rPr>
            </w:pPr>
            <w:r>
              <w:rPr>
                <w:rFonts w:cs="Arial" w:ascii="Arial" w:hAnsi="Arial"/>
                <w:sz w:val="22"/>
                <w:szCs w:val="22"/>
              </w:rPr>
              <w:t>External Examiner’s Signature:</w:t>
            </w:r>
          </w:p>
        </w:tc>
        <w:tc>
          <w:tcPr>
            <w:tcW w:w="3599"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22"/>
                <w:szCs w:val="22"/>
              </w:rPr>
            </w:pPr>
            <w:r>
              <w:rPr>
                <w:rFonts w:cs="Arial" w:ascii="Arial" w:hAnsi="Arial"/>
                <w:sz w:val="22"/>
                <w:szCs w:val="22"/>
              </w:rPr>
              <w:t>Date:</w:t>
            </w:r>
          </w:p>
        </w:tc>
      </w:tr>
    </w:tbl>
    <w:p>
      <w:pPr>
        <w:pStyle w:val="NormalWeb"/>
        <w:spacing w:beforeAutospacing="0" w:before="0" w:afterAutospacing="0" w:after="0"/>
        <w:ind w:right="-334" w:hanging="0"/>
        <w:rPr>
          <w:rFonts w:ascii="Trebuchet MS" w:hAnsi="Trebuchet MS" w:cs="Tahoma"/>
          <w:bCs/>
          <w:sz w:val="24"/>
          <w:szCs w:val="24"/>
        </w:rPr>
      </w:pPr>
      <w:r>
        <w:rPr>
          <w:rFonts w:cs="Tahoma" w:ascii="Trebuchet MS" w:hAnsi="Trebuchet MS"/>
          <w:bCs/>
          <w:sz w:val="24"/>
          <w:szCs w:val="24"/>
        </w:rPr>
      </w:r>
    </w:p>
    <w:p>
      <w:pPr>
        <w:pStyle w:val="NormalWeb"/>
        <w:spacing w:beforeAutospacing="0" w:before="0" w:afterAutospacing="0" w:after="0"/>
        <w:ind w:right="-334" w:hanging="0"/>
        <w:rPr>
          <w:rFonts w:ascii="Trebuchet MS" w:hAnsi="Trebuchet MS" w:cs="Tahoma"/>
          <w:bCs/>
          <w:sz w:val="24"/>
          <w:szCs w:val="24"/>
        </w:rPr>
      </w:pPr>
      <w:r>
        <w:rPr>
          <w:rFonts w:cs="Tahoma" w:ascii="Trebuchet MS" w:hAnsi="Trebuchet MS"/>
          <w:bCs/>
          <w:sz w:val="24"/>
          <w:szCs w:val="24"/>
        </w:rPr>
      </w:r>
    </w:p>
    <w:p>
      <w:pPr>
        <w:pStyle w:val="NormalWeb"/>
        <w:spacing w:beforeAutospacing="0" w:before="0" w:afterAutospacing="0" w:after="0"/>
        <w:ind w:right="-334" w:hanging="0"/>
        <w:rPr>
          <w:rFonts w:ascii="Trebuchet MS" w:hAnsi="Trebuchet MS" w:cs="Tahoma"/>
          <w:bCs/>
          <w:sz w:val="24"/>
          <w:szCs w:val="24"/>
        </w:rPr>
      </w:pPr>
      <w:r>
        <w:rPr>
          <w:rFonts w:cs="Tahoma" w:ascii="Trebuchet MS" w:hAnsi="Trebuchet MS"/>
          <w:bCs/>
          <w:sz w:val="24"/>
          <w:szCs w:val="24"/>
        </w:rPr>
      </w:r>
    </w:p>
    <w:p>
      <w:pPr>
        <w:pStyle w:val="NormalWeb"/>
        <w:spacing w:beforeAutospacing="0" w:before="0" w:afterAutospacing="0" w:after="0"/>
        <w:ind w:right="-334" w:hanging="0"/>
        <w:rPr>
          <w:rFonts w:ascii="Trebuchet MS" w:hAnsi="Trebuchet MS" w:cs="Tahoma"/>
          <w:bCs/>
          <w:sz w:val="24"/>
          <w:szCs w:val="24"/>
        </w:rPr>
      </w:pPr>
      <w:r>
        <w:rPr>
          <w:rFonts w:cs="Tahoma" w:ascii="Trebuchet MS" w:hAnsi="Trebuchet MS"/>
          <w:bCs/>
          <w:sz w:val="24"/>
          <w:szCs w:val="24"/>
        </w:rPr>
      </w:r>
    </w:p>
    <w:p>
      <w:pPr>
        <w:pStyle w:val="NormalWeb"/>
        <w:spacing w:beforeAutospacing="0" w:before="0" w:afterAutospacing="0" w:after="0"/>
        <w:ind w:right="-334" w:hanging="0"/>
        <w:rPr>
          <w:rFonts w:ascii="Trebuchet MS" w:hAnsi="Trebuchet MS" w:cs="Tahoma"/>
          <w:bCs/>
          <w:sz w:val="24"/>
          <w:szCs w:val="24"/>
        </w:rPr>
      </w:pPr>
      <w:r>
        <w:rPr>
          <w:rFonts w:cs="Tahoma" w:ascii="Trebuchet MS" w:hAnsi="Trebuchet MS"/>
          <w:bCs/>
          <w:sz w:val="24"/>
          <w:szCs w:val="24"/>
        </w:rPr>
      </w:r>
    </w:p>
    <w:p>
      <w:pPr>
        <w:pStyle w:val="NormalWeb"/>
        <w:spacing w:beforeAutospacing="0" w:before="0" w:afterAutospacing="0" w:after="0"/>
        <w:ind w:right="-334" w:hanging="0"/>
        <w:rPr>
          <w:rFonts w:ascii="Trebuchet MS" w:hAnsi="Trebuchet MS" w:cs="Tahoma"/>
          <w:bCs/>
          <w:sz w:val="24"/>
          <w:szCs w:val="24"/>
        </w:rPr>
      </w:pPr>
      <w:r>
        <w:rPr>
          <w:rFonts w:cs="Tahoma" w:ascii="Trebuchet MS" w:hAnsi="Trebuchet MS"/>
          <w:bCs/>
          <w:sz w:val="24"/>
          <w:szCs w:val="24"/>
        </w:rPr>
      </w:r>
    </w:p>
    <w:p>
      <w:pPr>
        <w:pStyle w:val="NormalWeb"/>
        <w:spacing w:beforeAutospacing="0" w:before="0" w:afterAutospacing="0" w:after="0"/>
        <w:ind w:right="-334" w:hanging="0"/>
        <w:rPr>
          <w:rFonts w:ascii="Trebuchet MS" w:hAnsi="Trebuchet MS" w:cs="Tahoma"/>
          <w:bCs/>
          <w:sz w:val="24"/>
          <w:szCs w:val="24"/>
        </w:rPr>
      </w:pPr>
      <w:r>
        <w:rPr>
          <w:rFonts w:cs="Tahoma" w:ascii="Trebuchet MS" w:hAnsi="Trebuchet MS"/>
          <w:bCs/>
          <w:sz w:val="24"/>
          <w:szCs w:val="24"/>
        </w:rPr>
      </w:r>
    </w:p>
    <w:p>
      <w:pPr>
        <w:pStyle w:val="NormalWeb"/>
        <w:spacing w:beforeAutospacing="0" w:before="0" w:afterAutospacing="0" w:after="0"/>
        <w:ind w:right="-334" w:hanging="0"/>
        <w:rPr>
          <w:rFonts w:ascii="Trebuchet MS" w:hAnsi="Trebuchet MS" w:cs="Tahoma"/>
          <w:bCs/>
          <w:sz w:val="24"/>
          <w:szCs w:val="24"/>
        </w:rPr>
      </w:pPr>
      <w:r>
        <w:rPr>
          <w:rFonts w:cs="Tahoma" w:ascii="Trebuchet MS" w:hAnsi="Trebuchet MS"/>
          <w:bCs/>
          <w:sz w:val="24"/>
          <w:szCs w:val="24"/>
        </w:rPr>
      </w:r>
    </w:p>
    <w:p>
      <w:pPr>
        <w:pStyle w:val="NormalWeb"/>
        <w:spacing w:beforeAutospacing="0" w:before="0" w:afterAutospacing="0" w:after="0"/>
        <w:ind w:right="-334" w:hanging="0"/>
        <w:rPr>
          <w:rFonts w:ascii="Trebuchet MS" w:hAnsi="Trebuchet MS" w:cs="Tahoma"/>
          <w:bCs/>
          <w:sz w:val="24"/>
          <w:szCs w:val="24"/>
        </w:rPr>
      </w:pPr>
      <w:r>
        <w:rPr>
          <w:rFonts w:cs="Tahoma" w:ascii="Trebuchet MS" w:hAnsi="Trebuchet MS"/>
          <w:bCs/>
          <w:sz w:val="24"/>
          <w:szCs w:val="24"/>
        </w:rPr>
      </w:r>
    </w:p>
    <w:p>
      <w:pPr>
        <w:pStyle w:val="NormalWeb"/>
        <w:spacing w:beforeAutospacing="0" w:before="0" w:afterAutospacing="0" w:after="0"/>
        <w:ind w:right="-334" w:hanging="0"/>
        <w:rPr>
          <w:rFonts w:ascii="Trebuchet MS" w:hAnsi="Trebuchet MS" w:cs="Tahoma"/>
          <w:bCs/>
          <w:sz w:val="24"/>
          <w:szCs w:val="24"/>
        </w:rPr>
      </w:pPr>
      <w:r>
        <w:rPr>
          <w:rFonts w:cs="Tahoma" w:ascii="Trebuchet MS" w:hAnsi="Trebuchet MS"/>
          <w:bCs/>
          <w:sz w:val="24"/>
          <w:szCs w:val="24"/>
        </w:rPr>
      </w:r>
    </w:p>
    <w:p>
      <w:pPr>
        <w:pStyle w:val="NormalWeb"/>
        <w:spacing w:beforeAutospacing="0" w:before="0" w:afterAutospacing="0" w:after="0"/>
        <w:ind w:right="-334" w:hanging="0"/>
        <w:rPr>
          <w:rFonts w:ascii="Trebuchet MS" w:hAnsi="Trebuchet MS" w:cs="Tahoma"/>
          <w:bCs/>
          <w:sz w:val="24"/>
          <w:szCs w:val="24"/>
        </w:rPr>
      </w:pPr>
      <w:r>
        <w:rPr>
          <w:rFonts w:cs="Tahoma" w:ascii="Trebuchet MS" w:hAnsi="Trebuchet MS"/>
          <w:bCs/>
          <w:sz w:val="24"/>
          <w:szCs w:val="24"/>
        </w:rPr>
      </w:r>
    </w:p>
    <w:p>
      <w:pPr>
        <w:pStyle w:val="NormalWeb"/>
        <w:spacing w:beforeAutospacing="0" w:before="0" w:afterAutospacing="0" w:after="0"/>
        <w:ind w:right="-334" w:hanging="0"/>
        <w:rPr>
          <w:rFonts w:ascii="Trebuchet MS" w:hAnsi="Trebuchet MS" w:cs="Tahoma"/>
          <w:bCs/>
          <w:sz w:val="24"/>
          <w:szCs w:val="24"/>
        </w:rPr>
      </w:pPr>
      <w:r>
        <w:rPr>
          <w:rFonts w:cs="Tahoma" w:ascii="Trebuchet MS" w:hAnsi="Trebuchet MS"/>
          <w:bCs/>
          <w:sz w:val="24"/>
          <w:szCs w:val="24"/>
        </w:rPr>
      </w:r>
    </w:p>
    <w:p>
      <w:pPr>
        <w:pStyle w:val="NormalWeb"/>
        <w:spacing w:beforeAutospacing="0" w:before="0" w:afterAutospacing="0" w:after="0"/>
        <w:ind w:right="-334" w:hanging="0"/>
        <w:rPr>
          <w:rFonts w:ascii="Trebuchet MS" w:hAnsi="Trebuchet MS" w:cs="Tahoma"/>
          <w:bCs/>
          <w:sz w:val="24"/>
          <w:szCs w:val="24"/>
        </w:rPr>
      </w:pPr>
      <w:r>
        <w:rPr>
          <w:rFonts w:cs="Tahoma" w:ascii="Trebuchet MS" w:hAnsi="Trebuchet MS"/>
          <w:bCs/>
          <w:sz w:val="24"/>
          <w:szCs w:val="24"/>
        </w:rPr>
      </w:r>
    </w:p>
    <w:p>
      <w:pPr>
        <w:pStyle w:val="NormalWeb"/>
        <w:spacing w:beforeAutospacing="0" w:before="0" w:afterAutospacing="0" w:after="0"/>
        <w:ind w:right="-334" w:hanging="0"/>
        <w:rPr>
          <w:rFonts w:ascii="Trebuchet MS" w:hAnsi="Trebuchet MS" w:cs="Tahoma"/>
          <w:bCs/>
          <w:sz w:val="24"/>
          <w:szCs w:val="24"/>
        </w:rPr>
      </w:pPr>
      <w:r>
        <w:rPr>
          <w:rFonts w:cs="Tahoma" w:ascii="Trebuchet MS" w:hAnsi="Trebuchet MS"/>
          <w:bCs/>
          <w:sz w:val="24"/>
          <w:szCs w:val="24"/>
        </w:rPr>
      </w:r>
    </w:p>
    <w:p>
      <w:pPr>
        <w:pStyle w:val="NormalWeb"/>
        <w:spacing w:beforeAutospacing="0" w:before="0" w:afterAutospacing="0" w:after="0"/>
        <w:ind w:right="-334" w:hanging="0"/>
        <w:rPr>
          <w:rFonts w:ascii="Trebuchet MS" w:hAnsi="Trebuchet MS" w:cs="Tahoma"/>
          <w:bCs/>
          <w:sz w:val="24"/>
          <w:szCs w:val="24"/>
        </w:rPr>
      </w:pPr>
      <w:r>
        <w:rPr>
          <w:rFonts w:cs="Tahoma" w:ascii="Trebuchet MS" w:hAnsi="Trebuchet MS"/>
          <w:bCs/>
          <w:sz w:val="24"/>
          <w:szCs w:val="24"/>
        </w:rPr>
      </w:r>
    </w:p>
    <w:p>
      <w:pPr>
        <w:pStyle w:val="NormalWeb"/>
        <w:spacing w:beforeAutospacing="0" w:before="0" w:afterAutospacing="0" w:after="0"/>
        <w:ind w:right="-334" w:hanging="0"/>
        <w:rPr>
          <w:rFonts w:ascii="Trebuchet MS" w:hAnsi="Trebuchet MS" w:cs="Tahoma"/>
          <w:bCs/>
          <w:sz w:val="24"/>
          <w:szCs w:val="24"/>
        </w:rPr>
      </w:pPr>
      <w:r>
        <w:rPr>
          <w:rFonts w:cs="Tahoma" w:ascii="Trebuchet MS" w:hAnsi="Trebuchet MS"/>
          <w:bCs/>
          <w:sz w:val="24"/>
          <w:szCs w:val="24"/>
        </w:rPr>
      </w:r>
    </w:p>
    <w:p>
      <w:pPr>
        <w:pStyle w:val="NormalWeb"/>
        <w:spacing w:beforeAutospacing="0" w:before="0" w:afterAutospacing="0" w:after="0"/>
        <w:ind w:right="-334" w:hanging="0"/>
        <w:rPr>
          <w:rFonts w:ascii="Trebuchet MS" w:hAnsi="Trebuchet MS" w:cs="Tahoma"/>
          <w:bCs/>
          <w:sz w:val="24"/>
          <w:szCs w:val="24"/>
        </w:rPr>
      </w:pPr>
      <w:r>
        <w:rPr>
          <w:rFonts w:cs="Tahoma" w:ascii="Trebuchet MS" w:hAnsi="Trebuchet MS"/>
          <w:bCs/>
          <w:sz w:val="24"/>
          <w:szCs w:val="24"/>
        </w:rPr>
      </w:r>
    </w:p>
    <w:p>
      <w:pPr>
        <w:pStyle w:val="NormalWeb"/>
        <w:spacing w:beforeAutospacing="0" w:before="0" w:afterAutospacing="0" w:after="0"/>
        <w:ind w:right="-334" w:hanging="0"/>
        <w:rPr>
          <w:rFonts w:ascii="Trebuchet MS" w:hAnsi="Trebuchet MS" w:cs="Tahoma"/>
          <w:bCs/>
          <w:sz w:val="24"/>
          <w:szCs w:val="24"/>
        </w:rPr>
      </w:pPr>
      <w:r>
        <w:rPr>
          <w:rFonts w:cs="Tahoma" w:ascii="Trebuchet MS" w:hAnsi="Trebuchet MS"/>
          <w:bCs/>
          <w:sz w:val="24"/>
          <w:szCs w:val="24"/>
        </w:rPr>
      </w:r>
    </w:p>
    <w:p>
      <w:pPr>
        <w:pStyle w:val="NormalWeb"/>
        <w:spacing w:beforeAutospacing="0" w:before="0" w:afterAutospacing="0" w:after="0"/>
        <w:ind w:right="-334" w:hanging="0"/>
        <w:jc w:val="both"/>
        <w:rPr>
          <w:shd w:fill="FFFF00" w:val="clear"/>
        </w:rPr>
      </w:pPr>
      <w:r>
        <w:rPr>
          <w:rFonts w:ascii="Arial" w:hAnsi="Arial"/>
          <w:sz w:val="24"/>
          <w:szCs w:val="24"/>
        </w:rPr>
        <w:t xml:space="preserve">Can the theory and practice of divination help distinguish between magic and religion? </w:t>
      </w:r>
    </w:p>
    <w:p>
      <w:pPr>
        <w:pStyle w:val="NormalWeb"/>
        <w:spacing w:beforeAutospacing="0" w:before="0" w:afterAutospacing="0" w:after="0"/>
        <w:ind w:right="-334" w:hanging="0"/>
        <w:rPr>
          <w:rFonts w:ascii="Arial" w:hAnsi="Arial"/>
          <w:sz w:val="24"/>
          <w:szCs w:val="24"/>
        </w:rPr>
      </w:pPr>
      <w:r>
        <w:rPr>
          <w:rFonts w:ascii="Arial" w:hAnsi="Arial"/>
          <w:sz w:val="24"/>
          <w:szCs w:val="24"/>
        </w:rPr>
      </w:r>
    </w:p>
    <w:p>
      <w:pPr>
        <w:pStyle w:val="NormalWeb"/>
        <w:spacing w:beforeAutospacing="0" w:before="0" w:afterAutospacing="0" w:after="0"/>
        <w:ind w:right="-334" w:hanging="0"/>
        <w:rPr>
          <w:rFonts w:ascii="Arial" w:hAnsi="Arial"/>
          <w:sz w:val="24"/>
          <w:szCs w:val="24"/>
        </w:rPr>
      </w:pPr>
      <w:r>
        <w:rPr>
          <w:rFonts w:ascii="Arial" w:hAnsi="Arial"/>
          <w:sz w:val="24"/>
          <w:szCs w:val="24"/>
        </w:rPr>
      </w:r>
    </w:p>
    <w:p>
      <w:pPr>
        <w:pStyle w:val="NormalWeb"/>
        <w:spacing w:lineRule="auto" w:line="276" w:beforeAutospacing="0" w:before="114" w:afterAutospacing="0" w:after="114"/>
        <w:ind w:right="-334" w:hanging="0"/>
        <w:jc w:val="both"/>
        <w:rPr/>
      </w:pPr>
      <w:r>
        <w:rPr>
          <w:rFonts w:ascii="Arial" w:hAnsi="Arial"/>
          <w:b/>
          <w:bCs/>
          <w:sz w:val="24"/>
          <w:szCs w:val="24"/>
        </w:rPr>
        <w:t>Introduction</w:t>
      </w:r>
      <w:r>
        <w:rPr>
          <w:rFonts w:ascii="Arial" w:hAnsi="Arial"/>
          <w:sz w:val="24"/>
          <w:szCs w:val="24"/>
        </w:rPr>
        <w:t xml:space="preserve"> </w:t>
      </w:r>
    </w:p>
    <w:p>
      <w:pPr>
        <w:pStyle w:val="NormalWeb"/>
        <w:spacing w:lineRule="auto" w:line="276" w:beforeAutospacing="0" w:before="114" w:afterAutospacing="0" w:after="114"/>
        <w:ind w:right="-334" w:hanging="0"/>
        <w:jc w:val="both"/>
        <w:rPr/>
      </w:pPr>
      <w:r>
        <w:rPr>
          <w:rFonts w:ascii="Arial" w:hAnsi="Arial"/>
          <w:sz w:val="24"/>
          <w:szCs w:val="24"/>
        </w:rPr>
        <w:tab/>
        <w:t xml:space="preserve">The purpose of this essay is to examine, analyse and assess to what extent can the theory and practice of ancient divination help with identifying any similarities or differences, if any, between ancient magic and religion. It shall look at scholarly perspectives on the nature of the relationship between magic and religion. This essay will particularly look at ancient divination within the Greek and Roman world. It will begin by defining in detail the key terms religion, magic and Divination. It will also look at the practices and theory of divination. I will then attempt to bring together the three topics and identify whether divination can help distinguish between religion and magic. The essay will draw on academic sources to support the research and findings. </w:t>
      </w:r>
    </w:p>
    <w:p>
      <w:pPr>
        <w:pStyle w:val="NormalWeb"/>
        <w:spacing w:lineRule="auto" w:line="276" w:beforeAutospacing="0" w:before="114" w:afterAutospacing="0" w:after="114"/>
        <w:ind w:right="-334" w:hanging="0"/>
        <w:jc w:val="both"/>
        <w:rPr>
          <w:rFonts w:ascii="Arial" w:hAnsi="Arial"/>
          <w:sz w:val="24"/>
          <w:szCs w:val="24"/>
        </w:rPr>
      </w:pPr>
      <w:r>
        <w:rPr>
          <w:rFonts w:ascii="Arial" w:hAnsi="Arial"/>
          <w:sz w:val="24"/>
          <w:szCs w:val="24"/>
        </w:rPr>
      </w:r>
    </w:p>
    <w:p>
      <w:pPr>
        <w:pStyle w:val="NormalWeb"/>
        <w:spacing w:beforeAutospacing="0" w:before="0" w:afterAutospacing="0" w:after="0"/>
        <w:ind w:right="-334" w:hanging="0"/>
        <w:jc w:val="both"/>
        <w:rPr/>
      </w:pPr>
      <w:r>
        <w:rPr>
          <w:rFonts w:ascii="Arial" w:hAnsi="Arial"/>
          <w:b/>
          <w:bCs/>
          <w:sz w:val="24"/>
          <w:szCs w:val="24"/>
        </w:rPr>
        <w:t>Religion</w:t>
      </w:r>
      <w:r>
        <w:rPr>
          <w:rFonts w:ascii="Arial" w:hAnsi="Arial"/>
          <w:sz w:val="24"/>
          <w:szCs w:val="24"/>
        </w:rPr>
        <w:t xml:space="preserve"> </w:t>
      </w:r>
    </w:p>
    <w:p>
      <w:pPr>
        <w:pStyle w:val="NormalWeb"/>
        <w:spacing w:lineRule="auto" w:line="276" w:beforeAutospacing="0" w:before="0" w:afterAutospacing="0" w:after="0"/>
        <w:ind w:right="-334" w:hanging="0"/>
        <w:jc w:val="both"/>
        <w:rPr/>
      </w:pPr>
      <w:r>
        <w:rPr>
          <w:rFonts w:ascii="Arial" w:hAnsi="Arial"/>
          <w:sz w:val="24"/>
          <w:szCs w:val="24"/>
        </w:rPr>
        <w:tab/>
        <w:t>The box standard definition of religion according to Oxford Dictionaries is an “Action</w:t>
      </w:r>
      <w:r>
        <w:rPr>
          <w:rFonts w:ascii="Arial" w:hAnsi="Arial"/>
          <w:b w:val="false"/>
          <w:i w:val="false"/>
          <w:iCs w:val="false"/>
          <w:caps w:val="false"/>
          <w:smallCaps w:val="false"/>
          <w:color w:val="000000"/>
          <w:spacing w:val="0"/>
          <w:sz w:val="24"/>
          <w:szCs w:val="24"/>
        </w:rPr>
        <w:t xml:space="preserve"> or conduct indicating belief in, obedience to, and reverence for a god, gods, or similar superhuman power; the performance of religious rites or observances. Also in </w:t>
      </w:r>
      <w:r>
        <w:rPr>
          <w:rStyle w:val="Emphasis"/>
          <w:rFonts w:ascii="Arial" w:hAnsi="Arial"/>
          <w:b w:val="false"/>
          <w:i w:val="false"/>
          <w:iCs w:val="false"/>
          <w:color w:val="000000"/>
          <w:spacing w:val="0"/>
          <w:sz w:val="24"/>
          <w:szCs w:val="24"/>
        </w:rPr>
        <w:t>plural</w:t>
      </w:r>
      <w:r>
        <w:rPr>
          <w:rFonts w:ascii="Arial" w:hAnsi="Arial"/>
          <w:b w:val="false"/>
          <w:i w:val="false"/>
          <w:iCs w:val="false"/>
          <w:caps w:val="false"/>
          <w:smallCaps w:val="false"/>
          <w:color w:val="000000"/>
          <w:spacing w:val="0"/>
          <w:sz w:val="24"/>
          <w:szCs w:val="24"/>
        </w:rPr>
        <w:t>: religious rites”.</w:t>
      </w:r>
      <w:r>
        <w:rPr>
          <w:rStyle w:val="FootnoteAnchor"/>
          <w:rFonts w:ascii="Arial" w:hAnsi="Arial"/>
          <w:b w:val="false"/>
          <w:i w:val="false"/>
          <w:iCs w:val="false"/>
          <w:caps w:val="false"/>
          <w:smallCaps w:val="false"/>
          <w:color w:val="000000"/>
          <w:spacing w:val="0"/>
          <w:sz w:val="24"/>
          <w:szCs w:val="24"/>
        </w:rPr>
        <w:footnoteReference w:id="2"/>
      </w:r>
      <w:r>
        <w:rPr>
          <w:rFonts w:ascii="Arial" w:hAnsi="Arial"/>
          <w:b w:val="false"/>
          <w:i/>
          <w:iCs/>
          <w:caps w:val="false"/>
          <w:smallCaps w:val="false"/>
          <w:color w:val="000000"/>
          <w:spacing w:val="0"/>
          <w:sz w:val="24"/>
          <w:szCs w:val="24"/>
        </w:rPr>
        <w:t xml:space="preserve"> </w:t>
      </w:r>
      <w:r>
        <w:rPr>
          <w:rFonts w:ascii="Arial" w:hAnsi="Arial"/>
          <w:b w:val="false"/>
          <w:bCs/>
          <w:i w:val="false"/>
          <w:iCs w:val="false"/>
          <w:caps w:val="false"/>
          <w:smallCaps w:val="false"/>
          <w:color w:val="000000"/>
          <w:spacing w:val="0"/>
          <w:sz w:val="24"/>
          <w:szCs w:val="24"/>
        </w:rPr>
        <w:t>Whilst this is a very simple and straightforward definition, defining religion has been a very complicated task and many scholars have struggled to come to one agreement.</w:t>
      </w:r>
      <w:r>
        <w:rPr>
          <w:rStyle w:val="FootnoteAnchor"/>
          <w:rFonts w:ascii="Arial" w:hAnsi="Arial"/>
          <w:b w:val="false"/>
          <w:bCs/>
          <w:i w:val="false"/>
          <w:iCs w:val="false"/>
          <w:caps w:val="false"/>
          <w:smallCaps w:val="false"/>
          <w:color w:val="000000"/>
          <w:spacing w:val="0"/>
          <w:sz w:val="24"/>
          <w:szCs w:val="24"/>
        </w:rPr>
        <w:footnoteReference w:id="3"/>
      </w:r>
      <w:r>
        <w:rPr>
          <w:rFonts w:ascii="Arial" w:hAnsi="Arial"/>
          <w:b w:val="false"/>
          <w:bCs/>
          <w:i w:val="false"/>
          <w:iCs w:val="false"/>
          <w:caps w:val="false"/>
          <w:smallCaps w:val="false"/>
          <w:color w:val="000000"/>
          <w:spacing w:val="0"/>
          <w:sz w:val="24"/>
          <w:szCs w:val="24"/>
        </w:rPr>
        <w:t xml:space="preserve"> When it comes to defining religion it cannot be defined as something so simple. For Example not all religions believe in observing a god, gods or a superhuman power and not all religions have religious rites. For example in my ecology studies I came across a book called </w:t>
      </w:r>
      <w:r>
        <w:rPr>
          <w:rFonts w:ascii="Arial" w:hAnsi="Arial"/>
          <w:b w:val="false"/>
          <w:bCs/>
          <w:i/>
          <w:iCs/>
          <w:caps w:val="false"/>
          <w:smallCaps w:val="false"/>
          <w:color w:val="000000"/>
          <w:spacing w:val="0"/>
          <w:sz w:val="24"/>
          <w:szCs w:val="24"/>
        </w:rPr>
        <w:t>‘Dark Green Religion’</w:t>
      </w:r>
      <w:r>
        <w:rPr>
          <w:rFonts w:ascii="Arial" w:hAnsi="Arial"/>
          <w:b w:val="false"/>
          <w:bCs/>
          <w:i w:val="false"/>
          <w:iCs w:val="false"/>
          <w:caps w:val="false"/>
          <w:smallCaps w:val="false"/>
          <w:color w:val="000000"/>
          <w:spacing w:val="0"/>
          <w:sz w:val="24"/>
          <w:szCs w:val="24"/>
        </w:rPr>
        <w:t xml:space="preserve"> By Bron Taylor, here they refer to Dark green religion as a religion. Yet, Dark Green religion has no religious scripture, no religious hierarchy nor does it have a main leader who spreads the faith. It sees nature as being sacred and believes that It is due appropriate care.</w:t>
      </w:r>
      <w:r>
        <w:rPr>
          <w:rStyle w:val="FootnoteAnchor"/>
          <w:rFonts w:ascii="Arial" w:hAnsi="Arial"/>
          <w:b w:val="false"/>
          <w:bCs/>
          <w:i w:val="false"/>
          <w:iCs w:val="false"/>
          <w:caps w:val="false"/>
          <w:smallCaps w:val="false"/>
          <w:color w:val="000000"/>
          <w:spacing w:val="0"/>
          <w:sz w:val="24"/>
          <w:szCs w:val="24"/>
        </w:rPr>
        <w:footnoteReference w:id="4"/>
      </w:r>
      <w:r>
        <w:rPr>
          <w:rFonts w:ascii="Arial" w:hAnsi="Arial"/>
          <w:b w:val="false"/>
          <w:bCs/>
          <w:i w:val="false"/>
          <w:iCs w:val="false"/>
          <w:caps w:val="false"/>
          <w:smallCaps w:val="false"/>
          <w:color w:val="000000"/>
          <w:spacing w:val="0"/>
          <w:sz w:val="24"/>
          <w:szCs w:val="24"/>
        </w:rPr>
        <w:t xml:space="preserve"> yet this is still identified as a religion. </w:t>
      </w:r>
    </w:p>
    <w:p>
      <w:pPr>
        <w:pStyle w:val="NormalWeb"/>
        <w:spacing w:lineRule="auto" w:line="276" w:beforeAutospacing="0" w:before="0" w:afterAutospacing="0" w:after="0"/>
        <w:ind w:right="-334" w:hanging="0"/>
        <w:jc w:val="both"/>
        <w:rPr/>
      </w:pPr>
      <w:r>
        <w:rPr>
          <w:rFonts w:ascii="Arial" w:hAnsi="Arial"/>
          <w:b w:val="false"/>
          <w:bCs/>
          <w:i w:val="false"/>
          <w:iCs w:val="false"/>
          <w:caps w:val="false"/>
          <w:smallCaps w:val="false"/>
          <w:color w:val="000000"/>
          <w:spacing w:val="0"/>
          <w:sz w:val="24"/>
          <w:szCs w:val="24"/>
        </w:rPr>
        <w:tab/>
        <w:t xml:space="preserve">Anthropologist Clifford Geertz defined religion as a </w:t>
      </w:r>
      <w:r>
        <w:rPr>
          <w:rFonts w:ascii="Arial" w:hAnsi="Arial"/>
          <w:b w:val="false"/>
          <w:bCs/>
          <w:i/>
          <w:iCs/>
          <w:caps w:val="false"/>
          <w:smallCaps w:val="false"/>
          <w:color w:val="000000"/>
          <w:spacing w:val="0"/>
          <w:sz w:val="24"/>
          <w:szCs w:val="24"/>
        </w:rPr>
        <w:t>“</w:t>
      </w:r>
      <w:r>
        <w:rPr>
          <w:rFonts w:ascii="Arial" w:hAnsi="Arial"/>
          <w:b w:val="false"/>
          <w:bCs/>
          <w:i w:val="false"/>
          <w:iCs w:val="false"/>
          <w:caps w:val="false"/>
          <w:smallCaps w:val="false"/>
          <w:color w:val="000000"/>
          <w:spacing w:val="0"/>
          <w:sz w:val="24"/>
          <w:szCs w:val="24"/>
        </w:rPr>
        <w:t>system of symbols which acts to establish powerful, pervasive, and long- lasting moods and motivations in men by formulating conceptions of a general order of existence and clothing these conceptions with such an aura of factuality that the moods and motivations seems unrealistic”</w:t>
      </w:r>
      <w:r>
        <w:rPr>
          <w:rStyle w:val="FootnoteAnchor"/>
          <w:rFonts w:ascii="Arial" w:hAnsi="Arial"/>
          <w:b w:val="false"/>
          <w:bCs/>
          <w:i/>
          <w:iCs/>
          <w:caps w:val="false"/>
          <w:smallCaps w:val="false"/>
          <w:color w:val="000000"/>
          <w:spacing w:val="0"/>
          <w:sz w:val="24"/>
          <w:szCs w:val="24"/>
        </w:rPr>
        <w:footnoteReference w:id="5"/>
      </w:r>
      <w:r>
        <w:rPr>
          <w:rFonts w:ascii="Arial" w:hAnsi="Arial"/>
          <w:b w:val="false"/>
          <w:bCs/>
          <w:i w:val="false"/>
          <w:iCs w:val="false"/>
          <w:caps w:val="false"/>
          <w:smallCaps w:val="false"/>
          <w:color w:val="000000"/>
          <w:spacing w:val="0"/>
          <w:sz w:val="24"/>
          <w:szCs w:val="24"/>
        </w:rPr>
        <w:t xml:space="preserve"> This kind of definition is considered as a functional definition however the problem with this is that it can be applied to the beliefs and behaviours of things that are not necessarily religious. Also this definition is rather seen as restricting, it reduces religion to a small amount of feelings and behaviours that are not, again  considered as religious. Because of this, it is difficult to segregate the religious from the non religious.</w:t>
      </w:r>
      <w:r>
        <w:rPr>
          <w:rStyle w:val="FootnoteAnchor"/>
          <w:rFonts w:ascii="Arial" w:hAnsi="Arial"/>
          <w:b w:val="false"/>
          <w:bCs/>
          <w:i w:val="false"/>
          <w:iCs w:val="false"/>
          <w:caps w:val="false"/>
          <w:smallCaps w:val="false"/>
          <w:color w:val="000000"/>
          <w:spacing w:val="0"/>
          <w:sz w:val="24"/>
          <w:szCs w:val="24"/>
        </w:rPr>
        <w:footnoteReference w:id="6"/>
      </w:r>
      <w:r>
        <w:rPr>
          <w:rFonts w:ascii="Arial" w:hAnsi="Arial"/>
          <w:b w:val="false"/>
          <w:bCs/>
          <w:i w:val="false"/>
          <w:iCs w:val="false"/>
          <w:caps w:val="false"/>
          <w:smallCaps w:val="false"/>
          <w:color w:val="000000"/>
          <w:spacing w:val="0"/>
          <w:sz w:val="24"/>
          <w:szCs w:val="24"/>
        </w:rPr>
        <w:t xml:space="preserve"> I would disagree with this being a problem, due to the fact that religion is a hard term to define as it has been stated by Oestigaard in ‘</w:t>
      </w:r>
      <w:r>
        <w:rPr>
          <w:rFonts w:ascii="Arial" w:hAnsi="Arial"/>
          <w:b w:val="false"/>
          <w:bCs/>
          <w:i/>
          <w:iCs/>
          <w:caps w:val="false"/>
          <w:smallCaps w:val="false"/>
          <w:color w:val="000000"/>
          <w:spacing w:val="0"/>
          <w:sz w:val="24"/>
          <w:szCs w:val="24"/>
        </w:rPr>
        <w:t xml:space="preserve">Religion at Work in Globalised Traditions’ </w:t>
      </w:r>
      <w:r>
        <w:rPr>
          <w:rFonts w:ascii="Arial" w:hAnsi="Arial"/>
          <w:b w:val="false"/>
          <w:bCs/>
          <w:i w:val="false"/>
          <w:iCs w:val="false"/>
          <w:caps w:val="false"/>
          <w:smallCaps w:val="false"/>
          <w:color w:val="000000"/>
          <w:spacing w:val="0"/>
          <w:sz w:val="24"/>
          <w:szCs w:val="24"/>
        </w:rPr>
        <w:t>who claims that</w:t>
      </w:r>
      <w:r>
        <w:rPr>
          <w:rFonts w:ascii="Arial" w:hAnsi="Arial"/>
          <w:b w:val="false"/>
          <w:bCs/>
          <w:i/>
          <w:iCs/>
          <w:caps w:val="false"/>
          <w:smallCaps w:val="false"/>
          <w:color w:val="000000"/>
          <w:spacing w:val="0"/>
          <w:sz w:val="24"/>
          <w:szCs w:val="24"/>
        </w:rPr>
        <w:t xml:space="preserve"> </w:t>
      </w:r>
      <w:r>
        <w:rPr>
          <w:rFonts w:ascii="Arial" w:hAnsi="Arial"/>
          <w:b w:val="false"/>
          <w:bCs/>
          <w:i w:val="false"/>
          <w:iCs w:val="false"/>
          <w:caps w:val="false"/>
          <w:smallCaps w:val="false"/>
          <w:color w:val="000000"/>
          <w:spacing w:val="0"/>
          <w:sz w:val="24"/>
          <w:szCs w:val="24"/>
        </w:rPr>
        <w:t>defining religion is a hard thing to do. Almost impossible if the intention is to capture a worldly content of religion across time and space.</w:t>
      </w:r>
      <w:r>
        <w:rPr>
          <w:rStyle w:val="FootnoteAnchor"/>
          <w:rFonts w:ascii="Arial" w:hAnsi="Arial"/>
          <w:b w:val="false"/>
          <w:bCs/>
          <w:i w:val="false"/>
          <w:iCs w:val="false"/>
          <w:caps w:val="false"/>
          <w:smallCaps w:val="false"/>
          <w:color w:val="000000"/>
          <w:spacing w:val="0"/>
          <w:sz w:val="24"/>
          <w:szCs w:val="24"/>
        </w:rPr>
        <w:footnoteReference w:id="7"/>
      </w:r>
      <w:r>
        <w:rPr>
          <w:rFonts w:ascii="Arial" w:hAnsi="Arial"/>
          <w:b w:val="false"/>
          <w:bCs/>
          <w:i w:val="false"/>
          <w:iCs w:val="false"/>
          <w:caps w:val="false"/>
          <w:smallCaps w:val="false"/>
          <w:color w:val="000000"/>
          <w:spacing w:val="0"/>
          <w:sz w:val="24"/>
          <w:szCs w:val="24"/>
        </w:rPr>
        <w:t xml:space="preserve"> Ninian Smart on the other hand offers an analytic approach</w:t>
      </w:r>
      <w:r>
        <w:rPr>
          <w:rStyle w:val="FootnoteAnchor"/>
          <w:rFonts w:ascii="Arial" w:hAnsi="Arial"/>
          <w:b w:val="false"/>
          <w:bCs/>
          <w:i w:val="false"/>
          <w:iCs w:val="false"/>
          <w:caps w:val="false"/>
          <w:smallCaps w:val="false"/>
          <w:color w:val="000000"/>
          <w:spacing w:val="0"/>
          <w:sz w:val="24"/>
          <w:szCs w:val="24"/>
        </w:rPr>
        <w:footnoteReference w:id="8"/>
      </w:r>
      <w:r>
        <w:rPr>
          <w:rFonts w:ascii="Arial" w:hAnsi="Arial"/>
          <w:b w:val="false"/>
          <w:bCs/>
          <w:i w:val="false"/>
          <w:iCs w:val="false"/>
          <w:caps w:val="false"/>
          <w:smallCaps w:val="false"/>
          <w:color w:val="000000"/>
          <w:spacing w:val="0"/>
          <w:sz w:val="24"/>
          <w:szCs w:val="24"/>
        </w:rPr>
        <w:t xml:space="preserve"> and states ‘I</w:t>
      </w:r>
      <w:r>
        <w:rPr>
          <w:rFonts w:ascii="Arial" w:hAnsi="Arial"/>
          <w:b w:val="false"/>
          <w:bCs/>
          <w:i/>
          <w:iCs/>
          <w:caps w:val="false"/>
          <w:smallCaps w:val="false"/>
          <w:color w:val="000000"/>
          <w:spacing w:val="0"/>
          <w:sz w:val="24"/>
          <w:szCs w:val="24"/>
        </w:rPr>
        <w:t>n The Study of Religion</w:t>
      </w:r>
      <w:r>
        <w:rPr>
          <w:rFonts w:ascii="Arial" w:hAnsi="Arial"/>
          <w:b w:val="false"/>
          <w:bCs/>
          <w:i w:val="false"/>
          <w:iCs w:val="false"/>
          <w:caps w:val="false"/>
          <w:smallCaps w:val="false"/>
          <w:color w:val="000000"/>
          <w:spacing w:val="0"/>
          <w:sz w:val="24"/>
          <w:szCs w:val="24"/>
        </w:rPr>
        <w:t>’ that in order to clarify or understand religion one must identify what the different components are such as their structure and how they link together. Therefore Smart created a framework known as the 7 dimensions. These are as follows: The Experimental, The mythic, otherwise known as mythological, The Doctrinal, The Ethical, The Ritual, The Social and The Material.</w:t>
      </w:r>
      <w:r>
        <w:rPr>
          <w:rStyle w:val="FootnoteAnchor"/>
          <w:rFonts w:ascii="Arial" w:hAnsi="Arial"/>
          <w:b w:val="false"/>
          <w:bCs/>
          <w:i w:val="false"/>
          <w:iCs w:val="false"/>
          <w:caps w:val="false"/>
          <w:smallCaps w:val="false"/>
          <w:color w:val="000000"/>
          <w:spacing w:val="0"/>
          <w:sz w:val="24"/>
          <w:szCs w:val="24"/>
        </w:rPr>
        <w:footnoteReference w:id="9"/>
      </w:r>
      <w:r>
        <w:rPr>
          <w:rFonts w:ascii="Arial" w:hAnsi="Arial"/>
          <w:b w:val="false"/>
          <w:bCs/>
          <w:i w:val="false"/>
          <w:iCs w:val="false"/>
          <w:caps w:val="false"/>
          <w:smallCaps w:val="false"/>
          <w:color w:val="000000"/>
          <w:spacing w:val="0"/>
          <w:sz w:val="24"/>
          <w:szCs w:val="24"/>
        </w:rPr>
        <w:t xml:space="preserve"> In order for something to be considered as religious, it should fit into the 7 categories. </w:t>
      </w:r>
    </w:p>
    <w:p>
      <w:pPr>
        <w:pStyle w:val="NormalWeb"/>
        <w:spacing w:lineRule="auto" w:line="276" w:beforeAutospacing="0" w:before="0" w:afterAutospacing="0" w:after="0"/>
        <w:ind w:right="-334" w:hanging="0"/>
        <w:jc w:val="both"/>
        <w:rPr/>
      </w:pPr>
      <w:r>
        <w:rPr>
          <w:rFonts w:ascii="Arial" w:hAnsi="Arial"/>
          <w:b w:val="false"/>
          <w:bCs/>
          <w:i w:val="false"/>
          <w:iCs w:val="false"/>
          <w:caps w:val="false"/>
          <w:smallCaps w:val="false"/>
          <w:color w:val="000000"/>
          <w:spacing w:val="0"/>
          <w:sz w:val="24"/>
          <w:szCs w:val="24"/>
        </w:rPr>
        <w:tab/>
        <w:t>In a nutshell Religion in ancient Greece was seen as a polytheistic religion. It worshipped many gods yet, The Gods were not seen for their kindness but rather their power. Each God has particular attributes and functions however they unite and each has their own special place and relationship to others. They believe in a creator of the men and women but deny places such as heaven and believe that souls go to the underworld when a person dies. People would learn about the gods via poetry rather than religious texts such as the Bible. The fear of ghosts are what introduced sacrifices and these are central to the Greek religion.</w:t>
      </w:r>
      <w:r>
        <w:rPr>
          <w:rStyle w:val="FootnoteAnchor"/>
          <w:rFonts w:ascii="Arial" w:hAnsi="Arial"/>
          <w:b w:val="false"/>
          <w:bCs/>
          <w:i w:val="false"/>
          <w:iCs w:val="false"/>
          <w:caps w:val="false"/>
          <w:smallCaps w:val="false"/>
          <w:color w:val="000000"/>
          <w:spacing w:val="0"/>
          <w:sz w:val="24"/>
          <w:szCs w:val="24"/>
        </w:rPr>
        <w:footnoteReference w:id="10"/>
      </w:r>
      <w:r>
        <w:rPr>
          <w:rFonts w:ascii="Arial" w:hAnsi="Arial"/>
          <w:b w:val="false"/>
          <w:bCs/>
          <w:i w:val="false"/>
          <w:iCs w:val="false"/>
          <w:caps w:val="false"/>
          <w:smallCaps w:val="false"/>
          <w:color w:val="FF4000"/>
          <w:spacing w:val="0"/>
          <w:sz w:val="24"/>
          <w:szCs w:val="24"/>
        </w:rPr>
        <w:t xml:space="preserve"> </w:t>
      </w:r>
    </w:p>
    <w:p>
      <w:pPr>
        <w:pStyle w:val="NormalWeb"/>
        <w:spacing w:lineRule="auto" w:line="276" w:beforeAutospacing="0" w:before="0" w:afterAutospacing="0" w:after="0"/>
        <w:ind w:right="-334" w:hanging="0"/>
        <w:jc w:val="both"/>
        <w:rPr/>
      </w:pPr>
      <w:r>
        <w:rPr>
          <w:rFonts w:ascii="Arial" w:hAnsi="Arial"/>
          <w:b w:val="false"/>
          <w:bCs/>
          <w:i w:val="false"/>
          <w:iCs w:val="false"/>
          <w:caps w:val="false"/>
          <w:smallCaps w:val="false"/>
          <w:color w:val="FF4000"/>
          <w:spacing w:val="0"/>
          <w:sz w:val="24"/>
          <w:szCs w:val="24"/>
        </w:rPr>
        <w:tab/>
      </w:r>
      <w:r>
        <w:rPr>
          <w:rFonts w:ascii="Arial" w:hAnsi="Arial"/>
          <w:b w:val="false"/>
          <w:bCs/>
          <w:i w:val="false"/>
          <w:iCs w:val="false"/>
          <w:caps w:val="false"/>
          <w:smallCaps w:val="false"/>
          <w:color w:val="000000"/>
          <w:spacing w:val="0"/>
          <w:sz w:val="24"/>
          <w:szCs w:val="24"/>
        </w:rPr>
        <w:t>If we take the above information on religion in ancient Greece into account and cross reference it to Ninian Smart’s dimensions we are able to identify the components that make up the Greek Religion. The Greek religion consists of the experimental dimension for it has rituals such as sacrifices that are used for divination purposes and it consists of mythology.</w:t>
      </w:r>
      <w:r>
        <w:rPr>
          <w:rStyle w:val="FootnoteAnchor"/>
          <w:rFonts w:ascii="Arial" w:hAnsi="Arial"/>
          <w:b w:val="false"/>
          <w:bCs/>
          <w:i w:val="false"/>
          <w:iCs w:val="false"/>
          <w:caps w:val="false"/>
          <w:smallCaps w:val="false"/>
          <w:color w:val="000000"/>
          <w:spacing w:val="0"/>
          <w:sz w:val="24"/>
          <w:szCs w:val="24"/>
        </w:rPr>
        <w:footnoteReference w:id="11"/>
      </w:r>
      <w:r>
        <w:rPr>
          <w:rFonts w:ascii="Arial" w:hAnsi="Arial"/>
          <w:b w:val="false"/>
          <w:bCs/>
          <w:i w:val="false"/>
          <w:iCs w:val="false"/>
          <w:caps w:val="false"/>
          <w:smallCaps w:val="false"/>
          <w:color w:val="000000"/>
          <w:spacing w:val="0"/>
          <w:sz w:val="24"/>
          <w:szCs w:val="24"/>
        </w:rPr>
        <w:t xml:space="preserve"> In terms of doctrinal they did not have a Bible like Christianity or Torah like Judaism but simply used poems.</w:t>
      </w:r>
      <w:r>
        <w:rPr>
          <w:rStyle w:val="FootnoteAnchor"/>
          <w:rFonts w:ascii="Arial" w:hAnsi="Arial"/>
          <w:b w:val="false"/>
          <w:bCs/>
          <w:i w:val="false"/>
          <w:iCs w:val="false"/>
          <w:caps w:val="false"/>
          <w:smallCaps w:val="false"/>
          <w:color w:val="000000"/>
          <w:spacing w:val="0"/>
          <w:sz w:val="24"/>
          <w:szCs w:val="24"/>
        </w:rPr>
        <w:footnoteReference w:id="12"/>
      </w:r>
      <w:r>
        <w:rPr>
          <w:rFonts w:ascii="Arial" w:hAnsi="Arial"/>
          <w:b w:val="false"/>
          <w:bCs/>
          <w:i w:val="false"/>
          <w:iCs w:val="false"/>
          <w:caps w:val="false"/>
          <w:smallCaps w:val="false"/>
          <w:color w:val="000000"/>
          <w:spacing w:val="0"/>
          <w:sz w:val="24"/>
          <w:szCs w:val="24"/>
        </w:rPr>
        <w:t xml:space="preserve"> According to George Tridimas they did not have any ethical codes on how to behave either.</w:t>
      </w:r>
      <w:r>
        <w:rPr>
          <w:rStyle w:val="FootnoteAnchor"/>
          <w:rFonts w:ascii="Arial" w:hAnsi="Arial"/>
          <w:b w:val="false"/>
          <w:bCs/>
          <w:i w:val="false"/>
          <w:iCs w:val="false"/>
          <w:caps w:val="false"/>
          <w:smallCaps w:val="false"/>
          <w:color w:val="000000"/>
          <w:spacing w:val="0"/>
          <w:sz w:val="24"/>
          <w:szCs w:val="24"/>
        </w:rPr>
        <w:footnoteReference w:id="13"/>
      </w:r>
      <w:r>
        <w:rPr>
          <w:rFonts w:ascii="Arial" w:hAnsi="Arial"/>
          <w:b w:val="false"/>
          <w:bCs/>
          <w:i w:val="false"/>
          <w:iCs w:val="false"/>
          <w:caps w:val="false"/>
          <w:smallCaps w:val="false"/>
          <w:color w:val="000000"/>
          <w:spacing w:val="0"/>
          <w:sz w:val="24"/>
          <w:szCs w:val="24"/>
        </w:rPr>
        <w:t xml:space="preserve"> However they did partake in rituals which were central to their practice.</w:t>
      </w:r>
      <w:r>
        <w:rPr>
          <w:rStyle w:val="FootnoteAnchor"/>
          <w:rFonts w:ascii="Arial" w:hAnsi="Arial"/>
          <w:b w:val="false"/>
          <w:bCs/>
          <w:i w:val="false"/>
          <w:iCs w:val="false"/>
          <w:caps w:val="false"/>
          <w:smallCaps w:val="false"/>
          <w:color w:val="000000"/>
          <w:spacing w:val="0"/>
          <w:sz w:val="24"/>
          <w:szCs w:val="24"/>
        </w:rPr>
        <w:footnoteReference w:id="14"/>
      </w:r>
      <w:r>
        <w:rPr>
          <w:rFonts w:ascii="Arial" w:hAnsi="Arial"/>
          <w:b w:val="false"/>
          <w:bCs/>
          <w:i w:val="false"/>
          <w:iCs w:val="false"/>
          <w:caps w:val="false"/>
          <w:smallCaps w:val="false"/>
          <w:color w:val="000000"/>
          <w:spacing w:val="0"/>
          <w:sz w:val="24"/>
          <w:szCs w:val="24"/>
        </w:rPr>
        <w:t xml:space="preserve"> When it comes to the social aspect of Greek religion, they lacked a priesthood apart from one exception which was the apollos priesthood at Delphi. Many of the prayers and sacrifices could be carried out by the worshippers without the presence of a priest.</w:t>
      </w:r>
      <w:r>
        <w:rPr>
          <w:rStyle w:val="FootnoteAnchor"/>
          <w:rFonts w:ascii="Arial" w:hAnsi="Arial"/>
          <w:b w:val="false"/>
          <w:bCs/>
          <w:i w:val="false"/>
          <w:iCs w:val="false"/>
          <w:caps w:val="false"/>
          <w:smallCaps w:val="false"/>
          <w:color w:val="000000"/>
          <w:spacing w:val="0"/>
          <w:sz w:val="24"/>
          <w:szCs w:val="24"/>
        </w:rPr>
        <w:footnoteReference w:id="15"/>
      </w:r>
      <w:r>
        <w:rPr>
          <w:rFonts w:ascii="Arial" w:hAnsi="Arial"/>
          <w:b w:val="false"/>
          <w:bCs/>
          <w:i w:val="false"/>
          <w:iCs w:val="false"/>
          <w:caps w:val="false"/>
          <w:smallCaps w:val="false"/>
          <w:color w:val="000000"/>
          <w:spacing w:val="0"/>
          <w:sz w:val="24"/>
          <w:szCs w:val="24"/>
        </w:rPr>
        <w:t xml:space="preserve">  Last of all is the material dimension,  which we have already identified that the gods of ancient Greece have their own special place.</w:t>
      </w:r>
      <w:r>
        <w:rPr>
          <w:rStyle w:val="FootnoteAnchor"/>
          <w:rFonts w:ascii="Arial" w:hAnsi="Arial"/>
          <w:b w:val="false"/>
          <w:bCs/>
          <w:i w:val="false"/>
          <w:iCs w:val="false"/>
          <w:caps w:val="false"/>
          <w:smallCaps w:val="false"/>
          <w:color w:val="000000"/>
          <w:spacing w:val="0"/>
          <w:sz w:val="24"/>
          <w:szCs w:val="24"/>
        </w:rPr>
        <w:footnoteReference w:id="16"/>
      </w:r>
      <w:r>
        <w:rPr>
          <w:rFonts w:ascii="Arial" w:hAnsi="Arial"/>
          <w:b w:val="false"/>
          <w:bCs/>
          <w:i w:val="false"/>
          <w:iCs w:val="false"/>
          <w:caps w:val="false"/>
          <w:smallCaps w:val="false"/>
          <w:color w:val="000000"/>
          <w:spacing w:val="0"/>
          <w:sz w:val="24"/>
          <w:szCs w:val="24"/>
        </w:rPr>
        <w:t xml:space="preserve"> Many of the sacrifices carried out by ancient Greeks were performed in front of an altar. Greece also had sanctuaries where worshippers could practise rites.</w:t>
      </w:r>
      <w:r>
        <w:rPr>
          <w:rStyle w:val="FootnoteAnchor"/>
          <w:rFonts w:ascii="Arial" w:hAnsi="Arial"/>
          <w:b w:val="false"/>
          <w:bCs/>
          <w:i w:val="false"/>
          <w:iCs w:val="false"/>
          <w:caps w:val="false"/>
          <w:smallCaps w:val="false"/>
          <w:color w:val="000000"/>
          <w:spacing w:val="0"/>
          <w:sz w:val="24"/>
          <w:szCs w:val="24"/>
        </w:rPr>
        <w:footnoteReference w:id="17"/>
      </w:r>
      <w:r>
        <w:rPr>
          <w:rFonts w:ascii="Arial" w:hAnsi="Arial"/>
          <w:b w:val="false"/>
          <w:bCs/>
          <w:i w:val="false"/>
          <w:iCs w:val="false"/>
          <w:caps w:val="false"/>
          <w:smallCaps w:val="false"/>
          <w:color w:val="000000"/>
          <w:spacing w:val="0"/>
          <w:sz w:val="24"/>
          <w:szCs w:val="24"/>
        </w:rPr>
        <w:t xml:space="preserve"> Overall we can see that the Greek religion fits into some but not all of Ninian Smart’s dimensions, however Christiane Sourvinou-Inwood, who was described as a classist by Jan Bremmer from the University of Groningen</w:t>
      </w:r>
      <w:r>
        <w:rPr>
          <w:rStyle w:val="FootnoteAnchor"/>
          <w:rFonts w:ascii="Arial" w:hAnsi="Arial"/>
          <w:b w:val="false"/>
          <w:bCs/>
          <w:i w:val="false"/>
          <w:iCs w:val="false"/>
          <w:caps w:val="false"/>
          <w:smallCaps w:val="false"/>
          <w:color w:val="000000"/>
          <w:spacing w:val="0"/>
          <w:sz w:val="24"/>
          <w:szCs w:val="24"/>
        </w:rPr>
        <w:footnoteReference w:id="18"/>
      </w:r>
      <w:r>
        <w:rPr>
          <w:rFonts w:ascii="Arial" w:hAnsi="Arial"/>
          <w:b w:val="false"/>
          <w:bCs/>
          <w:i w:val="false"/>
          <w:iCs w:val="false"/>
          <w:caps w:val="false"/>
          <w:smallCaps w:val="false"/>
          <w:color w:val="000000"/>
          <w:spacing w:val="0"/>
          <w:sz w:val="24"/>
          <w:szCs w:val="24"/>
        </w:rPr>
        <w:t xml:space="preserve"> describes Greek religion by the term that she developed as ‘polis religion’ it refers to the social and political life of the Greeks in Polis. Whilst this refers to Greek religion in a particular area of Greece the poetry of Homer meant that many other cities followed the same pantheon. And that religion provided a shared set of ideas and values across Greece.</w:t>
      </w:r>
      <w:r>
        <w:rPr>
          <w:rStyle w:val="FootnoteAnchor"/>
          <w:rFonts w:ascii="Arial" w:hAnsi="Arial"/>
          <w:b w:val="false"/>
          <w:bCs/>
          <w:i w:val="false"/>
          <w:iCs w:val="false"/>
          <w:caps w:val="false"/>
          <w:smallCaps w:val="false"/>
          <w:color w:val="000000"/>
          <w:spacing w:val="0"/>
          <w:sz w:val="24"/>
          <w:szCs w:val="24"/>
        </w:rPr>
        <w:footnoteReference w:id="19"/>
      </w:r>
      <w:r>
        <w:rPr>
          <w:rFonts w:ascii="Arial" w:hAnsi="Arial"/>
          <w:b w:val="false"/>
          <w:bCs/>
          <w:i w:val="false"/>
          <w:iCs w:val="false"/>
          <w:caps w:val="false"/>
          <w:smallCaps w:val="false"/>
          <w:color w:val="000000"/>
          <w:spacing w:val="0"/>
          <w:sz w:val="24"/>
          <w:szCs w:val="24"/>
        </w:rPr>
        <w:t xml:space="preserve"> </w:t>
      </w:r>
    </w:p>
    <w:p>
      <w:pPr>
        <w:pStyle w:val="NormalWeb"/>
        <w:spacing w:lineRule="auto" w:line="276" w:beforeAutospacing="0" w:before="0" w:afterAutospacing="0" w:after="0"/>
        <w:ind w:right="-334" w:hanging="0"/>
        <w:jc w:val="both"/>
        <w:rPr/>
      </w:pPr>
      <w:r>
        <w:rPr>
          <w:rFonts w:ascii="Arial" w:hAnsi="Arial"/>
          <w:b w:val="false"/>
          <w:bCs/>
          <w:i w:val="false"/>
          <w:iCs w:val="false"/>
          <w:caps w:val="false"/>
          <w:smallCaps w:val="false"/>
          <w:color w:val="000000"/>
          <w:spacing w:val="0"/>
          <w:sz w:val="24"/>
          <w:szCs w:val="24"/>
        </w:rPr>
        <w:tab/>
        <w:t>I think from the information gathered religion is a tough word to define. There are no right or wrong answers and it will be one of those things that continue to cause debates amongst modern day scholars. Reasons being is everyone seems to appear to have different ideas especially if you come from different backgrounds for example as it can be seen from the above, the anthropologist view put forward by Clifford Geertz is different to that of Ninian Smart’s idea of religion. This could be due to the fact that not only was Ninian Smart a scholar of religion but he was also a committed Christian.</w:t>
      </w:r>
      <w:r>
        <w:rPr>
          <w:rStyle w:val="FootnoteAnchor"/>
          <w:rFonts w:ascii="Arial" w:hAnsi="Arial"/>
          <w:b w:val="false"/>
          <w:bCs/>
          <w:i w:val="false"/>
          <w:iCs w:val="false"/>
          <w:caps w:val="false"/>
          <w:smallCaps w:val="false"/>
          <w:color w:val="000000"/>
          <w:spacing w:val="0"/>
          <w:sz w:val="24"/>
          <w:szCs w:val="24"/>
        </w:rPr>
        <w:footnoteReference w:id="20"/>
      </w:r>
      <w:r>
        <w:rPr>
          <w:rFonts w:ascii="Arial" w:hAnsi="Arial"/>
          <w:b w:val="false"/>
          <w:bCs/>
          <w:i w:val="false"/>
          <w:iCs w:val="false"/>
          <w:caps w:val="false"/>
          <w:smallCaps w:val="false"/>
          <w:color w:val="000000"/>
          <w:spacing w:val="0"/>
          <w:sz w:val="24"/>
          <w:szCs w:val="24"/>
        </w:rPr>
        <w:t xml:space="preserve"> Due to Smart being a committed Christian would this then not make his view more of an emic perspective on religion. </w:t>
      </w:r>
    </w:p>
    <w:p>
      <w:pPr>
        <w:pStyle w:val="NormalWeb"/>
        <w:spacing w:lineRule="auto" w:line="276" w:beforeAutospacing="0" w:before="114" w:afterAutospacing="0" w:after="114"/>
        <w:ind w:right="-334" w:hanging="0"/>
        <w:jc w:val="both"/>
        <w:rPr>
          <w:rFonts w:ascii="Arial" w:hAnsi="Arial"/>
          <w:b/>
          <w:b/>
          <w:bCs/>
          <w:sz w:val="24"/>
          <w:szCs w:val="24"/>
        </w:rPr>
      </w:pPr>
      <w:r>
        <w:rPr>
          <w:rFonts w:ascii="Arial" w:hAnsi="Arial"/>
          <w:b/>
          <w:bCs/>
          <w:sz w:val="24"/>
          <w:szCs w:val="24"/>
        </w:rPr>
      </w:r>
    </w:p>
    <w:p>
      <w:pPr>
        <w:pStyle w:val="NormalWeb"/>
        <w:spacing w:lineRule="auto" w:line="276" w:beforeAutospacing="0" w:before="114" w:afterAutospacing="0" w:after="114"/>
        <w:ind w:right="-334" w:hanging="0"/>
        <w:jc w:val="both"/>
        <w:rPr/>
      </w:pPr>
      <w:r>
        <w:rPr>
          <w:rFonts w:ascii="Arial" w:hAnsi="Arial"/>
          <w:b/>
          <w:bCs/>
          <w:sz w:val="24"/>
          <w:szCs w:val="24"/>
        </w:rPr>
        <w:t xml:space="preserve">Magic </w:t>
      </w:r>
    </w:p>
    <w:p>
      <w:pPr>
        <w:pStyle w:val="NormalWeb"/>
        <w:spacing w:lineRule="auto" w:line="276" w:beforeAutospacing="0" w:before="114" w:afterAutospacing="0" w:after="114"/>
        <w:ind w:right="-334" w:hanging="0"/>
        <w:jc w:val="both"/>
        <w:rPr/>
      </w:pPr>
      <w:r>
        <w:rPr>
          <w:rFonts w:ascii="Arial" w:hAnsi="Arial"/>
          <w:sz w:val="24"/>
          <w:szCs w:val="24"/>
        </w:rPr>
        <w:tab/>
        <w:t>According to Derek Collins, coining a definition of magic has been a continuous lengthy debate amongst anthropologists as well as throughout the history of magic.</w:t>
      </w:r>
      <w:r>
        <w:rPr>
          <w:rStyle w:val="FootnoteAnchor"/>
          <w:rFonts w:ascii="Arial" w:hAnsi="Arial"/>
          <w:sz w:val="24"/>
          <w:szCs w:val="24"/>
        </w:rPr>
        <w:footnoteReference w:id="21"/>
      </w:r>
      <w:r>
        <w:rPr>
          <w:rFonts w:ascii="Arial" w:hAnsi="Arial"/>
          <w:sz w:val="24"/>
          <w:szCs w:val="24"/>
        </w:rPr>
        <w:t xml:space="preserve"> With that said Sarah Iles Johnston, who reviewed scholarly work on magic in the ancient world si</w:t>
      </w:r>
      <w:r>
        <w:rPr>
          <w:rFonts w:eastAsia="SimSun" w:cs="Times New Roman" w:ascii="Arial" w:hAnsi="Arial"/>
          <w:color w:val="000000"/>
          <w:kern w:val="0"/>
          <w:sz w:val="24"/>
          <w:szCs w:val="24"/>
          <w:lang w:val="en-GB" w:eastAsia="zh-CN" w:bidi="ar-SA"/>
        </w:rPr>
        <w:t>tes Marvin Meyer’s comparison, who compares the scholarship of magic to riding an unstable bike. Continuous progress is made in the understanding of ancient magic as it is like riding a bike but every so often one has to stop and carry out work on it just as it is with defining magic. The definition of magic will always be a bit vague and if one takes too much time on trying to perfect a definition it will never make progress.</w:t>
      </w:r>
      <w:r>
        <w:rPr>
          <w:rStyle w:val="FootnoteAnchor"/>
          <w:rFonts w:eastAsia="SimSun" w:cs="Times New Roman" w:ascii="Arial" w:hAnsi="Arial"/>
          <w:color w:val="000000"/>
          <w:kern w:val="0"/>
          <w:sz w:val="24"/>
          <w:szCs w:val="24"/>
          <w:lang w:val="en-GB" w:eastAsia="zh-CN" w:bidi="ar-SA"/>
        </w:rPr>
        <w:footnoteReference w:id="22"/>
      </w:r>
      <w:r>
        <w:rPr>
          <w:rFonts w:eastAsia="SimSun" w:cs="Times New Roman" w:ascii="Arial" w:hAnsi="Arial"/>
          <w:color w:val="000000"/>
          <w:kern w:val="0"/>
          <w:sz w:val="24"/>
          <w:szCs w:val="24"/>
          <w:lang w:val="en-GB" w:eastAsia="zh-CN" w:bidi="ar-SA"/>
        </w:rPr>
        <w:t xml:space="preserve"> It is evident from this information that defining magic is a complex issue</w:t>
      </w:r>
      <w:r>
        <w:rPr>
          <w:rFonts w:ascii="Arial" w:hAnsi="Arial"/>
          <w:sz w:val="24"/>
          <w:szCs w:val="24"/>
        </w:rPr>
        <w:t xml:space="preserve"> However that said the term magic originated from the ancient Greek </w:t>
      </w:r>
      <w:r>
        <w:rPr>
          <w:rFonts w:ascii="arial;sans-serif" w:hAnsi="arial;sans-serif"/>
          <w:b w:val="false"/>
          <w:i w:val="false"/>
          <w:caps w:val="false"/>
          <w:smallCaps w:val="false"/>
          <w:color w:val="202124"/>
          <w:spacing w:val="0"/>
          <w:sz w:val="21"/>
        </w:rPr>
        <w:t>μαγεία</w:t>
      </w:r>
      <w:r>
        <w:rPr/>
        <w:t xml:space="preserve"> </w:t>
      </w:r>
      <w:r>
        <w:rPr>
          <w:rFonts w:ascii="Arial" w:hAnsi="Arial"/>
          <w:sz w:val="24"/>
          <w:szCs w:val="24"/>
        </w:rPr>
        <w:t xml:space="preserve">and the Latin terms of magus and magicus. </w:t>
      </w:r>
      <w:r>
        <w:rPr>
          <w:rStyle w:val="FootnoteAnchor"/>
          <w:rFonts w:ascii="Arial" w:hAnsi="Arial"/>
          <w:sz w:val="24"/>
          <w:szCs w:val="24"/>
        </w:rPr>
        <w:footnoteReference w:id="23"/>
      </w:r>
    </w:p>
    <w:p>
      <w:pPr>
        <w:pStyle w:val="NormalWeb"/>
        <w:spacing w:lineRule="auto" w:line="276" w:beforeAutospacing="0" w:before="114" w:afterAutospacing="0" w:after="114"/>
        <w:ind w:right="-334" w:hanging="0"/>
        <w:jc w:val="both"/>
        <w:rPr/>
      </w:pPr>
      <w:r>
        <w:rPr>
          <w:rFonts w:ascii="Arial" w:hAnsi="Arial"/>
          <w:sz w:val="24"/>
          <w:szCs w:val="24"/>
        </w:rPr>
        <w:tab/>
        <w:t>From ancient Greek to the Romans times and to the earl</w:t>
      </w:r>
      <w:r>
        <w:rPr>
          <w:rFonts w:ascii="Arial" w:hAnsi="Arial"/>
          <w:sz w:val="24"/>
          <w:szCs w:val="24"/>
        </w:rPr>
        <w:t>ier middle</w:t>
      </w:r>
      <w:r>
        <w:rPr>
          <w:rFonts w:ascii="Arial" w:hAnsi="Arial"/>
          <w:sz w:val="24"/>
          <w:szCs w:val="24"/>
        </w:rPr>
        <w:t xml:space="preserve"> </w:t>
      </w:r>
      <w:r>
        <w:rPr>
          <w:rFonts w:ascii="Arial" w:hAnsi="Arial"/>
          <w:sz w:val="24"/>
          <w:szCs w:val="24"/>
        </w:rPr>
        <w:t>times</w:t>
      </w:r>
      <w:r>
        <w:rPr>
          <w:rFonts w:ascii="Arial" w:hAnsi="Arial"/>
          <w:sz w:val="24"/>
          <w:szCs w:val="24"/>
        </w:rPr>
        <w:t xml:space="preserve"> there were important </w:t>
      </w:r>
      <w:r>
        <w:rPr>
          <w:rFonts w:ascii="Arial" w:hAnsi="Arial"/>
          <w:color w:val="000000"/>
          <w:sz w:val="24"/>
          <w:szCs w:val="24"/>
          <w:lang w:eastAsia="zh-CN"/>
        </w:rPr>
        <w:t>changes to the understanding of how</w:t>
      </w:r>
      <w:r>
        <w:rPr>
          <w:rFonts w:ascii="Arial" w:hAnsi="Arial"/>
          <w:sz w:val="24"/>
          <w:szCs w:val="24"/>
        </w:rPr>
        <w:t xml:space="preserve"> magic works, it became divided into two sections, natural and demonic. Furthermore In ancient times things such as, when a bone is stuck in the throat one must repeat verses of poetry to ensure that it comes out, pinning needles into dolls in order to harm the person in mind, cursing people with written curses and writing curses that involve the calling of the underworld deities on a bed of lead and then rolling it up and piercing it with a nail to then placing it into the grave of a dead person, where all seen as magic. </w:t>
      </w:r>
      <w:r>
        <w:rPr>
          <w:rStyle w:val="FootnoteAnchor"/>
          <w:rFonts w:ascii="Arial" w:hAnsi="Arial"/>
          <w:sz w:val="24"/>
          <w:szCs w:val="24"/>
        </w:rPr>
        <w:footnoteReference w:id="24"/>
      </w:r>
      <w:r>
        <w:rPr>
          <w:rFonts w:ascii="Arial" w:hAnsi="Arial"/>
          <w:sz w:val="24"/>
          <w:szCs w:val="24"/>
        </w:rPr>
        <w:t xml:space="preserve"> Again whilst there are no specific definitions given here to magic, these are acts that have been considered as acts of magic. Which then raises the question of how did the ancient Greeks come to the understanding that these acts were magic. According to Collins whilst some people may have believed these acts to be superstitious, numerous people would have come to a general agreement which led to a definition of magic. In critique of these magic examples or by this definition of magic some people have been led to believe that these magical arts are quite absurd. considering that the Greeks were responsible for the development of maths, science and medicine. To which, how could the two exist alongside the other </w:t>
      </w:r>
      <w:r>
        <w:rPr>
          <w:rFonts w:ascii="Arial" w:hAnsi="Arial"/>
          <w:color w:val="000000"/>
          <w:sz w:val="24"/>
          <w:szCs w:val="24"/>
          <w:lang w:eastAsia="zh-CN"/>
        </w:rPr>
        <w:t>sphere</w:t>
      </w:r>
      <w:r>
        <w:rPr>
          <w:rFonts w:ascii="Arial" w:hAnsi="Arial"/>
          <w:sz w:val="24"/>
          <w:szCs w:val="24"/>
        </w:rPr>
        <w:t xml:space="preserve"> of cultural achievements which would not have been </w:t>
      </w:r>
      <w:r>
        <w:rPr>
          <w:rFonts w:ascii="Arial" w:hAnsi="Arial"/>
          <w:color w:val="000000"/>
          <w:sz w:val="24"/>
          <w:szCs w:val="24"/>
          <w:lang w:eastAsia="zh-CN"/>
        </w:rPr>
        <w:t>achievable</w:t>
      </w:r>
      <w:r>
        <w:rPr>
          <w:rFonts w:ascii="Arial" w:hAnsi="Arial"/>
          <w:sz w:val="24"/>
          <w:szCs w:val="24"/>
        </w:rPr>
        <w:t xml:space="preserve"> if everyone thought magically.</w:t>
      </w:r>
      <w:r>
        <w:rPr>
          <w:rStyle w:val="FootnoteAnchor"/>
          <w:rFonts w:ascii="Arial" w:hAnsi="Arial"/>
          <w:sz w:val="24"/>
          <w:szCs w:val="24"/>
        </w:rPr>
        <w:footnoteReference w:id="25"/>
      </w:r>
      <w:r>
        <w:rPr>
          <w:rFonts w:ascii="Arial" w:hAnsi="Arial"/>
          <w:sz w:val="24"/>
          <w:szCs w:val="24"/>
        </w:rPr>
        <w:t xml:space="preserve"> If we take a look at the acts of magic here for example when a bone is stuck in a throat and to release it one must recite poems. Is this act of magic not considered as divine intervention? After reading Alice Sperduti article ‘</w:t>
      </w:r>
      <w:r>
        <w:rPr>
          <w:rFonts w:ascii="Arial" w:hAnsi="Arial"/>
          <w:i/>
          <w:iCs/>
          <w:sz w:val="24"/>
          <w:szCs w:val="24"/>
        </w:rPr>
        <w:t>the divine nature of poetry in antiquity’</w:t>
      </w:r>
      <w:r>
        <w:rPr>
          <w:rFonts w:ascii="Arial" w:hAnsi="Arial"/>
          <w:i/>
          <w:iCs/>
          <w:sz w:val="24"/>
          <w:szCs w:val="24"/>
          <w:shd w:fill="auto" w:val="clear"/>
        </w:rPr>
        <w:t xml:space="preserve"> </w:t>
      </w:r>
      <w:r>
        <w:rPr>
          <w:rFonts w:ascii="Arial" w:hAnsi="Arial"/>
          <w:i w:val="false"/>
          <w:iCs w:val="false"/>
          <w:sz w:val="24"/>
          <w:szCs w:val="24"/>
          <w:shd w:fill="auto" w:val="clear"/>
        </w:rPr>
        <w:t>it is clear that poetry was linked to the Gods. The divine connection to the poets originated from the poets relationship with the Gods.</w:t>
      </w:r>
      <w:r>
        <w:rPr>
          <w:rStyle w:val="FootnoteAnchor"/>
          <w:rFonts w:ascii="Arial" w:hAnsi="Arial"/>
          <w:i w:val="false"/>
          <w:iCs w:val="false"/>
          <w:sz w:val="24"/>
          <w:szCs w:val="24"/>
          <w:shd w:fill="auto" w:val="clear"/>
        </w:rPr>
        <w:footnoteReference w:id="26"/>
      </w:r>
      <w:r>
        <w:rPr>
          <w:rFonts w:ascii="Arial" w:hAnsi="Arial"/>
          <w:i w:val="false"/>
          <w:iCs w:val="false"/>
          <w:sz w:val="24"/>
          <w:szCs w:val="24"/>
          <w:shd w:fill="auto" w:val="clear"/>
        </w:rPr>
        <w:t xml:space="preserve"> therefore this act of magic requires help from the divine. </w:t>
      </w:r>
    </w:p>
    <w:p>
      <w:pPr>
        <w:pStyle w:val="NormalWeb"/>
        <w:spacing w:lineRule="auto" w:line="276" w:beforeAutospacing="0" w:before="114" w:afterAutospacing="0" w:after="114"/>
        <w:ind w:right="-334" w:hanging="0"/>
        <w:jc w:val="both"/>
        <w:rPr/>
      </w:pPr>
      <w:r>
        <w:rPr>
          <w:rFonts w:ascii="Arial" w:hAnsi="Arial"/>
          <w:sz w:val="24"/>
          <w:szCs w:val="24"/>
        </w:rPr>
        <w:tab/>
        <w:t>Whilst there are certain actions that  have helped to define the term magic, the term Theurgy is also a word used to describe a form of magic. The modern philosopher E, R Dodds describes theurgy as a form of magic that is applied to religious practices</w:t>
      </w:r>
      <w:r>
        <w:rPr>
          <w:rStyle w:val="FootnoteAnchor"/>
          <w:rFonts w:ascii="Arial" w:hAnsi="Arial"/>
          <w:sz w:val="24"/>
          <w:szCs w:val="24"/>
        </w:rPr>
        <w:footnoteReference w:id="27"/>
      </w:r>
      <w:r>
        <w:rPr>
          <w:rFonts w:ascii="Arial" w:hAnsi="Arial"/>
          <w:sz w:val="24"/>
          <w:szCs w:val="24"/>
        </w:rPr>
        <w:t>. Iamblichus was also the first philosopher to identify it as being both a religion and philosophy that involves rituals.</w:t>
      </w:r>
      <w:r>
        <w:rPr>
          <w:rStyle w:val="FootnoteAnchor"/>
          <w:rFonts w:ascii="Arial" w:hAnsi="Arial"/>
          <w:sz w:val="24"/>
          <w:szCs w:val="24"/>
        </w:rPr>
        <w:footnoteReference w:id="28"/>
      </w:r>
      <w:r>
        <w:rPr>
          <w:rFonts w:ascii="Arial" w:hAnsi="Arial"/>
          <w:sz w:val="24"/>
          <w:szCs w:val="24"/>
        </w:rPr>
        <w:t xml:space="preserve"> In addition to this In Iamblichus ‘On the Mysteries’  theurgy is described as a “religious ritual demonstrating supernatural power”.</w:t>
      </w:r>
      <w:r>
        <w:rPr>
          <w:rStyle w:val="FootnoteAnchor"/>
          <w:rFonts w:ascii="Arial" w:hAnsi="Arial"/>
          <w:sz w:val="24"/>
          <w:szCs w:val="24"/>
        </w:rPr>
        <w:footnoteReference w:id="29"/>
      </w:r>
      <w:r>
        <w:rPr>
          <w:rFonts w:ascii="Arial" w:hAnsi="Arial"/>
          <w:sz w:val="24"/>
          <w:szCs w:val="24"/>
        </w:rPr>
        <w:t xml:space="preserve"> As it can be seen from this information theurgy is related to both religious practice and magic and according to Iamblichus there are no separations, magic and religion intertwined under the heading of divination. In contrast some early anthropologists regarded magic and religion as two separate things with Edward Taylor stating that magic is a</w:t>
      </w:r>
      <w:r>
        <w:rPr>
          <w:rFonts w:ascii="Arial" w:hAnsi="Arial"/>
          <w:sz w:val="24"/>
          <w:szCs w:val="24"/>
        </w:rPr>
        <w:t>n</w:t>
      </w:r>
      <w:r>
        <w:rPr>
          <w:rFonts w:ascii="Arial" w:hAnsi="Arial"/>
          <w:sz w:val="24"/>
          <w:szCs w:val="24"/>
        </w:rPr>
        <w:t xml:space="preserve"> </w:t>
      </w:r>
      <w:r>
        <w:rPr>
          <w:rFonts w:ascii="Arial" w:hAnsi="Arial"/>
          <w:sz w:val="24"/>
          <w:szCs w:val="24"/>
        </w:rPr>
        <w:t>intelligent</w:t>
      </w:r>
      <w:r>
        <w:rPr>
          <w:rFonts w:ascii="Arial" w:hAnsi="Arial"/>
          <w:sz w:val="24"/>
          <w:szCs w:val="24"/>
        </w:rPr>
        <w:t xml:space="preserve"> </w:t>
      </w:r>
      <w:r>
        <w:rPr>
          <w:rFonts w:ascii="Arial" w:hAnsi="Arial"/>
          <w:sz w:val="24"/>
          <w:szCs w:val="24"/>
        </w:rPr>
        <w:t>thought process</w:t>
      </w:r>
      <w:r>
        <w:rPr>
          <w:rFonts w:ascii="Arial" w:hAnsi="Arial"/>
          <w:sz w:val="24"/>
          <w:szCs w:val="24"/>
        </w:rPr>
        <w:t xml:space="preserve">. </w:t>
      </w:r>
      <w:r>
        <w:rPr>
          <w:rStyle w:val="FootnoteAnchor"/>
          <w:rFonts w:ascii="Arial" w:hAnsi="Arial"/>
          <w:sz w:val="24"/>
          <w:szCs w:val="24"/>
        </w:rPr>
        <w:footnoteReference w:id="30"/>
      </w:r>
      <w:r>
        <w:rPr>
          <w:rFonts w:ascii="Arial" w:hAnsi="Arial"/>
          <w:sz w:val="24"/>
          <w:szCs w:val="24"/>
        </w:rPr>
        <w:t xml:space="preserve"> </w:t>
      </w:r>
    </w:p>
    <w:p>
      <w:pPr>
        <w:pStyle w:val="NormalWeb"/>
        <w:spacing w:lineRule="auto" w:line="276" w:beforeAutospacing="0" w:before="0" w:afterAutospacing="0" w:after="0"/>
        <w:ind w:right="-334" w:hanging="0"/>
        <w:jc w:val="both"/>
        <w:rPr/>
      </w:pPr>
      <w:r>
        <w:rPr>
          <w:rFonts w:ascii="Arial" w:hAnsi="Arial"/>
          <w:b/>
          <w:bCs/>
          <w:i w:val="false"/>
          <w:iCs w:val="false"/>
          <w:caps w:val="false"/>
          <w:smallCaps w:val="false"/>
          <w:color w:val="000000"/>
          <w:spacing w:val="0"/>
          <w:sz w:val="24"/>
          <w:szCs w:val="24"/>
        </w:rPr>
        <w:t xml:space="preserve"> </w:t>
      </w:r>
    </w:p>
    <w:p>
      <w:pPr>
        <w:pStyle w:val="NormalWeb"/>
        <w:spacing w:lineRule="auto" w:line="276" w:beforeAutospacing="0" w:before="0" w:afterAutospacing="0" w:after="0"/>
        <w:ind w:right="-334" w:hanging="0"/>
        <w:jc w:val="both"/>
        <w:rPr/>
      </w:pPr>
      <w:r>
        <w:rPr>
          <w:rFonts w:ascii="Arial" w:hAnsi="Arial"/>
          <w:b/>
          <w:bCs/>
          <w:sz w:val="24"/>
          <w:szCs w:val="24"/>
        </w:rPr>
        <w:t xml:space="preserve">Divination </w:t>
      </w:r>
    </w:p>
    <w:p>
      <w:pPr>
        <w:pStyle w:val="NormalWeb"/>
        <w:spacing w:lineRule="auto" w:line="276" w:beforeAutospacing="0" w:before="0" w:afterAutospacing="0" w:after="0"/>
        <w:ind w:right="-334" w:hanging="0"/>
        <w:jc w:val="both"/>
        <w:rPr/>
      </w:pPr>
      <w:r>
        <w:rPr>
          <w:rFonts w:ascii="Arial" w:hAnsi="Arial"/>
          <w:b w:val="false"/>
          <w:bCs w:val="false"/>
          <w:sz w:val="24"/>
          <w:szCs w:val="24"/>
        </w:rPr>
        <w:tab/>
      </w:r>
      <w:r>
        <w:rPr>
          <w:rFonts w:ascii="Arial" w:hAnsi="Arial"/>
          <w:b w:val="false"/>
          <w:bCs w:val="false"/>
          <w:color w:val="000000"/>
          <w:sz w:val="24"/>
          <w:szCs w:val="24"/>
        </w:rPr>
        <w:t>Many definitions of divination have been put together. These come from an emic and Etic perspective. An etic perspective or someone who looks in from the outside defines divination as the interpretation of signs and all it took was for human beings with the help of text to interpret signs and to gain knowledge. These signs can be anything that is believed to be placed in the world by the supernatural and that has the intention or ability to communicate regardless of whether that has been encouraged or not. Whether it be through visual, through sound, through smell or through taste. In most of these cases the person must be able to identify a sign as coming from the supernatural in order to consider it as a divinity sign, the signs need to be read and understood.</w:t>
      </w:r>
      <w:r>
        <w:rPr>
          <w:rStyle w:val="FootnoteAnchor"/>
          <w:rFonts w:ascii="Arial" w:hAnsi="Arial"/>
          <w:b w:val="false"/>
          <w:bCs w:val="false"/>
          <w:color w:val="000000"/>
          <w:sz w:val="24"/>
          <w:szCs w:val="24"/>
        </w:rPr>
        <w:footnoteReference w:id="31"/>
      </w:r>
      <w:r>
        <w:rPr>
          <w:rFonts w:ascii="Arial" w:hAnsi="Arial"/>
          <w:b w:val="false"/>
          <w:bCs w:val="false"/>
          <w:color w:val="000000"/>
          <w:sz w:val="24"/>
          <w:szCs w:val="24"/>
        </w:rPr>
        <w:t xml:space="preserve"> </w:t>
      </w:r>
      <w:r>
        <w:rPr>
          <w:rFonts w:ascii="Arial" w:hAnsi="Arial"/>
          <w:b w:val="false"/>
          <w:bCs w:val="false"/>
          <w:sz w:val="24"/>
          <w:szCs w:val="24"/>
        </w:rPr>
        <w:t xml:space="preserve"> </w:t>
      </w:r>
    </w:p>
    <w:p>
      <w:pPr>
        <w:pStyle w:val="NormalWeb"/>
        <w:spacing w:lineRule="auto" w:line="276" w:beforeAutospacing="0" w:before="0" w:afterAutospacing="0" w:after="0"/>
        <w:ind w:right="-334" w:hanging="0"/>
        <w:jc w:val="both"/>
        <w:rPr/>
      </w:pPr>
      <w:r>
        <w:rPr>
          <w:rFonts w:ascii="Arial" w:hAnsi="Arial"/>
          <w:b w:val="false"/>
          <w:bCs w:val="false"/>
          <w:sz w:val="24"/>
          <w:szCs w:val="24"/>
        </w:rPr>
        <w:tab/>
        <w:t>Barbara Tedlock has described divination as a way of looking into the unknown to draw out answers to questions which are considered out of the norm for human understanding. It involves the study of symbolism. Furthermore the theory of divination has been obtained by practitioners who are part of the art and allows them to foresee the unknown.</w:t>
      </w:r>
      <w:r>
        <w:rPr>
          <w:rStyle w:val="FootnoteAnchor"/>
          <w:rFonts w:ascii="Arial" w:hAnsi="Arial"/>
          <w:b w:val="false"/>
          <w:bCs w:val="false"/>
          <w:sz w:val="24"/>
          <w:szCs w:val="24"/>
        </w:rPr>
        <w:footnoteReference w:id="32"/>
      </w:r>
      <w:r>
        <w:rPr>
          <w:rFonts w:ascii="Arial" w:hAnsi="Arial"/>
          <w:b w:val="false"/>
          <w:bCs w:val="false"/>
          <w:sz w:val="24"/>
          <w:szCs w:val="24"/>
        </w:rPr>
        <w:t xml:space="preserve"> Both of these definitions state that divination relates to the readings of signs which can help to give answers about the future. There is a general consensus here on what divination means. Tedlock further adds that the term divination in English translates from the Latin word divinationis meaning the “gift of prophecy, divination”. This developed from the past verb divinare meaning to “foretell, prophesy, forebode, divine the future”.</w:t>
      </w:r>
      <w:r>
        <w:rPr>
          <w:rStyle w:val="FootnoteAnchor"/>
          <w:rFonts w:ascii="Arial" w:hAnsi="Arial"/>
          <w:b w:val="false"/>
          <w:bCs w:val="false"/>
          <w:sz w:val="24"/>
          <w:szCs w:val="24"/>
        </w:rPr>
        <w:footnoteReference w:id="33"/>
      </w:r>
      <w:r>
        <w:rPr>
          <w:rFonts w:ascii="Arial" w:hAnsi="Arial"/>
          <w:b w:val="false"/>
          <w:bCs w:val="false"/>
          <w:sz w:val="24"/>
          <w:szCs w:val="24"/>
        </w:rPr>
        <w:t xml:space="preserve"> Cicero on the other hand in his work on de divination, stated that the Latin word divinus meaning to belong to or to relate to a God was a development of the Greek word mantike, originally taken from mania (Furor in Latin) which ultimately translates to mad, </w:t>
      </w:r>
      <w:r>
        <w:rPr>
          <w:rFonts w:eastAsia="SimSun" w:cs="Times New Roman" w:ascii="Arial" w:hAnsi="Arial"/>
          <w:b w:val="false"/>
          <w:bCs w:val="false"/>
          <w:color w:val="000000"/>
          <w:kern w:val="0"/>
          <w:sz w:val="24"/>
          <w:szCs w:val="24"/>
          <w:lang w:val="en-GB" w:eastAsia="zh-CN" w:bidi="ar-SA"/>
        </w:rPr>
        <w:t>wild</w:t>
      </w:r>
      <w:r>
        <w:rPr>
          <w:rFonts w:ascii="Arial" w:hAnsi="Arial"/>
          <w:b w:val="false"/>
          <w:bCs w:val="false"/>
          <w:sz w:val="24"/>
          <w:szCs w:val="24"/>
        </w:rPr>
        <w:t xml:space="preserve"> insane or inspiration.</w:t>
      </w:r>
      <w:r>
        <w:rPr>
          <w:rStyle w:val="FootnoteAnchor"/>
          <w:rFonts w:ascii="Arial" w:hAnsi="Arial"/>
          <w:b w:val="false"/>
          <w:bCs w:val="false"/>
          <w:sz w:val="24"/>
          <w:szCs w:val="24"/>
        </w:rPr>
        <w:footnoteReference w:id="34"/>
      </w:r>
      <w:r>
        <w:rPr>
          <w:rFonts w:ascii="Arial" w:hAnsi="Arial"/>
          <w:b w:val="false"/>
          <w:bCs w:val="false"/>
          <w:sz w:val="24"/>
          <w:szCs w:val="24"/>
        </w:rPr>
        <w:t xml:space="preserve"> This is not surprising as Cicero is known for his arguments against divination</w:t>
      </w:r>
      <w:r>
        <w:rPr>
          <w:rStyle w:val="FootnoteAnchor"/>
          <w:rFonts w:ascii="Arial" w:hAnsi="Arial"/>
          <w:b w:val="false"/>
          <w:bCs w:val="false"/>
          <w:sz w:val="24"/>
          <w:szCs w:val="24"/>
        </w:rPr>
        <w:footnoteReference w:id="35"/>
      </w:r>
      <w:r>
        <w:rPr>
          <w:rFonts w:ascii="Arial" w:hAnsi="Arial"/>
          <w:b w:val="false"/>
          <w:bCs w:val="false"/>
          <w:sz w:val="24"/>
          <w:szCs w:val="24"/>
        </w:rPr>
        <w:t>. In contrast Cicero’s brother takes a stoic perspective, an emic stance on divination and describes it as “</w:t>
      </w:r>
      <w:r>
        <w:rPr>
          <w:rFonts w:ascii="Arial" w:hAnsi="Arial"/>
          <w:b w:val="false"/>
          <w:bCs w:val="false"/>
          <w:i w:val="false"/>
          <w:caps w:val="false"/>
          <w:smallCaps w:val="false"/>
          <w:color w:val="000000"/>
          <w:spacing w:val="0"/>
          <w:sz w:val="24"/>
          <w:szCs w:val="24"/>
        </w:rPr>
        <w:t>the foreseeing and foretelling of events considered as happening by chance”.</w:t>
      </w:r>
      <w:r>
        <w:rPr>
          <w:rStyle w:val="FootnoteAnchor"/>
          <w:rFonts w:ascii="Arial" w:hAnsi="Arial"/>
          <w:b w:val="false"/>
          <w:bCs w:val="false"/>
          <w:i w:val="false"/>
          <w:caps w:val="false"/>
          <w:smallCaps w:val="false"/>
          <w:color w:val="000000"/>
          <w:spacing w:val="0"/>
          <w:sz w:val="24"/>
          <w:szCs w:val="24"/>
        </w:rPr>
        <w:footnoteReference w:id="36"/>
      </w:r>
      <w:r>
        <w:rPr>
          <w:rFonts w:ascii="Arial" w:hAnsi="Arial"/>
          <w:b w:val="false"/>
          <w:bCs w:val="false"/>
          <w:color w:val="000000"/>
          <w:sz w:val="24"/>
          <w:szCs w:val="24"/>
        </w:rPr>
        <w:t xml:space="preserve"> Whist divination is linked to the reading of signs here, I raise the same question as Cicero. Why would god send signs to people for them to interpret? Why would they not just provide things in black and white, why does it require another person to read signs.</w:t>
      </w:r>
      <w:r>
        <w:rPr>
          <w:rStyle w:val="FootnoteAnchor"/>
          <w:rFonts w:ascii="Arial" w:hAnsi="Arial"/>
          <w:b w:val="false"/>
          <w:bCs w:val="false"/>
          <w:color w:val="000000"/>
          <w:sz w:val="24"/>
          <w:szCs w:val="24"/>
        </w:rPr>
        <w:footnoteReference w:id="37"/>
      </w:r>
      <w:r>
        <w:rPr>
          <w:rFonts w:ascii="Arial" w:hAnsi="Arial"/>
          <w:b w:val="false"/>
          <w:bCs w:val="false"/>
          <w:color w:val="000000"/>
          <w:sz w:val="24"/>
          <w:szCs w:val="24"/>
        </w:rPr>
        <w:t xml:space="preserve"> This is quite unfair and goes against the nature of some Gods. However that said in Greek mythology the Gods were seen to have both good and bad attributes. </w:t>
      </w:r>
      <w:r>
        <w:rPr>
          <w:rStyle w:val="FootnoteAnchor"/>
          <w:rFonts w:ascii="Arial" w:hAnsi="Arial"/>
          <w:b w:val="false"/>
          <w:bCs w:val="false"/>
          <w:color w:val="000000"/>
          <w:sz w:val="24"/>
          <w:szCs w:val="24"/>
        </w:rPr>
        <w:footnoteReference w:id="38"/>
      </w:r>
      <w:r>
        <w:rPr>
          <w:rFonts w:ascii="Arial" w:hAnsi="Arial"/>
          <w:b w:val="false"/>
          <w:bCs w:val="false"/>
          <w:color w:val="000000"/>
          <w:sz w:val="24"/>
          <w:szCs w:val="24"/>
        </w:rPr>
        <w:t xml:space="preserve"> Therefore according to Greek mythology it does not go against the gods nature. </w:t>
      </w:r>
    </w:p>
    <w:p>
      <w:pPr>
        <w:pStyle w:val="NormalWeb"/>
        <w:spacing w:lineRule="auto" w:line="276" w:beforeAutospacing="0" w:before="0" w:afterAutospacing="0" w:after="0"/>
        <w:ind w:right="-334" w:hanging="0"/>
        <w:jc w:val="both"/>
        <w:rPr/>
      </w:pPr>
      <w:r>
        <w:rPr>
          <w:rFonts w:ascii="Arial" w:hAnsi="Arial"/>
          <w:b w:val="false"/>
          <w:bCs w:val="false"/>
          <w:color w:val="000000"/>
          <w:sz w:val="24"/>
          <w:szCs w:val="24"/>
        </w:rPr>
        <w:tab/>
        <w:t xml:space="preserve">In book 3 of Iamblichus he describes divination as something that has been given by the Gods, it is not a skill nor is it a natural power. The power belongs to the gods. Divination takes place through divine acts and signs and includes the divine visions as well as scientific insights. Everything else is lower-ranking, given that the gift of having knowledge of the future is sent down by the gods. </w:t>
      </w:r>
      <w:r>
        <w:rPr>
          <w:rStyle w:val="FootnoteAnchor"/>
          <w:rFonts w:ascii="Arial" w:hAnsi="Arial"/>
          <w:b w:val="false"/>
          <w:bCs w:val="false"/>
          <w:color w:val="000000"/>
          <w:sz w:val="24"/>
          <w:szCs w:val="24"/>
        </w:rPr>
        <w:footnoteReference w:id="39"/>
      </w:r>
      <w:r>
        <w:rPr>
          <w:rFonts w:ascii="Arial" w:hAnsi="Arial"/>
          <w:b w:val="false"/>
          <w:bCs w:val="false"/>
          <w:color w:val="000000"/>
          <w:sz w:val="24"/>
          <w:szCs w:val="24"/>
        </w:rPr>
        <w:t xml:space="preserve"> It is clear that divination is having knowledge of the future, however Iamblichus believes that divination is sent from the Gods. Therefore if divination is sent from the gods and theurgy is the practice of religious rites and magic surely then magic and religion cannot be seen as two different things but rather intertwine with each other under the term divination.</w:t>
      </w:r>
    </w:p>
    <w:p>
      <w:pPr>
        <w:pStyle w:val="NormalWeb"/>
        <w:spacing w:lineRule="auto" w:line="276" w:beforeAutospacing="0" w:before="0" w:afterAutospacing="0" w:after="0"/>
        <w:ind w:right="-334" w:hanging="0"/>
        <w:jc w:val="both"/>
        <w:rPr/>
      </w:pPr>
      <w:r>
        <w:rPr>
          <w:rFonts w:ascii="Arial" w:hAnsi="Arial"/>
          <w:b w:val="false"/>
          <w:bCs w:val="false"/>
          <w:color w:val="000000"/>
          <w:sz w:val="24"/>
          <w:szCs w:val="24"/>
        </w:rPr>
        <w:tab/>
        <w:t xml:space="preserve"> Sara Johnson  describes ancient divination as a way of gaining knowledge of things that are not known to humans. </w:t>
      </w:r>
      <w:r>
        <w:rPr>
          <w:rFonts w:ascii="Arial" w:hAnsi="Arial"/>
          <w:b w:val="false"/>
          <w:bCs w:val="false"/>
          <w:color w:val="000000"/>
          <w:sz w:val="24"/>
          <w:szCs w:val="24"/>
          <w:shd w:fill="auto" w:val="clear"/>
        </w:rPr>
        <w:t>Furthermore she adds that divination involves a two way conversation. Certain practices such as prayer and sacrifice may mean waiting for a response whereas the reading of animal entails may mean an immediate response. Interpretations may take longer but means that someone has heard and responded. Divination then confirms the existence of God and that God listens.</w:t>
      </w:r>
      <w:r>
        <w:rPr>
          <w:rStyle w:val="FootnoteAnchor"/>
          <w:rFonts w:ascii="Arial" w:hAnsi="Arial"/>
          <w:b w:val="false"/>
          <w:bCs w:val="false"/>
          <w:color w:val="000000"/>
          <w:sz w:val="24"/>
          <w:szCs w:val="24"/>
          <w:shd w:fill="auto" w:val="clear"/>
        </w:rPr>
        <w:footnoteReference w:id="40"/>
      </w:r>
      <w:r>
        <w:rPr>
          <w:rFonts w:ascii="Arial" w:hAnsi="Arial"/>
          <w:b w:val="false"/>
          <w:bCs w:val="false"/>
          <w:color w:val="000000"/>
          <w:sz w:val="24"/>
          <w:szCs w:val="24"/>
          <w:shd w:fill="auto" w:val="clear"/>
        </w:rPr>
        <w:t xml:space="preserve"> Here then if divination is sent by God this confirms that it is religious but are these practices considered acts of magic or are they two separate things. According to the definition of Robert Fowler whilst magic is hard to define, it tends to be focused on the achievements of certain goals such as fertility or the calling of a loved one.</w:t>
      </w:r>
      <w:r>
        <w:rPr>
          <w:rStyle w:val="FootnoteAnchor"/>
          <w:rFonts w:ascii="Arial" w:hAnsi="Arial"/>
          <w:b w:val="false"/>
          <w:bCs w:val="false"/>
          <w:color w:val="000000"/>
          <w:sz w:val="24"/>
          <w:szCs w:val="24"/>
          <w:shd w:fill="auto" w:val="clear"/>
        </w:rPr>
        <w:footnoteReference w:id="41"/>
      </w:r>
      <w:r>
        <w:rPr>
          <w:rFonts w:ascii="Arial" w:hAnsi="Arial"/>
          <w:b w:val="false"/>
          <w:bCs w:val="false"/>
          <w:color w:val="000000"/>
          <w:sz w:val="24"/>
          <w:szCs w:val="24"/>
          <w:shd w:fill="auto" w:val="clear"/>
        </w:rPr>
        <w:t xml:space="preserve"> Prayer, sacrifices and interpretations by this definition would be considered as magic as they are carried out to achieve a goal. Most of the time it is to achieve knowledge of the future. Therefore religion and magic are not separate in terms of divination according to these two definitions. </w:t>
      </w:r>
    </w:p>
    <w:p>
      <w:pPr>
        <w:pStyle w:val="NormalWeb"/>
        <w:spacing w:lineRule="auto" w:line="276" w:beforeAutospacing="0" w:before="0" w:afterAutospacing="0" w:after="0"/>
        <w:ind w:right="-334" w:hanging="0"/>
        <w:jc w:val="both"/>
        <w:rPr>
          <w:b w:val="false"/>
          <w:b w:val="false"/>
          <w:bCs w:val="false"/>
          <w:shd w:fill="auto" w:val="clear"/>
        </w:rPr>
      </w:pPr>
      <w:r>
        <w:rPr>
          <w:b w:val="false"/>
          <w:bCs w:val="false"/>
          <w:shd w:fill="auto" w:val="clear"/>
        </w:rPr>
      </w:r>
    </w:p>
    <w:p>
      <w:pPr>
        <w:pStyle w:val="NormalWeb"/>
        <w:spacing w:lineRule="auto" w:line="276" w:beforeAutospacing="0" w:before="0" w:afterAutospacing="0" w:after="0"/>
        <w:ind w:right="-334" w:hanging="0"/>
        <w:jc w:val="both"/>
        <w:rPr>
          <w:rFonts w:ascii="Arial" w:hAnsi="Arial"/>
          <w:b/>
          <w:b/>
          <w:bCs/>
          <w:sz w:val="24"/>
          <w:szCs w:val="24"/>
        </w:rPr>
      </w:pPr>
      <w:r>
        <w:rPr>
          <w:rFonts w:ascii="Arial" w:hAnsi="Arial"/>
          <w:b/>
          <w:bCs/>
          <w:sz w:val="24"/>
          <w:szCs w:val="24"/>
        </w:rPr>
      </w:r>
    </w:p>
    <w:p>
      <w:pPr>
        <w:pStyle w:val="NormalWeb"/>
        <w:spacing w:lineRule="auto" w:line="276" w:beforeAutospacing="0" w:before="0" w:afterAutospacing="0" w:after="0"/>
        <w:ind w:right="-334" w:hanging="0"/>
        <w:jc w:val="both"/>
        <w:rPr>
          <w:b w:val="false"/>
          <w:b w:val="false"/>
          <w:bCs w:val="false"/>
          <w:shd w:fill="auto" w:val="clear"/>
        </w:rPr>
      </w:pPr>
      <w:r>
        <w:rPr>
          <w:rFonts w:ascii="Arial" w:hAnsi="Arial"/>
          <w:b/>
          <w:bCs/>
          <w:sz w:val="24"/>
          <w:szCs w:val="24"/>
        </w:rPr>
        <w:t>Theory and Practices of Ancient Divination</w:t>
      </w:r>
    </w:p>
    <w:p>
      <w:pPr>
        <w:pStyle w:val="NormalWeb"/>
        <w:spacing w:lineRule="auto" w:line="276" w:beforeAutospacing="0" w:before="0" w:afterAutospacing="0" w:after="0"/>
        <w:ind w:right="-334" w:hanging="0"/>
        <w:jc w:val="both"/>
        <w:rPr/>
      </w:pPr>
      <w:r>
        <w:rPr>
          <w:rFonts w:ascii="Arial" w:hAnsi="Arial"/>
          <w:b w:val="false"/>
          <w:bCs w:val="false"/>
          <w:sz w:val="24"/>
          <w:szCs w:val="24"/>
        </w:rPr>
        <w:tab/>
        <w:t xml:space="preserve">There are various divinatory theories and practices according to ancient divination This section will now examine the practices of ancient Greek divination  and identify whether there are any links between religion and magic. </w:t>
      </w:r>
      <w:r>
        <w:rPr>
          <w:rFonts w:ascii="Arial" w:hAnsi="Arial"/>
          <w:b w:val="false"/>
          <w:bCs w:val="false"/>
          <w:color w:val="000000"/>
          <w:sz w:val="24"/>
          <w:szCs w:val="24"/>
        </w:rPr>
        <w:t>As it has been previously established divination is the interpretation of signs that allows someone to predict or foretell the future. Beerden states that It is these signs that have developed divinatory practice and theories. In Greek, divinatory signs are known as semeion.</w:t>
      </w:r>
      <w:r>
        <w:rPr>
          <w:rStyle w:val="FootnoteAnchor"/>
          <w:rFonts w:ascii="Arial" w:hAnsi="Arial"/>
          <w:b w:val="false"/>
          <w:bCs w:val="false"/>
          <w:color w:val="000000"/>
          <w:sz w:val="24"/>
          <w:szCs w:val="24"/>
        </w:rPr>
        <w:footnoteReference w:id="42"/>
      </w:r>
      <w:r>
        <w:rPr>
          <w:rFonts w:ascii="Arial" w:hAnsi="Arial"/>
          <w:b w:val="false"/>
          <w:bCs w:val="false"/>
          <w:color w:val="000000"/>
          <w:sz w:val="24"/>
          <w:szCs w:val="24"/>
        </w:rPr>
        <w:t xml:space="preserve"> </w:t>
      </w:r>
    </w:p>
    <w:p>
      <w:pPr>
        <w:pStyle w:val="NormalWeb"/>
        <w:spacing w:lineRule="auto" w:line="276" w:beforeAutospacing="0" w:before="0" w:afterAutospacing="0" w:after="0"/>
        <w:ind w:right="-334" w:hanging="0"/>
        <w:jc w:val="both"/>
        <w:rPr/>
      </w:pPr>
      <w:r>
        <w:rPr>
          <w:rFonts w:ascii="Arial" w:hAnsi="Arial"/>
          <w:b w:val="false"/>
          <w:bCs w:val="false"/>
          <w:color w:val="000000"/>
          <w:sz w:val="24"/>
          <w:szCs w:val="24"/>
        </w:rPr>
        <w:tab/>
        <w:t xml:space="preserve">One practice of ancient divination is the interpretation of dreams. Dreams are considered as visual, or auditory or possibly both. </w:t>
      </w:r>
      <w:r>
        <w:rPr>
          <w:rStyle w:val="FootnoteAnchor"/>
          <w:rFonts w:ascii="Arial" w:hAnsi="Arial"/>
          <w:b w:val="false"/>
          <w:bCs w:val="false"/>
          <w:color w:val="000000"/>
          <w:sz w:val="24"/>
          <w:szCs w:val="24"/>
        </w:rPr>
        <w:footnoteReference w:id="43"/>
      </w:r>
      <w:r>
        <w:rPr>
          <w:rFonts w:ascii="Arial" w:hAnsi="Arial"/>
          <w:b w:val="false"/>
          <w:bCs w:val="false"/>
          <w:color w:val="000000"/>
          <w:sz w:val="24"/>
          <w:szCs w:val="24"/>
        </w:rPr>
        <w:t>The prophetic dreams amongst legends have been hugely influential and ancient philosophers and peasants have been analysing the state of sleep. Their interpretations have differed in their personal view when delivering their impressions and beliefs. In addition to this Homer mythology states that dreams are given by the Gods,</w:t>
      </w:r>
      <w:r>
        <w:rPr>
          <w:rStyle w:val="FootnoteAnchor"/>
          <w:rFonts w:ascii="Arial" w:hAnsi="Arial"/>
          <w:b w:val="false"/>
          <w:bCs w:val="false"/>
          <w:color w:val="000000"/>
          <w:sz w:val="24"/>
          <w:szCs w:val="24"/>
        </w:rPr>
        <w:footnoteReference w:id="44"/>
      </w:r>
      <w:r>
        <w:rPr>
          <w:rFonts w:ascii="Arial" w:hAnsi="Arial"/>
          <w:b w:val="false"/>
          <w:bCs w:val="false"/>
          <w:color w:val="000000"/>
          <w:sz w:val="24"/>
          <w:szCs w:val="24"/>
        </w:rPr>
        <w:t xml:space="preserve"> (which is what Iamblichus believed</w:t>
      </w:r>
      <w:r>
        <w:rPr>
          <w:rStyle w:val="FootnoteAnchor"/>
          <w:rFonts w:ascii="Arial" w:hAnsi="Arial"/>
          <w:b w:val="false"/>
          <w:bCs w:val="false"/>
          <w:color w:val="000000"/>
          <w:sz w:val="24"/>
          <w:szCs w:val="24"/>
        </w:rPr>
        <w:footnoteReference w:id="45"/>
      </w:r>
      <w:r>
        <w:rPr>
          <w:rFonts w:ascii="Arial" w:hAnsi="Arial"/>
          <w:b w:val="false"/>
          <w:bCs w:val="false"/>
          <w:color w:val="000000"/>
          <w:sz w:val="24"/>
          <w:szCs w:val="24"/>
        </w:rPr>
        <w:t xml:space="preserve">). And it is believed that the dreams </w:t>
      </w:r>
      <w:r>
        <w:rPr>
          <w:rFonts w:ascii="Arial" w:hAnsi="Arial"/>
          <w:b w:val="false"/>
          <w:bCs w:val="false"/>
          <w:color w:val="000000"/>
          <w:sz w:val="24"/>
          <w:szCs w:val="24"/>
        </w:rPr>
        <w:t>mean</w:t>
      </w:r>
      <w:r>
        <w:rPr>
          <w:rFonts w:ascii="Arial" w:hAnsi="Arial"/>
          <w:b w:val="false"/>
          <w:bCs w:val="false"/>
          <w:color w:val="000000"/>
          <w:sz w:val="24"/>
          <w:szCs w:val="24"/>
        </w:rPr>
        <w:t xml:space="preserve"> either </w:t>
      </w:r>
      <w:r>
        <w:rPr>
          <w:rFonts w:ascii="Arial" w:hAnsi="Arial"/>
          <w:b w:val="false"/>
          <w:bCs w:val="false"/>
          <w:color w:val="000000"/>
          <w:sz w:val="24"/>
          <w:szCs w:val="24"/>
        </w:rPr>
        <w:t>sacred</w:t>
      </w:r>
      <w:r>
        <w:rPr>
          <w:rFonts w:ascii="Arial" w:hAnsi="Arial"/>
          <w:b w:val="false"/>
          <w:bCs w:val="false"/>
          <w:color w:val="000000"/>
          <w:sz w:val="24"/>
          <w:szCs w:val="24"/>
        </w:rPr>
        <w:t xml:space="preserve"> beings or dead ancestors. </w:t>
      </w:r>
      <w:r>
        <w:rPr>
          <w:rFonts w:ascii="Arial" w:hAnsi="Arial"/>
          <w:b w:val="false"/>
          <w:bCs w:val="false"/>
          <w:color w:val="000000"/>
          <w:sz w:val="24"/>
          <w:szCs w:val="24"/>
        </w:rPr>
        <w:t>Occasionally</w:t>
      </w:r>
      <w:r>
        <w:rPr>
          <w:rFonts w:ascii="Arial" w:hAnsi="Arial"/>
          <w:b w:val="false"/>
          <w:bCs w:val="false"/>
          <w:color w:val="000000"/>
          <w:sz w:val="24"/>
          <w:szCs w:val="24"/>
        </w:rPr>
        <w:t xml:space="preserve"> the gods would appear in the dreams. However not all dreams </w:t>
      </w:r>
      <w:r>
        <w:rPr>
          <w:rFonts w:ascii="Arial" w:hAnsi="Arial"/>
          <w:b w:val="false"/>
          <w:bCs w:val="false"/>
          <w:color w:val="000000"/>
          <w:sz w:val="24"/>
          <w:szCs w:val="24"/>
        </w:rPr>
        <w:t>were sacred</w:t>
      </w:r>
      <w:r>
        <w:rPr>
          <w:rFonts w:ascii="Arial" w:hAnsi="Arial"/>
          <w:b w:val="false"/>
          <w:bCs w:val="false"/>
          <w:color w:val="000000"/>
          <w:sz w:val="24"/>
          <w:szCs w:val="24"/>
        </w:rPr>
        <w:t xml:space="preserve"> and some </w:t>
      </w:r>
      <w:r>
        <w:rPr>
          <w:rFonts w:ascii="Arial" w:hAnsi="Arial"/>
          <w:b w:val="false"/>
          <w:bCs w:val="false"/>
          <w:color w:val="000000"/>
          <w:sz w:val="24"/>
          <w:szCs w:val="24"/>
        </w:rPr>
        <w:t>were</w:t>
      </w:r>
      <w:r>
        <w:rPr>
          <w:rFonts w:ascii="Arial" w:hAnsi="Arial"/>
          <w:b w:val="false"/>
          <w:bCs w:val="false"/>
          <w:color w:val="000000"/>
          <w:sz w:val="24"/>
          <w:szCs w:val="24"/>
        </w:rPr>
        <w:t xml:space="preserve"> d</w:t>
      </w:r>
      <w:r>
        <w:rPr>
          <w:rFonts w:ascii="Arial" w:hAnsi="Arial"/>
          <w:b w:val="false"/>
          <w:bCs w:val="false"/>
          <w:color w:val="000000"/>
          <w:sz w:val="24"/>
          <w:szCs w:val="24"/>
        </w:rPr>
        <w:t>own</w:t>
      </w:r>
      <w:r>
        <w:rPr>
          <w:rFonts w:ascii="Arial" w:hAnsi="Arial"/>
          <w:b w:val="false"/>
          <w:bCs w:val="false"/>
          <w:color w:val="000000"/>
          <w:sz w:val="24"/>
          <w:szCs w:val="24"/>
        </w:rPr>
        <w:t xml:space="preserve"> to natural causes. </w:t>
      </w:r>
      <w:r>
        <w:rPr>
          <w:rFonts w:ascii="Arial" w:hAnsi="Arial"/>
          <w:b w:val="false"/>
          <w:bCs w:val="false"/>
          <w:color w:val="000000"/>
          <w:sz w:val="24"/>
          <w:szCs w:val="24"/>
        </w:rPr>
        <w:t>Real</w:t>
      </w:r>
      <w:r>
        <w:rPr>
          <w:rFonts w:ascii="Arial" w:hAnsi="Arial"/>
          <w:b w:val="false"/>
          <w:bCs w:val="false"/>
          <w:color w:val="000000"/>
          <w:sz w:val="24"/>
          <w:szCs w:val="24"/>
        </w:rPr>
        <w:t xml:space="preserve"> dreams are th</w:t>
      </w:r>
      <w:r>
        <w:rPr>
          <w:rFonts w:ascii="Arial" w:hAnsi="Arial"/>
          <w:b w:val="false"/>
          <w:bCs w:val="false"/>
          <w:color w:val="000000"/>
          <w:sz w:val="24"/>
          <w:szCs w:val="24"/>
        </w:rPr>
        <w:t>e ones</w:t>
      </w:r>
      <w:r>
        <w:rPr>
          <w:rFonts w:ascii="Arial" w:hAnsi="Arial"/>
          <w:b w:val="false"/>
          <w:bCs w:val="false"/>
          <w:color w:val="000000"/>
          <w:sz w:val="24"/>
          <w:szCs w:val="24"/>
        </w:rPr>
        <w:t xml:space="preserve"> that occur in the morning and on the third watch. There were also certain things that were prohibited such as the eating of beans as it would interfere with the dreams. As well as this, amulets were used for protection.</w:t>
      </w:r>
      <w:r>
        <w:rPr>
          <w:rStyle w:val="FootnoteAnchor"/>
          <w:rFonts w:ascii="Arial" w:hAnsi="Arial"/>
          <w:b w:val="false"/>
          <w:bCs w:val="false"/>
          <w:color w:val="000000"/>
          <w:sz w:val="24"/>
          <w:szCs w:val="24"/>
        </w:rPr>
        <w:footnoteReference w:id="46"/>
      </w:r>
      <w:r>
        <w:rPr>
          <w:rFonts w:ascii="Arial" w:hAnsi="Arial"/>
          <w:b w:val="false"/>
          <w:bCs w:val="false"/>
          <w:color w:val="000000"/>
          <w:sz w:val="24"/>
          <w:szCs w:val="24"/>
        </w:rPr>
        <w:t xml:space="preserve"> According to myth the magistrates of Sparta returned to the temple, Pasiphae. Hoping an oracle would help to seek out suitable laws for the country, through a dream. This has been described by Plutarch.</w:t>
      </w:r>
      <w:r>
        <w:rPr>
          <w:rStyle w:val="FootnoteAnchor"/>
          <w:rFonts w:ascii="Arial" w:hAnsi="Arial"/>
          <w:b w:val="false"/>
          <w:bCs w:val="false"/>
          <w:color w:val="000000"/>
          <w:sz w:val="24"/>
          <w:szCs w:val="24"/>
        </w:rPr>
        <w:footnoteReference w:id="47"/>
      </w:r>
      <w:r>
        <w:rPr>
          <w:rFonts w:ascii="Arial" w:hAnsi="Arial"/>
          <w:b w:val="false"/>
          <w:bCs w:val="false"/>
          <w:color w:val="000000"/>
          <w:sz w:val="24"/>
          <w:szCs w:val="24"/>
        </w:rPr>
        <w:t xml:space="preserve"> The Following extract was taken from Plutarch Life of Cleomenes</w:t>
      </w:r>
      <w:r>
        <w:rPr>
          <w:rStyle w:val="FootnoteAnchor"/>
          <w:rFonts w:ascii="Arial" w:hAnsi="Arial"/>
          <w:b w:val="false"/>
          <w:bCs w:val="false"/>
          <w:color w:val="000000"/>
          <w:sz w:val="24"/>
          <w:szCs w:val="24"/>
        </w:rPr>
        <w:footnoteReference w:id="48"/>
      </w:r>
      <w:r>
        <w:rPr>
          <w:rFonts w:ascii="Arial" w:hAnsi="Arial"/>
          <w:b w:val="false"/>
          <w:bCs w:val="false"/>
          <w:color w:val="000000"/>
          <w:sz w:val="24"/>
          <w:szCs w:val="24"/>
        </w:rPr>
        <w:t xml:space="preserve"> </w:t>
      </w:r>
      <w:r>
        <w:rPr>
          <w:rFonts w:ascii="Arial" w:hAnsi="Arial"/>
          <w:b w:val="false"/>
          <w:bCs w:val="false"/>
          <w:i w:val="false"/>
          <w:iCs w:val="false"/>
          <w:color w:val="000000"/>
          <w:sz w:val="24"/>
          <w:szCs w:val="24"/>
        </w:rPr>
        <w:t>“About that time one of the ephori had a surprising dream as he slept in the temple of Pasiphae. He thought that  in the court where ephori used to sit for the dispatch of business, four chairs were taken away, and only one left…”.</w:t>
      </w:r>
      <w:r>
        <w:rPr>
          <w:rStyle w:val="FootnoteAnchor"/>
          <w:rFonts w:ascii="Arial" w:hAnsi="Arial"/>
          <w:b w:val="false"/>
          <w:bCs w:val="false"/>
          <w:i w:val="false"/>
          <w:iCs w:val="false"/>
          <w:color w:val="000000"/>
          <w:sz w:val="24"/>
          <w:szCs w:val="24"/>
        </w:rPr>
        <w:footnoteReference w:id="49"/>
      </w:r>
      <w:r>
        <w:rPr>
          <w:rFonts w:ascii="Arial" w:hAnsi="Arial"/>
          <w:b w:val="false"/>
          <w:bCs w:val="false"/>
          <w:color w:val="000000"/>
          <w:sz w:val="24"/>
          <w:szCs w:val="24"/>
        </w:rPr>
        <w:t xml:space="preserve"> These methods that have been observed show that people incited their dreams and placed themselves into a state </w:t>
      </w:r>
      <w:r>
        <w:rPr>
          <w:rFonts w:eastAsia="SimSun" w:cs="Times New Roman" w:ascii="Arial" w:hAnsi="Arial"/>
          <w:b w:val="false"/>
          <w:bCs w:val="false"/>
          <w:color w:val="000000"/>
          <w:kern w:val="0"/>
          <w:sz w:val="24"/>
          <w:szCs w:val="24"/>
          <w:lang w:val="en-GB" w:eastAsia="zh-CN" w:bidi="ar-SA"/>
        </w:rPr>
        <w:t>modified</w:t>
      </w:r>
      <w:r>
        <w:rPr>
          <w:rFonts w:ascii="Arial" w:hAnsi="Arial"/>
          <w:b w:val="false"/>
          <w:bCs w:val="false"/>
          <w:color w:val="000000"/>
          <w:sz w:val="24"/>
          <w:szCs w:val="24"/>
        </w:rPr>
        <w:t xml:space="preserve"> to </w:t>
      </w:r>
      <w:r>
        <w:rPr>
          <w:rFonts w:eastAsia="SimSun" w:cs="Times New Roman" w:ascii="Arial" w:hAnsi="Arial"/>
          <w:b w:val="false"/>
          <w:bCs w:val="false"/>
          <w:color w:val="000000"/>
          <w:kern w:val="0"/>
          <w:sz w:val="24"/>
          <w:szCs w:val="24"/>
          <w:lang w:val="en-GB" w:eastAsia="zh-CN" w:bidi="ar-SA"/>
        </w:rPr>
        <w:t>interpreting</w:t>
      </w:r>
      <w:r>
        <w:rPr>
          <w:rFonts w:ascii="Arial" w:hAnsi="Arial"/>
          <w:b w:val="false"/>
          <w:bCs w:val="false"/>
          <w:color w:val="000000"/>
          <w:sz w:val="24"/>
          <w:szCs w:val="24"/>
        </w:rPr>
        <w:t xml:space="preserve"> them as religious. Therefore the dreams were nothing but imitations of mythical conceptions </w:t>
      </w:r>
      <w:r>
        <w:rPr>
          <w:rStyle w:val="FootnoteAnchor"/>
          <w:rFonts w:ascii="Arial" w:hAnsi="Arial"/>
          <w:b w:val="false"/>
          <w:bCs w:val="false"/>
          <w:color w:val="000000"/>
          <w:sz w:val="24"/>
          <w:szCs w:val="24"/>
        </w:rPr>
        <w:footnoteReference w:id="50"/>
      </w:r>
      <w:r>
        <w:rPr>
          <w:rFonts w:ascii="Arial" w:hAnsi="Arial"/>
          <w:b w:val="false"/>
          <w:bCs w:val="false"/>
          <w:color w:val="000000"/>
          <w:sz w:val="24"/>
          <w:szCs w:val="24"/>
        </w:rPr>
        <w:t xml:space="preserve"> If we look at the preparations of dreams, for example the avoidance of foods which was also an issue raised by Cicero </w:t>
      </w:r>
      <w:r>
        <w:rPr>
          <w:rStyle w:val="FootnoteAnchor"/>
          <w:rFonts w:ascii="Arial" w:hAnsi="Arial"/>
          <w:b w:val="false"/>
          <w:bCs w:val="false"/>
          <w:color w:val="000000"/>
          <w:sz w:val="24"/>
          <w:szCs w:val="24"/>
        </w:rPr>
        <w:footnoteReference w:id="51"/>
      </w:r>
      <w:r>
        <w:rPr>
          <w:rFonts w:ascii="Arial" w:hAnsi="Arial"/>
          <w:b w:val="false"/>
          <w:bCs w:val="false"/>
          <w:color w:val="000000"/>
          <w:sz w:val="24"/>
          <w:szCs w:val="24"/>
        </w:rPr>
        <w:t xml:space="preserve"> it is easy to see how it may look like the dreams have been forced.</w:t>
      </w:r>
    </w:p>
    <w:p>
      <w:pPr>
        <w:pStyle w:val="NormalWeb"/>
        <w:spacing w:lineRule="auto" w:line="276" w:beforeAutospacing="0" w:before="0" w:afterAutospacing="0" w:after="0"/>
        <w:ind w:right="-334" w:hanging="0"/>
        <w:jc w:val="both"/>
        <w:rPr>
          <w:b w:val="false"/>
          <w:b w:val="false"/>
          <w:bCs w:val="false"/>
          <w:color w:val="C9211E"/>
        </w:rPr>
      </w:pPr>
      <w:r>
        <w:rPr>
          <w:b w:val="false"/>
          <w:bCs w:val="false"/>
          <w:color w:val="C9211E"/>
        </w:rPr>
        <w:tab/>
      </w:r>
      <w:r>
        <w:rPr>
          <w:b w:val="false"/>
          <w:bCs w:val="false"/>
          <w:color w:val="000000"/>
        </w:rPr>
        <w:t>O</w:t>
      </w:r>
      <w:r>
        <w:rPr>
          <w:rFonts w:ascii="Arial" w:hAnsi="Arial"/>
          <w:b w:val="false"/>
          <w:bCs w:val="false"/>
          <w:color w:val="000000"/>
          <w:sz w:val="24"/>
        </w:rPr>
        <w:t xml:space="preserve">ther divinatory practices are rituals, prayer and sacrifice. Divination prayers involve a person asking the supernatural for a sign. Prayers can be used to ask for both good things and protection. Sacrifices can be given as a thank you or as a bad sign, sacrifice has always been part of divinatory practices. one particular sacrifice which is considered as a divinatory process is the reading of an animals entail. </w:t>
      </w:r>
      <w:r>
        <w:rPr>
          <w:rStyle w:val="FootnoteAnchor"/>
          <w:rFonts w:ascii="Arial" w:hAnsi="Arial"/>
          <w:b w:val="false"/>
          <w:bCs w:val="false"/>
          <w:color w:val="000000"/>
          <w:sz w:val="24"/>
        </w:rPr>
        <w:footnoteReference w:id="52"/>
      </w:r>
      <w:r>
        <w:rPr>
          <w:rFonts w:ascii="Arial" w:hAnsi="Arial"/>
          <w:b w:val="false"/>
          <w:bCs w:val="false"/>
          <w:color w:val="000000"/>
          <w:sz w:val="24"/>
        </w:rPr>
        <w:t xml:space="preserve"> Other than the Delphic oracle, the next important divination practice in Greece was the extispicy- where divination takes place through the interpretations of sacrificed animal entrails and through the readings of the signs on animal livers. The liver is first examined followed by other parts of the entrails.</w:t>
      </w:r>
      <w:r>
        <w:rPr>
          <w:rStyle w:val="FootnoteAnchor"/>
          <w:rFonts w:ascii="Arial" w:hAnsi="Arial"/>
          <w:b w:val="false"/>
          <w:bCs w:val="false"/>
          <w:color w:val="000000"/>
          <w:sz w:val="24"/>
        </w:rPr>
        <w:footnoteReference w:id="53"/>
      </w:r>
      <w:r>
        <w:rPr>
          <w:rFonts w:ascii="Arial" w:hAnsi="Arial"/>
          <w:b w:val="false"/>
          <w:bCs w:val="false"/>
          <w:color w:val="000000"/>
          <w:sz w:val="24"/>
        </w:rPr>
        <w:t xml:space="preserve"> Whilst this is described as divination here. The reading of entails is also an act of magic according to Nissinen  </w:t>
      </w:r>
      <w:r>
        <w:rPr>
          <w:rStyle w:val="FootnoteAnchor"/>
          <w:rFonts w:ascii="Arial" w:hAnsi="Arial"/>
          <w:b w:val="false"/>
          <w:bCs w:val="false"/>
          <w:color w:val="000000"/>
          <w:sz w:val="24"/>
        </w:rPr>
        <w:footnoteReference w:id="54"/>
      </w:r>
      <w:r>
        <w:rPr>
          <w:rFonts w:ascii="Arial" w:hAnsi="Arial"/>
          <w:b w:val="false"/>
          <w:bCs w:val="false"/>
          <w:color w:val="000000"/>
          <w:sz w:val="24"/>
        </w:rPr>
        <w:t xml:space="preserve"> and the only thing that separates it from divination is the way that the outcome is delivered. According to Nissinen the outcome of reading entails is written whereas in magical practice information is verbally expressed during the practice.</w:t>
      </w:r>
      <w:r>
        <w:rPr>
          <w:rStyle w:val="FootnoteAnchor"/>
          <w:rFonts w:ascii="Arial" w:hAnsi="Arial"/>
          <w:b w:val="false"/>
          <w:bCs w:val="false"/>
          <w:color w:val="000000"/>
          <w:sz w:val="24"/>
        </w:rPr>
        <w:footnoteReference w:id="55"/>
      </w:r>
      <w:r>
        <w:rPr>
          <w:rFonts w:ascii="Arial" w:hAnsi="Arial"/>
          <w:b w:val="false"/>
          <w:bCs w:val="false"/>
          <w:color w:val="000000"/>
          <w:sz w:val="24"/>
        </w:rPr>
        <w:t xml:space="preserve"> </w:t>
      </w:r>
    </w:p>
    <w:p>
      <w:pPr>
        <w:pStyle w:val="NormalWeb"/>
        <w:spacing w:lineRule="auto" w:line="276" w:beforeAutospacing="0" w:before="0" w:afterAutospacing="0" w:after="0"/>
        <w:ind w:right="-334" w:hanging="0"/>
        <w:jc w:val="both"/>
        <w:rPr>
          <w:rFonts w:ascii="Arial" w:hAnsi="Arial"/>
          <w:b/>
          <w:b/>
          <w:bCs/>
          <w:sz w:val="24"/>
          <w:szCs w:val="24"/>
        </w:rPr>
      </w:pPr>
      <w:r>
        <w:rPr>
          <w:rFonts w:ascii="Arial" w:hAnsi="Arial"/>
          <w:b/>
          <w:bCs/>
          <w:sz w:val="24"/>
          <w:szCs w:val="24"/>
        </w:rPr>
      </w:r>
    </w:p>
    <w:p>
      <w:pPr>
        <w:pStyle w:val="NormalWeb"/>
        <w:spacing w:lineRule="auto" w:line="276" w:beforeAutospacing="0" w:before="0" w:afterAutospacing="0" w:after="0"/>
        <w:ind w:right="-334" w:hanging="0"/>
        <w:jc w:val="both"/>
        <w:rPr/>
      </w:pPr>
      <w:r>
        <w:rPr>
          <w:rFonts w:ascii="Arial" w:hAnsi="Arial"/>
          <w:b/>
          <w:bCs/>
          <w:sz w:val="24"/>
          <w:szCs w:val="24"/>
        </w:rPr>
        <w:t xml:space="preserve">Are religion and magic the same? </w:t>
      </w:r>
    </w:p>
    <w:p>
      <w:pPr>
        <w:pStyle w:val="TextBody"/>
        <w:spacing w:lineRule="auto" w:line="276" w:beforeAutospacing="0" w:before="0" w:afterAutospacing="0" w:after="0"/>
        <w:ind w:right="-334" w:hanging="0"/>
        <w:jc w:val="both"/>
        <w:rPr>
          <w:color w:val="000000"/>
          <w:sz w:val="24"/>
        </w:rPr>
      </w:pPr>
      <w:r>
        <w:rPr>
          <w:color w:val="000000"/>
          <w:sz w:val="24"/>
        </w:rPr>
      </w:r>
    </w:p>
    <w:p>
      <w:pPr>
        <w:pStyle w:val="TextBody"/>
        <w:spacing w:lineRule="auto" w:line="276" w:beforeAutospacing="0" w:before="0" w:afterAutospacing="0" w:after="0"/>
        <w:ind w:right="-334" w:hanging="0"/>
        <w:jc w:val="both"/>
        <w:rPr>
          <w:color w:val="000000"/>
          <w:sz w:val="24"/>
        </w:rPr>
      </w:pPr>
      <w:r>
        <w:rPr>
          <w:rFonts w:ascii="Arial" w:hAnsi="Arial"/>
          <w:b w:val="false"/>
          <w:bCs w:val="false"/>
          <w:color w:val="000000"/>
          <w:sz w:val="24"/>
          <w:szCs w:val="24"/>
          <w:shd w:fill="auto" w:val="clear"/>
        </w:rPr>
        <w:tab/>
        <w:t xml:space="preserve">The following information has been taken from Edmonds </w:t>
      </w:r>
      <w:r>
        <w:rPr>
          <w:rFonts w:ascii="Arial" w:hAnsi="Arial"/>
          <w:b w:val="false"/>
          <w:bCs w:val="false"/>
          <w:i/>
          <w:iCs/>
          <w:color w:val="000000"/>
          <w:sz w:val="24"/>
          <w:szCs w:val="24"/>
          <w:shd w:fill="auto" w:val="clear"/>
        </w:rPr>
        <w:t>‘Drawing down the moon, Magic in the Ancient Greco-Roman World’.</w:t>
      </w:r>
      <w:r>
        <w:rPr>
          <w:rFonts w:ascii="Arial" w:hAnsi="Arial"/>
          <w:b w:val="false"/>
          <w:bCs w:val="false"/>
          <w:color w:val="000000"/>
          <w:sz w:val="24"/>
          <w:szCs w:val="24"/>
          <w:shd w:fill="auto" w:val="clear"/>
        </w:rPr>
        <w:t xml:space="preserve"> Having the ability to understand why particular practices, images and ideas were identified as magic and being able to differentiate this from the </w:t>
      </w:r>
      <w:r>
        <w:rPr>
          <w:rFonts w:eastAsia="SimSun" w:cs="Times New Roman" w:ascii="Arial" w:hAnsi="Arial"/>
          <w:b w:val="false"/>
          <w:bCs w:val="false"/>
          <w:color w:val="000000"/>
          <w:kern w:val="0"/>
          <w:sz w:val="24"/>
          <w:szCs w:val="24"/>
          <w:shd w:fill="auto" w:val="clear"/>
          <w:lang w:val="en-GB" w:eastAsia="zh-CN" w:bidi="ar-SA"/>
        </w:rPr>
        <w:t>normal</w:t>
      </w:r>
      <w:r>
        <w:rPr>
          <w:rFonts w:ascii="Arial" w:hAnsi="Arial"/>
          <w:b w:val="false"/>
          <w:bCs w:val="false"/>
          <w:color w:val="000000"/>
          <w:sz w:val="24"/>
          <w:szCs w:val="24"/>
          <w:shd w:fill="auto" w:val="clear"/>
        </w:rPr>
        <w:t xml:space="preserve"> types of practices provides an understanding into the changing of ideas of normal religion in the Greco- Roman times. Normal religion is described as that which follows both the society’s ideal religious practices and follows the community practices. Furthermore from a cultural perspective it is customary to think of normative religion as a set of beliefs or ways of believing and a set of practices.</w:t>
      </w:r>
      <w:r>
        <w:rPr>
          <w:rStyle w:val="FootnoteAnchor"/>
          <w:rFonts w:ascii="Arial" w:hAnsi="Arial"/>
          <w:b w:val="false"/>
          <w:bCs w:val="false"/>
          <w:color w:val="000000"/>
          <w:sz w:val="24"/>
          <w:szCs w:val="24"/>
          <w:shd w:fill="auto" w:val="clear"/>
        </w:rPr>
        <w:footnoteReference w:id="56"/>
      </w:r>
      <w:r>
        <w:rPr>
          <w:rFonts w:ascii="Arial" w:hAnsi="Arial"/>
          <w:b w:val="false"/>
          <w:bCs w:val="false"/>
          <w:color w:val="000000"/>
          <w:sz w:val="24"/>
          <w:szCs w:val="24"/>
          <w:shd w:fill="auto" w:val="clear"/>
        </w:rPr>
        <w:t xml:space="preserve"> In addition to this, the study of ancient magic provides an important viewpoint on normal practices of religion in Greek and Roman antiquity, particularly on rituals. For example sacrifices, purifications, prayers, as well as on the theological developments on the hierarchies of Gods and on the basic cosmologies that form the human relationships between the gods and the physical cosmos.</w:t>
      </w:r>
      <w:r>
        <w:rPr>
          <w:rStyle w:val="FootnoteAnchor"/>
          <w:rFonts w:ascii="Arial" w:hAnsi="Arial"/>
          <w:b w:val="false"/>
          <w:bCs w:val="false"/>
          <w:color w:val="000000"/>
          <w:sz w:val="24"/>
          <w:szCs w:val="24"/>
          <w:shd w:fill="auto" w:val="clear"/>
        </w:rPr>
        <w:footnoteReference w:id="57"/>
      </w:r>
      <w:r>
        <w:rPr>
          <w:rFonts w:ascii="Arial" w:hAnsi="Arial"/>
          <w:b w:val="false"/>
          <w:bCs w:val="false"/>
          <w:color w:val="000000"/>
          <w:sz w:val="24"/>
          <w:szCs w:val="24"/>
          <w:shd w:fill="auto" w:val="clear"/>
        </w:rPr>
        <w:t xml:space="preserve"> This information appears to be contradicting, according to this there are magic practices that were different to normal practices yet ancient magic provides perspectives on religious practices. Therefore does this not imply that religious and magical practices are the same but other practices that are considered as a normal part of life are not. However that said whilst ritual activities are described as normal Greek sacrifices, they all have different outcomes. For example it may be an offering for the Gods or it may be for food consumption or it may be for a divination purpose or just to be part of a tradition. There are numerous rituals that take place in what is called normal Greek sacrifice, these are: burning in scents, animal sacrifice, looking at animal entails, consuming the meat, singing of hymns and prayers.</w:t>
      </w:r>
      <w:r>
        <w:rPr>
          <w:rStyle w:val="FootnoteAnchor"/>
          <w:rFonts w:ascii="Arial" w:hAnsi="Arial"/>
          <w:b w:val="false"/>
          <w:bCs w:val="false"/>
          <w:color w:val="000000"/>
          <w:sz w:val="24"/>
          <w:szCs w:val="24"/>
          <w:shd w:fill="auto" w:val="clear"/>
        </w:rPr>
        <w:footnoteReference w:id="58"/>
      </w:r>
      <w:r>
        <w:rPr>
          <w:rFonts w:ascii="Arial" w:hAnsi="Arial"/>
          <w:b w:val="false"/>
          <w:bCs w:val="false"/>
          <w:color w:val="000000"/>
          <w:sz w:val="24"/>
          <w:szCs w:val="24"/>
          <w:shd w:fill="auto" w:val="clear"/>
        </w:rPr>
        <w:t xml:space="preserve"> Here then we can see that rituals have different purposes, some are religious, some are normal and some are for divination purposes. </w:t>
      </w:r>
    </w:p>
    <w:p>
      <w:pPr>
        <w:pStyle w:val="TextBody"/>
        <w:spacing w:lineRule="auto" w:line="276" w:beforeAutospacing="0" w:before="0" w:afterAutospacing="0" w:after="0"/>
        <w:ind w:right="-334" w:hanging="0"/>
        <w:jc w:val="both"/>
        <w:rPr>
          <w:color w:val="000000"/>
          <w:sz w:val="24"/>
        </w:rPr>
      </w:pPr>
      <w:r>
        <w:rPr>
          <w:rFonts w:ascii="Arial" w:hAnsi="Arial"/>
          <w:b w:val="false"/>
          <w:bCs w:val="false"/>
          <w:color w:val="000000"/>
          <w:sz w:val="24"/>
          <w:szCs w:val="24"/>
          <w:shd w:fill="auto" w:val="clear"/>
        </w:rPr>
        <w:tab/>
        <w:t xml:space="preserve"> According to Davis, at the beginning magic and divination were no different. Divination was not just the foretelling of the future but it was a way of creating and taking control of the future. This early type of divination is magic applied to future events. The words blessing or curse according to Davis is "so potent in backward religions is more than mere divination".</w:t>
      </w:r>
      <w:r>
        <w:rPr>
          <w:rStyle w:val="FootnoteAnchor"/>
          <w:rFonts w:ascii="Arial" w:hAnsi="Arial"/>
          <w:b w:val="false"/>
          <w:bCs w:val="false"/>
          <w:color w:val="000000"/>
          <w:sz w:val="24"/>
          <w:szCs w:val="24"/>
          <w:shd w:fill="auto" w:val="clear"/>
        </w:rPr>
        <w:footnoteReference w:id="59"/>
      </w:r>
      <w:r>
        <w:rPr>
          <w:rFonts w:ascii="Arial" w:hAnsi="Arial"/>
          <w:b w:val="false"/>
          <w:bCs w:val="false"/>
          <w:color w:val="000000"/>
          <w:sz w:val="24"/>
          <w:szCs w:val="24"/>
          <w:shd w:fill="auto" w:val="clear"/>
        </w:rPr>
        <w:t xml:space="preserve"> </w:t>
      </w:r>
    </w:p>
    <w:p>
      <w:pPr>
        <w:pStyle w:val="TextBody"/>
        <w:spacing w:lineRule="auto" w:line="276" w:beforeAutospacing="0" w:before="0" w:afterAutospacing="0" w:after="0"/>
        <w:ind w:right="-334" w:hanging="0"/>
        <w:jc w:val="both"/>
        <w:rPr>
          <w:color w:val="000000"/>
          <w:sz w:val="24"/>
        </w:rPr>
      </w:pPr>
      <w:r>
        <w:rPr>
          <w:rFonts w:ascii="Arial" w:hAnsi="Arial"/>
          <w:b w:val="false"/>
          <w:bCs w:val="false"/>
          <w:color w:val="000000"/>
          <w:sz w:val="24"/>
          <w:szCs w:val="24"/>
          <w:shd w:fill="auto" w:val="clear"/>
        </w:rPr>
        <w:tab/>
        <w:t xml:space="preserve">Taking into account the definitions of divination from both emic and etic perspectives it offers two different opinions on whether or not magic and religion fall into the same category. People who argue from an emic perspective state that religion and magic are like plants that grow in the same garden. Some practices are acceptable and some are not, depending on the social dynamics. Whereas the etic perspective states that religion and magic do not exist here but what does exist are the definitions of the concepts. The </w:t>
      </w:r>
      <w:r>
        <w:rPr>
          <w:rFonts w:ascii="Arial" w:hAnsi="Arial"/>
          <w:color w:val="000000"/>
          <w:sz w:val="24"/>
        </w:rPr>
        <w:t>Contrasts between magic and religion are developed from the idea that religion implies a human subjection to the supernatural because humans believe he is powerless, whereas magic involves techniques that force the supernatural into action.</w:t>
      </w:r>
      <w:r>
        <w:rPr>
          <w:rStyle w:val="FootnoteAnchor"/>
          <w:rFonts w:ascii="Arial" w:hAnsi="Arial"/>
          <w:color w:val="000000"/>
          <w:sz w:val="24"/>
        </w:rPr>
        <w:footnoteReference w:id="60"/>
      </w:r>
      <w:r>
        <w:rPr>
          <w:rFonts w:ascii="Arial" w:hAnsi="Arial"/>
          <w:b w:val="false"/>
          <w:bCs w:val="false"/>
          <w:color w:val="000000"/>
          <w:sz w:val="24"/>
          <w:szCs w:val="24"/>
          <w:shd w:fill="auto" w:val="clear"/>
        </w:rPr>
        <w:t xml:space="preserve"> Whereas </w:t>
      </w:r>
      <w:r>
        <w:rPr>
          <w:rFonts w:ascii="Arial" w:hAnsi="Arial"/>
          <w:b w:val="false"/>
          <w:bCs w:val="false"/>
          <w:sz w:val="24"/>
          <w:szCs w:val="24"/>
          <w:shd w:fill="auto" w:val="clear"/>
        </w:rPr>
        <w:t xml:space="preserve">Halliday believed that divination and magic were closely linked. Describing the diviner as a failed magician. The magician believes that he can change the future whereas the diviner recognises that whilst that is not possible they can however attempt to predict the future. Furthermore he also believed that divination was a type of magical speech. </w:t>
      </w:r>
      <w:r>
        <w:rPr>
          <w:rStyle w:val="FootnoteAnchor"/>
          <w:rFonts w:ascii="Arial" w:hAnsi="Arial"/>
          <w:b w:val="false"/>
          <w:bCs w:val="false"/>
          <w:sz w:val="24"/>
          <w:szCs w:val="24"/>
          <w:shd w:fill="auto" w:val="clear"/>
        </w:rPr>
        <w:footnoteReference w:id="61"/>
      </w:r>
      <w:r>
        <w:rPr>
          <w:rFonts w:ascii="Arial" w:hAnsi="Arial"/>
          <w:b w:val="false"/>
          <w:bCs w:val="false"/>
          <w:sz w:val="24"/>
          <w:szCs w:val="24"/>
          <w:shd w:fill="auto" w:val="clear"/>
        </w:rPr>
        <w:t xml:space="preserve"> In contrast to this Nilsson argued that divination is not a type of magic, but has come from a human observation and conclusion of if something unexpectedly happens right before an occasion, take for instance a hunt and the hunt turns out really well, this will be remembered as a sign. Originally divination was a natural art, however this has been </w:t>
      </w:r>
      <w:r>
        <w:rPr>
          <w:rFonts w:eastAsia="SimSun" w:cs="Times New Roman" w:ascii="Arial" w:hAnsi="Arial"/>
          <w:b w:val="false"/>
          <w:bCs w:val="false"/>
          <w:color w:val="000000"/>
          <w:kern w:val="0"/>
          <w:sz w:val="24"/>
          <w:szCs w:val="24"/>
          <w:shd w:fill="auto" w:val="clear"/>
          <w:lang w:val="en-GB" w:eastAsia="zh-CN" w:bidi="ar-SA"/>
        </w:rPr>
        <w:t>taken</w:t>
      </w:r>
      <w:r>
        <w:rPr>
          <w:rFonts w:ascii="Arial" w:hAnsi="Arial"/>
          <w:b w:val="false"/>
          <w:bCs w:val="false"/>
          <w:sz w:val="24"/>
          <w:szCs w:val="24"/>
          <w:shd w:fill="auto" w:val="clear"/>
        </w:rPr>
        <w:t xml:space="preserve"> by magicians as another source of power. That said, for Nilsson magic and many forms of divination were linked to religion as it was in Greek practice. </w:t>
      </w:r>
      <w:r>
        <w:rPr>
          <w:rStyle w:val="FootnoteAnchor"/>
          <w:rFonts w:ascii="Arial" w:hAnsi="Arial"/>
          <w:b w:val="false"/>
          <w:bCs w:val="false"/>
          <w:sz w:val="24"/>
          <w:szCs w:val="24"/>
          <w:shd w:fill="auto" w:val="clear"/>
        </w:rPr>
        <w:footnoteReference w:id="62"/>
      </w:r>
      <w:r>
        <w:rPr>
          <w:rFonts w:ascii="Arial" w:hAnsi="Arial"/>
          <w:b w:val="false"/>
          <w:bCs w:val="false"/>
          <w:sz w:val="24"/>
          <w:szCs w:val="24"/>
          <w:shd w:fill="auto" w:val="clear"/>
        </w:rPr>
        <w:t xml:space="preserve"> </w:t>
      </w:r>
    </w:p>
    <w:p>
      <w:pPr>
        <w:pStyle w:val="NormalWeb"/>
        <w:spacing w:lineRule="auto" w:line="276" w:beforeAutospacing="0" w:before="0" w:afterAutospacing="0" w:after="0"/>
        <w:ind w:right="-334" w:hanging="0"/>
        <w:jc w:val="both"/>
        <w:rPr>
          <w:rFonts w:ascii="Arial" w:hAnsi="Arial"/>
          <w:b/>
          <w:b/>
          <w:bCs/>
          <w:sz w:val="24"/>
          <w:szCs w:val="24"/>
        </w:rPr>
      </w:pPr>
      <w:r>
        <w:rPr>
          <w:rFonts w:ascii="Arial" w:hAnsi="Arial"/>
          <w:b/>
          <w:bCs/>
          <w:sz w:val="24"/>
          <w:szCs w:val="24"/>
        </w:rPr>
        <w:tab/>
      </w:r>
      <w:r>
        <w:rPr>
          <w:rFonts w:ascii="Arial" w:hAnsi="Arial"/>
          <w:b w:val="false"/>
          <w:bCs w:val="false"/>
          <w:sz w:val="24"/>
          <w:szCs w:val="24"/>
        </w:rPr>
        <w:t xml:space="preserve">The following extract has been taken from the book </w:t>
      </w:r>
      <w:r>
        <w:rPr>
          <w:rFonts w:ascii="Arial" w:hAnsi="Arial"/>
          <w:b w:val="false"/>
          <w:bCs w:val="false"/>
          <w:i/>
          <w:iCs/>
          <w:sz w:val="24"/>
          <w:szCs w:val="24"/>
        </w:rPr>
        <w:t>‘The Seer in Ancient Greece’.</w:t>
      </w:r>
      <w:r>
        <w:rPr>
          <w:rStyle w:val="FootnoteAnchor"/>
          <w:rFonts w:ascii="Arial" w:hAnsi="Arial"/>
          <w:b w:val="false"/>
          <w:bCs w:val="false"/>
          <w:i/>
          <w:iCs/>
          <w:sz w:val="24"/>
          <w:szCs w:val="24"/>
        </w:rPr>
        <w:footnoteReference w:id="63"/>
      </w:r>
      <w:r>
        <w:rPr>
          <w:rFonts w:ascii="Arial" w:hAnsi="Arial"/>
          <w:b w:val="false"/>
          <w:bCs w:val="false"/>
          <w:sz w:val="24"/>
          <w:szCs w:val="24"/>
        </w:rPr>
        <w:t xml:space="preserve"> According to the Greek philosopher Plato, Seers (a person who potentially has the ability to foresee the future) and magicians come together as one. However recent scholars have argued that the relationship between religion and magic is a flexible one or that there are no distinctions between the two of them. According to numerous sources seers and magicians both attempted to manipulate and constrain the gods through supernatural means. M</w:t>
      </w:r>
      <w:r>
        <w:rPr>
          <w:rFonts w:eastAsia="SimSun" w:cs="Times New Roman" w:ascii="Arial" w:hAnsi="Arial"/>
          <w:b w:val="false"/>
          <w:bCs w:val="false"/>
          <w:color w:val="000000"/>
          <w:kern w:val="0"/>
          <w:sz w:val="24"/>
          <w:szCs w:val="24"/>
          <w:lang w:val="en-GB" w:eastAsia="zh-CN" w:bidi="ar-SA"/>
        </w:rPr>
        <w:t>any</w:t>
      </w:r>
      <w:r>
        <w:rPr>
          <w:rFonts w:ascii="Arial" w:hAnsi="Arial"/>
          <w:b w:val="false"/>
          <w:bCs w:val="false"/>
          <w:sz w:val="24"/>
          <w:szCs w:val="24"/>
        </w:rPr>
        <w:t xml:space="preserve"> times, when carrying out divinatory sacrifices they simply interpreted the god given signs. However even then it was their ability to turn away the unwanted signs in the proper ritual. That said the one thing that remains clear is that the Greeks had different forms of seers, the magician, the sorcerer, the beggar priest as well as mantis, who is considered of high status. Other terms such as magos, goes, and agurtes were also given to mantis. This caused confusion as there was no social status given and it was down to the public which terms that they would use.  </w:t>
      </w:r>
      <w:r>
        <w:rPr>
          <w:rStyle w:val="FootnoteAnchor"/>
          <w:rFonts w:ascii="Arial" w:hAnsi="Arial"/>
          <w:b w:val="false"/>
          <w:bCs w:val="false"/>
          <w:sz w:val="24"/>
          <w:szCs w:val="24"/>
        </w:rPr>
        <w:footnoteReference w:id="64"/>
      </w:r>
      <w:r>
        <w:rPr>
          <w:rFonts w:ascii="Arial" w:hAnsi="Arial"/>
          <w:b w:val="false"/>
          <w:bCs w:val="false"/>
          <w:sz w:val="24"/>
          <w:szCs w:val="24"/>
        </w:rPr>
        <w:t xml:space="preserve"> It appears here that there was no differences between a magician or seer therefore if there are no differences between the two who perform the rituals, are there any differences in terms of their practices. I.e is divination an act of magic or religion. According to this information there are no differences and it is down to the public what they get called. </w:t>
      </w:r>
    </w:p>
    <w:p>
      <w:pPr>
        <w:pStyle w:val="TextBody"/>
        <w:spacing w:beforeAutospacing="0" w:before="0" w:afterAutospacing="0" w:after="0"/>
        <w:ind w:right="-334" w:hanging="0"/>
        <w:jc w:val="both"/>
        <w:rPr/>
      </w:pPr>
      <w:r>
        <w:rPr>
          <w:rFonts w:ascii="Arial" w:hAnsi="Arial"/>
          <w:b w:val="false"/>
          <w:bCs w:val="false"/>
          <w:color w:val="000000"/>
          <w:sz w:val="24"/>
          <w:szCs w:val="24"/>
        </w:rPr>
        <w:tab/>
        <w:t>Versnel in his article ‘</w:t>
      </w:r>
      <w:r>
        <w:rPr>
          <w:rFonts w:ascii="Arial" w:hAnsi="Arial"/>
          <w:b w:val="false"/>
          <w:bCs w:val="false"/>
          <w:i/>
          <w:iCs/>
          <w:color w:val="000000"/>
          <w:sz w:val="24"/>
          <w:szCs w:val="24"/>
        </w:rPr>
        <w:t>Some Reflections on the Relationship Magic-Religion</w:t>
      </w:r>
      <w:r>
        <w:rPr>
          <w:rFonts w:ascii="Arial" w:hAnsi="Arial"/>
          <w:b w:val="false"/>
          <w:bCs w:val="false"/>
          <w:i w:val="false"/>
          <w:iCs w:val="false"/>
          <w:color w:val="000000"/>
          <w:sz w:val="24"/>
          <w:szCs w:val="24"/>
        </w:rPr>
        <w:t xml:space="preserve"> writes that t</w:t>
      </w:r>
      <w:r>
        <w:rPr>
          <w:rFonts w:ascii="Arial" w:hAnsi="Arial"/>
          <w:b w:val="false"/>
          <w:bCs w:val="false"/>
          <w:color w:val="000000"/>
          <w:sz w:val="24"/>
          <w:szCs w:val="24"/>
        </w:rPr>
        <w:t>he distinction between magic and religion began with Frazier's tripartite knowledge. The first being knowledge gained through research, the second and third belongs to dogmatic knowledge. In view of Frazier the basic difference between the two was that religion is intrinsically and essentially unverifiable. Whereas magic is not, However if put to the empirical test it would be proven to be false.</w:t>
      </w:r>
      <w:r>
        <w:rPr>
          <w:rStyle w:val="FootnoteAnchor"/>
          <w:rFonts w:ascii="Arial" w:hAnsi="Arial"/>
          <w:b w:val="false"/>
          <w:bCs w:val="false"/>
          <w:color w:val="000000"/>
          <w:sz w:val="24"/>
          <w:szCs w:val="24"/>
        </w:rPr>
        <w:footnoteReference w:id="65"/>
      </w:r>
      <w:r>
        <w:rPr>
          <w:rFonts w:ascii="Arial" w:hAnsi="Arial"/>
          <w:b w:val="false"/>
          <w:bCs w:val="false"/>
          <w:color w:val="000000"/>
          <w:sz w:val="24"/>
          <w:szCs w:val="24"/>
        </w:rPr>
        <w:t xml:space="preserve"> </w:t>
      </w:r>
      <w:r>
        <w:rPr>
          <w:rFonts w:ascii="Arial" w:hAnsi="Arial"/>
          <w:color w:val="000000"/>
          <w:sz w:val="24"/>
        </w:rPr>
        <w:t>Religion and magic both refer to the supernatural forces as well as powers, it is evident that there is some form of uncertainty between the notion of non-meditation (which referees to the absence of a medium, A personal medium is not needed, and just requires the presence of a medium or the client and instrumental aid) and the supernatural agent. Many distinctions between religion and magic have developed over the years. First of all the intention of magic is to achieve goals for individuals, whereas religion focuses on long term goals that are associated with society.</w:t>
      </w:r>
      <w:r>
        <w:rPr>
          <w:rStyle w:val="FootnoteAnchor"/>
          <w:rFonts w:ascii="Arial" w:hAnsi="Arial"/>
          <w:color w:val="000000"/>
          <w:sz w:val="24"/>
        </w:rPr>
        <w:footnoteReference w:id="66"/>
      </w:r>
      <w:r>
        <w:rPr>
          <w:rFonts w:ascii="Arial" w:hAnsi="Arial"/>
          <w:color w:val="000000"/>
          <w:sz w:val="24"/>
        </w:rPr>
        <w:t xml:space="preserve"> Reflecting on the interpretations of dreams which is a divinatory omen. Dreams belong to the individual</w:t>
      </w:r>
      <w:r>
        <w:rPr>
          <w:rStyle w:val="FootnoteAnchor"/>
          <w:rFonts w:ascii="Arial" w:hAnsi="Arial"/>
          <w:color w:val="000000"/>
          <w:sz w:val="24"/>
        </w:rPr>
        <w:footnoteReference w:id="67"/>
      </w:r>
      <w:r>
        <w:rPr>
          <w:rFonts w:ascii="Arial" w:hAnsi="Arial"/>
          <w:color w:val="000000"/>
          <w:sz w:val="24"/>
        </w:rPr>
        <w:t xml:space="preserve"> and could possibly be interpreted for the purpose of an individual goal therefore could be considered as magic However in contrast to this and reflecting back to Plutarch’s prophecy of the myth of the </w:t>
      </w:r>
      <w:r>
        <w:rPr>
          <w:rFonts w:ascii="Arial" w:hAnsi="Arial"/>
          <w:b w:val="false"/>
          <w:bCs w:val="false"/>
          <w:color w:val="000000"/>
          <w:sz w:val="24"/>
          <w:szCs w:val="24"/>
        </w:rPr>
        <w:t>magistrates of Sparta returning to the temple, Pasiphae did go to the temple to seek laws for his country through a dream</w:t>
      </w:r>
      <w:r>
        <w:rPr>
          <w:rStyle w:val="FootnoteAnchor"/>
          <w:rFonts w:ascii="Arial" w:hAnsi="Arial"/>
          <w:b w:val="false"/>
          <w:bCs w:val="false"/>
          <w:color w:val="000000"/>
          <w:sz w:val="24"/>
          <w:szCs w:val="24"/>
        </w:rPr>
        <w:footnoteReference w:id="68"/>
      </w:r>
      <w:r>
        <w:rPr>
          <w:rFonts w:ascii="Arial" w:hAnsi="Arial"/>
          <w:b w:val="false"/>
          <w:bCs w:val="false"/>
          <w:color w:val="000000"/>
          <w:sz w:val="24"/>
          <w:szCs w:val="24"/>
        </w:rPr>
        <w:t>, so then it is understandable by someone would think religion focuses long term goals for society.</w:t>
      </w:r>
    </w:p>
    <w:p>
      <w:pPr>
        <w:pStyle w:val="TextBody"/>
        <w:widowControl/>
        <w:shd w:val="clear" w:fill="FFFFFF"/>
        <w:suppressAutoHyphens w:val="true"/>
        <w:bidi w:val="0"/>
        <w:spacing w:lineRule="auto" w:line="276" w:before="0" w:after="140"/>
        <w:ind w:left="0" w:right="-340" w:hanging="0"/>
        <w:jc w:val="both"/>
        <w:rPr>
          <w:color w:val="000000"/>
          <w:sz w:val="24"/>
        </w:rPr>
      </w:pPr>
      <w:r>
        <w:rPr>
          <w:rFonts w:ascii="Arial" w:hAnsi="Arial"/>
          <w:color w:val="000000"/>
          <w:sz w:val="24"/>
          <w:szCs w:val="24"/>
        </w:rPr>
        <w:tab/>
        <w:t>Versnel continues to state the differences of magic and religion describing Magic as being more manipulative, the magician is the conductor and deliverer and relies on the knowledge that they have. Religion on the other hand seeks powers from the supernatural. The nature of magic focuses on the technical side of manipulation, the precision of the formula. It takes a professional person to do this as only the magician has this knowledge. If the practice has been carried out properly then a result is always expected. Whereas religion speaks of its intentions, I.e prayer for health. A professional is not required. They seek knowledge from the gods.</w:t>
      </w:r>
      <w:r>
        <w:rPr>
          <w:rStyle w:val="FootnoteAnchor"/>
          <w:rFonts w:ascii="Arial" w:hAnsi="Arial"/>
          <w:color w:val="000000"/>
          <w:sz w:val="24"/>
          <w:szCs w:val="24"/>
        </w:rPr>
        <w:footnoteReference w:id="69"/>
      </w:r>
      <w:r>
        <w:rPr>
          <w:rFonts w:ascii="Arial" w:hAnsi="Arial"/>
          <w:color w:val="000000"/>
          <w:sz w:val="24"/>
          <w:szCs w:val="24"/>
        </w:rPr>
        <w:t xml:space="preserve"> After reading a passage from Flowers chapter on ‘</w:t>
      </w:r>
      <w:r>
        <w:rPr>
          <w:rFonts w:ascii="Arial" w:hAnsi="Arial"/>
          <w:i/>
          <w:iCs/>
          <w:color w:val="000000"/>
          <w:sz w:val="24"/>
          <w:szCs w:val="24"/>
        </w:rPr>
        <w:t>Who is the see</w:t>
      </w:r>
      <w:r>
        <w:rPr>
          <w:rFonts w:ascii="Arial" w:hAnsi="Arial"/>
          <w:color w:val="000000"/>
          <w:sz w:val="24"/>
          <w:szCs w:val="24"/>
        </w:rPr>
        <w:t xml:space="preserve">r’ one would disagree with the magician being more manipulative, and state that they both manipulate because it has been suggested by Flower that </w:t>
      </w:r>
      <w:r>
        <w:rPr>
          <w:rFonts w:ascii="Arial" w:hAnsi="Arial"/>
          <w:b w:val="false"/>
          <w:bCs w:val="false"/>
          <w:color w:val="000000"/>
          <w:sz w:val="24"/>
          <w:szCs w:val="24"/>
        </w:rPr>
        <w:t>numerous sources, seers and magicians both attempt to manipulate and constrain the gods through supernatural means.</w:t>
      </w:r>
      <w:r>
        <w:rPr>
          <w:rStyle w:val="FootnoteAnchor"/>
          <w:rFonts w:ascii="Arial" w:hAnsi="Arial"/>
          <w:b w:val="false"/>
          <w:bCs w:val="false"/>
          <w:color w:val="000000"/>
          <w:sz w:val="24"/>
          <w:szCs w:val="24"/>
        </w:rPr>
        <w:footnoteReference w:id="70"/>
      </w:r>
    </w:p>
    <w:p>
      <w:pPr>
        <w:pStyle w:val="TextBody"/>
        <w:shd w:val="clear" w:fill="FFFFFF"/>
        <w:ind w:left="0" w:hanging="0"/>
        <w:jc w:val="both"/>
        <w:rPr>
          <w:color w:val="000000"/>
        </w:rPr>
      </w:pPr>
      <w:r>
        <w:rPr>
          <w:color w:val="000000"/>
        </w:rPr>
      </w:r>
    </w:p>
    <w:p>
      <w:pPr>
        <w:pStyle w:val="TextBody"/>
        <w:shd w:val="clear" w:fill="FFFFFF"/>
        <w:rPr>
          <w:rFonts w:ascii="Arial" w:hAnsi="Arial"/>
          <w:b/>
          <w:b/>
          <w:bCs/>
          <w:color w:val="000000"/>
          <w:sz w:val="24"/>
        </w:rPr>
      </w:pPr>
      <w:r>
        <w:rPr>
          <w:rFonts w:ascii="Arial" w:hAnsi="Arial"/>
          <w:b/>
          <w:bCs/>
          <w:color w:val="000000"/>
          <w:sz w:val="24"/>
        </w:rPr>
        <w:t>Conclusion</w:t>
      </w:r>
    </w:p>
    <w:p>
      <w:pPr>
        <w:pStyle w:val="TextBody"/>
        <w:widowControl/>
        <w:shd w:val="clear" w:fill="FFFFFF"/>
        <w:suppressAutoHyphens w:val="true"/>
        <w:bidi w:val="0"/>
        <w:spacing w:lineRule="auto" w:line="276" w:before="0" w:after="140"/>
        <w:ind w:left="0" w:right="-340" w:hanging="0"/>
        <w:jc w:val="both"/>
        <w:rPr>
          <w:rFonts w:ascii="Arial" w:hAnsi="Arial"/>
          <w:b w:val="false"/>
          <w:b w:val="false"/>
          <w:bCs w:val="false"/>
          <w:color w:val="000000"/>
          <w:sz w:val="24"/>
        </w:rPr>
      </w:pPr>
      <w:r>
        <w:rPr>
          <w:rFonts w:ascii="Arial" w:hAnsi="Arial"/>
          <w:b w:val="false"/>
          <w:bCs w:val="false"/>
          <w:color w:val="000000"/>
          <w:sz w:val="24"/>
        </w:rPr>
        <w:tab/>
        <w:t xml:space="preserve">There are various views on whether magic and religion interlink. However the practice of ancient divination appears to fall into both magic and religion. It seems to be that a magician carries out magic whereas seers or mediums carry out religious practices. Divination is the art of predicting or foretelling the future through signs. In order for it to be divination the signs are believed to come from the gods or supernatural. In terms of magic they would refer to the supernatural. From a religious perspective they would draw upon a response from the gods. I think that it is very difficult to distinguish between the two especially in ancient times, when the practices were part of Greek culture. </w:t>
      </w:r>
    </w:p>
    <w:p>
      <w:pPr>
        <w:pStyle w:val="NormalWeb"/>
        <w:spacing w:beforeAutospacing="0" w:before="0" w:afterAutospacing="0" w:after="0"/>
        <w:ind w:right="-334" w:hanging="0"/>
        <w:jc w:val="both"/>
        <w:rPr>
          <w:rFonts w:ascii="Arial" w:hAnsi="Arial"/>
          <w:sz w:val="24"/>
          <w:szCs w:val="24"/>
        </w:rPr>
      </w:pPr>
      <w:r>
        <w:rPr>
          <w:rFonts w:ascii="Arial" w:hAnsi="Arial"/>
          <w:sz w:val="24"/>
          <w:szCs w:val="24"/>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rFonts w:ascii="Arial" w:hAnsi="Arial"/>
          <w:b/>
          <w:b/>
          <w:bCs/>
          <w:sz w:val="24"/>
          <w:szCs w:val="24"/>
        </w:rPr>
      </w:pPr>
      <w:r>
        <w:rPr/>
      </w:r>
    </w:p>
    <w:p>
      <w:pPr>
        <w:pStyle w:val="NormalWeb"/>
        <w:spacing w:beforeAutospacing="0" w:before="0" w:afterAutospacing="0" w:after="0"/>
        <w:ind w:right="-334" w:hanging="0"/>
        <w:jc w:val="both"/>
        <w:rPr/>
      </w:pPr>
      <w:r>
        <w:rPr>
          <w:rFonts w:ascii="Arial" w:hAnsi="Arial"/>
          <w:b/>
          <w:bCs/>
          <w:sz w:val="24"/>
          <w:szCs w:val="24"/>
        </w:rPr>
        <w:t>Bibliography</w:t>
      </w:r>
    </w:p>
    <w:p>
      <w:pPr>
        <w:pStyle w:val="NormalWeb"/>
        <w:spacing w:beforeAutospacing="0" w:before="0" w:afterAutospacing="0" w:after="0"/>
        <w:ind w:right="-334" w:hanging="0"/>
        <w:jc w:val="both"/>
        <w:rPr>
          <w:rFonts w:ascii="Arial" w:hAnsi="Arial"/>
          <w:sz w:val="24"/>
          <w:szCs w:val="24"/>
        </w:rPr>
      </w:pPr>
      <w:r>
        <w:rPr>
          <w:rFonts w:ascii="Arial" w:hAnsi="Arial"/>
          <w:sz w:val="24"/>
          <w:szCs w:val="24"/>
        </w:rPr>
      </w:r>
    </w:p>
    <w:p>
      <w:pPr>
        <w:pStyle w:val="Footnote"/>
        <w:spacing w:beforeAutospacing="0" w:before="0" w:afterAutospacing="0" w:after="0"/>
        <w:ind w:left="0" w:hanging="0"/>
        <w:jc w:val="both"/>
        <w:rPr/>
      </w:pPr>
      <w:r>
        <w:rPr>
          <w:rFonts w:ascii="Arial" w:hAnsi="Arial"/>
          <w:sz w:val="24"/>
          <w:szCs w:val="24"/>
          <w:shd w:fill="auto" w:val="clear"/>
        </w:rPr>
        <w:t xml:space="preserve">Beerden, Kim </w:t>
      </w:r>
      <w:r>
        <w:rPr>
          <w:rFonts w:ascii="Arial" w:hAnsi="Arial"/>
          <w:i/>
          <w:iCs/>
          <w:sz w:val="24"/>
          <w:szCs w:val="24"/>
          <w:shd w:fill="auto" w:val="clear"/>
        </w:rPr>
        <w:t>worlds full of signs: Ancient Greek divination</w:t>
      </w:r>
      <w:r>
        <w:rPr>
          <w:rFonts w:ascii="Arial" w:hAnsi="Arial"/>
          <w:sz w:val="24"/>
          <w:szCs w:val="24"/>
          <w:shd w:fill="auto" w:val="clear"/>
        </w:rPr>
        <w:t xml:space="preserve"> (Boston: Brill, 2013) </w:t>
      </w:r>
    </w:p>
    <w:p>
      <w:pPr>
        <w:pStyle w:val="Footnote"/>
        <w:spacing w:beforeAutospacing="0" w:before="0" w:afterAutospacing="0" w:after="0"/>
        <w:ind w:left="0" w:hanging="0"/>
        <w:jc w:val="both"/>
        <w:rPr>
          <w:rFonts w:ascii="Arial" w:hAnsi="Arial"/>
          <w:sz w:val="24"/>
          <w:szCs w:val="24"/>
          <w:shd w:fill="auto" w:val="clear"/>
        </w:rPr>
      </w:pPr>
      <w:r>
        <w:rPr>
          <w:rFonts w:ascii="Arial" w:hAnsi="Arial"/>
          <w:sz w:val="24"/>
          <w:szCs w:val="24"/>
          <w:shd w:fill="auto" w:val="clear"/>
        </w:rPr>
      </w:r>
    </w:p>
    <w:p>
      <w:pPr>
        <w:pStyle w:val="Footnote"/>
        <w:spacing w:beforeAutospacing="0" w:before="0" w:afterAutospacing="0" w:after="0"/>
        <w:ind w:left="0" w:hanging="0"/>
        <w:jc w:val="both"/>
        <w:rPr/>
      </w:pPr>
      <w:r>
        <w:rPr>
          <w:rFonts w:ascii="Arial" w:hAnsi="Arial"/>
          <w:sz w:val="24"/>
          <w:szCs w:val="24"/>
          <w:shd w:fill="auto" w:val="clear"/>
        </w:rPr>
        <w:t xml:space="preserve">Bowden, Hugh, </w:t>
      </w:r>
      <w:r>
        <w:rPr>
          <w:rFonts w:ascii="Arial" w:hAnsi="Arial"/>
          <w:i/>
          <w:iCs/>
          <w:sz w:val="24"/>
          <w:szCs w:val="24"/>
          <w:shd w:fill="auto" w:val="clear"/>
        </w:rPr>
        <w:t xml:space="preserve">A Cognitive Approach to Ancient Greek Animal Sacrifice </w:t>
      </w:r>
      <w:r>
        <w:rPr>
          <w:rFonts w:ascii="Arial" w:hAnsi="Arial"/>
          <w:i w:val="false"/>
          <w:iCs w:val="false"/>
          <w:sz w:val="24"/>
          <w:szCs w:val="24"/>
          <w:shd w:fill="auto" w:val="clear"/>
        </w:rPr>
        <w:t>(Cambridge: Cambridge University Press, 2022). &lt; Kclpure.kcl.ac.uk &gt; [accessed 3</w:t>
      </w:r>
      <w:r>
        <w:rPr>
          <w:rFonts w:ascii="Arial" w:hAnsi="Arial"/>
          <w:i w:val="false"/>
          <w:iCs w:val="false"/>
          <w:sz w:val="24"/>
          <w:szCs w:val="24"/>
          <w:shd w:fill="auto" w:val="clear"/>
          <w:vertAlign w:val="superscript"/>
        </w:rPr>
        <w:t>rd</w:t>
      </w:r>
      <w:r>
        <w:rPr>
          <w:rFonts w:ascii="Arial" w:hAnsi="Arial"/>
          <w:i w:val="false"/>
          <w:iCs w:val="false"/>
          <w:sz w:val="24"/>
          <w:szCs w:val="24"/>
          <w:shd w:fill="auto" w:val="clear"/>
        </w:rPr>
        <w:t xml:space="preserve"> April 2023] </w:t>
      </w:r>
    </w:p>
    <w:p>
      <w:pPr>
        <w:pStyle w:val="Footnote"/>
        <w:spacing w:beforeAutospacing="0" w:before="0" w:afterAutospacing="0" w:after="0"/>
        <w:ind w:left="0" w:hanging="0"/>
        <w:jc w:val="both"/>
        <w:rPr>
          <w:rFonts w:ascii="Arial" w:hAnsi="Arial"/>
          <w:i w:val="false"/>
          <w:i w:val="false"/>
          <w:iCs w:val="false"/>
          <w:sz w:val="24"/>
          <w:szCs w:val="24"/>
          <w:shd w:fill="auto" w:val="clear"/>
        </w:rPr>
      </w:pPr>
      <w:r>
        <w:rPr>
          <w:rFonts w:ascii="Arial" w:hAnsi="Arial"/>
          <w:i w:val="false"/>
          <w:iCs w:val="false"/>
          <w:sz w:val="24"/>
          <w:szCs w:val="24"/>
          <w:shd w:fill="auto" w:val="clear"/>
        </w:rPr>
      </w:r>
    </w:p>
    <w:p>
      <w:pPr>
        <w:pStyle w:val="Footnote"/>
        <w:spacing w:beforeAutospacing="0" w:before="0" w:afterAutospacing="0" w:after="0"/>
        <w:ind w:left="0" w:hanging="0"/>
        <w:jc w:val="both"/>
        <w:rPr/>
      </w:pPr>
      <w:r>
        <w:rPr>
          <w:rFonts w:ascii="Arial" w:hAnsi="Arial"/>
          <w:i w:val="false"/>
          <w:iCs w:val="false"/>
          <w:sz w:val="24"/>
          <w:szCs w:val="24"/>
          <w:shd w:fill="auto" w:val="clear"/>
        </w:rPr>
        <w:t xml:space="preserve">Jan Bremmer, ‘Πλειών. Papers in memory of Christiane Sourvinou-Inwood’ </w:t>
      </w:r>
      <w:r>
        <w:rPr>
          <w:rFonts w:ascii="Arial" w:hAnsi="Arial"/>
          <w:i/>
          <w:iCs/>
          <w:sz w:val="24"/>
          <w:szCs w:val="24"/>
          <w:shd w:fill="auto" w:val="clear"/>
        </w:rPr>
        <w:t xml:space="preserve">Ariadne, </w:t>
      </w:r>
      <w:r>
        <w:rPr>
          <w:rFonts w:ascii="Arial" w:hAnsi="Arial"/>
          <w:i w:val="false"/>
          <w:iCs w:val="false"/>
          <w:sz w:val="24"/>
          <w:szCs w:val="24"/>
          <w:shd w:fill="auto" w:val="clear"/>
        </w:rPr>
        <w:t>(2021) xvii-390 &lt;</w:t>
      </w:r>
      <w:hyperlink r:id="rId3">
        <w:r>
          <w:rPr>
            <w:rStyle w:val="InternetLink"/>
            <w:rFonts w:ascii="Arial" w:hAnsi="Arial"/>
            <w:i w:val="false"/>
            <w:iCs w:val="false"/>
            <w:sz w:val="24"/>
            <w:szCs w:val="24"/>
            <w:shd w:fill="auto" w:val="clear"/>
          </w:rPr>
          <w:t>https://bmcr.brynmawr.edu/2021/2021.04.39/</w:t>
        </w:r>
      </w:hyperlink>
      <w:r>
        <w:rPr>
          <w:rFonts w:ascii="Arial" w:hAnsi="Arial"/>
          <w:i w:val="false"/>
          <w:iCs w:val="false"/>
          <w:sz w:val="24"/>
          <w:szCs w:val="24"/>
          <w:shd w:fill="auto" w:val="clear"/>
        </w:rPr>
        <w:t xml:space="preserve">&gt; </w:t>
      </w:r>
    </w:p>
    <w:p>
      <w:pPr>
        <w:pStyle w:val="Footnote"/>
        <w:spacing w:beforeAutospacing="0" w:before="0" w:afterAutospacing="0" w:after="0"/>
        <w:ind w:left="0" w:hanging="0"/>
        <w:jc w:val="both"/>
        <w:rPr>
          <w:rFonts w:ascii="Arial" w:hAnsi="Arial"/>
          <w:sz w:val="24"/>
          <w:szCs w:val="24"/>
        </w:rPr>
      </w:pPr>
      <w:r>
        <w:rPr>
          <w:rFonts w:ascii="Arial" w:hAnsi="Arial"/>
          <w:sz w:val="24"/>
          <w:szCs w:val="24"/>
        </w:rPr>
      </w:r>
    </w:p>
    <w:p>
      <w:pPr>
        <w:pStyle w:val="Footnote"/>
        <w:spacing w:beforeAutospacing="0" w:before="0" w:afterAutospacing="0" w:after="0"/>
        <w:ind w:left="0" w:hanging="0"/>
        <w:jc w:val="both"/>
        <w:rPr/>
      </w:pPr>
      <w:r>
        <w:rPr>
          <w:rFonts w:ascii="Arial" w:hAnsi="Arial"/>
          <w:sz w:val="24"/>
          <w:szCs w:val="24"/>
        </w:rPr>
        <w:t xml:space="preserve">Chryssides, D, George and Geaves, Ron, </w:t>
      </w:r>
      <w:r>
        <w:rPr>
          <w:rFonts w:ascii="Arial" w:hAnsi="Arial"/>
          <w:i/>
          <w:iCs/>
          <w:sz w:val="24"/>
          <w:szCs w:val="24"/>
        </w:rPr>
        <w:t xml:space="preserve">The Study of Religion: An Introduction to Key Ideas and Methods </w:t>
      </w:r>
      <w:r>
        <w:rPr>
          <w:rFonts w:ascii="Arial" w:hAnsi="Arial"/>
          <w:i w:val="false"/>
          <w:iCs w:val="false"/>
          <w:sz w:val="24"/>
          <w:szCs w:val="24"/>
        </w:rPr>
        <w:t xml:space="preserve">(London: Continuum International Publishing Group, 2007) </w:t>
      </w:r>
    </w:p>
    <w:p>
      <w:pPr>
        <w:pStyle w:val="Footnote"/>
        <w:spacing w:beforeAutospacing="0" w:before="0" w:afterAutospacing="0" w:after="0"/>
        <w:ind w:left="0" w:hanging="0"/>
        <w:jc w:val="both"/>
        <w:rPr>
          <w:rFonts w:ascii="Arial" w:hAnsi="Arial"/>
          <w:sz w:val="24"/>
          <w:szCs w:val="24"/>
        </w:rPr>
      </w:pPr>
      <w:r>
        <w:rPr>
          <w:rFonts w:ascii="Arial" w:hAnsi="Arial"/>
          <w:sz w:val="24"/>
          <w:szCs w:val="24"/>
        </w:rPr>
      </w:r>
    </w:p>
    <w:p>
      <w:pPr>
        <w:pStyle w:val="NormalWeb"/>
        <w:spacing w:beforeAutospacing="0" w:before="114" w:afterAutospacing="0" w:after="114"/>
        <w:ind w:left="0" w:right="-334" w:hanging="0"/>
        <w:jc w:val="both"/>
        <w:rPr/>
      </w:pPr>
      <w:r>
        <w:rPr>
          <w:rFonts w:cs="Arial" w:ascii="Arial" w:hAnsi="Arial"/>
          <w:b w:val="false"/>
          <w:bCs w:val="false"/>
          <w:i w:val="false"/>
          <w:iCs w:val="false"/>
          <w:sz w:val="24"/>
          <w:szCs w:val="24"/>
        </w:rPr>
        <w:t xml:space="preserve">Cicero, </w:t>
      </w:r>
      <w:r>
        <w:rPr>
          <w:rFonts w:cs="Arial" w:ascii="Arial" w:hAnsi="Arial"/>
          <w:b w:val="false"/>
          <w:bCs w:val="false"/>
          <w:i/>
          <w:iCs/>
          <w:sz w:val="24"/>
          <w:szCs w:val="24"/>
        </w:rPr>
        <w:t xml:space="preserve">On Divination (De Divinatione) </w:t>
      </w:r>
      <w:r>
        <w:rPr>
          <w:rFonts w:cs="Arial" w:ascii="Arial" w:hAnsi="Arial"/>
          <w:b w:val="false"/>
          <w:bCs w:val="false"/>
          <w:i w:val="false"/>
          <w:iCs w:val="false"/>
          <w:sz w:val="24"/>
          <w:szCs w:val="24"/>
        </w:rPr>
        <w:t xml:space="preserve"> W. A. Falconer, ed. and trs. Loeb Classical Library, (Cambridge, MA: Harvard University Press, vol. XX, 1923). available at &lt; </w:t>
      </w:r>
      <w:hyperlink r:id="rId4">
        <w:r>
          <w:rPr>
            <w:rStyle w:val="InternetLink"/>
            <w:rFonts w:cs="Arial" w:ascii="Arial" w:hAnsi="Arial"/>
            <w:b w:val="false"/>
            <w:bCs w:val="false"/>
            <w:i w:val="false"/>
            <w:iCs w:val="false"/>
            <w:sz w:val="24"/>
            <w:szCs w:val="24"/>
          </w:rPr>
          <w:t>https://www-loebclassics-com.ezproxy.uwtsd.ac.uk/view/marcus_tullius_cicero-de_divinatione/1923/pb_LCL154.215.xml</w:t>
        </w:r>
      </w:hyperlink>
      <w:r>
        <w:rPr>
          <w:rFonts w:cs="Arial" w:ascii="Arial" w:hAnsi="Arial"/>
          <w:b w:val="false"/>
          <w:bCs w:val="false"/>
          <w:i w:val="false"/>
          <w:iCs w:val="false"/>
          <w:sz w:val="24"/>
          <w:szCs w:val="24"/>
        </w:rPr>
        <w:t xml:space="preserve"> &gt; </w:t>
      </w:r>
    </w:p>
    <w:p>
      <w:pPr>
        <w:pStyle w:val="NormalWeb"/>
        <w:spacing w:beforeAutospacing="0" w:before="0" w:afterAutospacing="0" w:after="0"/>
        <w:ind w:right="-334" w:hanging="0"/>
        <w:jc w:val="both"/>
        <w:rPr>
          <w:rFonts w:ascii="Arial" w:hAnsi="Arial"/>
          <w:sz w:val="24"/>
          <w:szCs w:val="24"/>
        </w:rPr>
      </w:pPr>
      <w:r>
        <w:rPr>
          <w:rFonts w:ascii="Arial" w:hAnsi="Arial"/>
          <w:sz w:val="24"/>
          <w:szCs w:val="24"/>
        </w:rPr>
      </w:r>
    </w:p>
    <w:p>
      <w:pPr>
        <w:pStyle w:val="NormalWeb"/>
        <w:spacing w:beforeAutospacing="0" w:before="0" w:afterAutospacing="0" w:after="0"/>
        <w:ind w:right="-334" w:hanging="0"/>
        <w:jc w:val="both"/>
        <w:rPr/>
      </w:pPr>
      <w:r>
        <w:rPr>
          <w:rFonts w:ascii="Arial" w:hAnsi="Arial"/>
          <w:sz w:val="24"/>
          <w:szCs w:val="24"/>
        </w:rPr>
        <w:t xml:space="preserve">Collins, Derek,  </w:t>
      </w:r>
      <w:r>
        <w:rPr>
          <w:rFonts w:ascii="Arial" w:hAnsi="Arial"/>
          <w:i/>
          <w:iCs/>
          <w:sz w:val="24"/>
          <w:szCs w:val="24"/>
        </w:rPr>
        <w:t>Magic in the ancient Greek</w:t>
      </w:r>
      <w:r>
        <w:rPr>
          <w:rFonts w:ascii="Arial" w:hAnsi="Arial"/>
          <w:sz w:val="24"/>
          <w:szCs w:val="24"/>
        </w:rPr>
        <w:t xml:space="preserve"> </w:t>
      </w:r>
      <w:r>
        <w:rPr>
          <w:rFonts w:ascii="Arial" w:hAnsi="Arial"/>
          <w:i/>
          <w:iCs/>
          <w:sz w:val="24"/>
          <w:szCs w:val="24"/>
        </w:rPr>
        <w:t>World</w:t>
      </w:r>
      <w:r>
        <w:rPr>
          <w:rFonts w:ascii="Arial" w:hAnsi="Arial"/>
          <w:sz w:val="24"/>
          <w:szCs w:val="24"/>
        </w:rPr>
        <w:t xml:space="preserve"> (Oxford: Blackwell Publishing, 2008) </w:t>
      </w:r>
    </w:p>
    <w:p>
      <w:pPr>
        <w:pStyle w:val="Footnote"/>
        <w:spacing w:beforeAutospacing="0" w:before="0" w:afterAutospacing="0" w:after="0"/>
        <w:ind w:left="339" w:right="-334" w:hanging="0"/>
        <w:jc w:val="both"/>
        <w:rPr>
          <w:rFonts w:ascii="Arial" w:hAnsi="Arial"/>
          <w:sz w:val="24"/>
          <w:szCs w:val="24"/>
        </w:rPr>
      </w:pPr>
      <w:r>
        <w:rPr>
          <w:rFonts w:ascii="Arial" w:hAnsi="Arial"/>
          <w:sz w:val="24"/>
          <w:szCs w:val="24"/>
        </w:rPr>
      </w:r>
    </w:p>
    <w:p>
      <w:pPr>
        <w:pStyle w:val="Footnote"/>
        <w:widowControl/>
        <w:spacing w:beforeAutospacing="0" w:before="0" w:afterAutospacing="0" w:after="0"/>
        <w:ind w:left="0" w:right="0" w:hanging="0"/>
        <w:jc w:val="both"/>
        <w:rPr>
          <w:rFonts w:ascii="Arial" w:hAnsi="Arial"/>
          <w:sz w:val="24"/>
          <w:szCs w:val="24"/>
        </w:rPr>
      </w:pPr>
      <w:r>
        <w:rPr>
          <w:rFonts w:ascii="Arial" w:hAnsi="Arial"/>
          <w:sz w:val="24"/>
          <w:szCs w:val="24"/>
        </w:rPr>
      </w:r>
    </w:p>
    <w:p>
      <w:pPr>
        <w:pStyle w:val="Footnote"/>
        <w:widowControl/>
        <w:spacing w:beforeAutospacing="0" w:before="0" w:afterAutospacing="0" w:after="0"/>
        <w:ind w:left="0" w:right="0" w:hanging="0"/>
        <w:jc w:val="both"/>
        <w:rPr/>
      </w:pPr>
      <w:r>
        <w:rPr>
          <w:rFonts w:ascii="Arial" w:hAnsi="Arial"/>
          <w:sz w:val="24"/>
          <w:szCs w:val="24"/>
        </w:rPr>
        <w:t xml:space="preserve">Edmonds, G, Radcliffe, </w:t>
      </w:r>
      <w:r>
        <w:rPr>
          <w:rFonts w:ascii="Arial" w:hAnsi="Arial"/>
          <w:i/>
          <w:iCs/>
          <w:sz w:val="24"/>
          <w:szCs w:val="24"/>
        </w:rPr>
        <w:t>Drawing Down the Moon: Magic In the ancient Greco – Roman World.</w:t>
      </w:r>
      <w:r>
        <w:rPr>
          <w:rFonts w:ascii="Arial" w:hAnsi="Arial"/>
          <w:sz w:val="24"/>
          <w:szCs w:val="24"/>
        </w:rPr>
        <w:t xml:space="preserve"> (Princeton: Princeton University Press, 2019)</w:t>
      </w:r>
    </w:p>
    <w:p>
      <w:pPr>
        <w:pStyle w:val="Footnote"/>
        <w:widowControl/>
        <w:spacing w:beforeAutospacing="0" w:before="0" w:afterAutospacing="0" w:after="0"/>
        <w:ind w:left="0" w:right="0" w:hanging="0"/>
        <w:jc w:val="both"/>
        <w:rPr>
          <w:rFonts w:ascii="Arial" w:hAnsi="Arial"/>
          <w:sz w:val="24"/>
          <w:szCs w:val="24"/>
        </w:rPr>
      </w:pPr>
      <w:r>
        <w:rPr>
          <w:rFonts w:ascii="Arial" w:hAnsi="Arial"/>
          <w:sz w:val="24"/>
          <w:szCs w:val="24"/>
        </w:rPr>
      </w:r>
    </w:p>
    <w:p>
      <w:pPr>
        <w:pStyle w:val="Footnote"/>
        <w:widowControl/>
        <w:spacing w:beforeAutospacing="0" w:before="0" w:afterAutospacing="0" w:after="0"/>
        <w:ind w:left="0" w:right="0" w:hanging="0"/>
        <w:jc w:val="both"/>
        <w:rPr>
          <w:rFonts w:ascii="Arial" w:hAnsi="Arial"/>
          <w:sz w:val="24"/>
          <w:szCs w:val="24"/>
        </w:rPr>
      </w:pPr>
      <w:r>
        <w:rPr>
          <w:rFonts w:ascii="Arial" w:hAnsi="Arial"/>
          <w:sz w:val="24"/>
          <w:szCs w:val="24"/>
        </w:rPr>
      </w:r>
    </w:p>
    <w:p>
      <w:pPr>
        <w:pStyle w:val="Footnote"/>
        <w:widowControl/>
        <w:spacing w:beforeAutospacing="0" w:before="0" w:afterAutospacing="0" w:after="0"/>
        <w:ind w:left="0" w:right="0" w:hanging="0"/>
        <w:jc w:val="both"/>
        <w:rPr/>
      </w:pPr>
      <w:r>
        <w:rPr>
          <w:rFonts w:ascii="Arial" w:hAnsi="Arial"/>
          <w:sz w:val="24"/>
          <w:szCs w:val="24"/>
        </w:rPr>
        <w:t xml:space="preserve">Flower, Michael </w:t>
      </w:r>
      <w:r>
        <w:rPr>
          <w:rFonts w:ascii="Arial" w:hAnsi="Arial"/>
          <w:i/>
          <w:iCs/>
          <w:sz w:val="24"/>
          <w:szCs w:val="24"/>
        </w:rPr>
        <w:t xml:space="preserve">The Seer in Ancient Greece, </w:t>
      </w:r>
      <w:r>
        <w:rPr>
          <w:rFonts w:ascii="Arial" w:hAnsi="Arial"/>
          <w:i w:val="false"/>
          <w:iCs w:val="false"/>
          <w:sz w:val="24"/>
          <w:szCs w:val="24"/>
        </w:rPr>
        <w:t xml:space="preserve">(California: University of California, 2008) </w:t>
      </w:r>
    </w:p>
    <w:p>
      <w:pPr>
        <w:pStyle w:val="Footnote"/>
        <w:widowControl/>
        <w:spacing w:beforeAutospacing="0" w:before="0" w:afterAutospacing="0" w:after="0"/>
        <w:ind w:left="0" w:right="0" w:hanging="0"/>
        <w:jc w:val="both"/>
        <w:rPr>
          <w:rFonts w:ascii="Arial" w:hAnsi="Arial"/>
          <w:sz w:val="24"/>
          <w:szCs w:val="24"/>
        </w:rPr>
      </w:pPr>
      <w:r>
        <w:rPr>
          <w:rFonts w:ascii="Arial" w:hAnsi="Arial"/>
          <w:sz w:val="24"/>
          <w:szCs w:val="24"/>
        </w:rPr>
      </w:r>
    </w:p>
    <w:p>
      <w:pPr>
        <w:pStyle w:val="Footnote"/>
        <w:widowControl/>
        <w:spacing w:beforeAutospacing="0" w:before="0" w:afterAutospacing="0" w:after="0"/>
        <w:ind w:left="0" w:hanging="0"/>
        <w:jc w:val="both"/>
        <w:rPr/>
      </w:pPr>
      <w:r>
        <w:rPr>
          <w:rFonts w:ascii="Arial" w:hAnsi="Arial"/>
          <w:sz w:val="24"/>
          <w:szCs w:val="24"/>
        </w:rPr>
        <w:t xml:space="preserve">Iamblichus </w:t>
      </w:r>
      <w:r>
        <w:rPr>
          <w:rFonts w:ascii="Arial" w:hAnsi="Arial"/>
          <w:i/>
          <w:iCs/>
          <w:sz w:val="24"/>
          <w:szCs w:val="24"/>
        </w:rPr>
        <w:t>On the Mysteries</w:t>
      </w:r>
      <w:r>
        <w:rPr>
          <w:rFonts w:ascii="Arial" w:hAnsi="Arial"/>
          <w:sz w:val="24"/>
          <w:szCs w:val="24"/>
        </w:rPr>
        <w:t xml:space="preserve">, Emma C, Clarke, John M, Dillon and Jackson, P, Hershbell, ed. And trs ( Atlanta: Society of Biblical Literature, 2003) </w:t>
      </w:r>
    </w:p>
    <w:p>
      <w:pPr>
        <w:pStyle w:val="Footnote"/>
        <w:widowControl/>
        <w:spacing w:beforeAutospacing="0" w:before="0" w:afterAutospacing="0" w:after="0"/>
        <w:ind w:left="0" w:right="0" w:hanging="0"/>
        <w:jc w:val="both"/>
        <w:rPr>
          <w:rFonts w:ascii="Arial" w:hAnsi="Arial"/>
          <w:sz w:val="24"/>
          <w:szCs w:val="24"/>
        </w:rPr>
      </w:pPr>
      <w:r>
        <w:rPr>
          <w:rFonts w:ascii="Arial" w:hAnsi="Arial"/>
          <w:sz w:val="24"/>
          <w:szCs w:val="24"/>
        </w:rPr>
      </w:r>
    </w:p>
    <w:p>
      <w:pPr>
        <w:pStyle w:val="Footnote"/>
        <w:widowControl/>
        <w:spacing w:beforeAutospacing="0" w:before="0" w:afterAutospacing="0" w:after="0"/>
        <w:ind w:left="0" w:right="0" w:hanging="0"/>
        <w:jc w:val="both"/>
        <w:rPr>
          <w:rFonts w:ascii="Arial" w:hAnsi="Arial"/>
          <w:sz w:val="24"/>
          <w:szCs w:val="24"/>
        </w:rPr>
      </w:pPr>
      <w:r>
        <w:rPr>
          <w:rFonts w:ascii="Arial" w:hAnsi="Arial"/>
          <w:sz w:val="24"/>
          <w:szCs w:val="24"/>
        </w:rPr>
        <w:t xml:space="preserve">Irwin, Lee </w:t>
      </w:r>
      <w:r>
        <w:rPr>
          <w:rFonts w:ascii="Arial" w:hAnsi="Arial"/>
          <w:i/>
          <w:iCs/>
          <w:sz w:val="24"/>
          <w:szCs w:val="24"/>
        </w:rPr>
        <w:t>Dreams Beyond Time On Sacred Encounter and Spiritual Transformation</w:t>
      </w:r>
      <w:r>
        <w:rPr>
          <w:rFonts w:ascii="Arial" w:hAnsi="Arial"/>
          <w:sz w:val="24"/>
          <w:szCs w:val="24"/>
        </w:rPr>
        <w:t>, (London: Lexington Books, 2022).</w:t>
      </w:r>
    </w:p>
    <w:p>
      <w:pPr>
        <w:pStyle w:val="Footnote"/>
        <w:widowControl/>
        <w:spacing w:beforeAutospacing="0" w:before="0" w:afterAutospacing="0" w:after="0"/>
        <w:ind w:left="0" w:right="0" w:hanging="0"/>
        <w:jc w:val="both"/>
        <w:rPr>
          <w:rFonts w:ascii="Arial" w:hAnsi="Arial"/>
          <w:sz w:val="24"/>
          <w:szCs w:val="24"/>
        </w:rPr>
      </w:pPr>
      <w:r>
        <w:rPr>
          <w:rFonts w:ascii="Arial" w:hAnsi="Arial"/>
          <w:sz w:val="24"/>
          <w:szCs w:val="24"/>
        </w:rPr>
      </w:r>
    </w:p>
    <w:p>
      <w:pPr>
        <w:pStyle w:val="Footnote"/>
        <w:widowControl/>
        <w:spacing w:beforeAutospacing="0" w:before="0" w:afterAutospacing="0" w:after="0"/>
        <w:ind w:left="0" w:right="0" w:hanging="0"/>
        <w:jc w:val="both"/>
        <w:rPr/>
      </w:pPr>
      <w:r>
        <w:rPr>
          <w:rFonts w:ascii="Arial" w:hAnsi="Arial"/>
          <w:i w:val="false"/>
          <w:iCs w:val="false"/>
          <w:sz w:val="24"/>
          <w:szCs w:val="24"/>
        </w:rPr>
        <w:t xml:space="preserve">Johnson, Sara lles, </w:t>
      </w:r>
      <w:r>
        <w:rPr>
          <w:rFonts w:ascii="Arial" w:hAnsi="Arial"/>
          <w:i/>
          <w:iCs/>
          <w:sz w:val="24"/>
          <w:szCs w:val="24"/>
        </w:rPr>
        <w:t>Ancient Greek Divination</w:t>
      </w:r>
      <w:r>
        <w:rPr>
          <w:rFonts w:ascii="Arial" w:hAnsi="Arial"/>
          <w:i w:val="false"/>
          <w:iCs w:val="false"/>
          <w:sz w:val="24"/>
          <w:szCs w:val="24"/>
        </w:rPr>
        <w:t xml:space="preserve">, (West Sussex: John Wiley and sons, 2008) </w:t>
      </w:r>
    </w:p>
    <w:p>
      <w:pPr>
        <w:pStyle w:val="Footnote"/>
        <w:widowControl/>
        <w:spacing w:beforeAutospacing="0" w:before="0" w:afterAutospacing="0" w:after="0"/>
        <w:ind w:left="0" w:right="0" w:hanging="0"/>
        <w:jc w:val="both"/>
        <w:rPr>
          <w:rFonts w:ascii="Arial" w:hAnsi="Arial"/>
          <w:sz w:val="24"/>
          <w:szCs w:val="24"/>
        </w:rPr>
      </w:pPr>
      <w:r>
        <w:rPr>
          <w:rFonts w:ascii="Arial" w:hAnsi="Arial"/>
          <w:sz w:val="24"/>
          <w:szCs w:val="24"/>
        </w:rPr>
      </w:r>
    </w:p>
    <w:p>
      <w:pPr>
        <w:pStyle w:val="Footnote"/>
        <w:widowControl/>
        <w:spacing w:beforeAutospacing="0" w:before="0" w:afterAutospacing="0" w:after="0"/>
        <w:ind w:left="0" w:right="0" w:hanging="0"/>
        <w:jc w:val="both"/>
        <w:rPr/>
      </w:pPr>
      <w:r>
        <w:rPr>
          <w:rFonts w:ascii="Arial" w:hAnsi="Arial"/>
          <w:sz w:val="24"/>
          <w:szCs w:val="24"/>
        </w:rPr>
        <w:t xml:space="preserve">Kindt, Julia, </w:t>
      </w:r>
      <w:r>
        <w:rPr>
          <w:rFonts w:ascii="Arial" w:hAnsi="Arial"/>
          <w:i/>
          <w:iCs/>
          <w:sz w:val="24"/>
          <w:szCs w:val="24"/>
        </w:rPr>
        <w:t>Rethinking Greek Religion,</w:t>
      </w:r>
      <w:r>
        <w:rPr>
          <w:rFonts w:ascii="Arial" w:hAnsi="Arial"/>
          <w:sz w:val="24"/>
          <w:szCs w:val="24"/>
        </w:rPr>
        <w:t xml:space="preserve"> (New York: Cambridge University Press, 2012) Pp 13-14</w:t>
      </w:r>
    </w:p>
    <w:p>
      <w:pPr>
        <w:pStyle w:val="Footnote"/>
        <w:widowControl/>
        <w:spacing w:beforeAutospacing="0" w:before="0" w:afterAutospacing="0" w:after="0"/>
        <w:ind w:left="0" w:right="0" w:hanging="0"/>
        <w:jc w:val="both"/>
        <w:rPr>
          <w:rFonts w:ascii="Arial" w:hAnsi="Arial"/>
          <w:sz w:val="24"/>
          <w:szCs w:val="24"/>
        </w:rPr>
      </w:pPr>
      <w:r>
        <w:rPr>
          <w:rFonts w:ascii="Arial" w:hAnsi="Arial"/>
          <w:sz w:val="24"/>
          <w:szCs w:val="24"/>
        </w:rPr>
      </w:r>
    </w:p>
    <w:p>
      <w:pPr>
        <w:pStyle w:val="Footnote"/>
        <w:widowControl/>
        <w:spacing w:beforeAutospacing="0" w:before="0" w:afterAutospacing="0" w:after="0"/>
        <w:ind w:left="0" w:right="0" w:hanging="0"/>
        <w:jc w:val="both"/>
        <w:rPr>
          <w:rFonts w:ascii="Arial" w:hAnsi="Arial"/>
          <w:sz w:val="24"/>
          <w:szCs w:val="24"/>
        </w:rPr>
      </w:pPr>
      <w:r>
        <w:rPr>
          <w:rFonts w:ascii="Arial" w:hAnsi="Arial"/>
          <w:sz w:val="24"/>
          <w:szCs w:val="24"/>
        </w:rPr>
        <w:t xml:space="preserve">Nissinen, Martti, </w:t>
      </w:r>
      <w:r>
        <w:rPr>
          <w:rFonts w:ascii="Arial" w:hAnsi="Arial"/>
          <w:i/>
          <w:iCs/>
          <w:sz w:val="24"/>
          <w:szCs w:val="24"/>
        </w:rPr>
        <w:t>Ancient Prophecy, Near Eastern, Biblical and Greek Perspectives</w:t>
      </w:r>
      <w:r>
        <w:rPr>
          <w:rFonts w:ascii="Arial" w:hAnsi="Arial"/>
          <w:sz w:val="24"/>
          <w:szCs w:val="24"/>
        </w:rPr>
        <w:t>, (Oxford: Oxford University Press, 2017), p.13</w:t>
      </w:r>
    </w:p>
    <w:p>
      <w:pPr>
        <w:pStyle w:val="Footnote"/>
        <w:widowControl/>
        <w:spacing w:beforeAutospacing="0" w:before="0" w:afterAutospacing="0" w:after="0"/>
        <w:ind w:left="0" w:right="0" w:hanging="0"/>
        <w:jc w:val="both"/>
        <w:rPr>
          <w:rFonts w:ascii="Arial" w:hAnsi="Arial"/>
          <w:sz w:val="24"/>
          <w:szCs w:val="24"/>
        </w:rPr>
      </w:pPr>
      <w:r>
        <w:rPr>
          <w:rFonts w:ascii="Arial" w:hAnsi="Arial"/>
          <w:sz w:val="24"/>
          <w:szCs w:val="24"/>
        </w:rPr>
      </w:r>
    </w:p>
    <w:p>
      <w:pPr>
        <w:pStyle w:val="Footnote"/>
        <w:widowControl/>
        <w:spacing w:beforeAutospacing="0" w:before="0" w:afterAutospacing="0" w:after="0"/>
        <w:ind w:left="0" w:right="0" w:hanging="0"/>
        <w:jc w:val="both"/>
        <w:rPr/>
      </w:pPr>
      <w:r>
        <w:rPr>
          <w:rFonts w:ascii="Arial" w:hAnsi="Arial"/>
          <w:sz w:val="24"/>
          <w:szCs w:val="24"/>
        </w:rPr>
        <w:t xml:space="preserve">Oestigaard, Terje, </w:t>
      </w:r>
      <w:r>
        <w:rPr>
          <w:rFonts w:ascii="Arial" w:hAnsi="Arial"/>
          <w:i/>
          <w:iCs/>
          <w:sz w:val="24"/>
          <w:szCs w:val="24"/>
        </w:rPr>
        <w:t>Religion at Work in Globalised Traditions,</w:t>
      </w:r>
      <w:r>
        <w:rPr>
          <w:rFonts w:ascii="Arial" w:hAnsi="Arial"/>
          <w:sz w:val="24"/>
          <w:szCs w:val="24"/>
        </w:rPr>
        <w:t xml:space="preserve"> (Cambridge: Cambridge Scholars Publishing, 2014) </w:t>
      </w:r>
    </w:p>
    <w:p>
      <w:pPr>
        <w:pStyle w:val="Footnote"/>
        <w:widowControl/>
        <w:spacing w:beforeAutospacing="0" w:before="0" w:afterAutospacing="0" w:after="0"/>
        <w:ind w:left="0" w:right="0" w:hanging="0"/>
        <w:jc w:val="both"/>
        <w:rPr>
          <w:rFonts w:ascii="Arial" w:hAnsi="Arial"/>
          <w:sz w:val="24"/>
          <w:szCs w:val="24"/>
        </w:rPr>
      </w:pPr>
      <w:r>
        <w:rPr>
          <w:rFonts w:ascii="Arial" w:hAnsi="Arial"/>
          <w:sz w:val="24"/>
          <w:szCs w:val="24"/>
        </w:rPr>
      </w:r>
    </w:p>
    <w:p>
      <w:pPr>
        <w:pStyle w:val="Footnote"/>
        <w:widowControl/>
        <w:spacing w:beforeAutospacing="0" w:before="0" w:afterAutospacing="0" w:after="0"/>
        <w:ind w:left="0" w:right="0" w:hanging="0"/>
        <w:jc w:val="both"/>
        <w:rPr/>
      </w:pPr>
      <w:r>
        <w:rPr>
          <w:rFonts w:ascii="Arial" w:hAnsi="Arial"/>
          <w:sz w:val="24"/>
          <w:szCs w:val="24"/>
        </w:rPr>
        <w:t xml:space="preserve">Oxford English Dictionary, </w:t>
      </w:r>
      <w:r>
        <w:rPr>
          <w:rFonts w:ascii="Arial" w:hAnsi="Arial"/>
          <w:i/>
          <w:iCs/>
          <w:sz w:val="24"/>
          <w:szCs w:val="24"/>
        </w:rPr>
        <w:t xml:space="preserve">Religion, </w:t>
      </w:r>
      <w:r>
        <w:rPr>
          <w:rFonts w:ascii="Arial" w:hAnsi="Arial"/>
          <w:i w:val="false"/>
          <w:iCs w:val="false"/>
          <w:sz w:val="24"/>
          <w:szCs w:val="24"/>
        </w:rPr>
        <w:t>(Oxford: Oxford University Press, 2023) &lt;</w:t>
      </w:r>
      <w:r>
        <w:fldChar w:fldCharType="begin"/>
      </w:r>
      <w:r>
        <w:rPr>
          <w:rStyle w:val="InternetLink"/>
          <w:sz w:val="24"/>
          <w:i w:val="false"/>
          <w:szCs w:val="24"/>
          <w:iCs w:val="false"/>
          <w:rFonts w:ascii="Arial" w:hAnsi="Arial"/>
        </w:rPr>
        <w:instrText> HYPERLINK "https://www.oed.com/viewdictionaryentry/Entry/161944" \l ":~:text=Categories »-,a.,Also in plural%3A religious rites"</w:instrText>
      </w:r>
      <w:r>
        <w:rPr>
          <w:rStyle w:val="InternetLink"/>
          <w:sz w:val="24"/>
          <w:i w:val="false"/>
          <w:szCs w:val="24"/>
          <w:iCs w:val="false"/>
          <w:rFonts w:ascii="Arial" w:hAnsi="Arial"/>
        </w:rPr>
        <w:fldChar w:fldCharType="separate"/>
      </w:r>
      <w:r>
        <w:rPr>
          <w:rStyle w:val="InternetLink"/>
          <w:rFonts w:ascii="Arial" w:hAnsi="Arial"/>
          <w:i w:val="false"/>
          <w:iCs w:val="false"/>
          <w:sz w:val="24"/>
          <w:szCs w:val="24"/>
        </w:rPr>
        <w:t>https://www.oed.com/viewdictionaryentry/Entry/161944#:~:text=Categories%20%C2%BB-,a.,Also%20in%20plural%3A%20religious%20rites</w:t>
      </w:r>
      <w:r>
        <w:rPr>
          <w:rStyle w:val="InternetLink"/>
          <w:sz w:val="24"/>
          <w:i w:val="false"/>
          <w:szCs w:val="24"/>
          <w:iCs w:val="false"/>
          <w:rFonts w:ascii="Arial" w:hAnsi="Arial"/>
        </w:rPr>
        <w:fldChar w:fldCharType="end"/>
      </w:r>
      <w:r>
        <w:rPr>
          <w:rFonts w:ascii="Arial" w:hAnsi="Arial"/>
          <w:i w:val="false"/>
          <w:iCs w:val="false"/>
          <w:sz w:val="24"/>
          <w:szCs w:val="24"/>
        </w:rPr>
        <w:t>.&gt;[accessed 2</w:t>
      </w:r>
      <w:r>
        <w:rPr>
          <w:rFonts w:ascii="Arial" w:hAnsi="Arial"/>
          <w:i w:val="false"/>
          <w:iCs w:val="false"/>
          <w:sz w:val="24"/>
          <w:szCs w:val="24"/>
          <w:vertAlign w:val="superscript"/>
        </w:rPr>
        <w:t>nd</w:t>
      </w:r>
      <w:r>
        <w:rPr>
          <w:rFonts w:ascii="Arial" w:hAnsi="Arial"/>
          <w:i w:val="false"/>
          <w:iCs w:val="false"/>
          <w:sz w:val="24"/>
          <w:szCs w:val="24"/>
        </w:rPr>
        <w:t xml:space="preserve"> April “2023]. </w:t>
      </w:r>
    </w:p>
    <w:p>
      <w:pPr>
        <w:pStyle w:val="Footnote"/>
        <w:widowControl/>
        <w:spacing w:beforeAutospacing="0" w:before="0" w:afterAutospacing="0" w:after="0"/>
        <w:ind w:left="0" w:right="0" w:hanging="0"/>
        <w:jc w:val="both"/>
        <w:rPr>
          <w:rFonts w:ascii="Arial" w:hAnsi="Arial"/>
          <w:i w:val="false"/>
          <w:i w:val="false"/>
          <w:iCs w:val="false"/>
          <w:sz w:val="24"/>
          <w:szCs w:val="24"/>
        </w:rPr>
      </w:pPr>
      <w:r>
        <w:rPr>
          <w:rFonts w:ascii="Arial" w:hAnsi="Arial"/>
          <w:i w:val="false"/>
          <w:iCs w:val="false"/>
          <w:sz w:val="24"/>
          <w:szCs w:val="24"/>
        </w:rPr>
      </w:r>
    </w:p>
    <w:p>
      <w:pPr>
        <w:pStyle w:val="Footnote"/>
        <w:widowControl/>
        <w:spacing w:beforeAutospacing="0" w:before="0" w:afterAutospacing="0" w:after="0"/>
        <w:ind w:left="0" w:right="0" w:hanging="0"/>
        <w:jc w:val="both"/>
        <w:rPr/>
      </w:pPr>
      <w:r>
        <w:rPr>
          <w:rFonts w:ascii="Arial" w:hAnsi="Arial"/>
          <w:i w:val="false"/>
          <w:iCs w:val="false"/>
          <w:sz w:val="24"/>
          <w:szCs w:val="24"/>
        </w:rPr>
        <w:t xml:space="preserve">Plutarch, </w:t>
      </w:r>
      <w:r>
        <w:rPr>
          <w:rFonts w:ascii="Arial" w:hAnsi="Arial"/>
          <w:i/>
          <w:iCs/>
          <w:sz w:val="24"/>
          <w:szCs w:val="24"/>
        </w:rPr>
        <w:t xml:space="preserve">Life of Cleomenes, </w:t>
      </w:r>
      <w:r>
        <w:rPr>
          <w:rFonts w:ascii="Arial" w:hAnsi="Arial"/>
          <w:i w:val="false"/>
          <w:iCs w:val="false"/>
          <w:sz w:val="24"/>
          <w:szCs w:val="24"/>
        </w:rPr>
        <w:t xml:space="preserve">Trans By Langhorne (New York: Harpers, 1875) </w:t>
      </w:r>
    </w:p>
    <w:p>
      <w:pPr>
        <w:pStyle w:val="Footnote"/>
        <w:widowControl/>
        <w:spacing w:beforeAutospacing="0" w:before="0" w:afterAutospacing="0" w:after="0"/>
        <w:ind w:left="0" w:right="0" w:hanging="0"/>
        <w:jc w:val="both"/>
        <w:rPr>
          <w:rFonts w:ascii="Arial" w:hAnsi="Arial"/>
          <w:sz w:val="24"/>
          <w:szCs w:val="24"/>
        </w:rPr>
      </w:pPr>
      <w:r>
        <w:rPr>
          <w:rFonts w:ascii="Arial" w:hAnsi="Arial"/>
          <w:sz w:val="24"/>
          <w:szCs w:val="24"/>
        </w:rPr>
      </w:r>
    </w:p>
    <w:p>
      <w:pPr>
        <w:pStyle w:val="Footnote"/>
        <w:widowControl/>
        <w:spacing w:beforeAutospacing="0" w:before="0" w:afterAutospacing="0" w:after="0"/>
        <w:ind w:left="0" w:right="0" w:hanging="0"/>
        <w:jc w:val="both"/>
        <w:rPr/>
      </w:pPr>
      <w:r>
        <w:rPr>
          <w:rFonts w:ascii="Arial" w:hAnsi="Arial"/>
          <w:i w:val="false"/>
          <w:iCs w:val="false"/>
          <w:sz w:val="24"/>
          <w:szCs w:val="24"/>
        </w:rPr>
        <w:t xml:space="preserve">Sacks, David,  </w:t>
      </w:r>
      <w:r>
        <w:rPr>
          <w:rFonts w:ascii="Arial" w:hAnsi="Arial"/>
          <w:i/>
          <w:iCs/>
          <w:sz w:val="24"/>
          <w:szCs w:val="24"/>
        </w:rPr>
        <w:t xml:space="preserve">Encyclopedia of the ancient Greek world, </w:t>
      </w:r>
      <w:r>
        <w:rPr>
          <w:rFonts w:ascii="Arial" w:hAnsi="Arial"/>
          <w:i w:val="false"/>
          <w:iCs w:val="false"/>
          <w:sz w:val="24"/>
          <w:szCs w:val="24"/>
        </w:rPr>
        <w:t>(New York: Facts on File Inc, 2005)</w:t>
      </w:r>
    </w:p>
    <w:p>
      <w:pPr>
        <w:pStyle w:val="Footnote"/>
        <w:widowControl/>
        <w:spacing w:beforeAutospacing="0" w:before="0" w:afterAutospacing="0" w:after="0"/>
        <w:ind w:left="0" w:right="0" w:hanging="0"/>
        <w:jc w:val="both"/>
        <w:rPr>
          <w:rFonts w:ascii="Arial" w:hAnsi="Arial"/>
          <w:i w:val="false"/>
          <w:i w:val="false"/>
          <w:iCs w:val="false"/>
          <w:sz w:val="24"/>
          <w:szCs w:val="24"/>
        </w:rPr>
      </w:pPr>
      <w:r>
        <w:rPr>
          <w:rFonts w:ascii="Arial" w:hAnsi="Arial"/>
          <w:i w:val="false"/>
          <w:iCs w:val="false"/>
          <w:sz w:val="24"/>
          <w:szCs w:val="24"/>
        </w:rPr>
      </w:r>
    </w:p>
    <w:p>
      <w:pPr>
        <w:pStyle w:val="Footnote"/>
        <w:widowControl/>
        <w:spacing w:beforeAutospacing="0" w:before="0" w:afterAutospacing="0" w:after="0"/>
        <w:ind w:left="0" w:right="0" w:hanging="0"/>
        <w:jc w:val="both"/>
        <w:rPr>
          <w:rFonts w:ascii="Arial" w:hAnsi="Arial"/>
          <w:sz w:val="24"/>
          <w:szCs w:val="24"/>
        </w:rPr>
      </w:pPr>
      <w:r>
        <w:rPr>
          <w:rFonts w:ascii="Arial" w:hAnsi="Arial"/>
          <w:sz w:val="24"/>
          <w:szCs w:val="24"/>
        </w:rPr>
        <w:t xml:space="preserve">Smart, Ninian, </w:t>
      </w:r>
      <w:r>
        <w:rPr>
          <w:rFonts w:ascii="Arial" w:hAnsi="Arial"/>
          <w:i/>
          <w:iCs/>
          <w:sz w:val="24"/>
          <w:szCs w:val="24"/>
        </w:rPr>
        <w:t xml:space="preserve">Ninian Smart on World Religions: Religious experience and philosophical analysis. I. Autobiographical. 'Methods in my life' </w:t>
      </w:r>
      <w:r>
        <w:rPr>
          <w:rFonts w:ascii="Arial" w:hAnsi="Arial"/>
          <w:i w:val="false"/>
          <w:iCs w:val="false"/>
          <w:sz w:val="24"/>
          <w:szCs w:val="24"/>
        </w:rPr>
        <w:t xml:space="preserve"> (Surrey: Ashgate Publishing Limited, 2009)</w:t>
      </w:r>
    </w:p>
    <w:p>
      <w:pPr>
        <w:pStyle w:val="Footnote"/>
        <w:widowControl/>
        <w:spacing w:beforeAutospacing="0" w:before="0" w:afterAutospacing="0" w:after="0"/>
        <w:ind w:left="0" w:right="0" w:hanging="0"/>
        <w:jc w:val="both"/>
        <w:rPr>
          <w:rFonts w:ascii="Arial" w:hAnsi="Arial"/>
          <w:sz w:val="24"/>
          <w:szCs w:val="24"/>
        </w:rPr>
      </w:pPr>
      <w:r>
        <w:rPr>
          <w:rFonts w:ascii="Arial" w:hAnsi="Arial"/>
          <w:sz w:val="24"/>
          <w:szCs w:val="24"/>
        </w:rPr>
      </w:r>
    </w:p>
    <w:p>
      <w:pPr>
        <w:pStyle w:val="Footnote"/>
        <w:widowControl/>
        <w:spacing w:beforeAutospacing="0" w:before="0" w:afterAutospacing="0" w:after="0"/>
        <w:ind w:left="0" w:right="0" w:hanging="0"/>
        <w:jc w:val="both"/>
        <w:rPr/>
      </w:pPr>
      <w:r>
        <w:rPr>
          <w:rFonts w:ascii="Arial" w:hAnsi="Arial"/>
          <w:i w:val="false"/>
          <w:iCs w:val="false"/>
          <w:sz w:val="24"/>
          <w:szCs w:val="24"/>
        </w:rPr>
        <w:t xml:space="preserve">Smith, Christian, </w:t>
      </w:r>
      <w:r>
        <w:rPr>
          <w:rFonts w:ascii="Arial" w:hAnsi="Arial"/>
          <w:i/>
          <w:iCs/>
          <w:sz w:val="24"/>
          <w:szCs w:val="24"/>
        </w:rPr>
        <w:t xml:space="preserve">Religion, what it is, How it works, and why it matters </w:t>
      </w:r>
      <w:r>
        <w:rPr>
          <w:rFonts w:ascii="Arial" w:hAnsi="Arial"/>
          <w:i w:val="false"/>
          <w:iCs w:val="false"/>
          <w:sz w:val="24"/>
          <w:szCs w:val="24"/>
        </w:rPr>
        <w:t>(Princeton: Princeton University Press, 2017)</w:t>
      </w:r>
    </w:p>
    <w:p>
      <w:pPr>
        <w:pStyle w:val="Footnote"/>
        <w:widowControl/>
        <w:spacing w:beforeAutospacing="0" w:before="0" w:afterAutospacing="0" w:after="0"/>
        <w:ind w:left="0" w:right="0" w:hanging="0"/>
        <w:jc w:val="both"/>
        <w:rPr>
          <w:rFonts w:ascii="Arial" w:hAnsi="Arial"/>
          <w:i w:val="false"/>
          <w:i w:val="false"/>
          <w:iCs w:val="false"/>
          <w:sz w:val="24"/>
          <w:szCs w:val="24"/>
        </w:rPr>
      </w:pPr>
      <w:r>
        <w:rPr>
          <w:rFonts w:ascii="Arial" w:hAnsi="Arial"/>
          <w:i w:val="false"/>
          <w:iCs w:val="false"/>
          <w:sz w:val="24"/>
          <w:szCs w:val="24"/>
        </w:rPr>
      </w:r>
    </w:p>
    <w:p>
      <w:pPr>
        <w:pStyle w:val="Footnote"/>
        <w:widowControl/>
        <w:spacing w:beforeAutospacing="0" w:before="0" w:afterAutospacing="0" w:after="0"/>
        <w:ind w:left="0" w:right="0" w:hanging="0"/>
        <w:jc w:val="both"/>
        <w:rPr/>
      </w:pPr>
      <w:r>
        <w:rPr>
          <w:rFonts w:ascii="Arial" w:hAnsi="Arial"/>
          <w:i w:val="false"/>
          <w:iCs w:val="false"/>
          <w:sz w:val="24"/>
          <w:szCs w:val="24"/>
        </w:rPr>
        <w:t xml:space="preserve">Stein, Rebecca and. Stein, Philip L, </w:t>
      </w:r>
      <w:r>
        <w:rPr>
          <w:rFonts w:ascii="Arial" w:hAnsi="Arial"/>
          <w:i/>
          <w:iCs/>
          <w:sz w:val="24"/>
          <w:szCs w:val="24"/>
        </w:rPr>
        <w:t xml:space="preserve">The Anthropology of Religion, Magic and Witchcraft, </w:t>
      </w:r>
      <w:r>
        <w:rPr>
          <w:rFonts w:ascii="Arial" w:hAnsi="Arial"/>
          <w:i w:val="false"/>
          <w:iCs w:val="false"/>
          <w:sz w:val="24"/>
          <w:szCs w:val="24"/>
        </w:rPr>
        <w:t>(Oxon: Routledge, 2016)</w:t>
      </w:r>
    </w:p>
    <w:p>
      <w:pPr>
        <w:pStyle w:val="Footnote"/>
        <w:widowControl/>
        <w:spacing w:beforeAutospacing="0" w:before="0" w:afterAutospacing="0" w:after="0"/>
        <w:ind w:left="0" w:right="0" w:hanging="0"/>
        <w:jc w:val="both"/>
        <w:rPr>
          <w:rFonts w:ascii="Arial" w:hAnsi="Arial"/>
          <w:sz w:val="24"/>
          <w:szCs w:val="24"/>
        </w:rPr>
      </w:pPr>
      <w:r>
        <w:rPr>
          <w:rFonts w:ascii="Arial" w:hAnsi="Arial"/>
          <w:sz w:val="24"/>
          <w:szCs w:val="24"/>
        </w:rPr>
      </w:r>
    </w:p>
    <w:p>
      <w:pPr>
        <w:pStyle w:val="Footnote"/>
        <w:widowControl/>
        <w:spacing w:beforeAutospacing="0" w:before="0" w:afterAutospacing="0" w:after="0"/>
        <w:ind w:left="0" w:right="0" w:hanging="0"/>
        <w:rPr>
          <w:rFonts w:ascii="Arial" w:hAnsi="Arial"/>
          <w:sz w:val="24"/>
          <w:szCs w:val="24"/>
        </w:rPr>
      </w:pPr>
      <w:r>
        <w:rPr>
          <w:rFonts w:ascii="Arial" w:hAnsi="Arial"/>
          <w:i w:val="false"/>
          <w:iCs w:val="false"/>
          <w:sz w:val="24"/>
          <w:szCs w:val="24"/>
        </w:rPr>
        <w:t xml:space="preserve">Taylor, Bron </w:t>
      </w:r>
      <w:r>
        <w:rPr>
          <w:rFonts w:ascii="Arial" w:hAnsi="Arial"/>
          <w:i/>
          <w:iCs/>
          <w:sz w:val="24"/>
          <w:szCs w:val="24"/>
        </w:rPr>
        <w:t xml:space="preserve">Dark Green Religion. </w:t>
      </w:r>
      <w:r>
        <w:rPr>
          <w:rFonts w:ascii="Arial" w:hAnsi="Arial"/>
          <w:i w:val="false"/>
          <w:iCs w:val="false"/>
          <w:sz w:val="24"/>
          <w:szCs w:val="24"/>
        </w:rPr>
        <w:t xml:space="preserve">(California: University of California Press, 2010), </w:t>
      </w:r>
    </w:p>
    <w:p>
      <w:pPr>
        <w:pStyle w:val="Footnote"/>
        <w:widowControl/>
        <w:spacing w:beforeAutospacing="0" w:before="0" w:afterAutospacing="0" w:after="0"/>
        <w:ind w:left="0" w:right="0" w:hanging="0"/>
        <w:rPr>
          <w:rFonts w:ascii="Arial" w:hAnsi="Arial"/>
          <w:sz w:val="24"/>
          <w:szCs w:val="24"/>
        </w:rPr>
      </w:pPr>
      <w:r>
        <w:rPr>
          <w:rFonts w:ascii="Arial" w:hAnsi="Arial"/>
          <w:sz w:val="24"/>
          <w:szCs w:val="24"/>
        </w:rPr>
      </w:r>
    </w:p>
    <w:p>
      <w:pPr>
        <w:pStyle w:val="Footnote"/>
        <w:widowControl/>
        <w:spacing w:beforeAutospacing="0" w:before="0" w:afterAutospacing="0" w:after="0"/>
        <w:ind w:left="0" w:right="0" w:hanging="0"/>
        <w:rPr>
          <w:rFonts w:ascii="Arial" w:hAnsi="Arial"/>
          <w:sz w:val="24"/>
          <w:szCs w:val="24"/>
        </w:rPr>
      </w:pPr>
      <w:r>
        <w:rPr>
          <w:rFonts w:ascii="Arial" w:hAnsi="Arial"/>
          <w:i w:val="false"/>
          <w:iCs w:val="false"/>
          <w:sz w:val="24"/>
          <w:szCs w:val="24"/>
        </w:rPr>
        <w:t xml:space="preserve">Tridimas, George, ‘Religion without a doctrine or clergy: the case of Ancient Greece’ </w:t>
      </w:r>
      <w:r>
        <w:rPr>
          <w:rFonts w:ascii="Arial" w:hAnsi="Arial"/>
          <w:i/>
          <w:iCs/>
          <w:sz w:val="24"/>
          <w:szCs w:val="24"/>
        </w:rPr>
        <w:t xml:space="preserve">Journals of Institutional Economics. </w:t>
      </w:r>
      <w:r>
        <w:rPr>
          <w:rFonts w:ascii="Arial" w:hAnsi="Arial"/>
          <w:i w:val="false"/>
          <w:iCs w:val="false"/>
          <w:sz w:val="24"/>
          <w:szCs w:val="24"/>
        </w:rPr>
        <w:t xml:space="preserve">18.4 (2022) 677-691 &lt; </w:t>
      </w:r>
      <w:hyperlink r:id="rId5">
        <w:r>
          <w:rPr>
            <w:rStyle w:val="InternetLink"/>
            <w:rFonts w:ascii="Arial" w:hAnsi="Arial"/>
            <w:i w:val="false"/>
            <w:iCs w:val="false"/>
            <w:sz w:val="24"/>
            <w:szCs w:val="24"/>
          </w:rPr>
          <w:t>https://www.cambridge.org/core/journals/journal-of-institutional-economics/article/religion-without-doctrine-or-clergy-the-case-of-ancient-greece/901613496165e373719d3b343e945156</w:t>
        </w:r>
      </w:hyperlink>
      <w:r>
        <w:rPr>
          <w:rFonts w:ascii="Arial" w:hAnsi="Arial"/>
          <w:i w:val="false"/>
          <w:iCs w:val="false"/>
          <w:sz w:val="24"/>
          <w:szCs w:val="24"/>
        </w:rPr>
        <w:t xml:space="preserve"> &gt; </w:t>
      </w:r>
    </w:p>
    <w:p>
      <w:pPr>
        <w:pStyle w:val="Footnote"/>
        <w:widowControl/>
        <w:spacing w:beforeAutospacing="0" w:before="0" w:afterAutospacing="0" w:after="0"/>
        <w:ind w:left="0" w:right="0" w:hanging="0"/>
        <w:rPr>
          <w:rFonts w:ascii="Arial" w:hAnsi="Arial"/>
          <w:sz w:val="24"/>
          <w:szCs w:val="24"/>
        </w:rPr>
      </w:pPr>
      <w:r>
        <w:rPr>
          <w:rFonts w:ascii="Arial" w:hAnsi="Arial"/>
          <w:sz w:val="24"/>
          <w:szCs w:val="24"/>
        </w:rPr>
      </w:r>
    </w:p>
    <w:p>
      <w:pPr>
        <w:pStyle w:val="Footnote"/>
        <w:widowControl/>
        <w:spacing w:beforeAutospacing="0" w:before="0" w:afterAutospacing="0" w:after="0"/>
        <w:ind w:left="0" w:right="0" w:hanging="0"/>
        <w:rPr>
          <w:rFonts w:ascii="Arial" w:hAnsi="Arial"/>
          <w:sz w:val="24"/>
          <w:szCs w:val="24"/>
        </w:rPr>
      </w:pPr>
      <w:r>
        <w:rPr>
          <w:rFonts w:ascii="Arial" w:hAnsi="Arial"/>
          <w:i w:val="false"/>
          <w:iCs w:val="false"/>
          <w:sz w:val="24"/>
          <w:szCs w:val="24"/>
        </w:rPr>
        <w:t xml:space="preserve">Whitley, James, </w:t>
      </w:r>
      <w:r>
        <w:rPr>
          <w:rFonts w:ascii="Arial" w:hAnsi="Arial"/>
          <w:i/>
          <w:iCs/>
          <w:sz w:val="24"/>
          <w:szCs w:val="24"/>
        </w:rPr>
        <w:t>The Archaeology of Ancient Greece</w:t>
      </w:r>
      <w:r>
        <w:rPr>
          <w:rFonts w:ascii="Arial" w:hAnsi="Arial"/>
          <w:i w:val="false"/>
          <w:iCs w:val="false"/>
          <w:sz w:val="24"/>
          <w:szCs w:val="24"/>
        </w:rPr>
        <w:t xml:space="preserve"> (Cambridge: Cambridge University Press, 2001) </w:t>
      </w:r>
    </w:p>
    <w:p>
      <w:pPr>
        <w:pStyle w:val="NormalWeb"/>
        <w:spacing w:beforeAutospacing="0" w:before="0" w:afterAutospacing="0" w:after="0"/>
        <w:ind w:right="-334" w:hanging="0"/>
        <w:rPr>
          <w:rFonts w:ascii="Arial" w:hAnsi="Arial"/>
          <w:sz w:val="24"/>
          <w:szCs w:val="24"/>
        </w:rPr>
      </w:pPr>
      <w:r>
        <w:rPr>
          <w:rFonts w:ascii="Arial" w:hAnsi="Arial"/>
          <w:sz w:val="24"/>
          <w:szCs w:val="24"/>
        </w:rPr>
      </w:r>
    </w:p>
    <w:p>
      <w:pPr>
        <w:pStyle w:val="NormalWeb"/>
        <w:spacing w:beforeAutospacing="0" w:before="0" w:afterAutospacing="0" w:after="0"/>
        <w:ind w:right="-334" w:hanging="0"/>
        <w:rPr/>
      </w:pPr>
      <w:r>
        <w:rPr>
          <w:rFonts w:ascii="Arial" w:hAnsi="Arial"/>
          <w:b/>
          <w:bCs/>
          <w:sz w:val="24"/>
          <w:szCs w:val="24"/>
        </w:rPr>
        <w:t>‘</w:t>
      </w:r>
      <w:r>
        <w:rPr>
          <w:rFonts w:ascii="Arial" w:hAnsi="Arial"/>
          <w:b/>
          <w:bCs/>
          <w:sz w:val="24"/>
          <w:szCs w:val="24"/>
        </w:rPr>
        <w:t xml:space="preserve">Secondary Sources’ </w:t>
      </w:r>
      <w:r>
        <w:rPr>
          <w:shd w:fill="FFFF00" w:val="clear"/>
        </w:rPr>
        <w:t xml:space="preserve"> </w:t>
      </w:r>
    </w:p>
    <w:p>
      <w:pPr>
        <w:pStyle w:val="NormalWeb"/>
        <w:spacing w:beforeAutospacing="0" w:before="0" w:afterAutospacing="0" w:after="0"/>
        <w:ind w:right="-334" w:hanging="0"/>
        <w:rPr>
          <w:shd w:fill="FFFF00" w:val="clear"/>
        </w:rPr>
      </w:pPr>
      <w:r>
        <w:rPr>
          <w:shd w:fill="FFFF00" w:val="clear"/>
        </w:rPr>
      </w:r>
    </w:p>
    <w:p>
      <w:pPr>
        <w:pStyle w:val="Footnote"/>
        <w:spacing w:beforeAutospacing="0" w:before="0" w:afterAutospacing="0" w:after="0"/>
        <w:ind w:left="0" w:hanging="0"/>
        <w:jc w:val="both"/>
        <w:rPr>
          <w:rFonts w:ascii="Arial" w:hAnsi="Arial"/>
          <w:sz w:val="24"/>
          <w:szCs w:val="24"/>
        </w:rPr>
      </w:pPr>
      <w:r>
        <w:rPr>
          <w:rFonts w:ascii="Arial" w:hAnsi="Arial"/>
          <w:sz w:val="24"/>
          <w:szCs w:val="24"/>
          <w:shd w:fill="auto" w:val="clear"/>
        </w:rPr>
        <w:t xml:space="preserve">Castelli, Elisabetta, </w:t>
      </w:r>
      <w:r>
        <w:rPr>
          <w:rFonts w:ascii="Arial" w:hAnsi="Arial"/>
          <w:i/>
          <w:iCs/>
          <w:sz w:val="24"/>
          <w:szCs w:val="24"/>
          <w:shd w:fill="auto" w:val="clear"/>
        </w:rPr>
        <w:t xml:space="preserve">Can Theurgy be be considered as a form of magic? </w:t>
      </w:r>
      <w:r>
        <w:rPr>
          <w:rFonts w:ascii="Arial" w:hAnsi="Arial"/>
          <w:i w:val="false"/>
          <w:iCs w:val="false"/>
          <w:sz w:val="24"/>
          <w:szCs w:val="24"/>
          <w:shd w:fill="auto" w:val="clear"/>
        </w:rPr>
        <w:t>(2023 &lt;</w:t>
      </w:r>
      <w:hyperlink r:id="rId6">
        <w:r>
          <w:rPr>
            <w:rStyle w:val="InternetLink"/>
            <w:rFonts w:ascii="Arial" w:hAnsi="Arial"/>
            <w:i w:val="false"/>
            <w:iCs w:val="false"/>
            <w:sz w:val="24"/>
            <w:szCs w:val="24"/>
            <w:shd w:fill="auto" w:val="clear"/>
          </w:rPr>
          <w:t>http://spica.org.uk/index.php/2019/09/06/can-theurgy-be-considered-a-form-of-magic/</w:t>
        </w:r>
      </w:hyperlink>
      <w:r>
        <w:rPr>
          <w:rFonts w:ascii="Arial" w:hAnsi="Arial"/>
          <w:i w:val="false"/>
          <w:iCs w:val="false"/>
          <w:sz w:val="24"/>
          <w:szCs w:val="24"/>
          <w:shd w:fill="auto" w:val="clear"/>
        </w:rPr>
        <w:t xml:space="preserve"> &gt; [accessed 3</w:t>
      </w:r>
      <w:r>
        <w:rPr>
          <w:rFonts w:ascii="Arial" w:hAnsi="Arial"/>
          <w:i w:val="false"/>
          <w:iCs w:val="false"/>
          <w:sz w:val="24"/>
          <w:szCs w:val="24"/>
          <w:shd w:fill="auto" w:val="clear"/>
          <w:vertAlign w:val="superscript"/>
        </w:rPr>
        <w:t>rd</w:t>
      </w:r>
      <w:r>
        <w:rPr>
          <w:rFonts w:ascii="Arial" w:hAnsi="Arial"/>
          <w:i w:val="false"/>
          <w:iCs w:val="false"/>
          <w:sz w:val="24"/>
          <w:szCs w:val="24"/>
          <w:shd w:fill="auto" w:val="clear"/>
        </w:rPr>
        <w:t xml:space="preserve"> April 2023]</w:t>
      </w:r>
    </w:p>
    <w:p>
      <w:pPr>
        <w:pStyle w:val="Footnote"/>
        <w:spacing w:beforeAutospacing="0" w:before="0" w:afterAutospacing="0" w:after="0"/>
        <w:ind w:left="0" w:hanging="0"/>
        <w:jc w:val="both"/>
        <w:rPr>
          <w:rFonts w:ascii="Arial" w:hAnsi="Arial"/>
          <w:sz w:val="24"/>
          <w:szCs w:val="24"/>
        </w:rPr>
      </w:pPr>
      <w:r>
        <w:rPr>
          <w:rFonts w:ascii="Arial" w:hAnsi="Arial"/>
          <w:sz w:val="24"/>
          <w:szCs w:val="24"/>
        </w:rPr>
      </w:r>
    </w:p>
    <w:p>
      <w:pPr>
        <w:pStyle w:val="Footnote"/>
        <w:spacing w:beforeAutospacing="0" w:before="0" w:afterAutospacing="0" w:after="0"/>
        <w:ind w:left="0" w:hanging="0"/>
        <w:jc w:val="both"/>
        <w:rPr>
          <w:rFonts w:ascii="Arial" w:hAnsi="Arial"/>
          <w:sz w:val="24"/>
          <w:szCs w:val="24"/>
        </w:rPr>
      </w:pPr>
      <w:r>
        <w:rPr>
          <w:rFonts w:ascii="Arial" w:hAnsi="Arial"/>
          <w:i w:val="false"/>
          <w:iCs w:val="false"/>
          <w:sz w:val="24"/>
          <w:szCs w:val="24"/>
          <w:shd w:fill="auto" w:val="clear"/>
        </w:rPr>
        <w:t xml:space="preserve">Collins, Derek, ‘Mapping the Entrails: The Practice of Greek Hepatoscopy’ </w:t>
      </w:r>
      <w:r>
        <w:rPr>
          <w:rFonts w:ascii="Arial" w:hAnsi="Arial"/>
          <w:i/>
          <w:iCs/>
          <w:sz w:val="24"/>
          <w:szCs w:val="24"/>
          <w:shd w:fill="auto" w:val="clear"/>
        </w:rPr>
        <w:t xml:space="preserve">The American Journal of Philology. </w:t>
      </w:r>
      <w:r>
        <w:rPr>
          <w:rFonts w:ascii="Arial" w:hAnsi="Arial"/>
          <w:i w:val="false"/>
          <w:iCs w:val="false"/>
          <w:sz w:val="24"/>
          <w:szCs w:val="24"/>
          <w:shd w:fill="auto" w:val="clear"/>
        </w:rPr>
        <w:t xml:space="preserve">129.3 (2008) 319-345 (p320) &lt; </w:t>
      </w:r>
      <w:hyperlink r:id="rId7">
        <w:r>
          <w:rPr>
            <w:rStyle w:val="InternetLink"/>
            <w:rFonts w:ascii="Arial" w:hAnsi="Arial"/>
            <w:i w:val="false"/>
            <w:iCs w:val="false"/>
            <w:sz w:val="24"/>
            <w:szCs w:val="24"/>
            <w:shd w:fill="auto" w:val="clear"/>
          </w:rPr>
          <w:t>https://www-jstor-org.ezproxy.uwtsd.ac.uk/stable/27566714?seq=2</w:t>
        </w:r>
      </w:hyperlink>
      <w:r>
        <w:rPr>
          <w:rFonts w:ascii="Arial" w:hAnsi="Arial"/>
          <w:i w:val="false"/>
          <w:iCs w:val="false"/>
          <w:sz w:val="24"/>
          <w:szCs w:val="24"/>
          <w:shd w:fill="auto" w:val="clear"/>
        </w:rPr>
        <w:t xml:space="preserve"> &gt; </w:t>
      </w:r>
    </w:p>
    <w:p>
      <w:pPr>
        <w:pStyle w:val="Footnote"/>
        <w:spacing w:beforeAutospacing="0" w:before="0" w:afterAutospacing="0" w:after="0"/>
        <w:ind w:left="0" w:hanging="0"/>
        <w:jc w:val="both"/>
        <w:rPr>
          <w:rFonts w:ascii="Arial" w:hAnsi="Arial"/>
          <w:sz w:val="24"/>
          <w:szCs w:val="24"/>
        </w:rPr>
      </w:pPr>
      <w:r>
        <w:rPr>
          <w:rFonts w:ascii="Arial" w:hAnsi="Arial"/>
          <w:sz w:val="24"/>
          <w:szCs w:val="24"/>
        </w:rPr>
      </w:r>
    </w:p>
    <w:p>
      <w:pPr>
        <w:pStyle w:val="Footnote"/>
        <w:widowControl/>
        <w:spacing w:beforeAutospacing="0" w:before="0" w:afterAutospacing="0" w:after="0"/>
        <w:ind w:left="0" w:right="0" w:hanging="0"/>
        <w:jc w:val="both"/>
        <w:rPr>
          <w:rFonts w:ascii="Arial" w:hAnsi="Arial"/>
          <w:sz w:val="24"/>
          <w:szCs w:val="24"/>
        </w:rPr>
      </w:pPr>
      <w:r>
        <w:rPr>
          <w:rFonts w:ascii="Arial" w:hAnsi="Arial"/>
          <w:i w:val="false"/>
          <w:iCs w:val="false"/>
          <w:sz w:val="24"/>
          <w:szCs w:val="24"/>
          <w:shd w:fill="auto" w:val="clear"/>
        </w:rPr>
        <w:t>Davis, Witten T ‘Magic, Divination, and Demonology among the Semites’</w:t>
      </w:r>
      <w:r>
        <w:rPr>
          <w:rFonts w:ascii="Arial" w:hAnsi="Arial"/>
          <w:i/>
          <w:iCs/>
          <w:sz w:val="24"/>
          <w:szCs w:val="24"/>
          <w:shd w:fill="auto" w:val="clear"/>
        </w:rPr>
        <w:t xml:space="preserve">The American Journal of Semitic Languages and Literatures, </w:t>
      </w:r>
      <w:r>
        <w:rPr>
          <w:rFonts w:ascii="Arial" w:hAnsi="Arial"/>
          <w:i w:val="false"/>
          <w:iCs w:val="false"/>
          <w:sz w:val="24"/>
          <w:szCs w:val="24"/>
          <w:shd w:fill="auto" w:val="clear"/>
        </w:rPr>
        <w:t xml:space="preserve">14.4 (1898) 241-251 &lt; </w:t>
      </w:r>
      <w:hyperlink r:id="rId8">
        <w:r>
          <w:rPr>
            <w:rStyle w:val="InternetLink"/>
            <w:rFonts w:ascii="Arial" w:hAnsi="Arial"/>
            <w:i w:val="false"/>
            <w:iCs w:val="false"/>
            <w:sz w:val="24"/>
            <w:szCs w:val="24"/>
            <w:shd w:fill="auto" w:val="clear"/>
          </w:rPr>
          <w:t>https://www.jstor.org/stable/527968</w:t>
        </w:r>
      </w:hyperlink>
      <w:r>
        <w:rPr>
          <w:rFonts w:ascii="Arial" w:hAnsi="Arial"/>
          <w:i w:val="false"/>
          <w:iCs w:val="false"/>
          <w:sz w:val="24"/>
          <w:szCs w:val="24"/>
          <w:shd w:fill="auto" w:val="clear"/>
        </w:rPr>
        <w:t xml:space="preserve">&gt; </w:t>
      </w:r>
    </w:p>
    <w:p>
      <w:pPr>
        <w:pStyle w:val="NormalWeb"/>
        <w:spacing w:beforeAutospacing="0" w:before="0" w:afterAutospacing="0" w:after="0"/>
        <w:ind w:right="-334" w:hanging="0"/>
        <w:rPr>
          <w:shd w:fill="FFFF00" w:val="clear"/>
        </w:rPr>
      </w:pPr>
      <w:r>
        <w:rPr>
          <w:shd w:fill="FFFF00" w:val="clear"/>
        </w:rPr>
      </w:r>
    </w:p>
    <w:p>
      <w:pPr>
        <w:pStyle w:val="Footnote"/>
        <w:spacing w:beforeAutospacing="0" w:before="0" w:afterAutospacing="0" w:after="0"/>
        <w:ind w:left="0" w:right="-334" w:hanging="0"/>
        <w:rPr>
          <w:rFonts w:ascii="Arial" w:hAnsi="Arial"/>
          <w:sz w:val="24"/>
          <w:szCs w:val="24"/>
          <w:shd w:fill="auto" w:val="clear"/>
        </w:rPr>
      </w:pPr>
      <w:r>
        <w:rPr>
          <w:rFonts w:ascii="Arial" w:hAnsi="Arial"/>
          <w:sz w:val="24"/>
          <w:szCs w:val="24"/>
          <w:shd w:fill="auto" w:val="clear"/>
        </w:rPr>
        <w:t>Fowler, Robert L ‘Greek Magic, Greek Religion’ I</w:t>
      </w:r>
      <w:r>
        <w:rPr>
          <w:rFonts w:ascii="Arial" w:hAnsi="Arial"/>
          <w:i/>
          <w:iCs/>
          <w:sz w:val="24"/>
          <w:szCs w:val="24"/>
          <w:shd w:fill="auto" w:val="clear"/>
        </w:rPr>
        <w:t>llinois Classical Studies</w:t>
      </w:r>
      <w:r>
        <w:rPr>
          <w:rFonts w:ascii="Arial" w:hAnsi="Arial"/>
          <w:sz w:val="24"/>
          <w:szCs w:val="24"/>
          <w:shd w:fill="auto" w:val="clear"/>
        </w:rPr>
        <w:t xml:space="preserve">, 20. (1995) 1-22 &lt; </w:t>
      </w:r>
      <w:hyperlink r:id="rId9">
        <w:r>
          <w:rPr>
            <w:rStyle w:val="InternetLink"/>
            <w:rFonts w:ascii="Arial" w:hAnsi="Arial"/>
            <w:sz w:val="24"/>
            <w:szCs w:val="24"/>
            <w:shd w:fill="auto" w:val="clear"/>
          </w:rPr>
          <w:t>https://www-jstor-org.ezproxy.uwtsd.ac.uk/stable/23065394?seq=2</w:t>
        </w:r>
      </w:hyperlink>
      <w:r>
        <w:rPr>
          <w:rFonts w:ascii="Arial" w:hAnsi="Arial"/>
          <w:sz w:val="24"/>
          <w:szCs w:val="24"/>
          <w:shd w:fill="auto" w:val="clear"/>
        </w:rPr>
        <w:t xml:space="preserve">&gt;  </w:t>
      </w:r>
    </w:p>
    <w:p>
      <w:pPr>
        <w:pStyle w:val="NormalWeb"/>
        <w:spacing w:beforeAutospacing="0" w:before="0" w:afterAutospacing="0" w:after="0"/>
        <w:ind w:right="-334" w:hanging="0"/>
        <w:rPr>
          <w:shd w:fill="FFFF00" w:val="clear"/>
        </w:rPr>
      </w:pPr>
      <w:r>
        <w:rPr>
          <w:shd w:fill="FFFF00" w:val="clear"/>
        </w:rPr>
      </w:r>
    </w:p>
    <w:p>
      <w:pPr>
        <w:pStyle w:val="NormalWeb"/>
        <w:spacing w:beforeAutospacing="0" w:before="0" w:afterAutospacing="0" w:after="0"/>
        <w:ind w:right="-334" w:hanging="0"/>
        <w:rPr/>
      </w:pPr>
      <w:r>
        <w:rPr>
          <w:rFonts w:ascii="Arial" w:hAnsi="Arial"/>
          <w:sz w:val="24"/>
          <w:szCs w:val="24"/>
          <w:shd w:fill="auto" w:val="clear"/>
        </w:rPr>
        <w:t>Lloyd – Jones, Sir Hugh</w:t>
      </w:r>
      <w:r>
        <w:rPr>
          <w:rFonts w:ascii="Arial" w:hAnsi="Arial"/>
          <w:i/>
          <w:iCs/>
          <w:sz w:val="24"/>
          <w:szCs w:val="24"/>
          <w:shd w:fill="auto" w:val="clear"/>
        </w:rPr>
        <w:t xml:space="preserve"> ‘</w:t>
      </w:r>
      <w:r>
        <w:rPr>
          <w:rFonts w:ascii="Arial" w:hAnsi="Arial"/>
          <w:i w:val="false"/>
          <w:iCs w:val="false"/>
          <w:sz w:val="24"/>
          <w:szCs w:val="24"/>
          <w:shd w:fill="auto" w:val="clear"/>
        </w:rPr>
        <w:t>Ancient Greek Religion’</w:t>
      </w:r>
      <w:r>
        <w:rPr>
          <w:rFonts w:ascii="Arial" w:hAnsi="Arial"/>
          <w:i/>
          <w:iCs/>
          <w:sz w:val="24"/>
          <w:szCs w:val="24"/>
          <w:shd w:fill="auto" w:val="clear"/>
        </w:rPr>
        <w:t xml:space="preserve"> Proceedings of the American Philosophy Society.</w:t>
      </w:r>
      <w:r>
        <w:rPr>
          <w:rFonts w:ascii="Arial" w:hAnsi="Arial"/>
          <w:i w:val="false"/>
          <w:iCs w:val="false"/>
          <w:sz w:val="24"/>
          <w:szCs w:val="24"/>
          <w:shd w:fill="auto" w:val="clear"/>
        </w:rPr>
        <w:t xml:space="preserve"> 145.4  (2001) ,456-464 </w:t>
      </w:r>
      <w:r>
        <w:rPr>
          <w:rFonts w:ascii="Arial" w:hAnsi="Arial"/>
          <w:sz w:val="24"/>
          <w:szCs w:val="24"/>
          <w:shd w:fill="auto" w:val="clear"/>
        </w:rPr>
        <w:t xml:space="preserve"> &lt; </w:t>
      </w:r>
      <w:hyperlink r:id="rId10">
        <w:r>
          <w:rPr>
            <w:rStyle w:val="InternetLink"/>
            <w:rFonts w:ascii="Arial" w:hAnsi="Arial"/>
            <w:sz w:val="24"/>
            <w:szCs w:val="24"/>
            <w:shd w:fill="auto" w:val="clear"/>
          </w:rPr>
          <w:t>https://www-jstor-org.ezproxy.uwtsd.ac.uk/stable/1558184?seq=1</w:t>
        </w:r>
      </w:hyperlink>
      <w:r>
        <w:rPr>
          <w:rFonts w:ascii="Arial" w:hAnsi="Arial"/>
          <w:sz w:val="24"/>
          <w:szCs w:val="24"/>
          <w:shd w:fill="auto" w:val="clear"/>
        </w:rPr>
        <w:t xml:space="preserve"> &gt; </w:t>
      </w:r>
    </w:p>
    <w:p>
      <w:pPr>
        <w:pStyle w:val="Footnote"/>
        <w:spacing w:beforeAutospacing="0" w:before="0" w:afterAutospacing="0" w:after="0"/>
        <w:ind w:left="339" w:right="-334" w:hanging="0"/>
        <w:rPr>
          <w:rFonts w:ascii="Arial" w:hAnsi="Arial"/>
          <w:sz w:val="24"/>
          <w:szCs w:val="24"/>
          <w:shd w:fill="auto" w:val="clear"/>
        </w:rPr>
      </w:pPr>
      <w:r>
        <w:rPr>
          <w:rFonts w:ascii="Arial" w:hAnsi="Arial"/>
          <w:sz w:val="24"/>
          <w:szCs w:val="24"/>
          <w:shd w:fill="auto" w:val="clear"/>
        </w:rPr>
      </w:r>
    </w:p>
    <w:p>
      <w:pPr>
        <w:pStyle w:val="Footnote"/>
        <w:spacing w:beforeAutospacing="0" w:before="0" w:afterAutospacing="0" w:after="0"/>
        <w:ind w:left="0" w:right="-334" w:hanging="0"/>
        <w:rPr/>
      </w:pPr>
      <w:r>
        <w:rPr>
          <w:rFonts w:ascii="Arial" w:hAnsi="Arial"/>
          <w:sz w:val="24"/>
          <w:szCs w:val="24"/>
          <w:shd w:fill="auto" w:val="clear"/>
        </w:rPr>
        <w:t xml:space="preserve">Sperduti, Alice, ‘The Divine Nature of Poetry in Antiquity’ , </w:t>
      </w:r>
      <w:r>
        <w:rPr>
          <w:rFonts w:ascii="Arial" w:hAnsi="Arial"/>
          <w:i/>
          <w:iCs/>
          <w:sz w:val="24"/>
          <w:szCs w:val="24"/>
          <w:shd w:fill="auto" w:val="clear"/>
        </w:rPr>
        <w:t>Transactions and Proceedings of the American Philological Association,</w:t>
      </w:r>
      <w:r>
        <w:rPr>
          <w:rFonts w:ascii="Arial" w:hAnsi="Arial"/>
          <w:i w:val="false"/>
          <w:iCs w:val="false"/>
          <w:sz w:val="24"/>
          <w:szCs w:val="24"/>
          <w:shd w:fill="auto" w:val="clear"/>
        </w:rPr>
        <w:t xml:space="preserve"> 81 (1950) 209-240 &lt;</w:t>
      </w:r>
      <w:hyperlink r:id="rId11">
        <w:r>
          <w:rPr>
            <w:rStyle w:val="InternetLink"/>
            <w:rFonts w:ascii="Arial" w:hAnsi="Arial"/>
            <w:i w:val="false"/>
            <w:iCs w:val="false"/>
            <w:sz w:val="24"/>
            <w:szCs w:val="24"/>
            <w:shd w:fill="auto" w:val="clear"/>
          </w:rPr>
          <w:t>https://www-jstor-org.ezproxy.uwtsd.ac.uk/stable/283581</w:t>
        </w:r>
      </w:hyperlink>
      <w:r>
        <w:rPr>
          <w:rFonts w:ascii="Arial" w:hAnsi="Arial"/>
          <w:i w:val="false"/>
          <w:iCs w:val="false"/>
          <w:sz w:val="24"/>
          <w:szCs w:val="24"/>
          <w:shd w:fill="auto" w:val="clear"/>
        </w:rPr>
        <w:t xml:space="preserve"> &gt; </w:t>
      </w:r>
    </w:p>
    <w:p>
      <w:pPr>
        <w:pStyle w:val="NormalWeb"/>
        <w:spacing w:beforeAutospacing="0" w:before="0" w:afterAutospacing="0" w:after="0"/>
        <w:ind w:right="-334" w:hanging="0"/>
        <w:rPr>
          <w:rFonts w:ascii="Arial" w:hAnsi="Arial"/>
          <w:sz w:val="24"/>
          <w:szCs w:val="24"/>
          <w:shd w:fill="auto" w:val="clear"/>
        </w:rPr>
      </w:pPr>
      <w:r>
        <w:rPr>
          <w:rFonts w:ascii="Arial" w:hAnsi="Arial"/>
          <w:sz w:val="24"/>
          <w:szCs w:val="24"/>
          <w:shd w:fill="auto" w:val="clear"/>
        </w:rPr>
      </w:r>
    </w:p>
    <w:p>
      <w:pPr>
        <w:pStyle w:val="Footnote"/>
        <w:spacing w:beforeAutospacing="0" w:before="0" w:afterAutospacing="0" w:after="0"/>
        <w:ind w:left="0" w:right="-334" w:hanging="0"/>
        <w:rPr/>
      </w:pPr>
      <w:r>
        <w:rPr>
          <w:rFonts w:ascii="Arial" w:hAnsi="Arial"/>
          <w:sz w:val="24"/>
          <w:szCs w:val="24"/>
          <w:shd w:fill="auto" w:val="clear"/>
        </w:rPr>
        <w:t>Tedlock, Barbara, ‘</w:t>
      </w:r>
      <w:r>
        <w:rPr>
          <w:rFonts w:ascii="Arial" w:hAnsi="Arial"/>
          <w:b w:val="false"/>
          <w:i w:val="false"/>
          <w:caps w:val="false"/>
          <w:smallCaps w:val="false"/>
          <w:color w:val="000000"/>
          <w:spacing w:val="0"/>
          <w:sz w:val="24"/>
          <w:szCs w:val="24"/>
          <w:shd w:fill="auto" w:val="clear"/>
        </w:rPr>
        <w:t xml:space="preserve">Divination as a Way of Knowing: Embodiment, Visualisation, Narrative, and Interpretation’ </w:t>
      </w:r>
      <w:r>
        <w:rPr>
          <w:rFonts w:ascii="Arial" w:hAnsi="Arial"/>
          <w:b w:val="false"/>
          <w:i/>
          <w:iCs/>
          <w:caps w:val="false"/>
          <w:smallCaps w:val="false"/>
          <w:color w:val="000000"/>
          <w:spacing w:val="0"/>
          <w:sz w:val="24"/>
          <w:szCs w:val="24"/>
          <w:shd w:fill="auto" w:val="clear"/>
        </w:rPr>
        <w:t>Folklore</w:t>
      </w:r>
      <w:r>
        <w:rPr>
          <w:rFonts w:ascii="Arial" w:hAnsi="Arial"/>
          <w:b w:val="false"/>
          <w:i w:val="false"/>
          <w:iCs w:val="false"/>
          <w:caps w:val="false"/>
          <w:smallCaps w:val="false"/>
          <w:color w:val="000000"/>
          <w:spacing w:val="0"/>
          <w:sz w:val="24"/>
          <w:szCs w:val="24"/>
          <w:shd w:fill="auto" w:val="clear"/>
        </w:rPr>
        <w:t>, 112.2 (2001) 189-197  &lt;</w:t>
      </w:r>
      <w:hyperlink r:id="rId12">
        <w:r>
          <w:rPr>
            <w:rStyle w:val="InternetLink"/>
            <w:rFonts w:ascii="Arial" w:hAnsi="Arial"/>
            <w:b w:val="false"/>
            <w:i w:val="false"/>
            <w:iCs w:val="false"/>
            <w:caps w:val="false"/>
            <w:smallCaps w:val="false"/>
            <w:color w:val="000000"/>
            <w:spacing w:val="0"/>
            <w:sz w:val="24"/>
            <w:szCs w:val="24"/>
            <w:shd w:fill="auto" w:val="clear"/>
          </w:rPr>
          <w:t>https://www-jstor-org.ezproxy.uwtsd.ac.uk/stable/1260832?seq=2</w:t>
        </w:r>
      </w:hyperlink>
      <w:r>
        <w:rPr>
          <w:rFonts w:ascii="Arial" w:hAnsi="Arial"/>
          <w:b w:val="false"/>
          <w:i w:val="false"/>
          <w:iCs w:val="false"/>
          <w:caps w:val="false"/>
          <w:smallCaps w:val="false"/>
          <w:color w:val="000000"/>
          <w:spacing w:val="0"/>
          <w:sz w:val="24"/>
          <w:szCs w:val="24"/>
          <w:shd w:fill="auto" w:val="clear"/>
        </w:rPr>
        <w:t xml:space="preserve">&gt; </w:t>
      </w:r>
    </w:p>
    <w:p>
      <w:pPr>
        <w:pStyle w:val="Footnote"/>
        <w:spacing w:beforeAutospacing="0" w:before="0" w:afterAutospacing="0" w:after="0"/>
        <w:ind w:left="339" w:right="-334" w:hanging="0"/>
        <w:rPr>
          <w:rFonts w:ascii="Arial" w:hAnsi="Arial"/>
          <w:b w:val="false"/>
          <w:b w:val="false"/>
          <w:i w:val="false"/>
          <w:i w:val="false"/>
          <w:iCs w:val="false"/>
          <w:caps w:val="false"/>
          <w:smallCaps w:val="false"/>
          <w:color w:val="000000"/>
          <w:spacing w:val="0"/>
          <w:sz w:val="24"/>
          <w:szCs w:val="24"/>
          <w:shd w:fill="auto" w:val="clear"/>
        </w:rPr>
      </w:pPr>
      <w:r>
        <w:rPr>
          <w:rFonts w:ascii="Arial" w:hAnsi="Arial"/>
          <w:b w:val="false"/>
          <w:i w:val="false"/>
          <w:iCs w:val="false"/>
          <w:caps w:val="false"/>
          <w:smallCaps w:val="false"/>
          <w:color w:val="000000"/>
          <w:spacing w:val="0"/>
          <w:sz w:val="24"/>
          <w:szCs w:val="24"/>
          <w:shd w:fill="auto" w:val="clear"/>
        </w:rPr>
      </w:r>
    </w:p>
    <w:p>
      <w:pPr>
        <w:pStyle w:val="Footnote"/>
        <w:spacing w:beforeAutospacing="0" w:before="0" w:afterAutospacing="0" w:after="0"/>
        <w:ind w:left="0" w:right="-334" w:hanging="0"/>
        <w:rPr/>
      </w:pPr>
      <w:r>
        <w:rPr>
          <w:rFonts w:ascii="Arial" w:hAnsi="Arial"/>
          <w:b w:val="false"/>
          <w:i w:val="false"/>
          <w:iCs w:val="false"/>
          <w:caps w:val="false"/>
          <w:smallCaps w:val="false"/>
          <w:color w:val="000000"/>
          <w:spacing w:val="0"/>
          <w:sz w:val="24"/>
          <w:szCs w:val="24"/>
          <w:shd w:fill="auto" w:val="clear"/>
        </w:rPr>
        <w:t>Vaschide, N and Pieron, H, ‘PROPHETIC DREAMS IN GREEK AND ROMAN ANTIQUITY‘</w:t>
      </w:r>
      <w:r>
        <w:rPr>
          <w:rFonts w:ascii="Arial" w:hAnsi="Arial"/>
          <w:b w:val="false"/>
          <w:i/>
          <w:iCs/>
          <w:caps w:val="false"/>
          <w:smallCaps w:val="false"/>
          <w:color w:val="000000"/>
          <w:spacing w:val="0"/>
          <w:sz w:val="24"/>
          <w:szCs w:val="24"/>
          <w:shd w:fill="auto" w:val="clear"/>
        </w:rPr>
        <w:t xml:space="preserve"> The Monist,</w:t>
      </w:r>
      <w:r>
        <w:rPr>
          <w:rFonts w:ascii="Arial" w:hAnsi="Arial"/>
          <w:b w:val="false"/>
          <w:i w:val="false"/>
          <w:iCs w:val="false"/>
          <w:caps w:val="false"/>
          <w:smallCaps w:val="false"/>
          <w:color w:val="000000"/>
          <w:spacing w:val="0"/>
          <w:sz w:val="24"/>
          <w:szCs w:val="24"/>
          <w:shd w:fill="auto" w:val="clear"/>
        </w:rPr>
        <w:t xml:space="preserve"> 11.2 (1901) 161-194( pp.162-164) &lt;</w:t>
      </w:r>
      <w:hyperlink r:id="rId13">
        <w:r>
          <w:rPr>
            <w:rStyle w:val="InternetLink"/>
            <w:rFonts w:ascii="Arial" w:hAnsi="Arial"/>
            <w:b w:val="false"/>
            <w:i w:val="false"/>
            <w:iCs w:val="false"/>
            <w:caps w:val="false"/>
            <w:smallCaps w:val="false"/>
            <w:color w:val="000000"/>
            <w:spacing w:val="0"/>
            <w:sz w:val="24"/>
            <w:szCs w:val="24"/>
            <w:shd w:fill="auto" w:val="clear"/>
          </w:rPr>
          <w:t>https://www.jstor.org/stable/27899218?seq=5</w:t>
        </w:r>
      </w:hyperlink>
      <w:r>
        <w:rPr>
          <w:rFonts w:ascii="Arial" w:hAnsi="Arial"/>
          <w:b w:val="false"/>
          <w:i w:val="false"/>
          <w:iCs w:val="false"/>
          <w:caps w:val="false"/>
          <w:smallCaps w:val="false"/>
          <w:color w:val="000000"/>
          <w:spacing w:val="0"/>
          <w:sz w:val="24"/>
          <w:szCs w:val="24"/>
          <w:shd w:fill="auto" w:val="clear"/>
        </w:rPr>
        <w:t xml:space="preserve">&gt; </w:t>
      </w:r>
    </w:p>
    <w:p>
      <w:pPr>
        <w:pStyle w:val="Footnote"/>
        <w:spacing w:beforeAutospacing="0" w:before="0" w:afterAutospacing="0" w:after="0"/>
        <w:ind w:left="0" w:right="-334" w:hanging="0"/>
        <w:rPr>
          <w:b w:val="false"/>
          <w:b w:val="false"/>
          <w:i w:val="false"/>
          <w:i w:val="false"/>
          <w:iCs w:val="false"/>
          <w:caps w:val="false"/>
          <w:smallCaps w:val="false"/>
          <w:color w:val="000000"/>
          <w:spacing w:val="0"/>
          <w:shd w:fill="auto" w:val="clear"/>
        </w:rPr>
      </w:pPr>
      <w:r>
        <w:rPr>
          <w:b w:val="false"/>
          <w:i w:val="false"/>
          <w:iCs w:val="false"/>
          <w:caps w:val="false"/>
          <w:smallCaps w:val="false"/>
          <w:color w:val="000000"/>
          <w:spacing w:val="0"/>
          <w:shd w:fill="auto" w:val="clear"/>
        </w:rPr>
      </w:r>
    </w:p>
    <w:p>
      <w:pPr>
        <w:pStyle w:val="Footnote"/>
        <w:spacing w:beforeAutospacing="0" w:before="0" w:afterAutospacing="0" w:after="0"/>
        <w:ind w:left="0" w:right="-334" w:hanging="0"/>
        <w:rPr/>
      </w:pPr>
      <w:r>
        <w:rPr>
          <w:rFonts w:ascii="Arial" w:hAnsi="Arial"/>
          <w:b w:val="false"/>
          <w:i w:val="false"/>
          <w:iCs w:val="false"/>
          <w:caps w:val="false"/>
          <w:smallCaps w:val="false"/>
          <w:color w:val="000000"/>
          <w:spacing w:val="0"/>
          <w:sz w:val="24"/>
          <w:szCs w:val="24"/>
          <w:shd w:fill="auto" w:val="clear"/>
        </w:rPr>
        <w:t xml:space="preserve">Versnel, H, S,‘Some Reflections on the Relationship Magic-Religion’. </w:t>
      </w:r>
      <w:r>
        <w:rPr>
          <w:rFonts w:ascii="Arial" w:hAnsi="Arial"/>
          <w:b w:val="false"/>
          <w:i/>
          <w:iCs/>
          <w:caps w:val="false"/>
          <w:smallCaps w:val="false"/>
          <w:color w:val="000000"/>
          <w:spacing w:val="0"/>
          <w:sz w:val="24"/>
          <w:szCs w:val="24"/>
          <w:shd w:fill="auto" w:val="clear"/>
        </w:rPr>
        <w:t xml:space="preserve">Numen, </w:t>
      </w:r>
      <w:r>
        <w:rPr>
          <w:rFonts w:ascii="Arial" w:hAnsi="Arial"/>
          <w:b w:val="false"/>
          <w:i w:val="false"/>
          <w:iCs w:val="false"/>
          <w:caps w:val="false"/>
          <w:smallCaps w:val="false"/>
          <w:color w:val="000000"/>
          <w:spacing w:val="0"/>
          <w:sz w:val="24"/>
          <w:szCs w:val="24"/>
          <w:shd w:fill="auto" w:val="clear"/>
        </w:rPr>
        <w:t xml:space="preserve">38.2 (1991) 177-197 (177-178) &lt; </w:t>
      </w:r>
      <w:hyperlink r:id="rId14">
        <w:r>
          <w:rPr>
            <w:rStyle w:val="InternetLink"/>
            <w:rFonts w:ascii="Arial" w:hAnsi="Arial"/>
            <w:b w:val="false"/>
            <w:i w:val="false"/>
            <w:iCs w:val="false"/>
            <w:caps w:val="false"/>
            <w:smallCaps w:val="false"/>
            <w:color w:val="000000"/>
            <w:spacing w:val="0"/>
            <w:sz w:val="24"/>
            <w:szCs w:val="24"/>
            <w:shd w:fill="auto" w:val="clear"/>
          </w:rPr>
          <w:t>https://www-jstor-org.ezproxy.uwtsd.ac.uk/stable/3269832?seq=3</w:t>
        </w:r>
      </w:hyperlink>
      <w:r>
        <w:rPr>
          <w:rFonts w:ascii="Arial" w:hAnsi="Arial"/>
          <w:b w:val="false"/>
          <w:i w:val="false"/>
          <w:iCs w:val="false"/>
          <w:caps w:val="false"/>
          <w:smallCaps w:val="false"/>
          <w:color w:val="000000"/>
          <w:spacing w:val="0"/>
          <w:sz w:val="24"/>
          <w:szCs w:val="24"/>
          <w:shd w:fill="auto" w:val="clear"/>
        </w:rPr>
        <w:t xml:space="preserve"> &gt;</w:t>
      </w:r>
    </w:p>
    <w:sectPr>
      <w:footerReference w:type="default" r:id="rId15"/>
      <w:footnotePr>
        <w:numFmt w:val="decimal"/>
      </w:footnotePr>
      <w:type w:val="nextPage"/>
      <w:pgSz w:w="12240" w:h="15840"/>
      <w:pgMar w:left="1797" w:right="1797" w:header="0" w:top="567" w:footer="720" w:bottom="777"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Tahoma">
    <w:charset w:val="00"/>
    <w:family w:val="roman"/>
    <w:pitch w:val="variable"/>
  </w:font>
  <w:font w:name="Liberation Serif">
    <w:altName w:val="Times New Roman"/>
    <w:charset w:val="00"/>
    <w:family w:val="swiss"/>
    <w:pitch w:val="variable"/>
  </w:font>
  <w:font w:name="Trebuchet MS">
    <w:charset w:val="00"/>
    <w:family w:val="roman"/>
    <w:pitch w:val="variable"/>
  </w:font>
  <w:font w:name="Liberation Sans">
    <w:altName w:val="Arial"/>
    <w:charset w:val="00"/>
    <w:family w:val="roman"/>
    <w:pitch w:val="variable"/>
  </w:font>
  <w:font w:name="Georgia">
    <w:charset w:val="00"/>
    <w:family w:val="roman"/>
    <w:pitch w:val="variable"/>
  </w:font>
  <w:font w:name="Calibri">
    <w:charset w:val="00"/>
    <w:family w:val="roman"/>
    <w:pitch w:val="variable"/>
  </w:font>
  <w:font w:name="arial">
    <w:altName w:val="sans-serif"/>
    <w:charset w:val="00"/>
    <w:family w:val="roman"/>
    <w:pitch w:val="variable"/>
  </w:font>
  <w:font w:name="GT America Standard">
    <w:altName w:val="Helvetic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rFonts w:ascii="Trebuchet MS" w:hAnsi="Trebuchet MS"/>
        <w:sz w:val="18"/>
        <w:szCs w:val="18"/>
      </w:rPr>
    </w:pPr>
    <w:r>
      <w:rPr>
        <w:rFonts w:ascii="Trebuchet MS" w:hAnsi="Trebuchet MS"/>
        <w:sz w:val="18"/>
        <w:szCs w:val="18"/>
      </w:rPr>
      <w:t xml:space="preserve"> </w: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Footnote"/>
        <w:ind w:left="0" w:hanging="0"/>
        <w:rPr/>
      </w:pPr>
      <w:r>
        <w:rPr>
          <w:rStyle w:val="FootnoteCharacters"/>
        </w:rPr>
        <w:footnoteRef/>
      </w:r>
      <w:r>
        <w:rPr/>
        <w:t xml:space="preserve">      </w:t>
      </w:r>
      <w:r>
        <w:rPr/>
        <w:t xml:space="preserve">Oxford English Dictionary, </w:t>
      </w:r>
      <w:r>
        <w:rPr>
          <w:i/>
          <w:iCs/>
        </w:rPr>
        <w:t xml:space="preserve">Religion, </w:t>
      </w:r>
      <w:r>
        <w:rPr>
          <w:i w:val="false"/>
          <w:iCs w:val="false"/>
        </w:rPr>
        <w:t>(Oxford: Oxford University Press, 2023) &lt;</w:t>
      </w:r>
      <w:r>
        <w:fldChar w:fldCharType="begin"/>
      </w:r>
      <w:r>
        <w:rPr>
          <w:rStyle w:val="InternetLink"/>
          <w:i w:val="false"/>
          <w:iCs w:val="false"/>
        </w:rPr>
        <w:instrText> HYPERLINK "https://www.oed.com/viewdictionaryentry/Entry/161944" \l ":~:text=Categories »-,a.,Also in plural%3A religious rites"</w:instrText>
      </w:r>
      <w:r>
        <w:rPr>
          <w:rStyle w:val="InternetLink"/>
          <w:i w:val="false"/>
          <w:iCs w:val="false"/>
        </w:rPr>
        <w:fldChar w:fldCharType="separate"/>
      </w:r>
      <w:r>
        <w:rPr>
          <w:rStyle w:val="InternetLink"/>
          <w:i w:val="false"/>
          <w:iCs w:val="false"/>
        </w:rPr>
        <w:t>https://www.oed.com/viewdictionaryentry/Entry/161944#:~:text=Categories%20%C2%BB-,a.,Also%20in%20plural%3A%20religious%20rites</w:t>
      </w:r>
      <w:r>
        <w:rPr>
          <w:rStyle w:val="InternetLink"/>
          <w:i w:val="false"/>
          <w:iCs w:val="false"/>
        </w:rPr>
        <w:fldChar w:fldCharType="end"/>
      </w:r>
      <w:r>
        <w:rPr>
          <w:i w:val="false"/>
          <w:iCs w:val="false"/>
        </w:rPr>
        <w:t>.&gt; [accessed 2</w:t>
      </w:r>
      <w:r>
        <w:rPr>
          <w:i w:val="false"/>
          <w:iCs w:val="false"/>
          <w:vertAlign w:val="superscript"/>
        </w:rPr>
        <w:t>nd</w:t>
      </w:r>
      <w:r>
        <w:rPr>
          <w:i w:val="false"/>
          <w:iCs w:val="false"/>
        </w:rPr>
        <w:t xml:space="preserve"> April “2023]. </w:t>
      </w:r>
    </w:p>
  </w:footnote>
  <w:footnote w:id="3">
    <w:p>
      <w:pPr>
        <w:pStyle w:val="Footnote"/>
        <w:ind w:left="0" w:hanging="0"/>
        <w:rPr/>
      </w:pPr>
      <w:r>
        <w:rPr>
          <w:rStyle w:val="FootnoteCharacters"/>
        </w:rPr>
        <w:footnoteRef/>
      </w:r>
      <w:r>
        <w:rPr/>
        <w:t xml:space="preserve">     </w:t>
      </w:r>
      <w:r>
        <w:rPr/>
        <w:t xml:space="preserve">Christian Smith, </w:t>
      </w:r>
      <w:r>
        <w:rPr>
          <w:i/>
          <w:iCs/>
        </w:rPr>
        <w:t xml:space="preserve">Religion, what it is, How it works, and why it matters </w:t>
      </w:r>
      <w:r>
        <w:rPr>
          <w:i w:val="false"/>
          <w:iCs w:val="false"/>
        </w:rPr>
        <w:t>(Princeton: Princeton University   Press, 2017), Pp. 20-21</w:t>
      </w:r>
    </w:p>
  </w:footnote>
  <w:footnote w:id="4">
    <w:p>
      <w:pPr>
        <w:pStyle w:val="Footnote"/>
        <w:rPr/>
      </w:pPr>
      <w:r>
        <w:rPr>
          <w:rStyle w:val="FootnoteCharacters"/>
        </w:rPr>
        <w:footnoteRef/>
      </w:r>
      <w:r>
        <w:rPr/>
        <w:tab/>
        <w:t xml:space="preserve">Bron Taylor, </w:t>
      </w:r>
      <w:r>
        <w:rPr>
          <w:i/>
          <w:iCs/>
        </w:rPr>
        <w:t xml:space="preserve">Dark Green Religion. </w:t>
      </w:r>
      <w:r>
        <w:rPr>
          <w:i w:val="false"/>
          <w:iCs w:val="false"/>
        </w:rPr>
        <w:t>(California: University of California Press, 2010), Pp.xi-10</w:t>
      </w:r>
    </w:p>
  </w:footnote>
  <w:footnote w:id="5">
    <w:p>
      <w:pPr>
        <w:pStyle w:val="Footnote"/>
        <w:rPr/>
      </w:pPr>
      <w:r>
        <w:rPr>
          <w:rStyle w:val="FootnoteCharacters"/>
        </w:rPr>
        <w:footnoteRef/>
      </w:r>
      <w:r>
        <w:rPr/>
        <w:tab/>
        <w:t xml:space="preserve"> </w:t>
      </w:r>
      <w:r>
        <w:rPr/>
        <w:t xml:space="preserve">Rebecca Stein, Philip L. Stein, </w:t>
      </w:r>
      <w:r>
        <w:rPr>
          <w:i/>
          <w:iCs/>
        </w:rPr>
        <w:t xml:space="preserve">The anthropology of Religion, Magic and Witchcraft, </w:t>
      </w:r>
      <w:r>
        <w:rPr>
          <w:i w:val="false"/>
          <w:iCs w:val="false"/>
        </w:rPr>
        <w:t>(Oxon: Routledge, 2016) P.15</w:t>
      </w:r>
    </w:p>
  </w:footnote>
  <w:footnote w:id="6">
    <w:p>
      <w:pPr>
        <w:pStyle w:val="Footnote"/>
        <w:rPr>
          <w:shd w:fill="auto" w:val="clear"/>
        </w:rPr>
      </w:pPr>
      <w:r>
        <w:rPr>
          <w:rStyle w:val="FootnoteCharacters"/>
        </w:rPr>
        <w:footnoteRef/>
      </w:r>
      <w:r>
        <w:rPr>
          <w:shd w:fill="auto" w:val="clear"/>
        </w:rPr>
        <w:tab/>
        <w:t xml:space="preserve"> </w:t>
      </w:r>
      <w:r>
        <w:rPr>
          <w:shd w:fill="auto" w:val="clear"/>
        </w:rPr>
        <w:t xml:space="preserve">Stein and. Stein, </w:t>
      </w:r>
      <w:r>
        <w:rPr>
          <w:i/>
          <w:iCs/>
          <w:shd w:fill="auto" w:val="clear"/>
        </w:rPr>
        <w:t>The anthropology of Religion, Magic and Witchcraft,</w:t>
      </w:r>
      <w:r>
        <w:rPr>
          <w:i w:val="false"/>
          <w:iCs w:val="false"/>
          <w:shd w:fill="auto" w:val="clear"/>
        </w:rPr>
        <w:t xml:space="preserve"> P.15</w:t>
      </w:r>
    </w:p>
  </w:footnote>
  <w:footnote w:id="7">
    <w:p>
      <w:pPr>
        <w:pStyle w:val="Footnote"/>
        <w:rPr/>
      </w:pPr>
      <w:r>
        <w:rPr>
          <w:rStyle w:val="FootnoteCharacters"/>
        </w:rPr>
        <w:footnoteRef/>
      </w:r>
      <w:r>
        <w:rPr/>
        <w:tab/>
        <w:t xml:space="preserve">Terje Oestigaard, </w:t>
      </w:r>
      <w:r>
        <w:rPr>
          <w:i/>
          <w:iCs/>
        </w:rPr>
        <w:t>Religion at Work in Globalised Traditions,</w:t>
      </w:r>
      <w:r>
        <w:rPr/>
        <w:t xml:space="preserve"> (Cambridge: Cambridge Scholars Publishing, 2014) p.32</w:t>
      </w:r>
    </w:p>
  </w:footnote>
  <w:footnote w:id="8">
    <w:p>
      <w:pPr>
        <w:pStyle w:val="Footnote"/>
        <w:rPr/>
      </w:pPr>
      <w:r>
        <w:rPr>
          <w:rStyle w:val="FootnoteCharacters"/>
        </w:rPr>
        <w:footnoteRef/>
      </w:r>
      <w:r>
        <w:rPr/>
        <w:tab/>
        <w:t xml:space="preserve"> </w:t>
      </w:r>
      <w:r>
        <w:rPr>
          <w:shd w:fill="auto" w:val="clear"/>
        </w:rPr>
        <w:t xml:space="preserve">Stein and. Stein, </w:t>
      </w:r>
      <w:r>
        <w:rPr>
          <w:i/>
          <w:iCs/>
          <w:shd w:fill="auto" w:val="clear"/>
        </w:rPr>
        <w:t>The anthropology of Religion, Magic and Witchcraft,</w:t>
      </w:r>
      <w:r>
        <w:rPr>
          <w:i w:val="false"/>
          <w:iCs w:val="false"/>
          <w:shd w:fill="auto" w:val="clear"/>
        </w:rPr>
        <w:t xml:space="preserve"> P.15</w:t>
      </w:r>
    </w:p>
  </w:footnote>
  <w:footnote w:id="9">
    <w:p>
      <w:pPr>
        <w:pStyle w:val="Footnote"/>
        <w:ind w:left="0" w:hanging="0"/>
        <w:rPr/>
      </w:pPr>
      <w:r>
        <w:rPr>
          <w:rStyle w:val="FootnoteCharacters"/>
        </w:rPr>
        <w:footnoteRef/>
      </w:r>
      <w:r>
        <w:rPr/>
        <w:t xml:space="preserve">     </w:t>
      </w:r>
      <w:r>
        <w:rPr/>
        <w:t xml:space="preserve">George, D, Chryssides and Ron Geaves, </w:t>
      </w:r>
      <w:r>
        <w:rPr>
          <w:i/>
          <w:iCs/>
        </w:rPr>
        <w:t xml:space="preserve">The Study of Religion: An Introduction to Key Ideas and    Methods </w:t>
      </w:r>
      <w:r>
        <w:rPr>
          <w:i w:val="false"/>
          <w:iCs w:val="false"/>
        </w:rPr>
        <w:t>(London: Continuum International Publishing Group, 2007) Pp. 228-229</w:t>
      </w:r>
    </w:p>
  </w:footnote>
  <w:footnote w:id="10">
    <w:p>
      <w:pPr>
        <w:pStyle w:val="Footnote"/>
        <w:ind w:left="0" w:hanging="0"/>
        <w:rPr/>
      </w:pPr>
      <w:r>
        <w:rPr>
          <w:rStyle w:val="FootnoteCharacters"/>
        </w:rPr>
        <w:footnoteRef/>
      </w:r>
      <w:r>
        <w:rPr/>
        <w:t xml:space="preserve">    </w:t>
      </w:r>
      <w:r>
        <w:rPr/>
        <w:t>Sir Hugh Lloyd – Jones,</w:t>
      </w:r>
      <w:r>
        <w:rPr>
          <w:i/>
          <w:iCs/>
        </w:rPr>
        <w:t xml:space="preserve"> ‘</w:t>
      </w:r>
      <w:r>
        <w:rPr>
          <w:i w:val="false"/>
          <w:iCs w:val="false"/>
        </w:rPr>
        <w:t>Ancient Greek Religion’</w:t>
      </w:r>
      <w:r>
        <w:rPr>
          <w:i/>
          <w:iCs/>
        </w:rPr>
        <w:t xml:space="preserve"> Proceedings of  the American Philosophy Society.</w:t>
      </w:r>
      <w:r>
        <w:rPr>
          <w:i w:val="false"/>
          <w:iCs w:val="false"/>
        </w:rPr>
        <w:t xml:space="preserve">  145.4  (2001) ,456-464 (</w:t>
      </w:r>
      <w:r>
        <w:rPr/>
        <w:t xml:space="preserve">Pp 456-462) &lt; </w:t>
      </w:r>
      <w:hyperlink r:id="rId1">
        <w:r>
          <w:rPr>
            <w:rStyle w:val="InternetLink"/>
          </w:rPr>
          <w:t>https://www-jstor-org.ezproxy.uwtsd.ac.uk/stable/1558184?seq=1</w:t>
        </w:r>
      </w:hyperlink>
      <w:r>
        <w:rPr/>
        <w:t xml:space="preserve"> &gt; </w:t>
      </w:r>
    </w:p>
  </w:footnote>
  <w:footnote w:id="11">
    <w:p>
      <w:pPr>
        <w:pStyle w:val="Footnote"/>
        <w:ind w:left="0" w:hanging="0"/>
        <w:rPr>
          <w:shd w:fill="auto" w:val="clear"/>
        </w:rPr>
      </w:pPr>
      <w:r>
        <w:rPr>
          <w:rStyle w:val="FootnoteCharacters"/>
        </w:rPr>
        <w:footnoteRef/>
      </w:r>
      <w:r>
        <w:rPr>
          <w:shd w:fill="auto" w:val="clear"/>
        </w:rPr>
        <w:t xml:space="preserve">   </w:t>
      </w:r>
      <w:r>
        <w:rPr>
          <w:shd w:fill="auto" w:val="clear"/>
        </w:rPr>
        <w:t>Jones,</w:t>
      </w:r>
      <w:r>
        <w:rPr>
          <w:i/>
          <w:iCs/>
          <w:shd w:fill="auto" w:val="clear"/>
        </w:rPr>
        <w:t xml:space="preserve"> Proceedings of  the American Philosophy Society.</w:t>
      </w:r>
      <w:r>
        <w:rPr>
          <w:i w:val="false"/>
          <w:iCs w:val="false"/>
          <w:shd w:fill="auto" w:val="clear"/>
        </w:rPr>
        <w:t xml:space="preserve"> </w:t>
      </w:r>
      <w:r>
        <w:rPr>
          <w:shd w:fill="auto" w:val="clear"/>
        </w:rPr>
        <w:t>Pp 456 ,461</w:t>
      </w:r>
    </w:p>
  </w:footnote>
  <w:footnote w:id="12">
    <w:p>
      <w:pPr>
        <w:pStyle w:val="Footnote"/>
        <w:ind w:left="0" w:hanging="0"/>
        <w:rPr/>
      </w:pPr>
      <w:r>
        <w:rPr>
          <w:rStyle w:val="FootnoteCharacters"/>
        </w:rPr>
        <w:footnoteRef/>
      </w:r>
      <w:r>
        <w:rPr/>
        <w:t xml:space="preserve">  </w:t>
      </w:r>
      <w:r>
        <w:rPr>
          <w:shd w:fill="auto" w:val="clear"/>
        </w:rPr>
        <w:t xml:space="preserve">  </w:t>
      </w:r>
      <w:r>
        <w:rPr>
          <w:shd w:fill="auto" w:val="clear"/>
        </w:rPr>
        <w:t>Jones,</w:t>
      </w:r>
      <w:r>
        <w:rPr>
          <w:i/>
          <w:iCs/>
          <w:shd w:fill="auto" w:val="clear"/>
        </w:rPr>
        <w:t xml:space="preserve"> Proceedings of  the American Philosophy Society.</w:t>
      </w:r>
      <w:r>
        <w:rPr>
          <w:i w:val="false"/>
          <w:iCs w:val="false"/>
          <w:shd w:fill="auto" w:val="clear"/>
        </w:rPr>
        <w:t xml:space="preserve"> </w:t>
      </w:r>
      <w:r>
        <w:rPr>
          <w:shd w:fill="auto" w:val="clear"/>
        </w:rPr>
        <w:t>Pp 461</w:t>
      </w:r>
    </w:p>
  </w:footnote>
  <w:footnote w:id="13">
    <w:p>
      <w:pPr>
        <w:pStyle w:val="Footnote"/>
        <w:rPr/>
      </w:pPr>
      <w:r>
        <w:rPr>
          <w:rStyle w:val="FootnoteCharacters"/>
        </w:rPr>
        <w:footnoteRef/>
      </w:r>
      <w:r>
        <w:rPr/>
        <w:tab/>
        <w:t xml:space="preserve">George Tridimas, ‘Religion without a doctrine or clergy: the case of Ancient Greece’ </w:t>
      </w:r>
      <w:r>
        <w:rPr>
          <w:i/>
          <w:iCs/>
        </w:rPr>
        <w:t xml:space="preserve">Journals of Institutional Economics. </w:t>
      </w:r>
      <w:r>
        <w:rPr>
          <w:i w:val="false"/>
          <w:iCs w:val="false"/>
        </w:rPr>
        <w:t xml:space="preserve">18,4 (2022) 677-691 (2.2) &lt; </w:t>
      </w:r>
      <w:hyperlink r:id="rId2">
        <w:r>
          <w:rPr>
            <w:rStyle w:val="InternetLink"/>
            <w:i w:val="false"/>
            <w:iCs w:val="false"/>
          </w:rPr>
          <w:t>https://www.cambridge.org/core/journals/journal-of-institutional-economics/article/religion-without-doctrine-or-clergy-the-case-of-ancient-greece/901613496165E373719D3B343E945156</w:t>
        </w:r>
      </w:hyperlink>
      <w:r>
        <w:rPr>
          <w:i w:val="false"/>
          <w:iCs w:val="false"/>
        </w:rPr>
        <w:t xml:space="preserve"> &gt; </w:t>
      </w:r>
    </w:p>
  </w:footnote>
  <w:footnote w:id="14">
    <w:p>
      <w:pPr>
        <w:pStyle w:val="Footnote"/>
        <w:ind w:left="0" w:hanging="0"/>
        <w:rPr>
          <w:shd w:fill="auto" w:val="clear"/>
        </w:rPr>
      </w:pPr>
      <w:r>
        <w:rPr>
          <w:rStyle w:val="FootnoteCharacters"/>
        </w:rPr>
        <w:footnoteRef/>
      </w:r>
      <w:r>
        <w:rPr>
          <w:shd w:fill="auto" w:val="clear"/>
        </w:rPr>
        <w:t>Jones,</w:t>
      </w:r>
      <w:r>
        <w:rPr>
          <w:i/>
          <w:iCs/>
          <w:shd w:fill="auto" w:val="clear"/>
        </w:rPr>
        <w:t xml:space="preserve"> Proceedings of  the American Philosophy Society.</w:t>
      </w:r>
      <w:r>
        <w:rPr>
          <w:i w:val="false"/>
          <w:iCs w:val="false"/>
          <w:shd w:fill="auto" w:val="clear"/>
        </w:rPr>
        <w:t xml:space="preserve"> </w:t>
      </w:r>
      <w:r>
        <w:rPr>
          <w:shd w:fill="auto" w:val="clear"/>
        </w:rPr>
        <w:t>Pp 461</w:t>
      </w:r>
    </w:p>
  </w:footnote>
  <w:footnote w:id="15">
    <w:p>
      <w:pPr>
        <w:pStyle w:val="Footnote"/>
        <w:rPr/>
      </w:pPr>
      <w:r>
        <w:rPr>
          <w:rStyle w:val="FootnoteCharacters"/>
        </w:rPr>
        <w:footnoteRef/>
      </w:r>
      <w:r>
        <w:rPr/>
        <w:tab/>
        <w:t xml:space="preserve">David Sacks, </w:t>
      </w:r>
      <w:r>
        <w:rPr>
          <w:i/>
          <w:iCs/>
        </w:rPr>
        <w:t xml:space="preserve">Encyclopedia of the Ancient Greek World, </w:t>
      </w:r>
      <w:r>
        <w:rPr>
          <w:i w:val="false"/>
          <w:iCs w:val="false"/>
        </w:rPr>
        <w:t xml:space="preserve">(New York: Facts on File Inc, 2005). </w:t>
      </w:r>
      <w:r>
        <w:rPr/>
        <w:t>p293</w:t>
      </w:r>
    </w:p>
  </w:footnote>
  <w:footnote w:id="16">
    <w:p>
      <w:pPr>
        <w:pStyle w:val="Footnote"/>
        <w:ind w:left="0" w:hanging="0"/>
        <w:rPr>
          <w:shd w:fill="auto" w:val="clear"/>
        </w:rPr>
      </w:pPr>
      <w:r>
        <w:rPr>
          <w:rStyle w:val="FootnoteCharacters"/>
        </w:rPr>
        <w:footnoteRef/>
      </w:r>
      <w:r>
        <w:rPr>
          <w:shd w:fill="auto" w:val="clear"/>
        </w:rPr>
        <w:t xml:space="preserve">   </w:t>
      </w:r>
      <w:r>
        <w:rPr>
          <w:shd w:fill="auto" w:val="clear"/>
        </w:rPr>
        <w:t>Jones,</w:t>
      </w:r>
      <w:r>
        <w:rPr>
          <w:i/>
          <w:iCs/>
          <w:shd w:fill="auto" w:val="clear"/>
        </w:rPr>
        <w:t xml:space="preserve"> Proceedings of  the American Philosophy Society.</w:t>
      </w:r>
      <w:r>
        <w:rPr>
          <w:i w:val="false"/>
          <w:iCs w:val="false"/>
          <w:shd w:fill="auto" w:val="clear"/>
        </w:rPr>
        <w:t xml:space="preserve"> </w:t>
      </w:r>
      <w:r>
        <w:rPr>
          <w:shd w:fill="auto" w:val="clear"/>
        </w:rPr>
        <w:t>Pp 462</w:t>
      </w:r>
    </w:p>
  </w:footnote>
  <w:footnote w:id="17">
    <w:p>
      <w:pPr>
        <w:pStyle w:val="Footnote"/>
        <w:rPr/>
      </w:pPr>
      <w:r>
        <w:rPr>
          <w:rStyle w:val="FootnoteCharacters"/>
        </w:rPr>
        <w:footnoteRef/>
      </w:r>
      <w:r>
        <w:rPr/>
        <w:tab/>
        <w:t xml:space="preserve">James Whitley, </w:t>
      </w:r>
      <w:r>
        <w:rPr>
          <w:i/>
          <w:iCs/>
        </w:rPr>
        <w:t>The Archaeology of Ancient Greece</w:t>
      </w:r>
      <w:r>
        <w:rPr>
          <w:i w:val="false"/>
          <w:iCs w:val="false"/>
        </w:rPr>
        <w:t xml:space="preserve"> (Cambridge: Cambridge University Press, 2001) </w:t>
      </w:r>
      <w:r>
        <w:rPr/>
        <w:t>p133</w:t>
      </w:r>
    </w:p>
  </w:footnote>
  <w:footnote w:id="18">
    <w:p>
      <w:pPr>
        <w:pStyle w:val="Footnote"/>
        <w:rPr/>
      </w:pPr>
      <w:r>
        <w:rPr>
          <w:rStyle w:val="FootnoteCharacters"/>
        </w:rPr>
        <w:footnoteRef/>
      </w:r>
      <w:r>
        <w:rPr/>
        <w:tab/>
        <w:t xml:space="preserve">Jan Bremmer, ‘Πλειών. Papers in memory of Christiane Sourvinou-Inwood’ </w:t>
      </w:r>
      <w:r>
        <w:rPr>
          <w:i/>
          <w:iCs/>
        </w:rPr>
        <w:t xml:space="preserve">Ariadne, </w:t>
      </w:r>
      <w:r>
        <w:rPr>
          <w:i w:val="false"/>
          <w:iCs w:val="false"/>
        </w:rPr>
        <w:t>(2021) xvii-390 &lt;</w:t>
      </w:r>
      <w:hyperlink r:id="rId3">
        <w:r>
          <w:rPr>
            <w:rStyle w:val="InternetLink"/>
            <w:i w:val="false"/>
            <w:iCs w:val="false"/>
          </w:rPr>
          <w:t>https://bmcr.brynmawr.edu/2021/2021.04.39/</w:t>
        </w:r>
      </w:hyperlink>
      <w:r>
        <w:rPr>
          <w:i w:val="false"/>
          <w:iCs w:val="false"/>
        </w:rPr>
        <w:t xml:space="preserve">&gt; </w:t>
      </w:r>
    </w:p>
  </w:footnote>
  <w:footnote w:id="19">
    <w:p>
      <w:pPr>
        <w:pStyle w:val="Footnote"/>
        <w:rPr/>
      </w:pPr>
      <w:r>
        <w:rPr>
          <w:rStyle w:val="FootnoteCharacters"/>
        </w:rPr>
        <w:footnoteRef/>
      </w:r>
      <w:r>
        <w:rPr/>
        <w:tab/>
        <w:t xml:space="preserve">Julia Kindt, </w:t>
      </w:r>
      <w:r>
        <w:rPr>
          <w:i/>
          <w:iCs/>
        </w:rPr>
        <w:t>Rethinking Greek Religion,</w:t>
      </w:r>
      <w:r>
        <w:rPr/>
        <w:t xml:space="preserve"> (New York: Cambridge University Press, 2012) Pp 13-14</w:t>
      </w:r>
    </w:p>
  </w:footnote>
  <w:footnote w:id="20">
    <w:p>
      <w:pPr>
        <w:pStyle w:val="Footnote"/>
        <w:rPr/>
      </w:pPr>
      <w:r>
        <w:rPr>
          <w:rStyle w:val="FootnoteCharacters"/>
        </w:rPr>
        <w:footnoteRef/>
      </w:r>
      <w:r>
        <w:rPr/>
        <w:tab/>
        <w:t xml:space="preserve">Ninian Smart, </w:t>
      </w:r>
      <w:r>
        <w:rPr>
          <w:i/>
          <w:iCs/>
        </w:rPr>
        <w:t xml:space="preserve">Ninian Smart on World Religions: Religious experience and philosophical analysis. I. Autobiographical. 'Methods in my life' </w:t>
      </w:r>
      <w:r>
        <w:rPr>
          <w:i w:val="false"/>
          <w:iCs w:val="false"/>
        </w:rPr>
        <w:t xml:space="preserve"> (Surrey: Ashgate Publishing Limited, 2009) P.Xiii</w:t>
      </w:r>
    </w:p>
  </w:footnote>
  <w:footnote w:id="21">
    <w:p>
      <w:pPr>
        <w:pStyle w:val="Footnote"/>
        <w:widowControl/>
        <w:spacing w:beforeAutospacing="0" w:before="0" w:afterAutospacing="0" w:after="0"/>
        <w:ind w:left="0" w:hanging="0"/>
        <w:rPr>
          <w:rFonts w:ascii="Arial" w:hAnsi="Arial"/>
          <w:sz w:val="24"/>
          <w:szCs w:val="24"/>
        </w:rPr>
      </w:pPr>
      <w:r>
        <w:rPr>
          <w:rStyle w:val="FootnoteCharacters"/>
        </w:rPr>
        <w:footnoteRef/>
      </w:r>
      <w:r>
        <w:rPr>
          <w:sz w:val="20"/>
          <w:szCs w:val="20"/>
        </w:rPr>
        <w:t xml:space="preserve"> </w:t>
      </w:r>
      <w:r>
        <w:rPr>
          <w:sz w:val="20"/>
          <w:szCs w:val="20"/>
          <w:shd w:fill="auto" w:val="clear"/>
        </w:rPr>
        <w:t xml:space="preserve"> </w:t>
      </w:r>
      <w:r>
        <w:rPr>
          <w:sz w:val="20"/>
          <w:szCs w:val="20"/>
          <w:shd w:fill="auto" w:val="clear"/>
        </w:rPr>
        <w:t xml:space="preserve">Collins, </w:t>
      </w:r>
      <w:r>
        <w:rPr>
          <w:i/>
          <w:iCs/>
          <w:sz w:val="20"/>
          <w:szCs w:val="20"/>
          <w:shd w:fill="auto" w:val="clear"/>
        </w:rPr>
        <w:t>Magic in the Ancient Greek</w:t>
      </w:r>
      <w:r>
        <w:rPr>
          <w:sz w:val="20"/>
          <w:szCs w:val="20"/>
          <w:shd w:fill="auto" w:val="clear"/>
        </w:rPr>
        <w:t xml:space="preserve"> </w:t>
      </w:r>
      <w:r>
        <w:rPr>
          <w:i/>
          <w:iCs/>
          <w:sz w:val="20"/>
          <w:szCs w:val="20"/>
          <w:shd w:fill="auto" w:val="clear"/>
        </w:rPr>
        <w:t xml:space="preserve">World. </w:t>
      </w:r>
      <w:r>
        <w:rPr>
          <w:sz w:val="20"/>
          <w:szCs w:val="20"/>
          <w:shd w:fill="auto" w:val="clear"/>
        </w:rPr>
        <w:t xml:space="preserve"> Pp. xii</w:t>
      </w:r>
    </w:p>
  </w:footnote>
  <w:footnote w:id="22">
    <w:p>
      <w:pPr>
        <w:pStyle w:val="Footnote"/>
        <w:widowControl/>
        <w:spacing w:beforeAutospacing="0" w:before="0" w:afterAutospacing="0" w:after="0"/>
        <w:ind w:left="0" w:right="0" w:hanging="0"/>
        <w:rPr>
          <w:shd w:fill="FFFF00" w:val="clear"/>
        </w:rPr>
      </w:pPr>
      <w:r>
        <w:rPr>
          <w:rStyle w:val="FootnoteCharacters"/>
        </w:rPr>
        <w:footnoteRef/>
      </w:r>
      <w:r>
        <w:rPr>
          <w:sz w:val="21"/>
          <w:szCs w:val="21"/>
          <w:shd w:fill="auto" w:val="clear"/>
        </w:rPr>
        <w:t xml:space="preserve"> </w:t>
      </w:r>
      <w:r>
        <w:rPr>
          <w:sz w:val="21"/>
          <w:szCs w:val="21"/>
          <w:shd w:fill="auto" w:val="clear"/>
        </w:rPr>
        <w:t xml:space="preserve">Edmonds, </w:t>
      </w:r>
      <w:r>
        <w:rPr>
          <w:i/>
          <w:iCs/>
          <w:sz w:val="21"/>
          <w:szCs w:val="21"/>
          <w:shd w:fill="auto" w:val="clear"/>
        </w:rPr>
        <w:t>Drawing Down the Moon: Magic In the ancient Greco –  Roman World</w:t>
      </w:r>
      <w:r>
        <w:rPr>
          <w:sz w:val="21"/>
          <w:szCs w:val="21"/>
          <w:shd w:fill="auto" w:val="clear"/>
        </w:rPr>
        <w:t>, p 5</w:t>
      </w:r>
    </w:p>
  </w:footnote>
  <w:footnote w:id="23">
    <w:p>
      <w:pPr>
        <w:pStyle w:val="Footnote"/>
        <w:widowControl/>
        <w:spacing w:beforeAutospacing="0" w:before="0" w:afterAutospacing="0" w:after="0"/>
        <w:ind w:left="0" w:hanging="0"/>
        <w:rPr>
          <w:shd w:fill="auto" w:val="clear"/>
        </w:rPr>
      </w:pPr>
      <w:r>
        <w:rPr>
          <w:rStyle w:val="FootnoteCharacters"/>
        </w:rPr>
        <w:footnoteRef/>
      </w:r>
      <w:r>
        <w:rPr>
          <w:sz w:val="20"/>
          <w:szCs w:val="20"/>
          <w:shd w:fill="auto" w:val="clear"/>
        </w:rPr>
        <w:t xml:space="preserve">  </w:t>
      </w:r>
      <w:r>
        <w:rPr>
          <w:sz w:val="20"/>
          <w:szCs w:val="20"/>
          <w:shd w:fill="auto" w:val="clear"/>
        </w:rPr>
        <w:t xml:space="preserve">Collins, </w:t>
      </w:r>
      <w:r>
        <w:rPr>
          <w:i/>
          <w:iCs/>
          <w:sz w:val="20"/>
          <w:szCs w:val="20"/>
          <w:shd w:fill="auto" w:val="clear"/>
        </w:rPr>
        <w:t>Magic in the Ancient Greek</w:t>
      </w:r>
      <w:r>
        <w:rPr>
          <w:sz w:val="20"/>
          <w:szCs w:val="20"/>
          <w:shd w:fill="auto" w:val="clear"/>
        </w:rPr>
        <w:t xml:space="preserve"> </w:t>
      </w:r>
      <w:r>
        <w:rPr>
          <w:i/>
          <w:iCs/>
          <w:sz w:val="20"/>
          <w:szCs w:val="20"/>
          <w:shd w:fill="auto" w:val="clear"/>
        </w:rPr>
        <w:t xml:space="preserve">World. </w:t>
      </w:r>
      <w:r>
        <w:rPr>
          <w:sz w:val="20"/>
          <w:szCs w:val="20"/>
          <w:shd w:fill="auto" w:val="clear"/>
        </w:rPr>
        <w:t xml:space="preserve"> Pp. xii</w:t>
      </w:r>
    </w:p>
  </w:footnote>
  <w:footnote w:id="24">
    <w:p>
      <w:pPr>
        <w:pStyle w:val="Footnote"/>
        <w:ind w:left="0" w:hanging="0"/>
        <w:jc w:val="left"/>
        <w:rPr/>
      </w:pPr>
      <w:r>
        <w:rPr>
          <w:rStyle w:val="FootnoteCharacters"/>
        </w:rPr>
        <w:footnoteRef/>
      </w:r>
      <w:r>
        <w:rPr/>
        <w:t xml:space="preserve">  </w:t>
      </w:r>
      <w:r>
        <w:rPr/>
        <w:t xml:space="preserve">Derek Collins,  </w:t>
      </w:r>
      <w:r>
        <w:rPr>
          <w:i/>
          <w:iCs/>
        </w:rPr>
        <w:t>Magic in the ancient Greek</w:t>
      </w:r>
      <w:r>
        <w:rPr/>
        <w:t xml:space="preserve"> </w:t>
      </w:r>
      <w:r>
        <w:rPr>
          <w:i/>
          <w:iCs/>
        </w:rPr>
        <w:t>World</w:t>
      </w:r>
      <w:r>
        <w:rPr/>
        <w:t xml:space="preserve"> (Oxford: Blackwell Publishing, 2008) Pp. xii-3</w:t>
      </w:r>
    </w:p>
  </w:footnote>
  <w:footnote w:id="25">
    <w:p>
      <w:pPr>
        <w:pStyle w:val="Footnote"/>
        <w:ind w:left="0" w:hanging="0"/>
        <w:rPr>
          <w:shd w:fill="FFFF00" w:val="clear"/>
        </w:rPr>
      </w:pPr>
      <w:r>
        <w:rPr>
          <w:rStyle w:val="FootnoteCharacters"/>
        </w:rPr>
        <w:footnoteRef/>
      </w:r>
      <w:r>
        <w:rPr>
          <w:shd w:fill="auto" w:val="clear"/>
        </w:rPr>
        <w:t xml:space="preserve">  </w:t>
      </w:r>
      <w:r>
        <w:rPr>
          <w:shd w:fill="auto" w:val="clear"/>
        </w:rPr>
        <w:t xml:space="preserve">Collins,  </w:t>
      </w:r>
      <w:r>
        <w:rPr>
          <w:i/>
          <w:iCs/>
          <w:shd w:fill="auto" w:val="clear"/>
        </w:rPr>
        <w:t>Magic in the ancient Greek</w:t>
      </w:r>
      <w:r>
        <w:rPr>
          <w:shd w:fill="auto" w:val="clear"/>
        </w:rPr>
        <w:t xml:space="preserve"> </w:t>
      </w:r>
      <w:r>
        <w:rPr>
          <w:i/>
          <w:iCs/>
          <w:shd w:fill="auto" w:val="clear"/>
        </w:rPr>
        <w:t>World</w:t>
      </w:r>
      <w:r>
        <w:rPr>
          <w:shd w:fill="auto" w:val="clear"/>
        </w:rPr>
        <w:t xml:space="preserve"> , Pp.3</w:t>
      </w:r>
    </w:p>
  </w:footnote>
  <w:footnote w:id="26">
    <w:p>
      <w:pPr>
        <w:pStyle w:val="Footnote"/>
        <w:rPr/>
      </w:pPr>
      <w:r>
        <w:rPr>
          <w:rStyle w:val="FootnoteCharacters"/>
        </w:rPr>
        <w:footnoteRef/>
      </w:r>
      <w:r>
        <w:rPr/>
        <w:tab/>
        <w:t xml:space="preserve">Alice Sperduti, ‘The Divine Nature of Poetry in Antiquity’ , </w:t>
      </w:r>
      <w:r>
        <w:rPr>
          <w:i/>
          <w:iCs/>
        </w:rPr>
        <w:t>Transactions and Proceedings of the American Philological Association,</w:t>
      </w:r>
      <w:r>
        <w:rPr>
          <w:i w:val="false"/>
          <w:iCs w:val="false"/>
        </w:rPr>
        <w:t xml:space="preserve"> 81 (1950) 209-240 (p.209) &lt;</w:t>
      </w:r>
      <w:hyperlink r:id="rId4">
        <w:r>
          <w:rPr>
            <w:rStyle w:val="InternetLink"/>
            <w:i w:val="false"/>
            <w:iCs w:val="false"/>
          </w:rPr>
          <w:t>https://www-jstor-org.ezproxy.uwtsd.ac.uk/stable/283581</w:t>
        </w:r>
      </w:hyperlink>
      <w:r>
        <w:rPr>
          <w:i w:val="false"/>
          <w:iCs w:val="false"/>
        </w:rPr>
        <w:t xml:space="preserve"> &gt; </w:t>
      </w:r>
    </w:p>
  </w:footnote>
  <w:footnote w:id="27">
    <w:p>
      <w:pPr>
        <w:pStyle w:val="Footnote"/>
        <w:ind w:left="0" w:hanging="0"/>
        <w:rPr>
          <w:shd w:fill="auto" w:val="clear"/>
        </w:rPr>
      </w:pPr>
      <w:r>
        <w:rPr>
          <w:rStyle w:val="FootnoteCharacters"/>
        </w:rPr>
        <w:footnoteRef/>
      </w:r>
      <w:r>
        <w:rPr>
          <w:shd w:fill="auto" w:val="clear"/>
        </w:rPr>
        <w:t xml:space="preserve">   </w:t>
      </w:r>
      <w:r>
        <w:rPr>
          <w:shd w:fill="auto" w:val="clear"/>
        </w:rPr>
        <w:t xml:space="preserve">Elisabetta Castelli, </w:t>
      </w:r>
      <w:r>
        <w:rPr>
          <w:i/>
          <w:iCs/>
          <w:shd w:fill="auto" w:val="clear"/>
        </w:rPr>
        <w:t xml:space="preserve">Can Theurgy be be considered as a form of magic? </w:t>
      </w:r>
      <w:r>
        <w:rPr>
          <w:i w:val="false"/>
          <w:iCs w:val="false"/>
          <w:shd w:fill="auto" w:val="clear"/>
        </w:rPr>
        <w:t>(2023 &lt;</w:t>
      </w:r>
      <w:hyperlink r:id="rId5">
        <w:r>
          <w:rPr>
            <w:rStyle w:val="InternetLink"/>
            <w:i w:val="false"/>
            <w:iCs w:val="false"/>
            <w:shd w:fill="auto" w:val="clear"/>
          </w:rPr>
          <w:t>http://spica.org.uk/index.php/2019/09/06/can-theurgy-be-considered-a-form-of-magic/</w:t>
        </w:r>
      </w:hyperlink>
      <w:r>
        <w:rPr>
          <w:i w:val="false"/>
          <w:iCs w:val="false"/>
          <w:shd w:fill="auto" w:val="clear"/>
        </w:rPr>
        <w:t xml:space="preserve"> &gt; [accessed 3</w:t>
      </w:r>
      <w:r>
        <w:rPr>
          <w:i w:val="false"/>
          <w:iCs w:val="false"/>
          <w:shd w:fill="auto" w:val="clear"/>
          <w:vertAlign w:val="superscript"/>
        </w:rPr>
        <w:t>rd</w:t>
      </w:r>
      <w:r>
        <w:rPr>
          <w:i w:val="false"/>
          <w:iCs w:val="false"/>
          <w:shd w:fill="auto" w:val="clear"/>
        </w:rPr>
        <w:t xml:space="preserve"> April 2023]</w:t>
      </w:r>
    </w:p>
  </w:footnote>
  <w:footnote w:id="28">
    <w:p>
      <w:pPr>
        <w:pStyle w:val="Footnote"/>
        <w:ind w:left="0" w:hanging="0"/>
        <w:rPr>
          <w:shd w:fill="auto" w:val="clear"/>
        </w:rPr>
      </w:pPr>
      <w:r>
        <w:rPr>
          <w:rStyle w:val="FootnoteCharacters"/>
        </w:rPr>
        <w:footnoteRef/>
      </w:r>
      <w:r>
        <w:rPr>
          <w:shd w:fill="auto" w:val="clear"/>
        </w:rPr>
        <w:t xml:space="preserve">   </w:t>
      </w:r>
      <w:r>
        <w:rPr>
          <w:shd w:fill="auto" w:val="clear"/>
        </w:rPr>
        <w:t xml:space="preserve">Castelli, </w:t>
      </w:r>
      <w:r>
        <w:rPr>
          <w:i/>
          <w:iCs/>
          <w:shd w:fill="auto" w:val="clear"/>
        </w:rPr>
        <w:t xml:space="preserve">Can Theurgy be be considered as a form of magic? </w:t>
      </w:r>
    </w:p>
  </w:footnote>
  <w:footnote w:id="29">
    <w:p>
      <w:pPr>
        <w:pStyle w:val="Footnote"/>
        <w:ind w:left="0" w:hanging="0"/>
        <w:rPr/>
      </w:pPr>
      <w:r>
        <w:rPr>
          <w:rStyle w:val="FootnoteCharacters"/>
        </w:rPr>
        <w:footnoteRef/>
      </w:r>
      <w:r>
        <w:rPr/>
        <w:t xml:space="preserve">    </w:t>
      </w:r>
      <w:r>
        <w:rPr/>
        <w:t xml:space="preserve">Iamblichus </w:t>
      </w:r>
      <w:r>
        <w:rPr>
          <w:i/>
          <w:iCs/>
        </w:rPr>
        <w:t>On the Mysteries</w:t>
      </w:r>
      <w:r>
        <w:rPr/>
        <w:t>, Emma C, Clarke, John M, Dillon and Jackson, P, Hershbell, ed. And trs ( Atlanta: Society of Biblical Literature, 2003) PP xxvi-xxvii</w:t>
      </w:r>
    </w:p>
  </w:footnote>
  <w:footnote w:id="30">
    <w:p>
      <w:pPr>
        <w:pStyle w:val="Footnote"/>
        <w:ind w:left="0" w:hanging="0"/>
        <w:rPr>
          <w:shd w:fill="auto" w:val="clear"/>
        </w:rPr>
      </w:pPr>
      <w:r>
        <w:rPr>
          <w:rStyle w:val="FootnoteCharacters"/>
        </w:rPr>
        <w:footnoteRef/>
      </w:r>
      <w:r>
        <w:rPr>
          <w:shd w:fill="auto" w:val="clear"/>
        </w:rPr>
        <w:t xml:space="preserve">   </w:t>
      </w:r>
      <w:r>
        <w:rPr>
          <w:shd w:fill="auto" w:val="clear"/>
        </w:rPr>
        <w:t xml:space="preserve">Stein and. Stein, </w:t>
      </w:r>
      <w:r>
        <w:rPr>
          <w:i/>
          <w:iCs/>
          <w:shd w:fill="auto" w:val="clear"/>
        </w:rPr>
        <w:t>The anthropology of Religion, Magic and Witchcraft,</w:t>
      </w:r>
      <w:r>
        <w:rPr>
          <w:i w:val="false"/>
          <w:iCs w:val="false"/>
          <w:shd w:fill="auto" w:val="clear"/>
        </w:rPr>
        <w:t xml:space="preserve"> P 136</w:t>
      </w:r>
    </w:p>
  </w:footnote>
  <w:footnote w:id="31">
    <w:p>
      <w:pPr>
        <w:pStyle w:val="Footnote"/>
        <w:rPr/>
      </w:pPr>
      <w:r>
        <w:rPr>
          <w:rStyle w:val="FootnoteCharacters"/>
        </w:rPr>
        <w:footnoteRef/>
      </w:r>
      <w:r>
        <w:rPr/>
        <w:tab/>
        <w:t xml:space="preserve">Kim Beerden, </w:t>
      </w:r>
      <w:r>
        <w:rPr>
          <w:i/>
          <w:iCs/>
        </w:rPr>
        <w:t>worlds full of signs: Ancient Greek divination</w:t>
      </w:r>
      <w:r>
        <w:rPr/>
        <w:t xml:space="preserve"> (Boston: Brill, 2013) Pp.2,20</w:t>
      </w:r>
    </w:p>
  </w:footnote>
  <w:footnote w:id="32">
    <w:p>
      <w:pPr>
        <w:pStyle w:val="Footnote"/>
        <w:rPr/>
      </w:pPr>
      <w:r>
        <w:rPr>
          <w:rStyle w:val="FootnoteCharacters"/>
        </w:rPr>
        <w:footnoteRef/>
      </w:r>
      <w:r>
        <w:rPr/>
        <w:tab/>
        <w:t>Barbara Tedlock, ‘</w:t>
      </w:r>
      <w:r>
        <w:rPr>
          <w:b w:val="false"/>
          <w:i w:val="false"/>
          <w:caps w:val="false"/>
          <w:smallCaps w:val="false"/>
          <w:color w:val="000000"/>
          <w:spacing w:val="0"/>
          <w:sz w:val="20"/>
          <w:szCs w:val="20"/>
        </w:rPr>
        <w:t xml:space="preserve">Divination as a Way of Knowing: Embodiment, Visualisation, Narrative, and Interpretation’ </w:t>
      </w:r>
      <w:r>
        <w:rPr>
          <w:b w:val="false"/>
          <w:i/>
          <w:iCs/>
          <w:caps w:val="false"/>
          <w:smallCaps w:val="false"/>
          <w:color w:val="000000"/>
          <w:spacing w:val="0"/>
          <w:sz w:val="20"/>
          <w:szCs w:val="20"/>
        </w:rPr>
        <w:t>Folklore</w:t>
      </w:r>
      <w:r>
        <w:rPr>
          <w:b w:val="false"/>
          <w:i w:val="false"/>
          <w:iCs w:val="false"/>
          <w:caps w:val="false"/>
          <w:smallCaps w:val="false"/>
          <w:color w:val="000000"/>
          <w:spacing w:val="0"/>
          <w:sz w:val="20"/>
          <w:szCs w:val="20"/>
        </w:rPr>
        <w:t xml:space="preserve">, 112.2 (2001) 189-197 (190) &lt; </w:t>
      </w:r>
      <w:hyperlink r:id="rId6">
        <w:r>
          <w:rPr>
            <w:rStyle w:val="InternetLink"/>
            <w:b w:val="false"/>
            <w:i w:val="false"/>
            <w:iCs w:val="false"/>
            <w:caps w:val="false"/>
            <w:smallCaps w:val="false"/>
            <w:color w:val="000000"/>
            <w:spacing w:val="0"/>
            <w:sz w:val="20"/>
            <w:szCs w:val="20"/>
          </w:rPr>
          <w:t>https://www-jstor-org.ezproxy.uwtsd.ac.uk/stable/1260832?seq=2</w:t>
        </w:r>
      </w:hyperlink>
      <w:r>
        <w:rPr>
          <w:b w:val="false"/>
          <w:i w:val="false"/>
          <w:iCs w:val="false"/>
          <w:caps w:val="false"/>
          <w:smallCaps w:val="false"/>
          <w:color w:val="000000"/>
          <w:spacing w:val="0"/>
          <w:sz w:val="20"/>
          <w:szCs w:val="20"/>
        </w:rPr>
        <w:t xml:space="preserve"> &gt;</w:t>
      </w:r>
    </w:p>
  </w:footnote>
  <w:footnote w:id="33">
    <w:p>
      <w:pPr>
        <w:pStyle w:val="Footnote"/>
        <w:rPr>
          <w:shd w:fill="auto" w:val="clear"/>
        </w:rPr>
      </w:pPr>
      <w:r>
        <w:rPr>
          <w:rStyle w:val="FootnoteCharacters"/>
        </w:rPr>
        <w:footnoteRef/>
      </w:r>
      <w:r>
        <w:rPr>
          <w:shd w:fill="auto" w:val="clear"/>
        </w:rPr>
        <w:tab/>
        <w:t xml:space="preserve">Tedlock, </w:t>
      </w:r>
      <w:r>
        <w:rPr>
          <w:b w:val="false"/>
          <w:i/>
          <w:iCs/>
          <w:caps w:val="false"/>
          <w:smallCaps w:val="false"/>
          <w:color w:val="000000"/>
          <w:spacing w:val="0"/>
          <w:sz w:val="20"/>
          <w:szCs w:val="20"/>
          <w:shd w:fill="auto" w:val="clear"/>
        </w:rPr>
        <w:t>Folklore</w:t>
      </w:r>
      <w:r>
        <w:rPr>
          <w:b w:val="false"/>
          <w:i w:val="false"/>
          <w:iCs w:val="false"/>
          <w:caps w:val="false"/>
          <w:smallCaps w:val="false"/>
          <w:color w:val="000000"/>
          <w:spacing w:val="0"/>
          <w:sz w:val="20"/>
          <w:szCs w:val="20"/>
          <w:shd w:fill="auto" w:val="clear"/>
        </w:rPr>
        <w:t>, p190</w:t>
      </w:r>
    </w:p>
  </w:footnote>
  <w:footnote w:id="34">
    <w:p>
      <w:pPr>
        <w:pStyle w:val="Footnote"/>
        <w:rPr>
          <w:shd w:fill="auto" w:val="clear"/>
        </w:rPr>
      </w:pPr>
      <w:r>
        <w:rPr>
          <w:rStyle w:val="FootnoteCharacters"/>
        </w:rPr>
        <w:footnoteRef/>
      </w:r>
      <w:r>
        <w:rPr>
          <w:shd w:fill="auto" w:val="clear"/>
        </w:rPr>
        <w:tab/>
        <w:t xml:space="preserve">Tedlock, </w:t>
      </w:r>
      <w:r>
        <w:rPr>
          <w:b w:val="false"/>
          <w:i/>
          <w:iCs/>
          <w:caps w:val="false"/>
          <w:smallCaps w:val="false"/>
          <w:color w:val="000000"/>
          <w:spacing w:val="0"/>
          <w:sz w:val="20"/>
          <w:szCs w:val="20"/>
          <w:shd w:fill="auto" w:val="clear"/>
        </w:rPr>
        <w:t>Folklore</w:t>
      </w:r>
      <w:r>
        <w:rPr>
          <w:b w:val="false"/>
          <w:i w:val="false"/>
          <w:iCs w:val="false"/>
          <w:caps w:val="false"/>
          <w:smallCaps w:val="false"/>
          <w:color w:val="000000"/>
          <w:spacing w:val="0"/>
          <w:sz w:val="20"/>
          <w:szCs w:val="20"/>
          <w:shd w:fill="auto" w:val="clear"/>
        </w:rPr>
        <w:t>, p190</w:t>
      </w:r>
    </w:p>
  </w:footnote>
  <w:footnote w:id="35">
    <w:p>
      <w:pPr>
        <w:pStyle w:val="Footnote"/>
        <w:rPr/>
      </w:pPr>
      <w:r>
        <w:rPr>
          <w:rStyle w:val="FootnoteCharacters"/>
        </w:rPr>
        <w:footnoteRef/>
      </w:r>
      <w:r>
        <w:rPr/>
        <w:tab/>
        <w:t xml:space="preserve">Cicero, On Divination (De Divinatione)  W. A. Falconer, ed. and trs. Loeb Classical Library, (Cambridge, MA: Harvard University Press, vol. XX, 1923). available at &lt; </w:t>
      </w:r>
      <w:hyperlink r:id="rId7">
        <w:r>
          <w:rPr>
            <w:rStyle w:val="InternetLink"/>
          </w:rPr>
          <w:t>https://www-loebclassics-com.ezproxy.uwtsd.ac.uk/view/marcus_tullius_cicero-de_divinatione/1923/pb_LCL154.215.xml</w:t>
        </w:r>
      </w:hyperlink>
      <w:r>
        <w:rPr/>
        <w:t xml:space="preserve">&gt;  </w:t>
      </w:r>
    </w:p>
  </w:footnote>
  <w:footnote w:id="36">
    <w:p>
      <w:pPr>
        <w:pStyle w:val="Footnote"/>
        <w:rPr>
          <w:shd w:fill="auto" w:val="clear"/>
        </w:rPr>
      </w:pPr>
      <w:r>
        <w:rPr>
          <w:rStyle w:val="FootnoteCharacters"/>
        </w:rPr>
        <w:footnoteRef/>
      </w:r>
      <w:r>
        <w:rPr>
          <w:shd w:fill="auto" w:val="clear"/>
        </w:rPr>
        <w:tab/>
        <w:t xml:space="preserve">Cicero, </w:t>
      </w:r>
      <w:r>
        <w:rPr>
          <w:i/>
          <w:iCs/>
          <w:shd w:fill="auto" w:val="clear"/>
        </w:rPr>
        <w:t>On Divination</w:t>
      </w:r>
      <w:r>
        <w:rPr>
          <w:shd w:fill="auto" w:val="clear"/>
        </w:rPr>
        <w:t>, p 233</w:t>
      </w:r>
    </w:p>
  </w:footnote>
  <w:footnote w:id="37">
    <w:p>
      <w:pPr>
        <w:pStyle w:val="Footnote"/>
        <w:rPr>
          <w:shd w:fill="auto" w:val="clear"/>
        </w:rPr>
      </w:pPr>
      <w:r>
        <w:rPr>
          <w:rStyle w:val="FootnoteCharacters"/>
        </w:rPr>
        <w:footnoteRef/>
      </w:r>
      <w:r>
        <w:rPr>
          <w:shd w:fill="auto" w:val="clear"/>
        </w:rPr>
        <w:tab/>
        <w:t>Cicero, On Divination p433</w:t>
      </w:r>
    </w:p>
  </w:footnote>
  <w:footnote w:id="38">
    <w:p>
      <w:pPr>
        <w:pStyle w:val="Footnote"/>
        <w:ind w:left="0" w:hanging="0"/>
        <w:rPr>
          <w:shd w:fill="auto" w:val="clear"/>
        </w:rPr>
      </w:pPr>
      <w:r>
        <w:rPr>
          <w:rStyle w:val="FootnoteCharacters"/>
        </w:rPr>
        <w:footnoteRef/>
      </w:r>
      <w:r>
        <w:rPr>
          <w:shd w:fill="auto" w:val="clear"/>
        </w:rPr>
        <w:t>Sir Hugh Lloyd – Jones,</w:t>
      </w:r>
      <w:r>
        <w:rPr>
          <w:i/>
          <w:iCs/>
          <w:shd w:fill="auto" w:val="clear"/>
        </w:rPr>
        <w:t xml:space="preserve"> ‘</w:t>
      </w:r>
      <w:r>
        <w:rPr>
          <w:i w:val="false"/>
          <w:iCs w:val="false"/>
          <w:shd w:fill="auto" w:val="clear"/>
        </w:rPr>
        <w:t>Ancient Greek Religion, (</w:t>
      </w:r>
      <w:r>
        <w:rPr>
          <w:shd w:fill="auto" w:val="clear"/>
        </w:rPr>
        <w:t xml:space="preserve">Pp 457) </w:t>
      </w:r>
    </w:p>
  </w:footnote>
  <w:footnote w:id="39">
    <w:p>
      <w:pPr>
        <w:pStyle w:val="Footnote"/>
        <w:ind w:left="0" w:hanging="0"/>
        <w:rPr>
          <w:shd w:fill="auto" w:val="clear"/>
        </w:rPr>
      </w:pPr>
      <w:r>
        <w:rPr>
          <w:rStyle w:val="FootnoteCharacters"/>
        </w:rPr>
        <w:footnoteRef/>
      </w:r>
      <w:r>
        <w:rPr>
          <w:shd w:fill="auto" w:val="clear"/>
        </w:rPr>
        <w:t xml:space="preserve">   </w:t>
      </w:r>
      <w:r>
        <w:rPr>
          <w:shd w:fill="auto" w:val="clear"/>
        </w:rPr>
        <w:t xml:space="preserve">Iamblichus </w:t>
      </w:r>
      <w:r>
        <w:rPr>
          <w:i/>
          <w:iCs/>
          <w:shd w:fill="auto" w:val="clear"/>
        </w:rPr>
        <w:t>On the Mysteries</w:t>
      </w:r>
      <w:r>
        <w:rPr>
          <w:shd w:fill="auto" w:val="clear"/>
        </w:rPr>
        <w:t>, p119</w:t>
      </w:r>
    </w:p>
  </w:footnote>
  <w:footnote w:id="40">
    <w:p>
      <w:pPr>
        <w:pStyle w:val="Footnote"/>
        <w:rPr/>
      </w:pPr>
      <w:r>
        <w:rPr>
          <w:rStyle w:val="FootnoteCharacters"/>
        </w:rPr>
        <w:footnoteRef/>
      </w:r>
      <w:r>
        <w:rPr/>
        <w:tab/>
        <w:t xml:space="preserve">Sara Lles Johnson, </w:t>
      </w:r>
      <w:r>
        <w:rPr>
          <w:i/>
          <w:iCs/>
        </w:rPr>
        <w:t xml:space="preserve">Ancient Greek Divination, </w:t>
      </w:r>
      <w:r>
        <w:rPr>
          <w:i w:val="false"/>
          <w:iCs w:val="false"/>
        </w:rPr>
        <w:t>(Chichester: Blackwell Publishing, 2008) Pp.4-5</w:t>
      </w:r>
    </w:p>
  </w:footnote>
  <w:footnote w:id="41">
    <w:p>
      <w:pPr>
        <w:pStyle w:val="Footnote"/>
        <w:rPr/>
      </w:pPr>
      <w:r>
        <w:rPr>
          <w:rStyle w:val="FootnoteCharacters"/>
        </w:rPr>
        <w:footnoteRef/>
      </w:r>
      <w:r>
        <w:rPr/>
        <w:tab/>
        <w:t xml:space="preserve">Robert L Fowler, ‘Greek Magic, Greek Religion’ </w:t>
      </w:r>
      <w:bookmarkStart w:id="117" w:name="link-element"/>
      <w:bookmarkEnd w:id="117"/>
      <w:r>
        <w:rPr>
          <w:rStyle w:val="Quotation"/>
        </w:rPr>
        <w:t>Illinois Classical Studies</w:t>
      </w:r>
      <w:r>
        <w:rPr>
          <w:rFonts w:ascii="GT America Standard;Helvetica;Helvetica Neue;Arial;Segoe UI;Roboto;Droid Sans;sans-serif" w:hAnsi="GT America Standard;Helvetica;Helvetica Neue;Arial;Segoe UI;Roboto;Droid Sans;sans-serif"/>
          <w:b w:val="false"/>
          <w:i w:val="false"/>
          <w:caps w:val="false"/>
          <w:smallCaps w:val="false"/>
          <w:color w:val="343332"/>
          <w:spacing w:val="0"/>
          <w:sz w:val="24"/>
        </w:rPr>
        <w:t>,</w:t>
      </w:r>
      <w:r>
        <w:rPr/>
        <w:t xml:space="preserve"> 20. (1995) 1-22 (p2) &lt; </w:t>
      </w:r>
      <w:hyperlink r:id="rId8">
        <w:r>
          <w:rPr>
            <w:rStyle w:val="InternetLink"/>
          </w:rPr>
          <w:t>https://www-jstor-org.ezproxy.uwtsd.ac.uk/stable/23065394?seq=2</w:t>
        </w:r>
      </w:hyperlink>
      <w:r>
        <w:rPr/>
        <w:t xml:space="preserve">&gt; </w:t>
      </w:r>
    </w:p>
  </w:footnote>
  <w:footnote w:id="42">
    <w:p>
      <w:pPr>
        <w:pStyle w:val="Footnote"/>
        <w:spacing w:beforeAutospacing="0" w:before="0" w:afterAutospacing="0" w:after="0"/>
        <w:ind w:left="0" w:hanging="0"/>
        <w:jc w:val="both"/>
        <w:rPr>
          <w:rFonts w:ascii="Times New Roman" w:hAnsi="Times New Roman"/>
          <w:sz w:val="20"/>
          <w:szCs w:val="20"/>
        </w:rPr>
      </w:pPr>
      <w:r>
        <w:rPr>
          <w:rStyle w:val="FootnoteCharacters"/>
        </w:rPr>
        <w:footnoteRef/>
      </w:r>
      <w:r>
        <w:rPr>
          <w:sz w:val="20"/>
          <w:szCs w:val="20"/>
          <w:shd w:fill="auto" w:val="clear"/>
        </w:rPr>
        <w:t xml:space="preserve"> </w:t>
      </w:r>
      <w:r>
        <w:rPr>
          <w:sz w:val="20"/>
          <w:szCs w:val="20"/>
          <w:shd w:fill="auto" w:val="clear"/>
        </w:rPr>
        <w:t xml:space="preserve">Beerden, </w:t>
      </w:r>
      <w:r>
        <w:rPr>
          <w:i/>
          <w:iCs/>
          <w:sz w:val="20"/>
          <w:szCs w:val="20"/>
          <w:shd w:fill="auto" w:val="clear"/>
        </w:rPr>
        <w:t xml:space="preserve">worlds full of signs: Ancient Greek divination, </w:t>
      </w:r>
      <w:r>
        <w:rPr>
          <w:i w:val="false"/>
          <w:iCs w:val="false"/>
          <w:sz w:val="20"/>
          <w:szCs w:val="20"/>
          <w:shd w:fill="auto" w:val="clear"/>
        </w:rPr>
        <w:t>p107-109</w:t>
      </w:r>
    </w:p>
  </w:footnote>
  <w:footnote w:id="43">
    <w:p>
      <w:pPr>
        <w:pStyle w:val="Footnote"/>
        <w:spacing w:beforeAutospacing="0" w:before="0" w:afterAutospacing="0" w:after="0"/>
        <w:ind w:left="0" w:hanging="0"/>
        <w:jc w:val="both"/>
        <w:rPr>
          <w:rFonts w:ascii="Times New Roman" w:hAnsi="Times New Roman"/>
          <w:sz w:val="20"/>
          <w:szCs w:val="20"/>
        </w:rPr>
      </w:pPr>
      <w:r>
        <w:rPr>
          <w:rStyle w:val="FootnoteCharacters"/>
        </w:rPr>
        <w:footnoteRef/>
      </w:r>
      <w:r>
        <w:rPr>
          <w:sz w:val="20"/>
          <w:szCs w:val="20"/>
          <w:shd w:fill="auto" w:val="clear"/>
        </w:rPr>
        <w:t xml:space="preserve"> </w:t>
      </w:r>
      <w:r>
        <w:rPr>
          <w:sz w:val="20"/>
          <w:szCs w:val="20"/>
          <w:shd w:fill="auto" w:val="clear"/>
        </w:rPr>
        <w:t xml:space="preserve">Beerden, </w:t>
      </w:r>
      <w:r>
        <w:rPr>
          <w:i/>
          <w:iCs/>
          <w:sz w:val="20"/>
          <w:szCs w:val="20"/>
          <w:shd w:fill="auto" w:val="clear"/>
        </w:rPr>
        <w:t xml:space="preserve">worlds full of signs: Ancient Greek divination, </w:t>
      </w:r>
      <w:r>
        <w:rPr>
          <w:i w:val="false"/>
          <w:iCs w:val="false"/>
          <w:sz w:val="20"/>
          <w:szCs w:val="20"/>
          <w:shd w:fill="auto" w:val="clear"/>
        </w:rPr>
        <w:t>p19</w:t>
      </w:r>
    </w:p>
  </w:footnote>
  <w:footnote w:id="44">
    <w:p>
      <w:pPr>
        <w:pStyle w:val="Footnote"/>
        <w:rPr>
          <w:shd w:fill="auto" w:val="clear"/>
        </w:rPr>
      </w:pPr>
      <w:r>
        <w:rPr>
          <w:rStyle w:val="FootnoteCharacters"/>
        </w:rPr>
        <w:footnoteRef/>
      </w:r>
      <w:r>
        <w:rPr>
          <w:shd w:fill="auto" w:val="clear"/>
        </w:rPr>
        <w:tab/>
        <w:t xml:space="preserve">Vaschide and Pieron, </w:t>
      </w:r>
      <w:r>
        <w:rPr>
          <w:i/>
          <w:iCs/>
          <w:sz w:val="20"/>
          <w:szCs w:val="20"/>
          <w:shd w:fill="auto" w:val="clear"/>
        </w:rPr>
        <w:t>The Monist,</w:t>
      </w:r>
      <w:r>
        <w:rPr>
          <w:i w:val="false"/>
          <w:iCs w:val="false"/>
          <w:sz w:val="20"/>
          <w:szCs w:val="20"/>
          <w:shd w:fill="auto" w:val="clear"/>
        </w:rPr>
        <w:t xml:space="preserve"> p.</w:t>
      </w:r>
      <w:r>
        <w:rPr>
          <w:sz w:val="20"/>
          <w:szCs w:val="20"/>
          <w:shd w:fill="auto" w:val="clear"/>
        </w:rPr>
        <w:t>162</w:t>
      </w:r>
    </w:p>
  </w:footnote>
  <w:footnote w:id="45">
    <w:p>
      <w:pPr>
        <w:pStyle w:val="Footnote"/>
        <w:ind w:left="0" w:hanging="0"/>
        <w:rPr>
          <w:shd w:fill="auto" w:val="clear"/>
        </w:rPr>
      </w:pPr>
      <w:r>
        <w:rPr>
          <w:rStyle w:val="FootnoteCharacters"/>
        </w:rPr>
        <w:footnoteRef/>
      </w:r>
      <w:r>
        <w:rPr>
          <w:shd w:fill="auto" w:val="clear"/>
        </w:rPr>
        <w:t xml:space="preserve">  </w:t>
      </w:r>
      <w:r>
        <w:rPr>
          <w:shd w:fill="auto" w:val="clear"/>
        </w:rPr>
        <w:t xml:space="preserve">Iamblichus </w:t>
      </w:r>
      <w:r>
        <w:rPr>
          <w:i/>
          <w:iCs/>
          <w:shd w:fill="auto" w:val="clear"/>
        </w:rPr>
        <w:t>On the Mysteries</w:t>
      </w:r>
      <w:r>
        <w:rPr>
          <w:shd w:fill="auto" w:val="clear"/>
        </w:rPr>
        <w:t>, p123</w:t>
      </w:r>
    </w:p>
  </w:footnote>
  <w:footnote w:id="46">
    <w:p>
      <w:pPr>
        <w:pStyle w:val="Footnote"/>
        <w:rPr>
          <w:shd w:fill="auto" w:val="clear"/>
        </w:rPr>
      </w:pPr>
      <w:r>
        <w:rPr>
          <w:rStyle w:val="FootnoteCharacters"/>
        </w:rPr>
        <w:footnoteRef/>
      </w:r>
      <w:r>
        <w:rPr>
          <w:shd w:fill="auto" w:val="clear"/>
        </w:rPr>
        <w:tab/>
        <w:t xml:space="preserve">Vaschide and Pieron, </w:t>
      </w:r>
      <w:r>
        <w:rPr>
          <w:i/>
          <w:iCs/>
          <w:sz w:val="20"/>
          <w:szCs w:val="20"/>
          <w:shd w:fill="auto" w:val="clear"/>
        </w:rPr>
        <w:t>The Monist,</w:t>
      </w:r>
      <w:r>
        <w:rPr>
          <w:i w:val="false"/>
          <w:iCs w:val="false"/>
          <w:sz w:val="20"/>
          <w:szCs w:val="20"/>
          <w:shd w:fill="auto" w:val="clear"/>
        </w:rPr>
        <w:t xml:space="preserve"> p.</w:t>
      </w:r>
      <w:r>
        <w:rPr>
          <w:sz w:val="20"/>
          <w:szCs w:val="20"/>
          <w:shd w:fill="auto" w:val="clear"/>
        </w:rPr>
        <w:t>163-164</w:t>
      </w:r>
    </w:p>
  </w:footnote>
  <w:footnote w:id="47">
    <w:p>
      <w:pPr>
        <w:pStyle w:val="Footnote"/>
        <w:rPr>
          <w:shd w:fill="auto" w:val="clear"/>
        </w:rPr>
      </w:pPr>
      <w:r>
        <w:rPr>
          <w:rStyle w:val="FootnoteCharacters"/>
        </w:rPr>
        <w:footnoteRef/>
      </w:r>
      <w:r>
        <w:rPr>
          <w:shd w:fill="auto" w:val="clear"/>
        </w:rPr>
        <w:tab/>
        <w:t xml:space="preserve">Vaschide and Pieron, </w:t>
      </w:r>
      <w:r>
        <w:rPr>
          <w:i/>
          <w:iCs/>
          <w:sz w:val="20"/>
          <w:szCs w:val="20"/>
          <w:shd w:fill="auto" w:val="clear"/>
        </w:rPr>
        <w:t>The Monist,</w:t>
      </w:r>
      <w:r>
        <w:rPr>
          <w:i w:val="false"/>
          <w:iCs w:val="false"/>
          <w:sz w:val="20"/>
          <w:szCs w:val="20"/>
          <w:shd w:fill="auto" w:val="clear"/>
        </w:rPr>
        <w:t xml:space="preserve"> p.</w:t>
      </w:r>
      <w:r>
        <w:rPr>
          <w:sz w:val="20"/>
          <w:szCs w:val="20"/>
          <w:shd w:fill="auto" w:val="clear"/>
        </w:rPr>
        <w:t>164</w:t>
      </w:r>
    </w:p>
  </w:footnote>
  <w:footnote w:id="48">
    <w:p>
      <w:pPr>
        <w:pStyle w:val="Footnote"/>
        <w:rPr/>
      </w:pPr>
      <w:r>
        <w:rPr>
          <w:rStyle w:val="FootnoteCharacters"/>
        </w:rPr>
        <w:footnoteRef/>
      </w:r>
      <w:r>
        <w:rPr/>
        <w:tab/>
        <w:t xml:space="preserve">Plutarch, </w:t>
      </w:r>
      <w:r>
        <w:rPr>
          <w:i/>
          <w:iCs/>
        </w:rPr>
        <w:t xml:space="preserve">Life of Cleomenes, </w:t>
      </w:r>
      <w:r>
        <w:rPr>
          <w:i w:val="false"/>
          <w:iCs w:val="false"/>
        </w:rPr>
        <w:t>Trans By Langhorne (New York: Harpers, 1875) P. 9</w:t>
      </w:r>
    </w:p>
  </w:footnote>
  <w:footnote w:id="49">
    <w:p>
      <w:pPr>
        <w:pStyle w:val="Footnote"/>
        <w:rPr>
          <w:shd w:fill="auto" w:val="clear"/>
        </w:rPr>
      </w:pPr>
      <w:r>
        <w:rPr>
          <w:rStyle w:val="FootnoteCharacters"/>
        </w:rPr>
        <w:footnoteRef/>
      </w:r>
      <w:r>
        <w:rPr>
          <w:shd w:fill="auto" w:val="clear"/>
        </w:rPr>
        <w:tab/>
        <w:t xml:space="preserve">Vaschide and Pieron, </w:t>
      </w:r>
      <w:r>
        <w:rPr>
          <w:i/>
          <w:iCs/>
          <w:sz w:val="20"/>
          <w:szCs w:val="20"/>
          <w:shd w:fill="auto" w:val="clear"/>
        </w:rPr>
        <w:t>The Monist,</w:t>
      </w:r>
      <w:r>
        <w:rPr>
          <w:i w:val="false"/>
          <w:iCs w:val="false"/>
          <w:sz w:val="20"/>
          <w:szCs w:val="20"/>
          <w:shd w:fill="auto" w:val="clear"/>
        </w:rPr>
        <w:t xml:space="preserve"> p.</w:t>
      </w:r>
      <w:r>
        <w:rPr>
          <w:sz w:val="20"/>
          <w:szCs w:val="20"/>
          <w:shd w:fill="auto" w:val="clear"/>
        </w:rPr>
        <w:t>164</w:t>
      </w:r>
    </w:p>
  </w:footnote>
  <w:footnote w:id="50">
    <w:p>
      <w:pPr>
        <w:pStyle w:val="Footnote"/>
        <w:rPr/>
      </w:pPr>
      <w:r>
        <w:rPr>
          <w:rStyle w:val="FootnoteCharacters"/>
        </w:rPr>
        <w:footnoteRef/>
      </w:r>
      <w:r>
        <w:rPr/>
        <w:tab/>
        <w:t xml:space="preserve">N. Vaschide and H, Pieron, </w:t>
      </w:r>
      <w:r>
        <w:rPr>
          <w:sz w:val="20"/>
          <w:szCs w:val="20"/>
        </w:rPr>
        <w:t>‘PROPHETIC DREAMS IN GREEK AND ROMAN ANTIQUITY‘</w:t>
      </w:r>
      <w:r>
        <w:rPr>
          <w:i/>
          <w:iCs/>
          <w:sz w:val="20"/>
          <w:szCs w:val="20"/>
        </w:rPr>
        <w:t xml:space="preserve"> The Monist,</w:t>
      </w:r>
      <w:r>
        <w:rPr>
          <w:i w:val="false"/>
          <w:iCs w:val="false"/>
          <w:sz w:val="20"/>
          <w:szCs w:val="20"/>
        </w:rPr>
        <w:t xml:space="preserve"> 11.2 (1901) 161-194( </w:t>
      </w:r>
      <w:r>
        <w:rPr>
          <w:sz w:val="20"/>
          <w:szCs w:val="20"/>
        </w:rPr>
        <w:t>pp.162-164) &lt;</w:t>
      </w:r>
      <w:hyperlink r:id="rId9">
        <w:r>
          <w:rPr>
            <w:rStyle w:val="InternetLink"/>
            <w:sz w:val="20"/>
            <w:szCs w:val="20"/>
          </w:rPr>
          <w:t>https://www.jstor.org/stable/27899218?seq=5</w:t>
        </w:r>
      </w:hyperlink>
      <w:r>
        <w:rPr>
          <w:sz w:val="20"/>
          <w:szCs w:val="20"/>
        </w:rPr>
        <w:t xml:space="preserve">&gt; </w:t>
      </w:r>
    </w:p>
  </w:footnote>
  <w:footnote w:id="51">
    <w:p>
      <w:pPr>
        <w:pStyle w:val="Footnote"/>
        <w:rPr>
          <w:shd w:fill="auto" w:val="clear"/>
        </w:rPr>
      </w:pPr>
      <w:r>
        <w:rPr>
          <w:rStyle w:val="FootnoteCharacters"/>
        </w:rPr>
        <w:footnoteRef/>
      </w:r>
      <w:r>
        <w:rPr>
          <w:shd w:fill="auto" w:val="clear"/>
        </w:rPr>
        <w:tab/>
        <w:t xml:space="preserve">Cicero, </w:t>
      </w:r>
      <w:r>
        <w:rPr>
          <w:i/>
          <w:iCs/>
          <w:shd w:fill="auto" w:val="clear"/>
        </w:rPr>
        <w:t>On Divination</w:t>
      </w:r>
      <w:r>
        <w:rPr>
          <w:shd w:fill="auto" w:val="clear"/>
        </w:rPr>
        <w:t>, p 505</w:t>
      </w:r>
    </w:p>
  </w:footnote>
  <w:footnote w:id="52">
    <w:p>
      <w:pPr>
        <w:pStyle w:val="Footnote"/>
        <w:spacing w:beforeAutospacing="0" w:before="0" w:afterAutospacing="0" w:after="0"/>
        <w:ind w:left="0" w:hanging="0"/>
        <w:jc w:val="both"/>
        <w:rPr>
          <w:shd w:fill="auto" w:val="clear"/>
        </w:rPr>
      </w:pPr>
      <w:r>
        <w:rPr>
          <w:rStyle w:val="FootnoteCharacters"/>
        </w:rPr>
        <w:footnoteRef/>
      </w:r>
      <w:r>
        <w:rPr>
          <w:sz w:val="20"/>
          <w:szCs w:val="20"/>
          <w:shd w:fill="auto" w:val="clear"/>
        </w:rPr>
        <w:t xml:space="preserve">   </w:t>
      </w:r>
      <w:r>
        <w:rPr>
          <w:sz w:val="20"/>
          <w:szCs w:val="20"/>
          <w:shd w:fill="auto" w:val="clear"/>
        </w:rPr>
        <w:t xml:space="preserve">Beerden, </w:t>
      </w:r>
      <w:r>
        <w:rPr>
          <w:i/>
          <w:iCs/>
          <w:sz w:val="20"/>
          <w:szCs w:val="20"/>
          <w:shd w:fill="auto" w:val="clear"/>
        </w:rPr>
        <w:t xml:space="preserve">worlds full of signs: Ancient Greek divination, </w:t>
      </w:r>
      <w:r>
        <w:rPr>
          <w:i w:val="false"/>
          <w:iCs w:val="false"/>
          <w:sz w:val="20"/>
          <w:szCs w:val="20"/>
          <w:shd w:fill="auto" w:val="clear"/>
        </w:rPr>
        <w:t>p33</w:t>
      </w:r>
    </w:p>
  </w:footnote>
  <w:footnote w:id="53">
    <w:p>
      <w:pPr>
        <w:pStyle w:val="Footnote"/>
        <w:rPr/>
      </w:pPr>
      <w:r>
        <w:rPr>
          <w:rStyle w:val="FootnoteCharacters"/>
        </w:rPr>
        <w:footnoteRef/>
      </w:r>
      <w:r>
        <w:rPr/>
        <w:tab/>
        <w:t xml:space="preserve">Derek Collins, ‘Mapping the Entrails: The Practice of Greek Hepatoscopy’ </w:t>
      </w:r>
      <w:r>
        <w:rPr>
          <w:i/>
          <w:iCs/>
        </w:rPr>
        <w:t xml:space="preserve">The American Journal of Philology. </w:t>
      </w:r>
      <w:r>
        <w:rPr>
          <w:i w:val="false"/>
          <w:iCs w:val="false"/>
        </w:rPr>
        <w:t xml:space="preserve">129.3 (2008) 319-345 (p320) &lt; </w:t>
      </w:r>
      <w:hyperlink r:id="rId10">
        <w:r>
          <w:rPr>
            <w:rStyle w:val="InternetLink"/>
            <w:i w:val="false"/>
            <w:iCs w:val="false"/>
          </w:rPr>
          <w:t>https://www-jstor-org.ezproxy.uwtsd.ac.uk/stable/27566714?seq=2</w:t>
        </w:r>
      </w:hyperlink>
      <w:r>
        <w:rPr>
          <w:i w:val="false"/>
          <w:iCs w:val="false"/>
        </w:rPr>
        <w:t xml:space="preserve"> &gt; </w:t>
      </w:r>
    </w:p>
  </w:footnote>
  <w:footnote w:id="54">
    <w:p>
      <w:pPr>
        <w:pStyle w:val="Footnote"/>
        <w:rPr/>
      </w:pPr>
      <w:r>
        <w:rPr>
          <w:rStyle w:val="FootnoteCharacters"/>
        </w:rPr>
        <w:footnoteRef/>
      </w:r>
      <w:r>
        <w:rPr/>
        <w:tab/>
        <w:t xml:space="preserve">Marttti, Nissinen, </w:t>
      </w:r>
      <w:r>
        <w:rPr>
          <w:i/>
          <w:iCs/>
        </w:rPr>
        <w:t>Ancient Prophecy, Near Eastern, Biblical and Greek Perspectives</w:t>
      </w:r>
      <w:r>
        <w:rPr/>
        <w:t>, (Oxford: Oxford University Press, 2017), p.13</w:t>
      </w:r>
    </w:p>
  </w:footnote>
  <w:footnote w:id="55">
    <w:p>
      <w:pPr>
        <w:pStyle w:val="Footnote"/>
        <w:ind w:left="339" w:hanging="0"/>
        <w:rPr>
          <w:shd w:fill="auto" w:val="clear"/>
        </w:rPr>
      </w:pPr>
      <w:r>
        <w:rPr>
          <w:rStyle w:val="FootnoteCharacters"/>
        </w:rPr>
        <w:footnoteRef/>
      </w:r>
      <w:r>
        <w:rPr>
          <w:shd w:fill="auto" w:val="clear"/>
        </w:rPr>
        <w:t xml:space="preserve">    </w:t>
      </w:r>
      <w:r>
        <w:rPr>
          <w:shd w:fill="auto" w:val="clear"/>
        </w:rPr>
        <w:t xml:space="preserve">Nissinen, </w:t>
      </w:r>
      <w:r>
        <w:rPr>
          <w:i/>
          <w:iCs/>
          <w:shd w:fill="auto" w:val="clear"/>
        </w:rPr>
        <w:t>Ancient Prophecy, Near Eastern, Biblical and Greek Perspectives</w:t>
      </w:r>
      <w:r>
        <w:rPr>
          <w:shd w:fill="auto" w:val="clear"/>
        </w:rPr>
        <w:t>, p.13</w:t>
      </w:r>
    </w:p>
  </w:footnote>
  <w:footnote w:id="56">
    <w:p>
      <w:pPr>
        <w:pStyle w:val="Footnote"/>
        <w:widowControl/>
        <w:spacing w:beforeAutospacing="0" w:before="0" w:afterAutospacing="0" w:after="0"/>
        <w:ind w:left="0" w:right="0" w:hanging="0"/>
        <w:rPr>
          <w:rFonts w:ascii="Arial" w:hAnsi="Arial"/>
          <w:sz w:val="24"/>
          <w:szCs w:val="24"/>
        </w:rPr>
      </w:pPr>
      <w:r>
        <w:rPr>
          <w:rStyle w:val="FootnoteCharacters"/>
        </w:rPr>
        <w:footnoteRef/>
      </w:r>
      <w:r>
        <w:rPr>
          <w:sz w:val="20"/>
          <w:szCs w:val="20"/>
        </w:rPr>
        <w:t xml:space="preserve">    </w:t>
      </w:r>
      <w:r>
        <w:rPr>
          <w:sz w:val="20"/>
          <w:szCs w:val="20"/>
        </w:rPr>
        <w:t xml:space="preserve">Radcliffe, G, Edmonds, </w:t>
      </w:r>
      <w:r>
        <w:rPr>
          <w:i/>
          <w:iCs/>
          <w:sz w:val="20"/>
          <w:szCs w:val="20"/>
        </w:rPr>
        <w:t>Drawing Down the Moon: Magic In the ancient Greco –  Roman World</w:t>
      </w:r>
      <w:r>
        <w:rPr>
          <w:sz w:val="20"/>
          <w:szCs w:val="20"/>
        </w:rPr>
        <w:t>.     (Princeton: Princeton University Press, 2019), p 2</w:t>
      </w:r>
    </w:p>
  </w:footnote>
  <w:footnote w:id="57">
    <w:p>
      <w:pPr>
        <w:pStyle w:val="Footnote"/>
        <w:widowControl/>
        <w:spacing w:beforeAutospacing="0" w:before="0" w:afterAutospacing="0" w:after="0"/>
        <w:ind w:left="0" w:right="0" w:hanging="0"/>
        <w:rPr>
          <w:rFonts w:ascii="Arial" w:hAnsi="Arial"/>
          <w:sz w:val="24"/>
          <w:szCs w:val="24"/>
        </w:rPr>
      </w:pPr>
      <w:r>
        <w:rPr>
          <w:rStyle w:val="FootnoteCharacters"/>
        </w:rPr>
        <w:footnoteRef/>
      </w:r>
      <w:r>
        <w:rPr>
          <w:rFonts w:ascii="Arial" w:hAnsi="Arial"/>
          <w:sz w:val="24"/>
          <w:szCs w:val="24"/>
        </w:rPr>
        <w:t xml:space="preserve">   </w:t>
      </w:r>
      <w:r>
        <w:rPr>
          <w:sz w:val="20"/>
          <w:szCs w:val="20"/>
          <w:shd w:fill="auto" w:val="clear"/>
        </w:rPr>
        <w:t xml:space="preserve">Edmonds, </w:t>
      </w:r>
      <w:r>
        <w:rPr>
          <w:i/>
          <w:iCs/>
          <w:sz w:val="20"/>
          <w:szCs w:val="20"/>
          <w:shd w:fill="auto" w:val="clear"/>
        </w:rPr>
        <w:t>Drawing Down the Moon: Magic In the ancient Greco –  Roman World</w:t>
      </w:r>
      <w:r>
        <w:rPr>
          <w:sz w:val="20"/>
          <w:szCs w:val="20"/>
          <w:shd w:fill="auto" w:val="clear"/>
        </w:rPr>
        <w:t xml:space="preserve">. p.2 </w:t>
      </w:r>
      <w:r>
        <w:rPr>
          <w:sz w:val="20"/>
          <w:szCs w:val="20"/>
        </w:rPr>
        <w:t xml:space="preserve">   </w:t>
      </w:r>
    </w:p>
  </w:footnote>
  <w:footnote w:id="58">
    <w:p>
      <w:pPr>
        <w:pStyle w:val="Footnote"/>
        <w:rPr/>
      </w:pPr>
      <w:r>
        <w:rPr>
          <w:rStyle w:val="FootnoteCharacters"/>
        </w:rPr>
        <w:footnoteRef/>
      </w:r>
      <w:r>
        <w:rPr/>
        <w:tab/>
        <w:t xml:space="preserve">Hugh Bowden, </w:t>
      </w:r>
      <w:r>
        <w:rPr>
          <w:i/>
          <w:iCs/>
        </w:rPr>
        <w:t xml:space="preserve">A Cognitive Approach to Ancient Greek Animal Sacrifice </w:t>
      </w:r>
      <w:r>
        <w:rPr>
          <w:i w:val="false"/>
          <w:iCs w:val="false"/>
        </w:rPr>
        <w:t>(Cambridge: Cambridge University Press, 2022). &lt; Kclpure.kcl.ac.uk &gt; [accessed 3</w:t>
      </w:r>
      <w:r>
        <w:rPr>
          <w:i w:val="false"/>
          <w:iCs w:val="false"/>
          <w:vertAlign w:val="superscript"/>
        </w:rPr>
        <w:t>rd</w:t>
      </w:r>
      <w:r>
        <w:rPr>
          <w:i w:val="false"/>
          <w:iCs w:val="false"/>
        </w:rPr>
        <w:t xml:space="preserve"> April 2023] </w:t>
      </w:r>
    </w:p>
  </w:footnote>
  <w:footnote w:id="59">
    <w:p>
      <w:pPr>
        <w:pStyle w:val="Footnote"/>
        <w:rPr/>
      </w:pPr>
      <w:r>
        <w:rPr>
          <w:rStyle w:val="FootnoteCharacters"/>
        </w:rPr>
        <w:footnoteRef/>
      </w:r>
      <w:r>
        <w:rPr/>
        <w:tab/>
        <w:t>T Witten Davis, ‘Magic, Divination, and Demonology among the Semites’</w:t>
      </w:r>
      <w:r>
        <w:rPr>
          <w:i/>
          <w:iCs/>
        </w:rPr>
        <w:t xml:space="preserve">The American Journal of Semitic Languages and Literatures, </w:t>
      </w:r>
      <w:r>
        <w:rPr>
          <w:i w:val="false"/>
          <w:iCs w:val="false"/>
        </w:rPr>
        <w:t>14.4 (1898) 241-251 (p243) &lt;</w:t>
      </w:r>
      <w:hyperlink r:id="rId11">
        <w:r>
          <w:rPr>
            <w:rStyle w:val="InternetLink"/>
            <w:i w:val="false"/>
            <w:iCs w:val="false"/>
          </w:rPr>
          <w:t>https://www.jstor.org/stable/527968</w:t>
        </w:r>
      </w:hyperlink>
      <w:r>
        <w:rPr>
          <w:i w:val="false"/>
          <w:iCs w:val="false"/>
        </w:rPr>
        <w:t xml:space="preserve">&gt; </w:t>
      </w:r>
    </w:p>
  </w:footnote>
  <w:footnote w:id="60">
    <w:p>
      <w:pPr>
        <w:pStyle w:val="Footnote"/>
        <w:spacing w:beforeAutospacing="0" w:before="0" w:afterAutospacing="0" w:after="0"/>
        <w:ind w:left="0" w:hanging="0"/>
        <w:jc w:val="both"/>
        <w:rPr>
          <w:shd w:fill="auto" w:val="clear"/>
        </w:rPr>
      </w:pPr>
      <w:r>
        <w:rPr>
          <w:rStyle w:val="FootnoteCharacters"/>
        </w:rPr>
        <w:footnoteRef/>
      </w:r>
      <w:r>
        <w:rPr>
          <w:sz w:val="20"/>
          <w:szCs w:val="20"/>
          <w:shd w:fill="auto" w:val="clear"/>
        </w:rPr>
        <w:t xml:space="preserve">    </w:t>
      </w:r>
      <w:r>
        <w:rPr>
          <w:sz w:val="20"/>
          <w:szCs w:val="20"/>
          <w:shd w:fill="auto" w:val="clear"/>
        </w:rPr>
        <w:t xml:space="preserve">Beerden, </w:t>
      </w:r>
      <w:r>
        <w:rPr>
          <w:i/>
          <w:iCs/>
          <w:sz w:val="20"/>
          <w:szCs w:val="20"/>
          <w:shd w:fill="auto" w:val="clear"/>
        </w:rPr>
        <w:t xml:space="preserve">worlds full of signs: Ancient Greek divination, </w:t>
      </w:r>
      <w:r>
        <w:rPr>
          <w:i w:val="false"/>
          <w:iCs w:val="false"/>
          <w:sz w:val="20"/>
          <w:szCs w:val="20"/>
          <w:shd w:fill="auto" w:val="clear"/>
        </w:rPr>
        <w:t>p32</w:t>
      </w:r>
    </w:p>
  </w:footnote>
  <w:footnote w:id="61">
    <w:p>
      <w:pPr>
        <w:pStyle w:val="Footnote"/>
        <w:rPr>
          <w:shd w:fill="auto" w:val="clear"/>
        </w:rPr>
      </w:pPr>
      <w:r>
        <w:rPr>
          <w:rStyle w:val="FootnoteCharacters"/>
        </w:rPr>
        <w:footnoteRef/>
      </w:r>
      <w:r>
        <w:rPr>
          <w:shd w:fill="auto" w:val="clear"/>
        </w:rPr>
        <w:tab/>
        <w:t xml:space="preserve">Johnson, </w:t>
      </w:r>
      <w:r>
        <w:rPr>
          <w:i/>
          <w:iCs/>
          <w:shd w:fill="auto" w:val="clear"/>
        </w:rPr>
        <w:t xml:space="preserve">Ancient Greek Divination, </w:t>
      </w:r>
      <w:r>
        <w:rPr>
          <w:i w:val="false"/>
          <w:iCs w:val="false"/>
          <w:shd w:fill="auto" w:val="clear"/>
        </w:rPr>
        <w:t>P.18</w:t>
      </w:r>
    </w:p>
  </w:footnote>
  <w:footnote w:id="62">
    <w:p>
      <w:pPr>
        <w:pStyle w:val="Footnote"/>
        <w:rPr>
          <w:shd w:fill="auto" w:val="clear"/>
        </w:rPr>
      </w:pPr>
      <w:r>
        <w:rPr>
          <w:rStyle w:val="FootnoteCharacters"/>
        </w:rPr>
        <w:footnoteRef/>
      </w:r>
      <w:r>
        <w:rPr>
          <w:shd w:fill="auto" w:val="clear"/>
        </w:rPr>
        <w:tab/>
        <w:t xml:space="preserve">Johnson, </w:t>
      </w:r>
      <w:r>
        <w:rPr>
          <w:i/>
          <w:iCs/>
          <w:shd w:fill="auto" w:val="clear"/>
        </w:rPr>
        <w:t xml:space="preserve">Ancient Greek Divination, </w:t>
      </w:r>
      <w:r>
        <w:rPr>
          <w:i w:val="false"/>
          <w:iCs w:val="false"/>
          <w:shd w:fill="auto" w:val="clear"/>
        </w:rPr>
        <w:t>P.18</w:t>
      </w:r>
    </w:p>
  </w:footnote>
  <w:footnote w:id="63">
    <w:p>
      <w:pPr>
        <w:pStyle w:val="Footnote"/>
        <w:rPr>
          <w:shd w:fill="auto" w:val="clear"/>
        </w:rPr>
      </w:pPr>
      <w:r>
        <w:rPr>
          <w:rStyle w:val="FootnoteCharacters"/>
        </w:rPr>
        <w:footnoteRef/>
      </w:r>
      <w:r>
        <w:rPr>
          <w:shd w:fill="auto" w:val="clear"/>
        </w:rPr>
        <w:tab/>
        <w:t xml:space="preserve"> </w:t>
      </w:r>
      <w:r>
        <w:rPr>
          <w:shd w:fill="auto" w:val="clear"/>
        </w:rPr>
        <w:t xml:space="preserve">Flower, </w:t>
      </w:r>
      <w:r>
        <w:rPr>
          <w:i/>
          <w:iCs/>
          <w:shd w:fill="auto" w:val="clear"/>
        </w:rPr>
        <w:t>The Seer in Ancient Greece</w:t>
      </w:r>
    </w:p>
  </w:footnote>
  <w:footnote w:id="64">
    <w:p>
      <w:pPr>
        <w:pStyle w:val="Footnote"/>
        <w:rPr/>
      </w:pPr>
      <w:r>
        <w:rPr>
          <w:rStyle w:val="FootnoteCharacters"/>
        </w:rPr>
        <w:footnoteRef/>
      </w:r>
      <w:r>
        <w:rPr/>
        <w:tab/>
        <w:t xml:space="preserve">Michael Flower, </w:t>
      </w:r>
      <w:r>
        <w:rPr>
          <w:i/>
          <w:iCs/>
        </w:rPr>
        <w:t xml:space="preserve">The Seer in Ancient Greece, </w:t>
      </w:r>
      <w:r>
        <w:rPr>
          <w:i w:val="false"/>
          <w:iCs w:val="false"/>
        </w:rPr>
        <w:t>(California: University of California, 2008) P.65.66</w:t>
      </w:r>
    </w:p>
  </w:footnote>
  <w:footnote w:id="65">
    <w:p>
      <w:pPr>
        <w:pStyle w:val="Footnote"/>
        <w:rPr/>
      </w:pPr>
      <w:r>
        <w:rPr>
          <w:rStyle w:val="FootnoteCharacters"/>
        </w:rPr>
        <w:footnoteRef/>
      </w:r>
      <w:r>
        <w:rPr/>
        <w:tab/>
        <w:t xml:space="preserve">H,S Versnel, ‘Some Reflections on the Relationship Magic-Religion’. </w:t>
      </w:r>
      <w:r>
        <w:rPr>
          <w:i/>
          <w:iCs/>
        </w:rPr>
        <w:t xml:space="preserve">Numen, </w:t>
      </w:r>
      <w:r>
        <w:rPr>
          <w:i w:val="false"/>
          <w:iCs w:val="false"/>
        </w:rPr>
        <w:t xml:space="preserve">38.2 (1991) 177-197 (177-178) &lt; </w:t>
      </w:r>
      <w:hyperlink r:id="rId12">
        <w:r>
          <w:rPr>
            <w:rStyle w:val="InternetLink"/>
            <w:i w:val="false"/>
            <w:iCs w:val="false"/>
          </w:rPr>
          <w:t>https://www-jstor-org.ezproxy.uwtsd.ac.uk/stable/3269832?seq=3</w:t>
        </w:r>
      </w:hyperlink>
      <w:r>
        <w:rPr>
          <w:i w:val="false"/>
          <w:iCs w:val="false"/>
        </w:rPr>
        <w:t xml:space="preserve"> &gt;</w:t>
      </w:r>
    </w:p>
  </w:footnote>
  <w:footnote w:id="66">
    <w:p>
      <w:pPr>
        <w:pStyle w:val="Footnote"/>
        <w:rPr>
          <w:shd w:fill="auto" w:val="clear"/>
        </w:rPr>
      </w:pPr>
      <w:r>
        <w:rPr>
          <w:rStyle w:val="FootnoteCharacters"/>
        </w:rPr>
        <w:footnoteRef/>
      </w:r>
      <w:r>
        <w:rPr>
          <w:shd w:fill="auto" w:val="clear"/>
        </w:rPr>
        <w:tab/>
        <w:t xml:space="preserve">Versnel, </w:t>
      </w:r>
      <w:r>
        <w:rPr>
          <w:i/>
          <w:iCs/>
          <w:shd w:fill="auto" w:val="clear"/>
        </w:rPr>
        <w:t xml:space="preserve">Numen, </w:t>
      </w:r>
      <w:r>
        <w:rPr>
          <w:i w:val="false"/>
          <w:iCs w:val="false"/>
          <w:shd w:fill="auto" w:val="clear"/>
        </w:rPr>
        <w:t>p.178</w:t>
      </w:r>
    </w:p>
  </w:footnote>
  <w:footnote w:id="67">
    <w:p>
      <w:pPr>
        <w:pStyle w:val="Footnote"/>
        <w:rPr/>
      </w:pPr>
      <w:r>
        <w:rPr>
          <w:rStyle w:val="FootnoteCharacters"/>
        </w:rPr>
        <w:footnoteRef/>
      </w:r>
      <w:r>
        <w:rPr/>
        <w:tab/>
        <w:t xml:space="preserve">Lee, Irwin, </w:t>
      </w:r>
      <w:r>
        <w:rPr>
          <w:i/>
          <w:iCs/>
        </w:rPr>
        <w:t>Dreams Beyond Time On Sacred Encounter and Spiritual Transformation</w:t>
      </w:r>
      <w:r>
        <w:rPr/>
        <w:t>, (London: Lexington Books, 2022). p.30</w:t>
      </w:r>
    </w:p>
  </w:footnote>
  <w:footnote w:id="68">
    <w:p>
      <w:pPr>
        <w:pStyle w:val="Footnote"/>
        <w:rPr>
          <w:shd w:fill="auto" w:val="clear"/>
        </w:rPr>
      </w:pPr>
      <w:r>
        <w:rPr>
          <w:rStyle w:val="FootnoteCharacters"/>
        </w:rPr>
        <w:footnoteRef/>
      </w:r>
      <w:r>
        <w:rPr>
          <w:shd w:fill="auto" w:val="clear"/>
        </w:rPr>
        <w:tab/>
        <w:t xml:space="preserve">Vaschide and Pieron, </w:t>
      </w:r>
      <w:r>
        <w:rPr>
          <w:i/>
          <w:iCs/>
          <w:sz w:val="20"/>
          <w:szCs w:val="20"/>
          <w:shd w:fill="auto" w:val="clear"/>
        </w:rPr>
        <w:t>The Monist,</w:t>
      </w:r>
      <w:r>
        <w:rPr>
          <w:i w:val="false"/>
          <w:iCs w:val="false"/>
          <w:sz w:val="20"/>
          <w:szCs w:val="20"/>
          <w:shd w:fill="auto" w:val="clear"/>
        </w:rPr>
        <w:t xml:space="preserve"> p.</w:t>
      </w:r>
      <w:r>
        <w:rPr>
          <w:sz w:val="20"/>
          <w:szCs w:val="20"/>
          <w:shd w:fill="auto" w:val="clear"/>
        </w:rPr>
        <w:t>164</w:t>
      </w:r>
    </w:p>
  </w:footnote>
  <w:footnote w:id="69">
    <w:p>
      <w:pPr>
        <w:pStyle w:val="Footnote"/>
        <w:rPr>
          <w:shd w:fill="auto" w:val="clear"/>
        </w:rPr>
      </w:pPr>
      <w:r>
        <w:rPr>
          <w:rStyle w:val="FootnoteCharacters"/>
        </w:rPr>
        <w:footnoteRef/>
      </w:r>
      <w:r>
        <w:rPr>
          <w:shd w:fill="auto" w:val="clear"/>
        </w:rPr>
        <w:tab/>
        <w:t xml:space="preserve">Versnel, </w:t>
      </w:r>
      <w:r>
        <w:rPr>
          <w:i/>
          <w:iCs/>
          <w:shd w:fill="auto" w:val="clear"/>
        </w:rPr>
        <w:t xml:space="preserve">Numen, </w:t>
      </w:r>
      <w:r>
        <w:rPr>
          <w:i w:val="false"/>
          <w:iCs w:val="false"/>
          <w:shd w:fill="auto" w:val="clear"/>
        </w:rPr>
        <w:t>p.178-179</w:t>
      </w:r>
    </w:p>
  </w:footnote>
  <w:footnote w:id="70">
    <w:p>
      <w:pPr>
        <w:pStyle w:val="Footnote"/>
        <w:rPr>
          <w:shd w:fill="auto" w:val="clear"/>
        </w:rPr>
      </w:pPr>
      <w:r>
        <w:rPr>
          <w:rStyle w:val="FootnoteCharacters"/>
        </w:rPr>
        <w:footnoteRef/>
      </w:r>
      <w:r>
        <w:rPr>
          <w:shd w:fill="auto" w:val="clear"/>
        </w:rPr>
        <w:tab/>
        <w:t xml:space="preserve"> </w:t>
      </w:r>
      <w:r>
        <w:rPr>
          <w:shd w:fill="auto" w:val="clear"/>
        </w:rPr>
        <w:t xml:space="preserve">Flower, </w:t>
      </w:r>
      <w:r>
        <w:rPr>
          <w:i/>
          <w:iCs/>
          <w:shd w:fill="auto" w:val="clear"/>
        </w:rPr>
        <w:t xml:space="preserve">The Seer in Ancient Greece </w:t>
      </w:r>
      <w:r>
        <w:rPr>
          <w:i w:val="false"/>
          <w:iCs w:val="false"/>
          <w:shd w:fill="auto" w:val="clear"/>
        </w:rPr>
        <w:t>p.66</w:t>
      </w:r>
    </w:p>
  </w:footnote>
</w:footnotes>
</file>

<file path=word/settings.xml><?xml version="1.0" encoding="utf-8"?>
<w:settings xmlns:w="http://schemas.openxmlformats.org/wordprocessingml/2006/main">
  <w:zoom w:percent="90"/>
  <w:defaultTabStop w:val="720"/>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en-GB" w:eastAsia="en-US"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db185f"/>
    <w:pPr>
      <w:widowControl/>
      <w:suppressAutoHyphens w:val="true"/>
      <w:bidi w:val="0"/>
      <w:spacing w:before="0" w:after="0"/>
      <w:jc w:val="left"/>
    </w:pPr>
    <w:rPr>
      <w:rFonts w:ascii="Times New Roman" w:hAnsi="Times New Roman" w:eastAsia="SimSun" w:cs="Times New Roman"/>
      <w:color w:val="auto"/>
      <w:kern w:val="0"/>
      <w:sz w:val="24"/>
      <w:szCs w:val="24"/>
      <w:lang w:val="en-GB" w:eastAsia="zh-CN" w:bidi="ar-SA"/>
    </w:rPr>
  </w:style>
  <w:style w:type="paragraph" w:styleId="Heading1">
    <w:name w:val="Heading 1"/>
    <w:basedOn w:val="Normal"/>
    <w:next w:val="Normal"/>
    <w:qFormat/>
    <w:rsid w:val="002e67ce"/>
    <w:pPr>
      <w:keepNext w:val="true"/>
      <w:spacing w:before="240" w:after="60"/>
      <w:outlineLvl w:val="0"/>
    </w:pPr>
    <w:rPr>
      <w:rFonts w:ascii="Arial" w:hAnsi="Arial" w:cs="Arial"/>
      <w:b/>
      <w:bCs/>
      <w:kern w:val="2"/>
      <w:sz w:val="32"/>
      <w:szCs w:val="32"/>
    </w:rPr>
  </w:style>
  <w:style w:type="paragraph" w:styleId="Heading2">
    <w:name w:val="Heading 2"/>
    <w:basedOn w:val="Normal"/>
    <w:next w:val="Normal"/>
    <w:qFormat/>
    <w:rsid w:val="002e67ce"/>
    <w:pPr>
      <w:keepNext w:val="true"/>
      <w:spacing w:before="240" w:after="60"/>
      <w:outlineLvl w:val="1"/>
    </w:pPr>
    <w:rPr>
      <w:rFonts w:ascii="Arial" w:hAnsi="Arial" w:cs="Arial"/>
      <w:b/>
      <w:bCs/>
      <w:i/>
      <w:iCs/>
      <w:sz w:val="28"/>
      <w:szCs w:val="28"/>
    </w:rPr>
  </w:style>
  <w:style w:type="paragraph" w:styleId="Heading3">
    <w:name w:val="Heading 3"/>
    <w:basedOn w:val="Normal"/>
    <w:qFormat/>
    <w:rsid w:val="00db185f"/>
    <w:pPr>
      <w:keepNext w:val="true"/>
      <w:ind w:left="720" w:hanging="0"/>
      <w:jc w:val="both"/>
      <w:outlineLvl w:val="2"/>
    </w:pPr>
    <w:rPr>
      <w:rFonts w:ascii="Tahoma" w:hAnsi="Tahoma" w:cs="Tahoma"/>
      <w:b/>
      <w:bCs/>
      <w:sz w:val="20"/>
      <w:szCs w:val="20"/>
    </w:rPr>
  </w:style>
  <w:style w:type="paragraph" w:styleId="Heading4">
    <w:name w:val="Heading 4"/>
    <w:basedOn w:val="Heading"/>
    <w:next w:val="TextBody"/>
    <w:qFormat/>
    <w:pPr>
      <w:spacing w:before="120" w:after="120"/>
      <w:outlineLvl w:val="3"/>
    </w:pPr>
    <w:rPr>
      <w:rFonts w:ascii="Liberation Serif" w:hAnsi="Liberation Serif" w:eastAsia="Segoe UI" w:cs="Tahoma"/>
      <w:b/>
      <w:bCs/>
      <w:sz w:val="24"/>
      <w:szCs w:val="24"/>
    </w:rPr>
  </w:style>
  <w:style w:type="character" w:styleId="DefaultParagraphFont" w:default="1">
    <w:name w:val="Default Paragraph Font"/>
    <w:semiHidden/>
    <w:qFormat/>
    <w:rPr/>
  </w:style>
  <w:style w:type="character" w:styleId="Annotationreference">
    <w:name w:val="annotation reference"/>
    <w:qFormat/>
    <w:rsid w:val="00840b95"/>
    <w:rPr>
      <w:sz w:val="16"/>
      <w:szCs w:val="16"/>
    </w:rPr>
  </w:style>
  <w:style w:type="character" w:styleId="CommentTextChar" w:customStyle="1">
    <w:name w:val="Comment Text Char"/>
    <w:link w:val="CommentText"/>
    <w:qFormat/>
    <w:rsid w:val="00840b95"/>
    <w:rPr>
      <w:lang w:eastAsia="zh-CN"/>
    </w:rPr>
  </w:style>
  <w:style w:type="character" w:styleId="CommentSubjectChar" w:customStyle="1">
    <w:name w:val="Comment Subject Char"/>
    <w:link w:val="CommentSubject"/>
    <w:qFormat/>
    <w:rsid w:val="00840b95"/>
    <w:rPr>
      <w:b/>
      <w:bCs/>
      <w:lang w:eastAsia="zh-CN"/>
    </w:rPr>
  </w:style>
  <w:style w:type="character" w:styleId="BalloonTextChar" w:customStyle="1">
    <w:name w:val="Balloon Text Char"/>
    <w:link w:val="BalloonText"/>
    <w:qFormat/>
    <w:rsid w:val="00840b95"/>
    <w:rPr>
      <w:rFonts w:ascii="Tahoma" w:hAnsi="Tahoma" w:cs="Tahoma"/>
      <w:sz w:val="16"/>
      <w:szCs w:val="16"/>
      <w:lang w:eastAsia="zh-CN"/>
    </w:rPr>
  </w:style>
  <w:style w:type="character" w:styleId="HeaderChar" w:customStyle="1">
    <w:name w:val="Header Char"/>
    <w:link w:val="Header"/>
    <w:uiPriority w:val="99"/>
    <w:qFormat/>
    <w:rsid w:val="008a4dcc"/>
    <w:rPr>
      <w:rFonts w:ascii="Trebuchet MS" w:hAnsi="Trebuchet MS" w:eastAsia="Calibri" w:cs="Tahoma"/>
      <w:sz w:val="22"/>
      <w:lang w:eastAsia="en-US"/>
    </w:rPr>
  </w:style>
  <w:style w:type="character" w:styleId="FooterChar" w:customStyle="1">
    <w:name w:val="Footer Char"/>
    <w:link w:val="Footer"/>
    <w:uiPriority w:val="99"/>
    <w:qFormat/>
    <w:rsid w:val="00ad5d5a"/>
    <w:rPr>
      <w:sz w:val="24"/>
      <w:szCs w:val="24"/>
      <w:lang w:eastAsia="zh-CN"/>
    </w:rPr>
  </w:style>
  <w:style w:type="character" w:styleId="FootnoteCharacters">
    <w:name w:val="Footnote Characters"/>
    <w:qFormat/>
    <w:rPr/>
  </w:style>
  <w:style w:type="character" w:styleId="FootnoteAnchor">
    <w:name w:val="Footnote Anchor"/>
    <w:rPr>
      <w:vertAlign w:val="superscript"/>
    </w:rPr>
  </w:style>
  <w:style w:type="character" w:styleId="EndnoteAnchor">
    <w:name w:val="Endnote Anchor"/>
    <w:rPr>
      <w:vertAlign w:val="superscript"/>
    </w:rPr>
  </w:style>
  <w:style w:type="character" w:styleId="EndnoteCharacters">
    <w:name w:val="Endnote Characters"/>
    <w:qFormat/>
    <w:rPr/>
  </w:style>
  <w:style w:type="character" w:styleId="InternetLink">
    <w:name w:val="Hyperlink"/>
    <w:rPr>
      <w:color w:val="000080"/>
      <w:u w:val="single"/>
      <w:lang w:val="zxx" w:eastAsia="zxx" w:bidi="zxx"/>
    </w:rPr>
  </w:style>
  <w:style w:type="character" w:styleId="Emphasis">
    <w:name w:val="Emphasis"/>
    <w:qFormat/>
    <w:rPr>
      <w:i/>
      <w:iCs/>
    </w:rPr>
  </w:style>
  <w:style w:type="character" w:styleId="VisitedInternetLink">
    <w:name w:val="FollowedHyperlink"/>
    <w:rPr>
      <w:color w:val="800000"/>
      <w:u w:val="single"/>
      <w:lang w:val="zxx" w:eastAsia="zxx" w:bidi="zxx"/>
    </w:rPr>
  </w:style>
  <w:style w:type="character" w:styleId="Quotation">
    <w:name w:val="Quotation"/>
    <w:qFormat/>
    <w:rPr>
      <w:i/>
      <w:iCs/>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Web">
    <w:name w:val="Normal (Web)"/>
    <w:basedOn w:val="Normal"/>
    <w:qFormat/>
    <w:rsid w:val="00db185f"/>
    <w:pPr>
      <w:spacing w:beforeAutospacing="1" w:afterAutospacing="1"/>
    </w:pPr>
    <w:rPr>
      <w:rFonts w:ascii="Georgia" w:hAnsi="Georgia"/>
      <w:color w:val="000000"/>
      <w:sz w:val="21"/>
      <w:szCs w:val="21"/>
    </w:rPr>
  </w:style>
  <w:style w:type="paragraph" w:styleId="Annotationtext">
    <w:name w:val="annotation text"/>
    <w:basedOn w:val="Normal"/>
    <w:link w:val="CommentTextChar"/>
    <w:qFormat/>
    <w:rsid w:val="00840b95"/>
    <w:pPr/>
    <w:rPr>
      <w:sz w:val="20"/>
      <w:szCs w:val="20"/>
      <w:lang w:val="x-none"/>
    </w:rPr>
  </w:style>
  <w:style w:type="paragraph" w:styleId="Annotationsubject">
    <w:name w:val="annotation subject"/>
    <w:basedOn w:val="Annotationtext"/>
    <w:next w:val="Annotationtext"/>
    <w:link w:val="CommentSubjectChar"/>
    <w:qFormat/>
    <w:rsid w:val="00840b95"/>
    <w:pPr/>
    <w:rPr>
      <w:b/>
      <w:bCs/>
    </w:rPr>
  </w:style>
  <w:style w:type="paragraph" w:styleId="BalloonText">
    <w:name w:val="Balloon Text"/>
    <w:basedOn w:val="Normal"/>
    <w:link w:val="BalloonTextChar"/>
    <w:qFormat/>
    <w:rsid w:val="00840b95"/>
    <w:pPr/>
    <w:rPr>
      <w:rFonts w:ascii="Tahoma" w:hAnsi="Tahoma"/>
      <w:sz w:val="16"/>
      <w:szCs w:val="16"/>
      <w:lang w:val="x-none"/>
    </w:rPr>
  </w:style>
  <w:style w:type="paragraph" w:styleId="HeaderandFooter">
    <w:name w:val="Header and Footer"/>
    <w:basedOn w:val="Normal"/>
    <w:qFormat/>
    <w:pPr/>
    <w:rPr/>
  </w:style>
  <w:style w:type="paragraph" w:styleId="Header">
    <w:name w:val="Header"/>
    <w:basedOn w:val="Normal"/>
    <w:link w:val="HeaderChar"/>
    <w:uiPriority w:val="99"/>
    <w:unhideWhenUsed/>
    <w:rsid w:val="008a4dcc"/>
    <w:pPr>
      <w:tabs>
        <w:tab w:val="clear" w:pos="720"/>
        <w:tab w:val="center" w:pos="4513" w:leader="none"/>
        <w:tab w:val="right" w:pos="9026" w:leader="none"/>
      </w:tabs>
    </w:pPr>
    <w:rPr>
      <w:rFonts w:ascii="Trebuchet MS" w:hAnsi="Trebuchet MS" w:eastAsia="Calibri"/>
      <w:sz w:val="22"/>
      <w:szCs w:val="20"/>
      <w:lang w:val="x-none" w:eastAsia="en-US"/>
    </w:rPr>
  </w:style>
  <w:style w:type="paragraph" w:styleId="Footer">
    <w:name w:val="Footer"/>
    <w:basedOn w:val="Normal"/>
    <w:link w:val="FooterChar"/>
    <w:uiPriority w:val="99"/>
    <w:rsid w:val="00ad5d5a"/>
    <w:pPr>
      <w:tabs>
        <w:tab w:val="clear" w:pos="720"/>
        <w:tab w:val="center" w:pos="4513" w:leader="none"/>
        <w:tab w:val="right" w:pos="9026" w:leader="none"/>
      </w:tabs>
    </w:pPr>
    <w:rPr>
      <w:lang w:val="x-none"/>
    </w:rPr>
  </w:style>
  <w:style w:type="paragraph" w:styleId="Footnote">
    <w:name w:val="Footnote Text"/>
    <w:basedOn w:val="Normal"/>
    <w:pPr>
      <w:suppressLineNumbers/>
      <w:ind w:left="339" w:hanging="339"/>
    </w:pPr>
    <w:rPr>
      <w:sz w:val="20"/>
      <w:szCs w:val="20"/>
    </w:rPr>
  </w:style>
  <w:style w:type="numbering" w:styleId="NoList" w:default="1">
    <w:name w:val="No List"/>
    <w:semiHidden/>
    <w:qFormat/>
  </w:style>
  <w:style w:type="table" w:default="1" w:styleId="TableNormal">
    <w:name w:val="Normal Table"/>
    <w:semiHidden/>
    <w:tblPr>
      <w:tblCellMar>
        <w:top w:w="0" w:type="dxa"/>
        <w:left w:w="108" w:type="dxa"/>
        <w:bottom w:w="0" w:type="dxa"/>
        <w:right w:w="108" w:type="dxa"/>
      </w:tblCellMar>
    </w:tblPr>
  </w:style>
  <w:style w:type="table" w:styleId="TableGrid">
    <w:name w:val="Table Grid"/>
    <w:basedOn w:val="TableNormal"/>
    <w:rsid w:val="00d67bf8"/>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bmcr.brynmawr.edu/2021/2021.04.39/" TargetMode="External"/><Relationship Id="rId4" Type="http://schemas.openxmlformats.org/officeDocument/2006/relationships/hyperlink" Target="https://www-loebclassics-com.ezproxy.uwtsd.ac.uk/view/marcus_tullius_cicero-de_divinatione/1923/pb_LCL154.215.xml" TargetMode="External"/><Relationship Id="rId5" Type="http://schemas.openxmlformats.org/officeDocument/2006/relationships/hyperlink" Target="https://www.cambridge.org/core/journals/journal-of-institutional-economics/article/religion-without-doctrine-or-clergy-the-case-of-ancient-greece/901613496165e373719d3b343e945156" TargetMode="External"/><Relationship Id="rId6" Type="http://schemas.openxmlformats.org/officeDocument/2006/relationships/hyperlink" Target="http://spica.org.uk/index.php/2019/09/06/can-theurgy-be-considered-a-form-of-magic/" TargetMode="External"/><Relationship Id="rId7" Type="http://schemas.openxmlformats.org/officeDocument/2006/relationships/hyperlink" Target="https://www-jstor-org.ezproxy.uwtsd.ac.uk/stable/27566714?seq=2" TargetMode="External"/><Relationship Id="rId8" Type="http://schemas.openxmlformats.org/officeDocument/2006/relationships/hyperlink" Target="https://www.jstor.org/stable/527968" TargetMode="External"/><Relationship Id="rId9" Type="http://schemas.openxmlformats.org/officeDocument/2006/relationships/hyperlink" Target="https://www-jstor-org.ezproxy.uwtsd.ac.uk/stable/23065394?seq=2" TargetMode="External"/><Relationship Id="rId10" Type="http://schemas.openxmlformats.org/officeDocument/2006/relationships/hyperlink" Target="https://www-jstor-org.ezproxy.uwtsd.ac.uk/stable/1558184?seq=1" TargetMode="External"/><Relationship Id="rId11" Type="http://schemas.openxmlformats.org/officeDocument/2006/relationships/hyperlink" Target="https://www-jstor-org.ezproxy.uwtsd.ac.uk/stable/283581" TargetMode="External"/><Relationship Id="rId12" Type="http://schemas.openxmlformats.org/officeDocument/2006/relationships/hyperlink" Target="https://www-jstor-org.ezproxy.uwtsd.ac.uk/stable/1260832?seq=2" TargetMode="External"/><Relationship Id="rId13" Type="http://schemas.openxmlformats.org/officeDocument/2006/relationships/hyperlink" Target="https://www.jstor.org/stable/27899218?seq=5" TargetMode="External"/><Relationship Id="rId14" Type="http://schemas.openxmlformats.org/officeDocument/2006/relationships/hyperlink" Target="https://www-jstor-org.ezproxy.uwtsd.ac.uk/stable/3269832?seq=3" TargetMode="External"/><Relationship Id="rId15" Type="http://schemas.openxmlformats.org/officeDocument/2006/relationships/footer" Target="footer1.xml"/><Relationship Id="rId16" Type="http://schemas.openxmlformats.org/officeDocument/2006/relationships/footnotes" Target="footnotes.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_rels/footnotes.xml.rels><?xml version="1.0" encoding="UTF-8"?>
<Relationships xmlns="http://schemas.openxmlformats.org/package/2006/relationships"><Relationship Id="rId1" Type="http://schemas.openxmlformats.org/officeDocument/2006/relationships/hyperlink" Target="https://www-jstor-org.ezproxy.uwtsd.ac.uk/stable/1558184?seq=1" TargetMode="External"/><Relationship Id="rId2" Type="http://schemas.openxmlformats.org/officeDocument/2006/relationships/hyperlink" Target="https://www.cambridge.org/core/journals/journal-of-institutional-economics/article/religion-without-doctrine-or-clergy-the-case-of-ancient-greece/901613496165E373719D3B343E945156" TargetMode="External"/><Relationship Id="rId3" Type="http://schemas.openxmlformats.org/officeDocument/2006/relationships/hyperlink" Target="https://bmcr.brynmawr.edu/2021/2021.04.39/" TargetMode="External"/><Relationship Id="rId4" Type="http://schemas.openxmlformats.org/officeDocument/2006/relationships/hyperlink" Target="https://www-jstor-org.ezproxy.uwtsd.ac.uk/stable/283581" TargetMode="External"/><Relationship Id="rId5" Type="http://schemas.openxmlformats.org/officeDocument/2006/relationships/hyperlink" Target="http://spica.org.uk/index.php/2019/09/06/can-theurgy-be-considered-a-form-of-magic/" TargetMode="External"/><Relationship Id="rId6" Type="http://schemas.openxmlformats.org/officeDocument/2006/relationships/hyperlink" Target="https://www-jstor-org.ezproxy.uwtsd.ac.uk/stable/1260832?seq=2" TargetMode="External"/><Relationship Id="rId7" Type="http://schemas.openxmlformats.org/officeDocument/2006/relationships/hyperlink" Target="https://www-loebclassics-com.ezproxy.uwtsd.ac.uk/view/marcus_tullius_cicero-de_divinatione/1923/pb_LCL154.215.xml" TargetMode="External"/><Relationship Id="rId8" Type="http://schemas.openxmlformats.org/officeDocument/2006/relationships/hyperlink" Target="https://www-jstor-org.ezproxy.uwtsd.ac.uk/stable/23065394?seq=2" TargetMode="External"/><Relationship Id="rId9" Type="http://schemas.openxmlformats.org/officeDocument/2006/relationships/hyperlink" Target="https://www.jstor.org/stable/27899218?seq=5" TargetMode="External"/><Relationship Id="rId10" Type="http://schemas.openxmlformats.org/officeDocument/2006/relationships/hyperlink" Target="https://www-jstor-org.ezproxy.uwtsd.ac.uk/stable/27566714?seq=2" TargetMode="External"/><Relationship Id="rId11" Type="http://schemas.openxmlformats.org/officeDocument/2006/relationships/hyperlink" Target="https://www.jstor.org/stable/527968" TargetMode="External"/><Relationship Id="rId12" Type="http://schemas.openxmlformats.org/officeDocument/2006/relationships/hyperlink" Target="https://www-jstor-org.ezproxy.uwtsd.ac.uk/stable/3269832?seq=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188E5A-2967-4F86-B621-887BDD14500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300</TotalTime>
  <Application>LibreOffice/7.0.1.2$Windows_X86_64 LibreOffice_project/7cbcfc562f6eb6708b5ff7d7397325de9e764452</Application>
  <Pages>16</Pages>
  <Words>6185</Words>
  <Characters>34239</Characters>
  <CharactersWithSpaces>40508</CharactersWithSpaces>
  <Paragraphs>176</Paragraphs>
  <Company>University of Wales Lampeter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2023-01-21T15:33:00Z</dcterms:created>
  <dc:creator>sa044</dc:creator>
  <dc:description/>
  <dc:language>en-GB</dc:language>
  <cp:lastModifiedBy/>
  <cp:lastPrinted>2011-03-31T13:57:00Z</cp:lastPrinted>
  <dcterms:modified xsi:type="dcterms:W3CDTF">2023-04-22T21:27:11Z</dcterms:modified>
  <cp:revision>59</cp:revision>
  <dc:subject/>
  <dc:title>UNIVERSITY OF WALES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University of Wales Lampeter</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