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Pr="002374EC" w:rsidRDefault="009F64C5" w:rsidP="00627837">
      <w:pPr>
        <w:spacing w:after="0" w:line="360" w:lineRule="auto"/>
        <w:ind w:left="49"/>
        <w:jc w:val="center"/>
        <w:rPr>
          <w:rFonts w:ascii="Arial" w:hAnsi="Arial" w:cs="Arial"/>
        </w:rPr>
      </w:pPr>
      <w:r w:rsidRPr="002374EC">
        <w:rPr>
          <w:rFonts w:ascii="Arial" w:eastAsia="Calibri" w:hAnsi="Arial" w:cs="Arial"/>
        </w:rPr>
        <w:t xml:space="preserve"> </w:t>
      </w:r>
    </w:p>
    <w:p w14:paraId="6D3D663A" w14:textId="77777777" w:rsidR="009F64C5" w:rsidRPr="002374EC" w:rsidRDefault="009F64C5" w:rsidP="00627837">
      <w:pPr>
        <w:spacing w:after="0" w:line="360" w:lineRule="auto"/>
        <w:ind w:left="49"/>
        <w:jc w:val="center"/>
        <w:rPr>
          <w:rFonts w:ascii="Arial" w:hAnsi="Arial" w:cs="Arial"/>
        </w:rPr>
      </w:pPr>
      <w:r w:rsidRPr="002374EC">
        <w:rPr>
          <w:rFonts w:ascii="Arial" w:eastAsia="Calibri" w:hAnsi="Arial" w:cs="Arial"/>
        </w:rPr>
        <w:t xml:space="preserve"> </w:t>
      </w:r>
    </w:p>
    <w:p w14:paraId="6787C14B" w14:textId="578E474B" w:rsidR="009F64C5" w:rsidRPr="002374EC" w:rsidRDefault="009F64C5" w:rsidP="00627837">
      <w:pPr>
        <w:spacing w:after="0" w:line="360" w:lineRule="auto"/>
        <w:ind w:left="49"/>
        <w:jc w:val="center"/>
        <w:rPr>
          <w:rFonts w:ascii="Arial" w:hAnsi="Arial" w:cs="Arial"/>
        </w:rPr>
      </w:pPr>
      <w:r w:rsidRPr="002374EC">
        <w:rPr>
          <w:rFonts w:ascii="Arial" w:hAnsi="Arial" w:cs="Arial"/>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2374EC">
        <w:rPr>
          <w:rFonts w:ascii="Arial" w:eastAsia="Calibri" w:hAnsi="Arial" w:cs="Arial"/>
        </w:rPr>
        <w:t xml:space="preserve"> </w:t>
      </w:r>
    </w:p>
    <w:p w14:paraId="5E0F4EC2" w14:textId="77777777" w:rsidR="009F64C5" w:rsidRPr="002374EC" w:rsidRDefault="009F64C5" w:rsidP="00627837">
      <w:pPr>
        <w:spacing w:after="0" w:line="360" w:lineRule="auto"/>
        <w:ind w:left="49"/>
        <w:jc w:val="center"/>
        <w:rPr>
          <w:rFonts w:ascii="Arial" w:hAnsi="Arial" w:cs="Arial"/>
        </w:rPr>
      </w:pPr>
      <w:r w:rsidRPr="002374EC">
        <w:rPr>
          <w:rFonts w:ascii="Arial" w:eastAsia="Calibri" w:hAnsi="Arial" w:cs="Arial"/>
        </w:rPr>
        <w:t xml:space="preserve"> </w:t>
      </w:r>
    </w:p>
    <w:p w14:paraId="0C4D53A1" w14:textId="77777777" w:rsidR="009F64C5" w:rsidRPr="002374EC" w:rsidRDefault="009F64C5" w:rsidP="00627837">
      <w:pPr>
        <w:spacing w:after="0" w:line="360" w:lineRule="auto"/>
        <w:ind w:left="49"/>
        <w:jc w:val="center"/>
        <w:rPr>
          <w:rFonts w:ascii="Arial" w:hAnsi="Arial" w:cs="Arial"/>
        </w:rPr>
      </w:pPr>
      <w:r w:rsidRPr="002374EC">
        <w:rPr>
          <w:rFonts w:ascii="Arial" w:eastAsia="Calibri" w:hAnsi="Arial" w:cs="Arial"/>
        </w:rPr>
        <w:t xml:space="preserve"> </w:t>
      </w:r>
    </w:p>
    <w:p w14:paraId="196BF838" w14:textId="584E47CA" w:rsidR="009F64C5" w:rsidRPr="002374EC" w:rsidRDefault="009F64C5" w:rsidP="00627837">
      <w:pPr>
        <w:spacing w:after="0" w:line="360" w:lineRule="auto"/>
        <w:ind w:left="89"/>
        <w:jc w:val="center"/>
        <w:rPr>
          <w:rFonts w:ascii="Arial" w:hAnsi="Arial" w:cs="Arial"/>
        </w:rPr>
      </w:pPr>
      <w:r w:rsidRPr="002374EC">
        <w:rPr>
          <w:rFonts w:ascii="Arial" w:hAnsi="Arial" w:cs="Arial"/>
        </w:rPr>
        <w:t xml:space="preserve"> </w:t>
      </w:r>
      <w:r w:rsidR="001A569D" w:rsidRPr="002374EC">
        <w:rPr>
          <w:rFonts w:ascii="Arial" w:hAnsi="Arial" w:cs="Arial"/>
        </w:rPr>
        <w:t>BARRIERS TO MENTAL HEALTH SERVICE UTILISATION AMONG YOUNG ADULTS AGED 18-25 IN THE UK WHO ARE NOT IN EDUCATION OR EMPLOYMENT: A SYSTEMATIC REVIEW</w:t>
      </w:r>
    </w:p>
    <w:p w14:paraId="5E1E2E05" w14:textId="77777777" w:rsidR="009F64C5" w:rsidRPr="002374EC" w:rsidRDefault="009F64C5" w:rsidP="00627837">
      <w:pPr>
        <w:spacing w:after="0" w:line="360" w:lineRule="auto"/>
        <w:ind w:left="89"/>
        <w:jc w:val="center"/>
        <w:rPr>
          <w:rFonts w:ascii="Arial" w:hAnsi="Arial" w:cs="Arial"/>
        </w:rPr>
      </w:pPr>
      <w:r w:rsidRPr="002374EC">
        <w:rPr>
          <w:rFonts w:ascii="Arial" w:hAnsi="Arial" w:cs="Arial"/>
        </w:rPr>
        <w:t xml:space="preserve"> </w:t>
      </w:r>
    </w:p>
    <w:p w14:paraId="46D86011" w14:textId="77777777" w:rsidR="009F64C5" w:rsidRPr="002374EC" w:rsidRDefault="009F64C5" w:rsidP="00627837">
      <w:pPr>
        <w:spacing w:after="0" w:line="360" w:lineRule="auto"/>
        <w:ind w:left="2367" w:right="2358"/>
        <w:jc w:val="center"/>
        <w:rPr>
          <w:rFonts w:ascii="Arial" w:hAnsi="Arial" w:cs="Arial"/>
        </w:rPr>
      </w:pPr>
      <w:r w:rsidRPr="002374EC">
        <w:rPr>
          <w:rFonts w:ascii="Arial" w:hAnsi="Arial" w:cs="Arial"/>
        </w:rPr>
        <w:t xml:space="preserve">by </w:t>
      </w:r>
    </w:p>
    <w:p w14:paraId="75EA3561" w14:textId="77777777" w:rsidR="009F64C5" w:rsidRPr="002374EC" w:rsidRDefault="009F64C5" w:rsidP="00627837">
      <w:pPr>
        <w:spacing w:after="0" w:line="360" w:lineRule="auto"/>
        <w:ind w:left="59"/>
        <w:jc w:val="center"/>
        <w:rPr>
          <w:rFonts w:ascii="Arial" w:hAnsi="Arial" w:cs="Arial"/>
        </w:rPr>
      </w:pPr>
      <w:r w:rsidRPr="002374EC">
        <w:rPr>
          <w:rFonts w:ascii="Arial" w:hAnsi="Arial" w:cs="Arial"/>
        </w:rPr>
        <w:t xml:space="preserve"> </w:t>
      </w:r>
    </w:p>
    <w:p w14:paraId="350EB5D6" w14:textId="65100D70" w:rsidR="009F64C5" w:rsidRPr="002374EC" w:rsidRDefault="001A569D" w:rsidP="00627837">
      <w:pPr>
        <w:spacing w:after="0" w:line="360" w:lineRule="auto"/>
        <w:ind w:left="2367" w:right="2359"/>
        <w:jc w:val="center"/>
        <w:rPr>
          <w:rFonts w:ascii="Arial" w:hAnsi="Arial" w:cs="Arial"/>
        </w:rPr>
      </w:pPr>
      <w:r w:rsidRPr="002374EC">
        <w:rPr>
          <w:rFonts w:ascii="Arial" w:hAnsi="Arial" w:cs="Arial"/>
        </w:rPr>
        <w:t>Fahim MohmadSajid Patel</w:t>
      </w:r>
      <w:r w:rsidR="009F64C5" w:rsidRPr="002374EC">
        <w:rPr>
          <w:rFonts w:ascii="Arial" w:hAnsi="Arial" w:cs="Arial"/>
        </w:rPr>
        <w:t xml:space="preserve"> </w:t>
      </w:r>
    </w:p>
    <w:p w14:paraId="1062A64A" w14:textId="77777777" w:rsidR="009F64C5" w:rsidRPr="002374EC" w:rsidRDefault="009F64C5" w:rsidP="00627837">
      <w:pPr>
        <w:spacing w:after="0" w:line="360" w:lineRule="auto"/>
        <w:ind w:left="59"/>
        <w:jc w:val="center"/>
        <w:rPr>
          <w:rFonts w:ascii="Arial" w:hAnsi="Arial" w:cs="Arial"/>
        </w:rPr>
      </w:pPr>
      <w:r w:rsidRPr="002374EC">
        <w:rPr>
          <w:rFonts w:ascii="Arial" w:hAnsi="Arial" w:cs="Arial"/>
        </w:rPr>
        <w:t xml:space="preserve"> </w:t>
      </w:r>
    </w:p>
    <w:p w14:paraId="33922CAA" w14:textId="77777777" w:rsidR="009F64C5" w:rsidRPr="002374EC" w:rsidRDefault="009F64C5" w:rsidP="00627837">
      <w:pPr>
        <w:spacing w:after="0" w:line="360" w:lineRule="auto"/>
        <w:ind w:left="59"/>
        <w:jc w:val="center"/>
        <w:rPr>
          <w:rFonts w:ascii="Arial" w:hAnsi="Arial" w:cs="Arial"/>
        </w:rPr>
      </w:pPr>
      <w:r w:rsidRPr="002374EC">
        <w:rPr>
          <w:rFonts w:ascii="Arial" w:hAnsi="Arial" w:cs="Arial"/>
        </w:rPr>
        <w:t xml:space="preserve"> </w:t>
      </w:r>
    </w:p>
    <w:p w14:paraId="09C8500D" w14:textId="77777777" w:rsidR="009F64C5" w:rsidRPr="002374EC" w:rsidRDefault="009F64C5" w:rsidP="00627837">
      <w:pPr>
        <w:spacing w:after="0" w:line="360" w:lineRule="auto"/>
        <w:ind w:left="59"/>
        <w:jc w:val="center"/>
        <w:rPr>
          <w:rFonts w:ascii="Arial" w:hAnsi="Arial" w:cs="Arial"/>
        </w:rPr>
      </w:pPr>
      <w:r w:rsidRPr="002374EC">
        <w:rPr>
          <w:rFonts w:ascii="Arial" w:hAnsi="Arial" w:cs="Arial"/>
        </w:rPr>
        <w:t xml:space="preserve"> </w:t>
      </w:r>
    </w:p>
    <w:p w14:paraId="64B3B17A" w14:textId="77777777" w:rsidR="009F64C5" w:rsidRPr="002374EC" w:rsidRDefault="009F64C5" w:rsidP="00627837">
      <w:pPr>
        <w:spacing w:after="0" w:line="360" w:lineRule="auto"/>
        <w:ind w:left="59"/>
        <w:jc w:val="center"/>
        <w:rPr>
          <w:rFonts w:ascii="Arial" w:hAnsi="Arial" w:cs="Arial"/>
        </w:rPr>
      </w:pPr>
      <w:r w:rsidRPr="002374EC">
        <w:rPr>
          <w:rFonts w:ascii="Arial" w:hAnsi="Arial" w:cs="Arial"/>
        </w:rPr>
        <w:t xml:space="preserve"> </w:t>
      </w:r>
    </w:p>
    <w:p w14:paraId="5CAC7C58" w14:textId="77777777" w:rsidR="009F64C5" w:rsidRPr="002374EC" w:rsidRDefault="009F64C5" w:rsidP="00627837">
      <w:pPr>
        <w:spacing w:after="0" w:line="360" w:lineRule="auto"/>
        <w:ind w:left="59"/>
        <w:jc w:val="center"/>
        <w:rPr>
          <w:rFonts w:ascii="Arial" w:hAnsi="Arial" w:cs="Arial"/>
        </w:rPr>
      </w:pPr>
      <w:r w:rsidRPr="002374EC">
        <w:rPr>
          <w:rFonts w:ascii="Arial" w:hAnsi="Arial" w:cs="Arial"/>
        </w:rPr>
        <w:t xml:space="preserve"> </w:t>
      </w:r>
    </w:p>
    <w:p w14:paraId="75DE2693" w14:textId="4FD61342" w:rsidR="009F64C5" w:rsidRPr="002374EC" w:rsidRDefault="009F64C5" w:rsidP="00627837">
      <w:pPr>
        <w:spacing w:after="0" w:line="360" w:lineRule="auto"/>
        <w:ind w:left="59"/>
        <w:jc w:val="center"/>
        <w:rPr>
          <w:rFonts w:ascii="Arial" w:hAnsi="Arial" w:cs="Arial"/>
        </w:rPr>
      </w:pPr>
      <w:r w:rsidRPr="002374EC">
        <w:rPr>
          <w:rFonts w:ascii="Arial" w:hAnsi="Arial" w:cs="Arial"/>
        </w:rPr>
        <w:t xml:space="preserve">A Dissertation submitted in partial fulfilment of the requirements for the degree of </w:t>
      </w:r>
      <w:r w:rsidR="000B1420" w:rsidRPr="002374EC">
        <w:rPr>
          <w:rFonts w:ascii="Arial" w:hAnsi="Arial" w:cs="Arial"/>
        </w:rPr>
        <w:t>Master</w:t>
      </w:r>
      <w:r w:rsidRPr="002374EC">
        <w:rPr>
          <w:rFonts w:ascii="Arial" w:hAnsi="Arial" w:cs="Arial"/>
        </w:rPr>
        <w:t xml:space="preserve"> of Science in Public Health and Social Care in Practice</w:t>
      </w:r>
    </w:p>
    <w:p w14:paraId="2678540A" w14:textId="77777777" w:rsidR="009F64C5" w:rsidRPr="002374EC" w:rsidRDefault="009F64C5" w:rsidP="00627837">
      <w:pPr>
        <w:spacing w:after="0" w:line="360" w:lineRule="auto"/>
        <w:ind w:left="59"/>
        <w:rPr>
          <w:rFonts w:ascii="Arial" w:hAnsi="Arial" w:cs="Arial"/>
        </w:rPr>
      </w:pPr>
    </w:p>
    <w:p w14:paraId="6B1630CF" w14:textId="77777777" w:rsidR="009F64C5" w:rsidRPr="002374EC" w:rsidRDefault="009F64C5" w:rsidP="00627837">
      <w:pPr>
        <w:spacing w:after="0" w:line="360" w:lineRule="auto"/>
        <w:jc w:val="center"/>
        <w:rPr>
          <w:rFonts w:ascii="Arial" w:hAnsi="Arial" w:cs="Arial"/>
          <w:b/>
          <w:bCs/>
        </w:rPr>
      </w:pPr>
    </w:p>
    <w:p w14:paraId="48468714" w14:textId="77777777" w:rsidR="009F64C5" w:rsidRPr="002374EC" w:rsidRDefault="009F64C5" w:rsidP="00627837">
      <w:pPr>
        <w:spacing w:after="0" w:line="360" w:lineRule="auto"/>
        <w:jc w:val="center"/>
        <w:rPr>
          <w:rFonts w:ascii="Arial" w:hAnsi="Arial" w:cs="Arial"/>
          <w:b/>
          <w:bCs/>
        </w:rPr>
      </w:pPr>
    </w:p>
    <w:p w14:paraId="7C5AA9DE" w14:textId="3566044E" w:rsidR="009F64C5" w:rsidRPr="002374EC" w:rsidRDefault="34630932" w:rsidP="00627837">
      <w:pPr>
        <w:spacing w:after="0" w:line="360" w:lineRule="auto"/>
        <w:jc w:val="center"/>
        <w:rPr>
          <w:rFonts w:ascii="Arial" w:hAnsi="Arial" w:cs="Arial"/>
          <w:b/>
          <w:bCs/>
        </w:rPr>
      </w:pPr>
      <w:r w:rsidRPr="002374EC">
        <w:rPr>
          <w:rFonts w:ascii="Arial" w:hAnsi="Arial" w:cs="Arial"/>
          <w:b/>
          <w:bCs/>
        </w:rPr>
        <w:t>T</w:t>
      </w:r>
      <w:r w:rsidR="009F64C5" w:rsidRPr="002374EC">
        <w:rPr>
          <w:rFonts w:ascii="Arial" w:hAnsi="Arial" w:cs="Arial"/>
          <w:b/>
          <w:bCs/>
        </w:rPr>
        <w:t>he Institute of Inner</w:t>
      </w:r>
      <w:r w:rsidR="4EFAA9D8" w:rsidRPr="002374EC">
        <w:rPr>
          <w:rFonts w:ascii="Arial" w:hAnsi="Arial" w:cs="Arial"/>
          <w:b/>
          <w:bCs/>
        </w:rPr>
        <w:t>-</w:t>
      </w:r>
      <w:r w:rsidR="009F64C5" w:rsidRPr="002374EC">
        <w:rPr>
          <w:rFonts w:ascii="Arial" w:hAnsi="Arial" w:cs="Arial"/>
          <w:b/>
          <w:bCs/>
        </w:rPr>
        <w:t>City Learning</w:t>
      </w:r>
    </w:p>
    <w:p w14:paraId="0A089F1E" w14:textId="7EF44560" w:rsidR="009F64C5" w:rsidRPr="002374EC" w:rsidRDefault="009F64C5" w:rsidP="00627837">
      <w:pPr>
        <w:spacing w:after="0" w:line="360" w:lineRule="auto"/>
        <w:jc w:val="center"/>
        <w:rPr>
          <w:rFonts w:ascii="Arial" w:hAnsi="Arial" w:cs="Arial"/>
          <w:b/>
          <w:bCs/>
        </w:rPr>
      </w:pPr>
      <w:r w:rsidRPr="002374EC">
        <w:rPr>
          <w:rFonts w:ascii="Arial" w:hAnsi="Arial" w:cs="Arial"/>
          <w:b/>
          <w:bCs/>
        </w:rPr>
        <w:t>University of Wales Trinity Saint David – London Campus</w:t>
      </w:r>
    </w:p>
    <w:p w14:paraId="4C4866B4" w14:textId="77777777" w:rsidR="009F64C5" w:rsidRPr="002374EC" w:rsidRDefault="009F64C5" w:rsidP="00627837">
      <w:pPr>
        <w:spacing w:after="0" w:line="360" w:lineRule="auto"/>
        <w:ind w:left="2367" w:right="2357"/>
        <w:jc w:val="center"/>
        <w:rPr>
          <w:rFonts w:ascii="Arial" w:hAnsi="Arial" w:cs="Arial"/>
          <w:b/>
          <w:bCs/>
        </w:rPr>
      </w:pPr>
    </w:p>
    <w:p w14:paraId="52A3D603" w14:textId="77777777" w:rsidR="009F64C5" w:rsidRPr="002374EC" w:rsidRDefault="009F64C5" w:rsidP="00627837">
      <w:pPr>
        <w:spacing w:after="0" w:line="360" w:lineRule="auto"/>
        <w:ind w:left="2367" w:right="2357"/>
        <w:jc w:val="center"/>
        <w:rPr>
          <w:rFonts w:ascii="Arial" w:hAnsi="Arial" w:cs="Arial"/>
          <w:b/>
          <w:bCs/>
        </w:rPr>
      </w:pPr>
    </w:p>
    <w:p w14:paraId="5D8C4E6F" w14:textId="1550B1EF" w:rsidR="00113366" w:rsidRPr="002374EC" w:rsidRDefault="001A569D" w:rsidP="00627837">
      <w:pPr>
        <w:spacing w:after="0" w:line="360" w:lineRule="auto"/>
        <w:ind w:left="2367" w:right="2357"/>
        <w:jc w:val="center"/>
        <w:rPr>
          <w:rFonts w:ascii="Arial" w:hAnsi="Arial" w:cs="Arial"/>
          <w:b/>
          <w:bCs/>
        </w:rPr>
      </w:pPr>
      <w:r w:rsidRPr="002374EC">
        <w:rPr>
          <w:rFonts w:ascii="Arial" w:hAnsi="Arial" w:cs="Arial"/>
          <w:b/>
          <w:bCs/>
        </w:rPr>
        <w:t>February 2026</w:t>
      </w:r>
    </w:p>
    <w:p w14:paraId="46C7FCCD" w14:textId="3ED84CEA" w:rsidR="00113366" w:rsidRPr="002374EC" w:rsidRDefault="00D30F18" w:rsidP="00D30F18">
      <w:pPr>
        <w:spacing w:after="0" w:line="360" w:lineRule="auto"/>
        <w:jc w:val="center"/>
        <w:rPr>
          <w:rFonts w:ascii="Arial" w:hAnsi="Arial" w:cs="Arial"/>
          <w:b/>
          <w:bCs/>
        </w:rPr>
      </w:pPr>
      <w:r>
        <w:rPr>
          <w:rFonts w:ascii="Arial" w:hAnsi="Arial" w:cs="Arial"/>
          <w:b/>
          <w:bCs/>
        </w:rPr>
        <w:t>Word count: 13570</w:t>
      </w:r>
    </w:p>
    <w:p w14:paraId="3D00C21C" w14:textId="77777777" w:rsidR="00D30F18" w:rsidRDefault="00D30F18">
      <w:pPr>
        <w:rPr>
          <w:rFonts w:ascii="Arial" w:eastAsia="Times New Roman" w:hAnsi="Arial" w:cs="Arial"/>
          <w:b/>
          <w:bCs/>
          <w:lang w:val="hr-HR"/>
        </w:rPr>
      </w:pPr>
      <w:r>
        <w:rPr>
          <w:rFonts w:ascii="Arial" w:eastAsia="Times New Roman" w:hAnsi="Arial" w:cs="Arial"/>
          <w:b/>
          <w:bCs/>
          <w:lang w:val="hr-HR"/>
        </w:rPr>
        <w:br w:type="page"/>
      </w:r>
    </w:p>
    <w:p w14:paraId="013A249C" w14:textId="07A41686" w:rsidR="00113366" w:rsidRPr="002374EC" w:rsidRDefault="00113366" w:rsidP="00627837">
      <w:pPr>
        <w:spacing w:after="0" w:line="360" w:lineRule="auto"/>
        <w:rPr>
          <w:rFonts w:ascii="Arial" w:eastAsia="Times New Roman" w:hAnsi="Arial" w:cs="Arial"/>
          <w:b/>
          <w:bCs/>
          <w:lang w:val="hr-HR"/>
        </w:rPr>
      </w:pPr>
      <w:r w:rsidRPr="002374EC">
        <w:rPr>
          <w:rFonts w:ascii="Arial" w:eastAsia="Times New Roman" w:hAnsi="Arial" w:cs="Arial"/>
          <w:b/>
          <w:bCs/>
          <w:lang w:val="hr-HR"/>
        </w:rPr>
        <w:lastRenderedPageBreak/>
        <w:t>DECLARATION</w:t>
      </w:r>
    </w:p>
    <w:p w14:paraId="2E9B29DF" w14:textId="77777777" w:rsidR="00113366" w:rsidRPr="002374EC" w:rsidRDefault="00113366" w:rsidP="00627837">
      <w:pPr>
        <w:spacing w:after="0" w:line="360" w:lineRule="auto"/>
        <w:rPr>
          <w:rFonts w:ascii="Arial" w:eastAsia="Times New Roman" w:hAnsi="Arial" w:cs="Arial"/>
          <w:lang w:val="hr-HR"/>
        </w:rPr>
      </w:pPr>
    </w:p>
    <w:p w14:paraId="46A549CB" w14:textId="520C7B8F" w:rsidR="00113366" w:rsidRPr="002374EC" w:rsidRDefault="00113366" w:rsidP="00627837">
      <w:pPr>
        <w:spacing w:after="0" w:line="360" w:lineRule="auto"/>
        <w:rPr>
          <w:rFonts w:ascii="Arial" w:eastAsia="Times New Roman" w:hAnsi="Arial" w:cs="Arial"/>
          <w:lang w:val="hr-HR"/>
        </w:rPr>
      </w:pPr>
      <w:r w:rsidRPr="002374EC">
        <w:rPr>
          <w:rFonts w:ascii="Arial" w:hAnsi="Arial" w:cs="Arial"/>
          <w:noProof/>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o:title="" r:id="rId10"/>
                <o:lock v:ext="edit" rotation="t" verticies="t" shapetype="t"/>
              </v:shape>
            </w:pict>
          </mc:Fallback>
        </mc:AlternateContent>
      </w:r>
      <w:r w:rsidRPr="002374EC">
        <w:rPr>
          <w:rFonts w:ascii="Arial" w:hAnsi="Arial" w:cs="Arial"/>
          <w:noProof/>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w14:anchorId="253C97BC">
                <v:imagedata o:title="" r:id="rId10"/>
                <o:lock v:ext="edit" rotation="t" verticies="t" shapetype="t"/>
              </v:shape>
            </w:pict>
          </mc:Fallback>
        </mc:AlternateContent>
      </w:r>
      <w:r w:rsidRPr="002374EC">
        <w:rPr>
          <w:rFonts w:ascii="Arial" w:hAnsi="Arial" w:cs="Arial"/>
          <w:noProof/>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w14:anchorId="5680CE78">
                <v:imagedata o:title="" r:id="rId10"/>
                <o:lock v:ext="edit" rotation="t" verticies="t" shapetype="t"/>
              </v:shape>
            </w:pict>
          </mc:Fallback>
        </mc:AlternateContent>
      </w:r>
      <w:r w:rsidRPr="002374EC">
        <w:rPr>
          <w:rFonts w:ascii="Arial" w:hAnsi="Arial" w:cs="Arial"/>
          <w:noProof/>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w14:anchorId="60C55C8D">
                <v:imagedata o:title="" r:id="rId14"/>
                <o:lock v:ext="edit" rotation="t" verticies="t" shapetype="t"/>
              </v:shape>
            </w:pict>
          </mc:Fallback>
        </mc:AlternateContent>
      </w:r>
      <w:r w:rsidR="008A73BC" w:rsidRPr="002374EC">
        <w:rPr>
          <w:rFonts w:ascii="Arial" w:eastAsia="Times New Roman" w:hAnsi="Arial" w:cs="Arial"/>
          <w:lang w:val="hr-HR"/>
        </w:rPr>
        <w:t xml:space="preserve">I, </w:t>
      </w:r>
      <w:r w:rsidR="001A569D" w:rsidRPr="002374EC">
        <w:rPr>
          <w:rFonts w:ascii="Arial" w:eastAsia="Times New Roman" w:hAnsi="Arial" w:cs="Arial"/>
          <w:lang w:val="hr-HR"/>
        </w:rPr>
        <w:t>Fahim,</w:t>
      </w:r>
      <w:r w:rsidR="008A73BC" w:rsidRPr="002374EC">
        <w:rPr>
          <w:rFonts w:ascii="Arial" w:eastAsia="Times New Roman" w:hAnsi="Arial" w:cs="Arial"/>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2374EC">
        <w:rPr>
          <w:rFonts w:ascii="Arial" w:eastAsia="Times New Roman" w:hAnsi="Arial" w:cs="Arial"/>
          <w:lang w:val="hr-HR"/>
        </w:rPr>
        <w:t>.</w:t>
      </w:r>
    </w:p>
    <w:p w14:paraId="73417691" w14:textId="77777777" w:rsidR="00627837" w:rsidRPr="002374EC" w:rsidRDefault="00113366" w:rsidP="00627837">
      <w:pPr>
        <w:spacing w:after="0" w:line="360" w:lineRule="auto"/>
        <w:rPr>
          <w:rFonts w:ascii="Arial" w:eastAsia="Times New Roman" w:hAnsi="Arial" w:cs="Arial"/>
          <w:lang w:val="hr-HR"/>
        </w:rPr>
      </w:pPr>
      <w:r w:rsidRPr="002374EC">
        <w:rPr>
          <w:rFonts w:ascii="Arial" w:eastAsia="Times New Roman" w:hAnsi="Arial" w:cs="Arial"/>
          <w:lang w:val="hr-HR"/>
        </w:rPr>
        <w:t>Signed</w:t>
      </w:r>
      <w:r w:rsidR="001A569D" w:rsidRPr="002374EC">
        <w:rPr>
          <w:rFonts w:ascii="Arial" w:eastAsia="Times New Roman" w:hAnsi="Arial" w:cs="Arial"/>
          <w:lang w:val="hr-HR"/>
        </w:rPr>
        <w:t>: Fahim</w:t>
      </w:r>
    </w:p>
    <w:p w14:paraId="6AA9D53C" w14:textId="347B24D9" w:rsidR="009F64C5" w:rsidRPr="002374EC" w:rsidRDefault="00113366" w:rsidP="00627837">
      <w:pPr>
        <w:spacing w:after="0" w:line="360" w:lineRule="auto"/>
        <w:rPr>
          <w:rFonts w:ascii="Arial" w:eastAsia="Times New Roman" w:hAnsi="Arial" w:cs="Arial"/>
          <w:lang w:val="hr-HR"/>
        </w:rPr>
      </w:pPr>
      <w:r w:rsidRPr="002374EC">
        <w:rPr>
          <w:rFonts w:ascii="Arial" w:eastAsia="Times New Roman" w:hAnsi="Arial" w:cs="Arial"/>
          <w:lang w:val="hr-HR"/>
        </w:rPr>
        <w:t>Date:</w:t>
      </w:r>
      <w:r w:rsidR="001A569D" w:rsidRPr="002374EC">
        <w:rPr>
          <w:rFonts w:ascii="Arial" w:eastAsia="Times New Roman" w:hAnsi="Arial" w:cs="Arial"/>
          <w:lang w:val="hr-HR"/>
        </w:rPr>
        <w:t xml:space="preserve"> 2 Feb 2026</w:t>
      </w:r>
      <w:r w:rsidR="009F64C5" w:rsidRPr="002374EC">
        <w:rPr>
          <w:rFonts w:ascii="Arial" w:hAnsi="Arial" w:cs="Arial"/>
        </w:rPr>
        <w:t xml:space="preserve"> </w:t>
      </w:r>
      <w:r w:rsidR="009F64C5" w:rsidRPr="002374EC">
        <w:rPr>
          <w:rFonts w:ascii="Arial" w:hAnsi="Arial" w:cs="Arial"/>
        </w:rPr>
        <w:tab/>
        <w:t xml:space="preserve"> </w:t>
      </w:r>
    </w:p>
    <w:p w14:paraId="02286F32" w14:textId="77777777" w:rsidR="009F64C5" w:rsidRPr="002374EC" w:rsidRDefault="009F64C5" w:rsidP="00627837">
      <w:pPr>
        <w:spacing w:after="0" w:line="360" w:lineRule="auto"/>
        <w:rPr>
          <w:rFonts w:ascii="Arial" w:eastAsia="Times New Roman" w:hAnsi="Arial" w:cs="Arial"/>
          <w:b/>
        </w:rPr>
      </w:pPr>
      <w:r w:rsidRPr="002374EC">
        <w:rPr>
          <w:rFonts w:ascii="Arial" w:hAnsi="Arial" w:cs="Arial"/>
        </w:rPr>
        <w:br w:type="page"/>
      </w:r>
    </w:p>
    <w:p w14:paraId="106641A1" w14:textId="7C1664DD" w:rsidR="009F64C5" w:rsidRPr="002374EC" w:rsidRDefault="009F64C5" w:rsidP="00627837">
      <w:pPr>
        <w:pStyle w:val="Heading2"/>
        <w:spacing w:after="0" w:line="360" w:lineRule="auto"/>
        <w:ind w:left="12" w:right="4"/>
        <w:rPr>
          <w:rFonts w:ascii="Arial" w:hAnsi="Arial" w:cs="Arial"/>
          <w:color w:val="auto"/>
          <w:sz w:val="22"/>
        </w:rPr>
      </w:pPr>
      <w:bookmarkStart w:id="0" w:name="_Toc220926164"/>
      <w:r w:rsidRPr="002374EC">
        <w:rPr>
          <w:rFonts w:ascii="Arial" w:hAnsi="Arial" w:cs="Arial"/>
          <w:color w:val="auto"/>
          <w:sz w:val="22"/>
        </w:rPr>
        <w:lastRenderedPageBreak/>
        <w:t>Acknowledgements</w:t>
      </w:r>
      <w:bookmarkEnd w:id="0"/>
      <w:r w:rsidRPr="002374EC">
        <w:rPr>
          <w:rFonts w:ascii="Arial" w:hAnsi="Arial" w:cs="Arial"/>
          <w:color w:val="auto"/>
          <w:sz w:val="22"/>
        </w:rPr>
        <w:t xml:space="preserve"> </w:t>
      </w:r>
    </w:p>
    <w:p w14:paraId="3DF0875E" w14:textId="77777777" w:rsidR="009F64C5" w:rsidRPr="002374EC" w:rsidRDefault="009F64C5" w:rsidP="00627837">
      <w:pPr>
        <w:spacing w:after="0" w:line="360" w:lineRule="auto"/>
        <w:rPr>
          <w:rFonts w:ascii="Arial" w:hAnsi="Arial" w:cs="Arial"/>
        </w:rPr>
      </w:pPr>
      <w:r w:rsidRPr="002374EC">
        <w:rPr>
          <w:rFonts w:ascii="Arial" w:hAnsi="Arial" w:cs="Arial"/>
        </w:rPr>
        <w:t xml:space="preserve"> </w:t>
      </w:r>
    </w:p>
    <w:p w14:paraId="1E091E97" w14:textId="56BC6889" w:rsidR="00D22E9E" w:rsidRPr="002374EC" w:rsidRDefault="00D22E9E" w:rsidP="00627837">
      <w:pPr>
        <w:spacing w:after="0" w:line="360" w:lineRule="auto"/>
        <w:jc w:val="both"/>
        <w:rPr>
          <w:rFonts w:ascii="Arial" w:hAnsi="Arial" w:cs="Arial"/>
        </w:rPr>
      </w:pPr>
      <w:r w:rsidRPr="002374EC">
        <w:rPr>
          <w:rFonts w:ascii="Arial" w:hAnsi="Arial" w:cs="Arial"/>
        </w:rPr>
        <w:t>I want to say my utmost thanks to everyone who helped me in this research process.</w:t>
      </w:r>
    </w:p>
    <w:p w14:paraId="6BCBF179" w14:textId="6C9EB675" w:rsidR="00D22E9E" w:rsidRPr="002374EC" w:rsidRDefault="00D22E9E" w:rsidP="00627837">
      <w:pPr>
        <w:spacing w:after="0" w:line="360" w:lineRule="auto"/>
        <w:jc w:val="both"/>
        <w:rPr>
          <w:rFonts w:ascii="Arial" w:hAnsi="Arial" w:cs="Arial"/>
        </w:rPr>
      </w:pPr>
      <w:r w:rsidRPr="002374EC">
        <w:rPr>
          <w:rFonts w:ascii="Arial" w:hAnsi="Arial" w:cs="Arial"/>
        </w:rPr>
        <w:t>To start with, I would like to acknowledge my supervisor, Dr Farah Wiita, who guided me, provided invaluable advice and support during the course of creating and finishing the dissertation. Her positive feedback and support have done a lot in developing this work.</w:t>
      </w:r>
    </w:p>
    <w:p w14:paraId="16D4D125" w14:textId="457D08E7" w:rsidR="00D22E9E" w:rsidRPr="002374EC" w:rsidRDefault="00D22E9E" w:rsidP="00627837">
      <w:pPr>
        <w:spacing w:after="0" w:line="360" w:lineRule="auto"/>
        <w:jc w:val="both"/>
        <w:rPr>
          <w:rFonts w:ascii="Arial" w:hAnsi="Arial" w:cs="Arial"/>
        </w:rPr>
      </w:pPr>
      <w:r w:rsidRPr="002374EC">
        <w:rPr>
          <w:rFonts w:ascii="Arial" w:hAnsi="Arial" w:cs="Arial"/>
        </w:rPr>
        <w:t>The University of Wales Trinity Saint David, the Institute of Inner-city Learning, London Campus, has provided the academic setting and resources that I needed to conduct this research.</w:t>
      </w:r>
    </w:p>
    <w:p w14:paraId="22B6ED89" w14:textId="68CB4FCC" w:rsidR="00D22E9E" w:rsidRPr="002374EC" w:rsidRDefault="00D22E9E" w:rsidP="00627837">
      <w:pPr>
        <w:spacing w:after="0" w:line="360" w:lineRule="auto"/>
        <w:jc w:val="both"/>
        <w:rPr>
          <w:rFonts w:ascii="Arial" w:hAnsi="Arial" w:cs="Arial"/>
        </w:rPr>
      </w:pPr>
      <w:r w:rsidRPr="002374EC">
        <w:rPr>
          <w:rFonts w:ascii="Arial" w:hAnsi="Arial" w:cs="Arial"/>
        </w:rPr>
        <w:t>I would also like to give a nod to the MSc Public Health and Social Care in Practice programme staff and other students because of their insight and support that they have offered me during this academic year.</w:t>
      </w:r>
    </w:p>
    <w:p w14:paraId="0655C8A2" w14:textId="1503214B" w:rsidR="00D22E9E" w:rsidRPr="002374EC" w:rsidRDefault="00D22E9E" w:rsidP="00627837">
      <w:pPr>
        <w:spacing w:after="0" w:line="360" w:lineRule="auto"/>
        <w:jc w:val="both"/>
        <w:rPr>
          <w:rFonts w:ascii="Arial" w:hAnsi="Arial" w:cs="Arial"/>
        </w:rPr>
      </w:pPr>
      <w:r w:rsidRPr="002374EC">
        <w:rPr>
          <w:rFonts w:ascii="Arial" w:hAnsi="Arial" w:cs="Arial"/>
        </w:rPr>
        <w:t>Lastly, I owe much of the success and patience of completing this dissertation to my family and friends, who have always been understanding and supportive of me.</w:t>
      </w:r>
    </w:p>
    <w:p w14:paraId="6DD7150D" w14:textId="7B251BF3" w:rsidR="009F64C5" w:rsidRPr="002374EC" w:rsidRDefault="00D22E9E" w:rsidP="00627837">
      <w:pPr>
        <w:spacing w:after="0" w:line="360" w:lineRule="auto"/>
        <w:jc w:val="both"/>
        <w:rPr>
          <w:rFonts w:ascii="Arial" w:hAnsi="Arial" w:cs="Arial"/>
        </w:rPr>
      </w:pPr>
      <w:r w:rsidRPr="002374EC">
        <w:rPr>
          <w:rFonts w:ascii="Arial" w:hAnsi="Arial" w:cs="Arial"/>
        </w:rPr>
        <w:t>The young, uneducated, unemployed, or untrained group is focused on in this work, and they cannot access the mental health services they rightfully need.</w:t>
      </w:r>
    </w:p>
    <w:p w14:paraId="6F4F74AD" w14:textId="77777777" w:rsidR="009F64C5" w:rsidRPr="002374EC" w:rsidRDefault="009F64C5" w:rsidP="00627837">
      <w:pPr>
        <w:spacing w:after="0" w:line="360" w:lineRule="auto"/>
        <w:rPr>
          <w:rFonts w:ascii="Arial" w:hAnsi="Arial" w:cs="Arial"/>
        </w:rPr>
      </w:pPr>
      <w:r w:rsidRPr="002374EC">
        <w:rPr>
          <w:rFonts w:ascii="Arial" w:hAnsi="Arial" w:cs="Arial"/>
        </w:rPr>
        <w:t xml:space="preserve"> </w:t>
      </w:r>
      <w:r w:rsidRPr="002374EC">
        <w:rPr>
          <w:rFonts w:ascii="Arial" w:hAnsi="Arial" w:cs="Arial"/>
        </w:rPr>
        <w:tab/>
        <w:t xml:space="preserve"> </w:t>
      </w:r>
      <w:r w:rsidRPr="002374EC">
        <w:rPr>
          <w:rFonts w:ascii="Arial" w:hAnsi="Arial" w:cs="Arial"/>
        </w:rPr>
        <w:br w:type="page"/>
      </w:r>
    </w:p>
    <w:p w14:paraId="563C12D9" w14:textId="42A94F60" w:rsidR="009F64C5" w:rsidRPr="002374EC" w:rsidRDefault="009F64C5" w:rsidP="00627837">
      <w:pPr>
        <w:pStyle w:val="Heading2"/>
        <w:spacing w:after="0" w:line="360" w:lineRule="auto"/>
        <w:ind w:left="12" w:right="5"/>
        <w:rPr>
          <w:rFonts w:ascii="Arial" w:hAnsi="Arial" w:cs="Arial"/>
          <w:color w:val="auto"/>
          <w:sz w:val="22"/>
        </w:rPr>
      </w:pPr>
      <w:bookmarkStart w:id="1" w:name="_Toc220926165"/>
      <w:r w:rsidRPr="002374EC">
        <w:rPr>
          <w:rFonts w:ascii="Arial" w:hAnsi="Arial" w:cs="Arial"/>
          <w:color w:val="auto"/>
          <w:sz w:val="22"/>
        </w:rPr>
        <w:lastRenderedPageBreak/>
        <w:t>Abstract</w:t>
      </w:r>
      <w:bookmarkEnd w:id="1"/>
    </w:p>
    <w:p w14:paraId="59ABEE5D" w14:textId="77777777" w:rsidR="009F64C5" w:rsidRPr="002374EC" w:rsidRDefault="009F64C5" w:rsidP="00627837">
      <w:pPr>
        <w:spacing w:after="0" w:line="360" w:lineRule="auto"/>
        <w:rPr>
          <w:rFonts w:ascii="Arial" w:hAnsi="Arial" w:cs="Arial"/>
        </w:rPr>
      </w:pPr>
      <w:r w:rsidRPr="002374EC">
        <w:rPr>
          <w:rFonts w:ascii="Arial" w:hAnsi="Arial" w:cs="Arial"/>
        </w:rPr>
        <w:t xml:space="preserve"> </w:t>
      </w:r>
    </w:p>
    <w:p w14:paraId="33A30E9E" w14:textId="77777777" w:rsidR="00D22E9E" w:rsidRPr="002374EC" w:rsidRDefault="00D22E9E" w:rsidP="00627837">
      <w:pPr>
        <w:spacing w:after="0" w:line="360" w:lineRule="auto"/>
        <w:jc w:val="both"/>
        <w:rPr>
          <w:rFonts w:ascii="Arial" w:hAnsi="Arial" w:cs="Arial"/>
        </w:rPr>
      </w:pPr>
      <w:r w:rsidRPr="002374EC">
        <w:rPr>
          <w:rFonts w:ascii="Arial" w:hAnsi="Arial" w:cs="Arial"/>
        </w:rPr>
        <w:t>Background:</w:t>
      </w:r>
    </w:p>
    <w:p w14:paraId="1174833E" w14:textId="7F699283" w:rsidR="00D22E9E" w:rsidRPr="002374EC" w:rsidRDefault="00D22E9E" w:rsidP="00627837">
      <w:pPr>
        <w:spacing w:after="0" w:line="360" w:lineRule="auto"/>
        <w:jc w:val="both"/>
        <w:rPr>
          <w:rFonts w:ascii="Arial" w:hAnsi="Arial" w:cs="Arial"/>
        </w:rPr>
      </w:pPr>
      <w:r w:rsidRPr="002374EC">
        <w:rPr>
          <w:rFonts w:ascii="Arial" w:hAnsi="Arial" w:cs="Arial"/>
        </w:rPr>
        <w:t>Uneducated, unemployed, and young adults between the ages of 18</w:t>
      </w:r>
      <w:r w:rsidR="000B1420" w:rsidRPr="002374EC">
        <w:rPr>
          <w:rFonts w:ascii="Arial" w:hAnsi="Arial" w:cs="Arial"/>
        </w:rPr>
        <w:t xml:space="preserve"> and </w:t>
      </w:r>
      <w:r w:rsidRPr="002374EC">
        <w:rPr>
          <w:rFonts w:ascii="Arial" w:hAnsi="Arial" w:cs="Arial"/>
        </w:rPr>
        <w:t>25 (NEET) have increased mental health risks but are highly disadvantaged in obtaining services. A total of NEETs amount to 987,000 young people in the UK, but there are limited studies that specifically focus on determining barriers to mental health service utilisation by young people.</w:t>
      </w:r>
    </w:p>
    <w:p w14:paraId="3DDB8BB5" w14:textId="77777777" w:rsidR="00D22E9E" w:rsidRPr="002374EC" w:rsidRDefault="00D22E9E" w:rsidP="00627837">
      <w:pPr>
        <w:spacing w:after="0" w:line="360" w:lineRule="auto"/>
        <w:jc w:val="both"/>
        <w:rPr>
          <w:rFonts w:ascii="Arial" w:hAnsi="Arial" w:cs="Arial"/>
        </w:rPr>
      </w:pPr>
    </w:p>
    <w:p w14:paraId="2A8B82B6" w14:textId="77777777" w:rsidR="00D22E9E" w:rsidRPr="002374EC" w:rsidRDefault="00D22E9E" w:rsidP="00627837">
      <w:pPr>
        <w:spacing w:after="0" w:line="360" w:lineRule="auto"/>
        <w:jc w:val="both"/>
        <w:rPr>
          <w:rFonts w:ascii="Arial" w:hAnsi="Arial" w:cs="Arial"/>
        </w:rPr>
      </w:pPr>
      <w:r w:rsidRPr="002374EC">
        <w:rPr>
          <w:rFonts w:ascii="Arial" w:hAnsi="Arial" w:cs="Arial"/>
        </w:rPr>
        <w:t>Aim:</w:t>
      </w:r>
    </w:p>
    <w:p w14:paraId="45223F6E" w14:textId="232B02E3" w:rsidR="00D22E9E" w:rsidRPr="002374EC" w:rsidRDefault="00D22E9E" w:rsidP="00627837">
      <w:pPr>
        <w:spacing w:after="0" w:line="360" w:lineRule="auto"/>
        <w:jc w:val="both"/>
        <w:rPr>
          <w:rFonts w:ascii="Arial" w:hAnsi="Arial" w:cs="Arial"/>
        </w:rPr>
      </w:pPr>
      <w:r w:rsidRPr="002374EC">
        <w:rPr>
          <w:rFonts w:ascii="Arial" w:hAnsi="Arial" w:cs="Arial"/>
        </w:rPr>
        <w:t>To conduct a systematic review and summarise evidence about the barriers to the use of mental health services among NEET young adults between the ages of 18 and 25 in the UK.</w:t>
      </w:r>
    </w:p>
    <w:p w14:paraId="4DE84B75" w14:textId="77777777" w:rsidR="00D22E9E" w:rsidRPr="002374EC" w:rsidRDefault="00D22E9E" w:rsidP="00627837">
      <w:pPr>
        <w:spacing w:after="0" w:line="360" w:lineRule="auto"/>
        <w:jc w:val="both"/>
        <w:rPr>
          <w:rFonts w:ascii="Arial" w:hAnsi="Arial" w:cs="Arial"/>
        </w:rPr>
      </w:pPr>
    </w:p>
    <w:p w14:paraId="63A3A1F1" w14:textId="77777777" w:rsidR="00D22E9E" w:rsidRPr="002374EC" w:rsidRDefault="00D22E9E" w:rsidP="00627837">
      <w:pPr>
        <w:spacing w:after="0" w:line="360" w:lineRule="auto"/>
        <w:jc w:val="both"/>
        <w:rPr>
          <w:rFonts w:ascii="Arial" w:hAnsi="Arial" w:cs="Arial"/>
        </w:rPr>
      </w:pPr>
      <w:r w:rsidRPr="002374EC">
        <w:rPr>
          <w:rFonts w:ascii="Arial" w:hAnsi="Arial" w:cs="Arial"/>
        </w:rPr>
        <w:t>Methods:</w:t>
      </w:r>
    </w:p>
    <w:p w14:paraId="17887D9C" w14:textId="6048478F" w:rsidR="00D22E9E" w:rsidRPr="002374EC" w:rsidRDefault="00D22E9E" w:rsidP="00627837">
      <w:pPr>
        <w:spacing w:after="0" w:line="360" w:lineRule="auto"/>
        <w:jc w:val="both"/>
        <w:rPr>
          <w:rFonts w:ascii="Arial" w:hAnsi="Arial" w:cs="Arial"/>
        </w:rPr>
      </w:pPr>
      <w:r w:rsidRPr="002374EC">
        <w:rPr>
          <w:rFonts w:ascii="Arial" w:hAnsi="Arial" w:cs="Arial"/>
        </w:rPr>
        <w:t>A PRISMA 2020 systematic review was carried out. PubMed and PsycINFO databases (2015 and above), along with grey literature, were searched. The Critical Appraisal Skills Programme was used in quality assessment through checklists. Topical synthesis recognised and identified obstacles.</w:t>
      </w:r>
    </w:p>
    <w:p w14:paraId="6A478217" w14:textId="77777777" w:rsidR="00D22E9E" w:rsidRPr="002374EC" w:rsidRDefault="00D22E9E" w:rsidP="00627837">
      <w:pPr>
        <w:spacing w:after="0" w:line="360" w:lineRule="auto"/>
        <w:jc w:val="both"/>
        <w:rPr>
          <w:rFonts w:ascii="Arial" w:hAnsi="Arial" w:cs="Arial"/>
        </w:rPr>
      </w:pPr>
    </w:p>
    <w:p w14:paraId="5456A3F1" w14:textId="77777777" w:rsidR="00D22E9E" w:rsidRPr="002374EC" w:rsidRDefault="00D22E9E" w:rsidP="00627837">
      <w:pPr>
        <w:spacing w:after="0" w:line="360" w:lineRule="auto"/>
        <w:jc w:val="both"/>
        <w:rPr>
          <w:rFonts w:ascii="Arial" w:hAnsi="Arial" w:cs="Arial"/>
        </w:rPr>
      </w:pPr>
      <w:r w:rsidRPr="002374EC">
        <w:rPr>
          <w:rFonts w:ascii="Arial" w:hAnsi="Arial" w:cs="Arial"/>
        </w:rPr>
        <w:t>Results:</w:t>
      </w:r>
    </w:p>
    <w:p w14:paraId="1ADC2A7F" w14:textId="530A9088" w:rsidR="00D22E9E" w:rsidRPr="002374EC" w:rsidRDefault="00D22E9E" w:rsidP="00627837">
      <w:pPr>
        <w:spacing w:after="0" w:line="360" w:lineRule="auto"/>
        <w:jc w:val="both"/>
        <w:rPr>
          <w:rFonts w:ascii="Arial" w:hAnsi="Arial" w:cs="Arial"/>
        </w:rPr>
      </w:pPr>
      <w:r w:rsidRPr="002374EC">
        <w:rPr>
          <w:rFonts w:ascii="Arial" w:hAnsi="Arial" w:cs="Arial"/>
        </w:rPr>
        <w:t>Three studies (3 completely, 8 partially), including about 7,842 NEET participants, were included. Everyone had a high methodological quality (mean CASP score 9.0/10). Thematic synthesis revealed 14 barriers in three affective domains, namely, structural/systemic (institutional exclusion, waiting times, high attrition, referral delays, complexity of navigation, practical obstacles); attitudinal /psychological (doublet stigma, hopelessness, preference to self-reliance, fear of consequences, negative expectations); and social/interpersonal (lack of support, service fragmentation, perceived irrelevance). Institutional exclusion, double stigma, and hopelessness were the most significant NEET-related barriers. The intersection was fully covered by only three studies, which demonstrated a gap in the evidence.</w:t>
      </w:r>
    </w:p>
    <w:p w14:paraId="0B570ABA" w14:textId="77777777" w:rsidR="00D22E9E" w:rsidRPr="002374EC" w:rsidRDefault="00D22E9E" w:rsidP="00627837">
      <w:pPr>
        <w:spacing w:after="0" w:line="360" w:lineRule="auto"/>
        <w:jc w:val="both"/>
        <w:rPr>
          <w:rFonts w:ascii="Arial" w:hAnsi="Arial" w:cs="Arial"/>
        </w:rPr>
      </w:pPr>
    </w:p>
    <w:p w14:paraId="25434B14" w14:textId="77777777" w:rsidR="00D22E9E" w:rsidRPr="002374EC" w:rsidRDefault="00D22E9E" w:rsidP="00627837">
      <w:pPr>
        <w:spacing w:after="0" w:line="360" w:lineRule="auto"/>
        <w:jc w:val="both"/>
        <w:rPr>
          <w:rFonts w:ascii="Arial" w:hAnsi="Arial" w:cs="Arial"/>
        </w:rPr>
      </w:pPr>
      <w:r w:rsidRPr="002374EC">
        <w:rPr>
          <w:rFonts w:ascii="Arial" w:hAnsi="Arial" w:cs="Arial"/>
        </w:rPr>
        <w:t>Conclusions:</w:t>
      </w:r>
    </w:p>
    <w:p w14:paraId="21A3F903" w14:textId="716D0FE3" w:rsidR="00D22E9E" w:rsidRPr="002374EC" w:rsidRDefault="00D22E9E" w:rsidP="00627837">
      <w:pPr>
        <w:spacing w:after="0" w:line="360" w:lineRule="auto"/>
        <w:jc w:val="both"/>
        <w:rPr>
          <w:rFonts w:ascii="Arial" w:hAnsi="Arial" w:cs="Arial"/>
        </w:rPr>
      </w:pPr>
      <w:r w:rsidRPr="002374EC">
        <w:rPr>
          <w:rFonts w:ascii="Arial" w:hAnsi="Arial" w:cs="Arial"/>
        </w:rPr>
        <w:t>NEET young adults with multiple and overlapping challenges to access mental health services. This initial synthesis at this crossing point raises acute requirements of alternative access routes, shorter waiting periods, a combined format of service, and NEET-specific research studies. To achieve better access, it is necessary to change the system, both organisationally, attitudinally, and socially.</w:t>
      </w:r>
    </w:p>
    <w:p w14:paraId="2A94AB27" w14:textId="77777777" w:rsidR="00D22E9E" w:rsidRPr="002374EC" w:rsidRDefault="00D22E9E" w:rsidP="00627837">
      <w:pPr>
        <w:spacing w:after="0" w:line="360" w:lineRule="auto"/>
        <w:jc w:val="both"/>
        <w:rPr>
          <w:rFonts w:ascii="Arial" w:hAnsi="Arial" w:cs="Arial"/>
        </w:rPr>
      </w:pPr>
    </w:p>
    <w:p w14:paraId="2476C073" w14:textId="77777777" w:rsidR="00D22E9E" w:rsidRPr="002374EC" w:rsidRDefault="00D22E9E" w:rsidP="00627837">
      <w:pPr>
        <w:spacing w:after="0" w:line="360" w:lineRule="auto"/>
        <w:jc w:val="both"/>
        <w:rPr>
          <w:rFonts w:ascii="Arial" w:hAnsi="Arial" w:cs="Arial"/>
        </w:rPr>
      </w:pPr>
      <w:r w:rsidRPr="002374EC">
        <w:rPr>
          <w:rFonts w:ascii="Arial" w:hAnsi="Arial" w:cs="Arial"/>
        </w:rPr>
        <w:t>Keywords:</w:t>
      </w:r>
    </w:p>
    <w:p w14:paraId="4BB12813" w14:textId="7AC1C7FA" w:rsidR="000555DE" w:rsidRPr="002374EC" w:rsidRDefault="00D22E9E" w:rsidP="00627837">
      <w:pPr>
        <w:spacing w:after="0" w:line="360" w:lineRule="auto"/>
        <w:jc w:val="both"/>
        <w:rPr>
          <w:rFonts w:ascii="Arial" w:hAnsi="Arial" w:cs="Arial"/>
        </w:rPr>
      </w:pPr>
      <w:r w:rsidRPr="002374EC">
        <w:rPr>
          <w:rFonts w:ascii="Arial" w:hAnsi="Arial" w:cs="Arial"/>
        </w:rPr>
        <w:lastRenderedPageBreak/>
        <w:t>NEET; mental health services; Barriers; young adults; systematic review; service utilisation; health equity.</w:t>
      </w:r>
      <w:r w:rsidR="009F64C5" w:rsidRPr="002374EC">
        <w:rPr>
          <w:rFonts w:ascii="Arial" w:hAnsi="Arial" w:cs="Arial"/>
        </w:rPr>
        <w:t xml:space="preserve"> </w:t>
      </w:r>
      <w:r w:rsidR="009F64C5" w:rsidRPr="002374EC">
        <w:rPr>
          <w:rFonts w:ascii="Arial" w:hAnsi="Arial" w:cs="Arial"/>
        </w:rPr>
        <w:tab/>
        <w:t xml:space="preserve"> </w:t>
      </w:r>
    </w:p>
    <w:p w14:paraId="361B4A4C" w14:textId="77777777" w:rsidR="000555DE" w:rsidRPr="002374EC" w:rsidRDefault="000555DE" w:rsidP="00627837">
      <w:pPr>
        <w:spacing w:after="0" w:line="360" w:lineRule="auto"/>
        <w:rPr>
          <w:rFonts w:ascii="Arial" w:hAnsi="Arial" w:cs="Arial"/>
        </w:rPr>
      </w:pPr>
      <w:r w:rsidRPr="002374EC">
        <w:rPr>
          <w:rFonts w:ascii="Arial" w:hAnsi="Arial" w:cs="Arial"/>
        </w:rPr>
        <w:br w:type="page"/>
      </w:r>
    </w:p>
    <w:p w14:paraId="7CDD196C" w14:textId="77777777" w:rsidR="009F64C5" w:rsidRPr="002374EC" w:rsidRDefault="009F64C5" w:rsidP="00627837">
      <w:pPr>
        <w:spacing w:after="0" w:line="360" w:lineRule="auto"/>
        <w:ind w:left="705"/>
        <w:rPr>
          <w:rFonts w:ascii="Arial" w:hAnsi="Arial" w:cs="Arial"/>
        </w:rPr>
      </w:pPr>
    </w:p>
    <w:sdt>
      <w:sdtPr>
        <w:rPr>
          <w:rFonts w:ascii="Arial" w:eastAsiaTheme="minorEastAsia" w:hAnsi="Arial" w:cs="Arial"/>
          <w:color w:val="auto"/>
          <w:kern w:val="2"/>
          <w:sz w:val="22"/>
          <w:szCs w:val="22"/>
          <w:lang w:val="en-GB" w:eastAsia="zh-CN"/>
          <w14:ligatures w14:val="standardContextual"/>
        </w:rPr>
        <w:id w:val="-1154370274"/>
        <w:docPartObj>
          <w:docPartGallery w:val="Table of Contents"/>
          <w:docPartUnique/>
        </w:docPartObj>
      </w:sdtPr>
      <w:sdtEndPr>
        <w:rPr>
          <w:b/>
          <w:bCs/>
          <w:noProof/>
        </w:rPr>
      </w:sdtEndPr>
      <w:sdtContent>
        <w:p w14:paraId="3049F455" w14:textId="51A26212" w:rsidR="001004D8" w:rsidRPr="002374EC" w:rsidRDefault="001004D8">
          <w:pPr>
            <w:pStyle w:val="TOCHeading"/>
            <w:rPr>
              <w:rFonts w:ascii="Arial" w:hAnsi="Arial" w:cs="Arial"/>
              <w:color w:val="auto"/>
            </w:rPr>
          </w:pPr>
          <w:r w:rsidRPr="002374EC">
            <w:rPr>
              <w:rFonts w:ascii="Arial" w:hAnsi="Arial" w:cs="Arial"/>
              <w:color w:val="auto"/>
            </w:rPr>
            <w:t>Table of Contents</w:t>
          </w:r>
        </w:p>
        <w:p w14:paraId="7AAFC965" w14:textId="792A3C9D" w:rsidR="000B2682" w:rsidRDefault="00B2465B">
          <w:pPr>
            <w:pStyle w:val="TOC2"/>
            <w:tabs>
              <w:tab w:val="right" w:leader="dot" w:pos="9016"/>
            </w:tabs>
            <w:rPr>
              <w:noProof/>
              <w:sz w:val="24"/>
              <w:szCs w:val="24"/>
              <w:lang w:eastAsia="en-GB"/>
            </w:rPr>
          </w:pPr>
          <w:r>
            <w:rPr>
              <w:rFonts w:ascii="Arial" w:hAnsi="Arial" w:cs="Arial"/>
            </w:rPr>
            <w:t>gure</w:t>
          </w:r>
          <w:r w:rsidR="001004D8" w:rsidRPr="002374EC">
            <w:rPr>
              <w:rFonts w:ascii="Arial" w:hAnsi="Arial" w:cs="Arial"/>
            </w:rPr>
            <w:fldChar w:fldCharType="begin"/>
          </w:r>
          <w:r w:rsidR="001004D8" w:rsidRPr="002374EC">
            <w:rPr>
              <w:rFonts w:ascii="Arial" w:hAnsi="Arial" w:cs="Arial"/>
            </w:rPr>
            <w:instrText xml:space="preserve"> TOC \o "1-3" \h \z \u </w:instrText>
          </w:r>
          <w:r w:rsidR="001004D8" w:rsidRPr="002374EC">
            <w:rPr>
              <w:rFonts w:ascii="Arial" w:hAnsi="Arial" w:cs="Arial"/>
            </w:rPr>
            <w:fldChar w:fldCharType="separate"/>
          </w:r>
          <w:hyperlink w:anchor="_Toc220926164" w:history="1">
            <w:r w:rsidR="000B2682" w:rsidRPr="007F38DA">
              <w:rPr>
                <w:rStyle w:val="Hyperlink"/>
                <w:rFonts w:ascii="Arial" w:hAnsi="Arial" w:cs="Arial"/>
                <w:noProof/>
              </w:rPr>
              <w:t>Acknowledgements</w:t>
            </w:r>
            <w:r w:rsidR="000B2682">
              <w:rPr>
                <w:noProof/>
                <w:webHidden/>
              </w:rPr>
              <w:tab/>
            </w:r>
            <w:r w:rsidR="000B2682">
              <w:rPr>
                <w:noProof/>
                <w:webHidden/>
              </w:rPr>
              <w:fldChar w:fldCharType="begin"/>
            </w:r>
            <w:r w:rsidR="000B2682">
              <w:rPr>
                <w:noProof/>
                <w:webHidden/>
              </w:rPr>
              <w:instrText xml:space="preserve"> PAGEREF _Toc220926164 \h </w:instrText>
            </w:r>
            <w:r w:rsidR="000B2682">
              <w:rPr>
                <w:noProof/>
                <w:webHidden/>
              </w:rPr>
            </w:r>
            <w:r w:rsidR="000B2682">
              <w:rPr>
                <w:noProof/>
                <w:webHidden/>
              </w:rPr>
              <w:fldChar w:fldCharType="separate"/>
            </w:r>
            <w:r w:rsidR="000B2682">
              <w:rPr>
                <w:noProof/>
                <w:webHidden/>
              </w:rPr>
              <w:t>3</w:t>
            </w:r>
            <w:r w:rsidR="000B2682">
              <w:rPr>
                <w:noProof/>
                <w:webHidden/>
              </w:rPr>
              <w:fldChar w:fldCharType="end"/>
            </w:r>
          </w:hyperlink>
        </w:p>
        <w:p w14:paraId="44CE1A8E" w14:textId="62C9AF9F" w:rsidR="000B2682" w:rsidRDefault="000B2682">
          <w:pPr>
            <w:pStyle w:val="TOC2"/>
            <w:tabs>
              <w:tab w:val="right" w:leader="dot" w:pos="9016"/>
            </w:tabs>
            <w:rPr>
              <w:noProof/>
              <w:sz w:val="24"/>
              <w:szCs w:val="24"/>
              <w:lang w:eastAsia="en-GB"/>
            </w:rPr>
          </w:pPr>
          <w:hyperlink w:anchor="_Toc220926165" w:history="1">
            <w:r w:rsidRPr="007F38DA">
              <w:rPr>
                <w:rStyle w:val="Hyperlink"/>
                <w:rFonts w:ascii="Arial" w:hAnsi="Arial" w:cs="Arial"/>
                <w:noProof/>
              </w:rPr>
              <w:t>Abstract</w:t>
            </w:r>
            <w:r>
              <w:rPr>
                <w:noProof/>
                <w:webHidden/>
              </w:rPr>
              <w:tab/>
            </w:r>
            <w:r>
              <w:rPr>
                <w:noProof/>
                <w:webHidden/>
              </w:rPr>
              <w:fldChar w:fldCharType="begin"/>
            </w:r>
            <w:r>
              <w:rPr>
                <w:noProof/>
                <w:webHidden/>
              </w:rPr>
              <w:instrText xml:space="preserve"> PAGEREF _Toc220926165 \h </w:instrText>
            </w:r>
            <w:r>
              <w:rPr>
                <w:noProof/>
                <w:webHidden/>
              </w:rPr>
            </w:r>
            <w:r>
              <w:rPr>
                <w:noProof/>
                <w:webHidden/>
              </w:rPr>
              <w:fldChar w:fldCharType="separate"/>
            </w:r>
            <w:r>
              <w:rPr>
                <w:noProof/>
                <w:webHidden/>
              </w:rPr>
              <w:t>4</w:t>
            </w:r>
            <w:r>
              <w:rPr>
                <w:noProof/>
                <w:webHidden/>
              </w:rPr>
              <w:fldChar w:fldCharType="end"/>
            </w:r>
          </w:hyperlink>
        </w:p>
        <w:p w14:paraId="31DDA4F6" w14:textId="73588718"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166" w:history="1">
            <w:r w:rsidRPr="007F38DA">
              <w:rPr>
                <w:rStyle w:val="Hyperlink"/>
                <w:rFonts w:ascii="Arial" w:eastAsiaTheme="majorEastAsia" w:hAnsi="Arial" w:cs="Arial"/>
                <w:noProof/>
              </w:rPr>
              <w:t>List of figures</w:t>
            </w:r>
            <w:r>
              <w:rPr>
                <w:noProof/>
                <w:webHidden/>
              </w:rPr>
              <w:tab/>
            </w:r>
            <w:r>
              <w:rPr>
                <w:noProof/>
                <w:webHidden/>
              </w:rPr>
              <w:fldChar w:fldCharType="begin"/>
            </w:r>
            <w:r>
              <w:rPr>
                <w:noProof/>
                <w:webHidden/>
              </w:rPr>
              <w:instrText xml:space="preserve"> PAGEREF _Toc220926166 \h </w:instrText>
            </w:r>
            <w:r>
              <w:rPr>
                <w:noProof/>
                <w:webHidden/>
              </w:rPr>
            </w:r>
            <w:r>
              <w:rPr>
                <w:noProof/>
                <w:webHidden/>
              </w:rPr>
              <w:fldChar w:fldCharType="separate"/>
            </w:r>
            <w:r>
              <w:rPr>
                <w:noProof/>
                <w:webHidden/>
              </w:rPr>
              <w:t>9</w:t>
            </w:r>
            <w:r>
              <w:rPr>
                <w:noProof/>
                <w:webHidden/>
              </w:rPr>
              <w:fldChar w:fldCharType="end"/>
            </w:r>
          </w:hyperlink>
        </w:p>
        <w:p w14:paraId="1F0E3002" w14:textId="09E37E48"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167" w:history="1">
            <w:r w:rsidRPr="007F38DA">
              <w:rPr>
                <w:rStyle w:val="Hyperlink"/>
                <w:rFonts w:ascii="Arial" w:eastAsiaTheme="majorEastAsia" w:hAnsi="Arial" w:cs="Arial"/>
                <w:noProof/>
              </w:rPr>
              <w:t>List of tables</w:t>
            </w:r>
            <w:r>
              <w:rPr>
                <w:noProof/>
                <w:webHidden/>
              </w:rPr>
              <w:tab/>
            </w:r>
            <w:r>
              <w:rPr>
                <w:noProof/>
                <w:webHidden/>
              </w:rPr>
              <w:fldChar w:fldCharType="begin"/>
            </w:r>
            <w:r>
              <w:rPr>
                <w:noProof/>
                <w:webHidden/>
              </w:rPr>
              <w:instrText xml:space="preserve"> PAGEREF _Toc220926167 \h </w:instrText>
            </w:r>
            <w:r>
              <w:rPr>
                <w:noProof/>
                <w:webHidden/>
              </w:rPr>
            </w:r>
            <w:r>
              <w:rPr>
                <w:noProof/>
                <w:webHidden/>
              </w:rPr>
              <w:fldChar w:fldCharType="separate"/>
            </w:r>
            <w:r>
              <w:rPr>
                <w:noProof/>
                <w:webHidden/>
              </w:rPr>
              <w:t>10</w:t>
            </w:r>
            <w:r>
              <w:rPr>
                <w:noProof/>
                <w:webHidden/>
              </w:rPr>
              <w:fldChar w:fldCharType="end"/>
            </w:r>
          </w:hyperlink>
        </w:p>
        <w:p w14:paraId="7E5490DE" w14:textId="288093CB"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168" w:history="1">
            <w:r w:rsidRPr="007F38DA">
              <w:rPr>
                <w:rStyle w:val="Hyperlink"/>
                <w:rFonts w:ascii="Arial" w:eastAsiaTheme="majorEastAsia" w:hAnsi="Arial" w:cs="Arial"/>
                <w:noProof/>
              </w:rPr>
              <w:t>List of abbreviations</w:t>
            </w:r>
            <w:r>
              <w:rPr>
                <w:noProof/>
                <w:webHidden/>
              </w:rPr>
              <w:tab/>
            </w:r>
            <w:r>
              <w:rPr>
                <w:noProof/>
                <w:webHidden/>
              </w:rPr>
              <w:fldChar w:fldCharType="begin"/>
            </w:r>
            <w:r>
              <w:rPr>
                <w:noProof/>
                <w:webHidden/>
              </w:rPr>
              <w:instrText xml:space="preserve"> PAGEREF _Toc220926168 \h </w:instrText>
            </w:r>
            <w:r>
              <w:rPr>
                <w:noProof/>
                <w:webHidden/>
              </w:rPr>
            </w:r>
            <w:r>
              <w:rPr>
                <w:noProof/>
                <w:webHidden/>
              </w:rPr>
              <w:fldChar w:fldCharType="separate"/>
            </w:r>
            <w:r>
              <w:rPr>
                <w:noProof/>
                <w:webHidden/>
              </w:rPr>
              <w:t>11</w:t>
            </w:r>
            <w:r>
              <w:rPr>
                <w:noProof/>
                <w:webHidden/>
              </w:rPr>
              <w:fldChar w:fldCharType="end"/>
            </w:r>
          </w:hyperlink>
        </w:p>
        <w:p w14:paraId="0D46942E" w14:textId="49E7A6F1"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169" w:history="1">
            <w:r w:rsidRPr="007F38DA">
              <w:rPr>
                <w:rStyle w:val="Hyperlink"/>
                <w:rFonts w:ascii="Arial" w:eastAsiaTheme="majorEastAsia" w:hAnsi="Arial" w:cs="Arial"/>
                <w:noProof/>
              </w:rPr>
              <w:t>Chapter 1: Introduction</w:t>
            </w:r>
            <w:r>
              <w:rPr>
                <w:noProof/>
                <w:webHidden/>
              </w:rPr>
              <w:tab/>
            </w:r>
            <w:r>
              <w:rPr>
                <w:noProof/>
                <w:webHidden/>
              </w:rPr>
              <w:fldChar w:fldCharType="begin"/>
            </w:r>
            <w:r>
              <w:rPr>
                <w:noProof/>
                <w:webHidden/>
              </w:rPr>
              <w:instrText xml:space="preserve"> PAGEREF _Toc220926169 \h </w:instrText>
            </w:r>
            <w:r>
              <w:rPr>
                <w:noProof/>
                <w:webHidden/>
              </w:rPr>
            </w:r>
            <w:r>
              <w:rPr>
                <w:noProof/>
                <w:webHidden/>
              </w:rPr>
              <w:fldChar w:fldCharType="separate"/>
            </w:r>
            <w:r>
              <w:rPr>
                <w:noProof/>
                <w:webHidden/>
              </w:rPr>
              <w:t>12</w:t>
            </w:r>
            <w:r>
              <w:rPr>
                <w:noProof/>
                <w:webHidden/>
              </w:rPr>
              <w:fldChar w:fldCharType="end"/>
            </w:r>
          </w:hyperlink>
        </w:p>
        <w:p w14:paraId="67AF622E" w14:textId="2A2F3A46" w:rsidR="000B2682" w:rsidRDefault="000B2682">
          <w:pPr>
            <w:pStyle w:val="TOC2"/>
            <w:tabs>
              <w:tab w:val="right" w:leader="dot" w:pos="9016"/>
            </w:tabs>
            <w:rPr>
              <w:noProof/>
              <w:sz w:val="24"/>
              <w:szCs w:val="24"/>
              <w:lang w:eastAsia="en-GB"/>
            </w:rPr>
          </w:pPr>
          <w:hyperlink w:anchor="_Toc220926170" w:history="1">
            <w:r w:rsidRPr="007F38DA">
              <w:rPr>
                <w:rStyle w:val="Hyperlink"/>
                <w:rFonts w:ascii="Arial" w:hAnsi="Arial" w:cs="Arial"/>
                <w:noProof/>
              </w:rPr>
              <w:t>1.1 Background and Context</w:t>
            </w:r>
            <w:r>
              <w:rPr>
                <w:noProof/>
                <w:webHidden/>
              </w:rPr>
              <w:tab/>
            </w:r>
            <w:r>
              <w:rPr>
                <w:noProof/>
                <w:webHidden/>
              </w:rPr>
              <w:fldChar w:fldCharType="begin"/>
            </w:r>
            <w:r>
              <w:rPr>
                <w:noProof/>
                <w:webHidden/>
              </w:rPr>
              <w:instrText xml:space="preserve"> PAGEREF _Toc220926170 \h </w:instrText>
            </w:r>
            <w:r>
              <w:rPr>
                <w:noProof/>
                <w:webHidden/>
              </w:rPr>
            </w:r>
            <w:r>
              <w:rPr>
                <w:noProof/>
                <w:webHidden/>
              </w:rPr>
              <w:fldChar w:fldCharType="separate"/>
            </w:r>
            <w:r>
              <w:rPr>
                <w:noProof/>
                <w:webHidden/>
              </w:rPr>
              <w:t>12</w:t>
            </w:r>
            <w:r>
              <w:rPr>
                <w:noProof/>
                <w:webHidden/>
              </w:rPr>
              <w:fldChar w:fldCharType="end"/>
            </w:r>
          </w:hyperlink>
        </w:p>
        <w:p w14:paraId="4E5664C3" w14:textId="2965B024" w:rsidR="000B2682" w:rsidRDefault="000B2682">
          <w:pPr>
            <w:pStyle w:val="TOC2"/>
            <w:tabs>
              <w:tab w:val="right" w:leader="dot" w:pos="9016"/>
            </w:tabs>
            <w:rPr>
              <w:noProof/>
              <w:sz w:val="24"/>
              <w:szCs w:val="24"/>
              <w:lang w:eastAsia="en-GB"/>
            </w:rPr>
          </w:pPr>
          <w:hyperlink w:anchor="_Toc220926171" w:history="1">
            <w:r w:rsidRPr="007F38DA">
              <w:rPr>
                <w:rStyle w:val="Hyperlink"/>
                <w:rFonts w:ascii="Arial" w:hAnsi="Arial" w:cs="Arial"/>
                <w:noProof/>
              </w:rPr>
              <w:t>1.2 Rationale for the Study</w:t>
            </w:r>
            <w:r>
              <w:rPr>
                <w:noProof/>
                <w:webHidden/>
              </w:rPr>
              <w:tab/>
            </w:r>
            <w:r>
              <w:rPr>
                <w:noProof/>
                <w:webHidden/>
              </w:rPr>
              <w:fldChar w:fldCharType="begin"/>
            </w:r>
            <w:r>
              <w:rPr>
                <w:noProof/>
                <w:webHidden/>
              </w:rPr>
              <w:instrText xml:space="preserve"> PAGEREF _Toc220926171 \h </w:instrText>
            </w:r>
            <w:r>
              <w:rPr>
                <w:noProof/>
                <w:webHidden/>
              </w:rPr>
            </w:r>
            <w:r>
              <w:rPr>
                <w:noProof/>
                <w:webHidden/>
              </w:rPr>
              <w:fldChar w:fldCharType="separate"/>
            </w:r>
            <w:r>
              <w:rPr>
                <w:noProof/>
                <w:webHidden/>
              </w:rPr>
              <w:t>13</w:t>
            </w:r>
            <w:r>
              <w:rPr>
                <w:noProof/>
                <w:webHidden/>
              </w:rPr>
              <w:fldChar w:fldCharType="end"/>
            </w:r>
          </w:hyperlink>
        </w:p>
        <w:p w14:paraId="636475D0" w14:textId="0747DC04" w:rsidR="000B2682" w:rsidRDefault="000B2682">
          <w:pPr>
            <w:pStyle w:val="TOC2"/>
            <w:tabs>
              <w:tab w:val="right" w:leader="dot" w:pos="9016"/>
            </w:tabs>
            <w:rPr>
              <w:noProof/>
              <w:sz w:val="24"/>
              <w:szCs w:val="24"/>
              <w:lang w:eastAsia="en-GB"/>
            </w:rPr>
          </w:pPr>
          <w:hyperlink w:anchor="_Toc220926172" w:history="1">
            <w:r w:rsidRPr="007F38DA">
              <w:rPr>
                <w:rStyle w:val="Hyperlink"/>
                <w:rFonts w:ascii="Arial" w:hAnsi="Arial" w:cs="Arial"/>
                <w:noProof/>
              </w:rPr>
              <w:t>1.3 Research Aim and Objectives</w:t>
            </w:r>
            <w:r>
              <w:rPr>
                <w:noProof/>
                <w:webHidden/>
              </w:rPr>
              <w:tab/>
            </w:r>
            <w:r>
              <w:rPr>
                <w:noProof/>
                <w:webHidden/>
              </w:rPr>
              <w:fldChar w:fldCharType="begin"/>
            </w:r>
            <w:r>
              <w:rPr>
                <w:noProof/>
                <w:webHidden/>
              </w:rPr>
              <w:instrText xml:space="preserve"> PAGEREF _Toc220926172 \h </w:instrText>
            </w:r>
            <w:r>
              <w:rPr>
                <w:noProof/>
                <w:webHidden/>
              </w:rPr>
            </w:r>
            <w:r>
              <w:rPr>
                <w:noProof/>
                <w:webHidden/>
              </w:rPr>
              <w:fldChar w:fldCharType="separate"/>
            </w:r>
            <w:r>
              <w:rPr>
                <w:noProof/>
                <w:webHidden/>
              </w:rPr>
              <w:t>14</w:t>
            </w:r>
            <w:r>
              <w:rPr>
                <w:noProof/>
                <w:webHidden/>
              </w:rPr>
              <w:fldChar w:fldCharType="end"/>
            </w:r>
          </w:hyperlink>
        </w:p>
        <w:p w14:paraId="200898C3" w14:textId="516F90C5" w:rsidR="000B2682" w:rsidRDefault="000B2682">
          <w:pPr>
            <w:pStyle w:val="TOC2"/>
            <w:tabs>
              <w:tab w:val="right" w:leader="dot" w:pos="9016"/>
            </w:tabs>
            <w:rPr>
              <w:noProof/>
              <w:sz w:val="24"/>
              <w:szCs w:val="24"/>
              <w:lang w:eastAsia="en-GB"/>
            </w:rPr>
          </w:pPr>
          <w:hyperlink w:anchor="_Toc220926173" w:history="1">
            <w:r w:rsidRPr="007F38DA">
              <w:rPr>
                <w:rStyle w:val="Hyperlink"/>
                <w:rFonts w:ascii="Arial" w:hAnsi="Arial" w:cs="Arial"/>
                <w:noProof/>
              </w:rPr>
              <w:t>1.4 Significance of the Study</w:t>
            </w:r>
            <w:r>
              <w:rPr>
                <w:noProof/>
                <w:webHidden/>
              </w:rPr>
              <w:tab/>
            </w:r>
            <w:r>
              <w:rPr>
                <w:noProof/>
                <w:webHidden/>
              </w:rPr>
              <w:fldChar w:fldCharType="begin"/>
            </w:r>
            <w:r>
              <w:rPr>
                <w:noProof/>
                <w:webHidden/>
              </w:rPr>
              <w:instrText xml:space="preserve"> PAGEREF _Toc220926173 \h </w:instrText>
            </w:r>
            <w:r>
              <w:rPr>
                <w:noProof/>
                <w:webHidden/>
              </w:rPr>
            </w:r>
            <w:r>
              <w:rPr>
                <w:noProof/>
                <w:webHidden/>
              </w:rPr>
              <w:fldChar w:fldCharType="separate"/>
            </w:r>
            <w:r>
              <w:rPr>
                <w:noProof/>
                <w:webHidden/>
              </w:rPr>
              <w:t>15</w:t>
            </w:r>
            <w:r>
              <w:rPr>
                <w:noProof/>
                <w:webHidden/>
              </w:rPr>
              <w:fldChar w:fldCharType="end"/>
            </w:r>
          </w:hyperlink>
        </w:p>
        <w:p w14:paraId="04D92F69" w14:textId="02A26D86" w:rsidR="000B2682" w:rsidRDefault="000B2682">
          <w:pPr>
            <w:pStyle w:val="TOC2"/>
            <w:tabs>
              <w:tab w:val="right" w:leader="dot" w:pos="9016"/>
            </w:tabs>
            <w:rPr>
              <w:noProof/>
              <w:sz w:val="24"/>
              <w:szCs w:val="24"/>
              <w:lang w:eastAsia="en-GB"/>
            </w:rPr>
          </w:pPr>
          <w:hyperlink w:anchor="_Toc220926174" w:history="1">
            <w:r w:rsidRPr="007F38DA">
              <w:rPr>
                <w:rStyle w:val="Hyperlink"/>
                <w:rFonts w:ascii="Arial" w:hAnsi="Arial" w:cs="Arial"/>
                <w:noProof/>
              </w:rPr>
              <w:t>1.5 Dissertation Structure</w:t>
            </w:r>
            <w:r>
              <w:rPr>
                <w:noProof/>
                <w:webHidden/>
              </w:rPr>
              <w:tab/>
            </w:r>
            <w:r>
              <w:rPr>
                <w:noProof/>
                <w:webHidden/>
              </w:rPr>
              <w:fldChar w:fldCharType="begin"/>
            </w:r>
            <w:r>
              <w:rPr>
                <w:noProof/>
                <w:webHidden/>
              </w:rPr>
              <w:instrText xml:space="preserve"> PAGEREF _Toc220926174 \h </w:instrText>
            </w:r>
            <w:r>
              <w:rPr>
                <w:noProof/>
                <w:webHidden/>
              </w:rPr>
            </w:r>
            <w:r>
              <w:rPr>
                <w:noProof/>
                <w:webHidden/>
              </w:rPr>
              <w:fldChar w:fldCharType="separate"/>
            </w:r>
            <w:r>
              <w:rPr>
                <w:noProof/>
                <w:webHidden/>
              </w:rPr>
              <w:t>15</w:t>
            </w:r>
            <w:r>
              <w:rPr>
                <w:noProof/>
                <w:webHidden/>
              </w:rPr>
              <w:fldChar w:fldCharType="end"/>
            </w:r>
          </w:hyperlink>
        </w:p>
        <w:p w14:paraId="1AFC75F6" w14:textId="24163CEA"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175" w:history="1">
            <w:r w:rsidRPr="007F38DA">
              <w:rPr>
                <w:rStyle w:val="Hyperlink"/>
                <w:rFonts w:ascii="Arial" w:eastAsiaTheme="majorEastAsia" w:hAnsi="Arial" w:cs="Arial"/>
                <w:noProof/>
              </w:rPr>
              <w:t>Chapter 2: Literature review/theoretical framework</w:t>
            </w:r>
            <w:r>
              <w:rPr>
                <w:noProof/>
                <w:webHidden/>
              </w:rPr>
              <w:tab/>
            </w:r>
            <w:r>
              <w:rPr>
                <w:noProof/>
                <w:webHidden/>
              </w:rPr>
              <w:fldChar w:fldCharType="begin"/>
            </w:r>
            <w:r>
              <w:rPr>
                <w:noProof/>
                <w:webHidden/>
              </w:rPr>
              <w:instrText xml:space="preserve"> PAGEREF _Toc220926175 \h </w:instrText>
            </w:r>
            <w:r>
              <w:rPr>
                <w:noProof/>
                <w:webHidden/>
              </w:rPr>
            </w:r>
            <w:r>
              <w:rPr>
                <w:noProof/>
                <w:webHidden/>
              </w:rPr>
              <w:fldChar w:fldCharType="separate"/>
            </w:r>
            <w:r>
              <w:rPr>
                <w:noProof/>
                <w:webHidden/>
              </w:rPr>
              <w:t>16</w:t>
            </w:r>
            <w:r>
              <w:rPr>
                <w:noProof/>
                <w:webHidden/>
              </w:rPr>
              <w:fldChar w:fldCharType="end"/>
            </w:r>
          </w:hyperlink>
        </w:p>
        <w:p w14:paraId="6246154A" w14:textId="16A0533B" w:rsidR="000B2682" w:rsidRDefault="000B2682">
          <w:pPr>
            <w:pStyle w:val="TOC2"/>
            <w:tabs>
              <w:tab w:val="right" w:leader="dot" w:pos="9016"/>
            </w:tabs>
            <w:rPr>
              <w:noProof/>
              <w:sz w:val="24"/>
              <w:szCs w:val="24"/>
              <w:lang w:eastAsia="en-GB"/>
            </w:rPr>
          </w:pPr>
          <w:hyperlink w:anchor="_Toc220926176" w:history="1">
            <w:r w:rsidRPr="007F38DA">
              <w:rPr>
                <w:rStyle w:val="Hyperlink"/>
                <w:rFonts w:ascii="Arial" w:hAnsi="Arial" w:cs="Arial"/>
                <w:noProof/>
              </w:rPr>
              <w:t>2.1 Introduction to Literature Review</w:t>
            </w:r>
            <w:r>
              <w:rPr>
                <w:noProof/>
                <w:webHidden/>
              </w:rPr>
              <w:tab/>
            </w:r>
            <w:r>
              <w:rPr>
                <w:noProof/>
                <w:webHidden/>
              </w:rPr>
              <w:fldChar w:fldCharType="begin"/>
            </w:r>
            <w:r>
              <w:rPr>
                <w:noProof/>
                <w:webHidden/>
              </w:rPr>
              <w:instrText xml:space="preserve"> PAGEREF _Toc220926176 \h </w:instrText>
            </w:r>
            <w:r>
              <w:rPr>
                <w:noProof/>
                <w:webHidden/>
              </w:rPr>
            </w:r>
            <w:r>
              <w:rPr>
                <w:noProof/>
                <w:webHidden/>
              </w:rPr>
              <w:fldChar w:fldCharType="separate"/>
            </w:r>
            <w:r>
              <w:rPr>
                <w:noProof/>
                <w:webHidden/>
              </w:rPr>
              <w:t>16</w:t>
            </w:r>
            <w:r>
              <w:rPr>
                <w:noProof/>
                <w:webHidden/>
              </w:rPr>
              <w:fldChar w:fldCharType="end"/>
            </w:r>
          </w:hyperlink>
        </w:p>
        <w:p w14:paraId="35AB9731" w14:textId="3328637F" w:rsidR="000B2682" w:rsidRDefault="000B2682">
          <w:pPr>
            <w:pStyle w:val="TOC2"/>
            <w:tabs>
              <w:tab w:val="right" w:leader="dot" w:pos="9016"/>
            </w:tabs>
            <w:rPr>
              <w:noProof/>
              <w:sz w:val="24"/>
              <w:szCs w:val="24"/>
              <w:lang w:eastAsia="en-GB"/>
            </w:rPr>
          </w:pPr>
          <w:hyperlink w:anchor="_Toc220926177" w:history="1">
            <w:r w:rsidRPr="007F38DA">
              <w:rPr>
                <w:rStyle w:val="Hyperlink"/>
                <w:rFonts w:ascii="Arial" w:hAnsi="Arial" w:cs="Arial"/>
                <w:noProof/>
              </w:rPr>
              <w:t>2.2 Conceptual Frameworks for Understanding Barriers</w:t>
            </w:r>
            <w:r>
              <w:rPr>
                <w:noProof/>
                <w:webHidden/>
              </w:rPr>
              <w:tab/>
            </w:r>
            <w:r>
              <w:rPr>
                <w:noProof/>
                <w:webHidden/>
              </w:rPr>
              <w:fldChar w:fldCharType="begin"/>
            </w:r>
            <w:r>
              <w:rPr>
                <w:noProof/>
                <w:webHidden/>
              </w:rPr>
              <w:instrText xml:space="preserve"> PAGEREF _Toc220926177 \h </w:instrText>
            </w:r>
            <w:r>
              <w:rPr>
                <w:noProof/>
                <w:webHidden/>
              </w:rPr>
            </w:r>
            <w:r>
              <w:rPr>
                <w:noProof/>
                <w:webHidden/>
              </w:rPr>
              <w:fldChar w:fldCharType="separate"/>
            </w:r>
            <w:r>
              <w:rPr>
                <w:noProof/>
                <w:webHidden/>
              </w:rPr>
              <w:t>16</w:t>
            </w:r>
            <w:r>
              <w:rPr>
                <w:noProof/>
                <w:webHidden/>
              </w:rPr>
              <w:fldChar w:fldCharType="end"/>
            </w:r>
          </w:hyperlink>
        </w:p>
        <w:p w14:paraId="12D40E71" w14:textId="0ADCD647" w:rsidR="000B2682" w:rsidRDefault="000B2682">
          <w:pPr>
            <w:pStyle w:val="TOC3"/>
            <w:tabs>
              <w:tab w:val="right" w:leader="dot" w:pos="9016"/>
            </w:tabs>
            <w:rPr>
              <w:noProof/>
              <w:sz w:val="24"/>
              <w:szCs w:val="24"/>
              <w:lang w:eastAsia="en-GB"/>
            </w:rPr>
          </w:pPr>
          <w:hyperlink w:anchor="_Toc220926178" w:history="1">
            <w:r w:rsidRPr="007F38DA">
              <w:rPr>
                <w:rStyle w:val="Hyperlink"/>
                <w:rFonts w:ascii="Arial" w:hAnsi="Arial" w:cs="Arial"/>
                <w:noProof/>
              </w:rPr>
              <w:t>2.2.1 Ecological Model of Health Service Access</w:t>
            </w:r>
            <w:r>
              <w:rPr>
                <w:noProof/>
                <w:webHidden/>
              </w:rPr>
              <w:tab/>
            </w:r>
            <w:r>
              <w:rPr>
                <w:noProof/>
                <w:webHidden/>
              </w:rPr>
              <w:fldChar w:fldCharType="begin"/>
            </w:r>
            <w:r>
              <w:rPr>
                <w:noProof/>
                <w:webHidden/>
              </w:rPr>
              <w:instrText xml:space="preserve"> PAGEREF _Toc220926178 \h </w:instrText>
            </w:r>
            <w:r>
              <w:rPr>
                <w:noProof/>
                <w:webHidden/>
              </w:rPr>
            </w:r>
            <w:r>
              <w:rPr>
                <w:noProof/>
                <w:webHidden/>
              </w:rPr>
              <w:fldChar w:fldCharType="separate"/>
            </w:r>
            <w:r>
              <w:rPr>
                <w:noProof/>
                <w:webHidden/>
              </w:rPr>
              <w:t>16</w:t>
            </w:r>
            <w:r>
              <w:rPr>
                <w:noProof/>
                <w:webHidden/>
              </w:rPr>
              <w:fldChar w:fldCharType="end"/>
            </w:r>
          </w:hyperlink>
        </w:p>
        <w:p w14:paraId="6C3ABE25" w14:textId="27C08881" w:rsidR="000B2682" w:rsidRDefault="000B2682">
          <w:pPr>
            <w:pStyle w:val="TOC3"/>
            <w:tabs>
              <w:tab w:val="right" w:leader="dot" w:pos="9016"/>
            </w:tabs>
            <w:rPr>
              <w:noProof/>
              <w:sz w:val="24"/>
              <w:szCs w:val="24"/>
              <w:lang w:eastAsia="en-GB"/>
            </w:rPr>
          </w:pPr>
          <w:hyperlink w:anchor="_Toc220926179" w:history="1">
            <w:r w:rsidRPr="007F38DA">
              <w:rPr>
                <w:rStyle w:val="Hyperlink"/>
                <w:rFonts w:ascii="Arial" w:hAnsi="Arial" w:cs="Arial"/>
                <w:noProof/>
              </w:rPr>
              <w:t>2.2.2 Help-Seeking Behaviour Models</w:t>
            </w:r>
            <w:r>
              <w:rPr>
                <w:noProof/>
                <w:webHidden/>
              </w:rPr>
              <w:tab/>
            </w:r>
            <w:r>
              <w:rPr>
                <w:noProof/>
                <w:webHidden/>
              </w:rPr>
              <w:fldChar w:fldCharType="begin"/>
            </w:r>
            <w:r>
              <w:rPr>
                <w:noProof/>
                <w:webHidden/>
              </w:rPr>
              <w:instrText xml:space="preserve"> PAGEREF _Toc220926179 \h </w:instrText>
            </w:r>
            <w:r>
              <w:rPr>
                <w:noProof/>
                <w:webHidden/>
              </w:rPr>
            </w:r>
            <w:r>
              <w:rPr>
                <w:noProof/>
                <w:webHidden/>
              </w:rPr>
              <w:fldChar w:fldCharType="separate"/>
            </w:r>
            <w:r>
              <w:rPr>
                <w:noProof/>
                <w:webHidden/>
              </w:rPr>
              <w:t>17</w:t>
            </w:r>
            <w:r>
              <w:rPr>
                <w:noProof/>
                <w:webHidden/>
              </w:rPr>
              <w:fldChar w:fldCharType="end"/>
            </w:r>
          </w:hyperlink>
        </w:p>
        <w:p w14:paraId="249D7B04" w14:textId="0BB01210" w:rsidR="000B2682" w:rsidRDefault="000B2682">
          <w:pPr>
            <w:pStyle w:val="TOC3"/>
            <w:tabs>
              <w:tab w:val="right" w:leader="dot" w:pos="9016"/>
            </w:tabs>
            <w:rPr>
              <w:noProof/>
              <w:sz w:val="24"/>
              <w:szCs w:val="24"/>
              <w:lang w:eastAsia="en-GB"/>
            </w:rPr>
          </w:pPr>
          <w:hyperlink w:anchor="_Toc220926180" w:history="1">
            <w:r w:rsidRPr="007F38DA">
              <w:rPr>
                <w:rStyle w:val="Hyperlink"/>
                <w:rFonts w:ascii="Arial" w:hAnsi="Arial" w:cs="Arial"/>
                <w:noProof/>
              </w:rPr>
              <w:t>2.2.3 Structural Versus Attitudinal Barriers</w:t>
            </w:r>
            <w:r>
              <w:rPr>
                <w:noProof/>
                <w:webHidden/>
              </w:rPr>
              <w:tab/>
            </w:r>
            <w:r>
              <w:rPr>
                <w:noProof/>
                <w:webHidden/>
              </w:rPr>
              <w:fldChar w:fldCharType="begin"/>
            </w:r>
            <w:r>
              <w:rPr>
                <w:noProof/>
                <w:webHidden/>
              </w:rPr>
              <w:instrText xml:space="preserve"> PAGEREF _Toc220926180 \h </w:instrText>
            </w:r>
            <w:r>
              <w:rPr>
                <w:noProof/>
                <w:webHidden/>
              </w:rPr>
            </w:r>
            <w:r>
              <w:rPr>
                <w:noProof/>
                <w:webHidden/>
              </w:rPr>
              <w:fldChar w:fldCharType="separate"/>
            </w:r>
            <w:r>
              <w:rPr>
                <w:noProof/>
                <w:webHidden/>
              </w:rPr>
              <w:t>17</w:t>
            </w:r>
            <w:r>
              <w:rPr>
                <w:noProof/>
                <w:webHidden/>
              </w:rPr>
              <w:fldChar w:fldCharType="end"/>
            </w:r>
          </w:hyperlink>
        </w:p>
        <w:p w14:paraId="48851FBF" w14:textId="460E7CD7" w:rsidR="000B2682" w:rsidRDefault="000B2682">
          <w:pPr>
            <w:pStyle w:val="TOC3"/>
            <w:tabs>
              <w:tab w:val="right" w:leader="dot" w:pos="9016"/>
            </w:tabs>
            <w:rPr>
              <w:noProof/>
              <w:sz w:val="24"/>
              <w:szCs w:val="24"/>
              <w:lang w:eastAsia="en-GB"/>
            </w:rPr>
          </w:pPr>
          <w:hyperlink w:anchor="_Toc220926181" w:history="1">
            <w:r w:rsidRPr="007F38DA">
              <w:rPr>
                <w:rStyle w:val="Hyperlink"/>
                <w:rFonts w:ascii="Arial" w:hAnsi="Arial" w:cs="Arial"/>
                <w:noProof/>
              </w:rPr>
              <w:t>2.2.4 Intersectionality and Multiple Disadvantages</w:t>
            </w:r>
            <w:r>
              <w:rPr>
                <w:noProof/>
                <w:webHidden/>
              </w:rPr>
              <w:tab/>
            </w:r>
            <w:r>
              <w:rPr>
                <w:noProof/>
                <w:webHidden/>
              </w:rPr>
              <w:fldChar w:fldCharType="begin"/>
            </w:r>
            <w:r>
              <w:rPr>
                <w:noProof/>
                <w:webHidden/>
              </w:rPr>
              <w:instrText xml:space="preserve"> PAGEREF _Toc220926181 \h </w:instrText>
            </w:r>
            <w:r>
              <w:rPr>
                <w:noProof/>
                <w:webHidden/>
              </w:rPr>
            </w:r>
            <w:r>
              <w:rPr>
                <w:noProof/>
                <w:webHidden/>
              </w:rPr>
              <w:fldChar w:fldCharType="separate"/>
            </w:r>
            <w:r>
              <w:rPr>
                <w:noProof/>
                <w:webHidden/>
              </w:rPr>
              <w:t>17</w:t>
            </w:r>
            <w:r>
              <w:rPr>
                <w:noProof/>
                <w:webHidden/>
              </w:rPr>
              <w:fldChar w:fldCharType="end"/>
            </w:r>
          </w:hyperlink>
        </w:p>
        <w:p w14:paraId="361FAD51" w14:textId="607AB02C" w:rsidR="000B2682" w:rsidRDefault="000B2682">
          <w:pPr>
            <w:pStyle w:val="TOC2"/>
            <w:tabs>
              <w:tab w:val="right" w:leader="dot" w:pos="9016"/>
            </w:tabs>
            <w:rPr>
              <w:noProof/>
              <w:sz w:val="24"/>
              <w:szCs w:val="24"/>
              <w:lang w:eastAsia="en-GB"/>
            </w:rPr>
          </w:pPr>
          <w:hyperlink w:anchor="_Toc220926182" w:history="1">
            <w:r w:rsidRPr="007F38DA">
              <w:rPr>
                <w:rStyle w:val="Hyperlink"/>
                <w:rFonts w:ascii="Arial" w:hAnsi="Arial" w:cs="Arial"/>
                <w:noProof/>
              </w:rPr>
              <w:t>2.3 Understanding NEET Youth in the UK Context</w:t>
            </w:r>
            <w:r>
              <w:rPr>
                <w:noProof/>
                <w:webHidden/>
              </w:rPr>
              <w:tab/>
            </w:r>
            <w:r>
              <w:rPr>
                <w:noProof/>
                <w:webHidden/>
              </w:rPr>
              <w:fldChar w:fldCharType="begin"/>
            </w:r>
            <w:r>
              <w:rPr>
                <w:noProof/>
                <w:webHidden/>
              </w:rPr>
              <w:instrText xml:space="preserve"> PAGEREF _Toc220926182 \h </w:instrText>
            </w:r>
            <w:r>
              <w:rPr>
                <w:noProof/>
                <w:webHidden/>
              </w:rPr>
            </w:r>
            <w:r>
              <w:rPr>
                <w:noProof/>
                <w:webHidden/>
              </w:rPr>
              <w:fldChar w:fldCharType="separate"/>
            </w:r>
            <w:r>
              <w:rPr>
                <w:noProof/>
                <w:webHidden/>
              </w:rPr>
              <w:t>18</w:t>
            </w:r>
            <w:r>
              <w:rPr>
                <w:noProof/>
                <w:webHidden/>
              </w:rPr>
              <w:fldChar w:fldCharType="end"/>
            </w:r>
          </w:hyperlink>
        </w:p>
        <w:p w14:paraId="7848C87A" w14:textId="7BB645BF" w:rsidR="000B2682" w:rsidRDefault="000B2682">
          <w:pPr>
            <w:pStyle w:val="TOC3"/>
            <w:tabs>
              <w:tab w:val="right" w:leader="dot" w:pos="9016"/>
            </w:tabs>
            <w:rPr>
              <w:noProof/>
              <w:sz w:val="24"/>
              <w:szCs w:val="24"/>
              <w:lang w:eastAsia="en-GB"/>
            </w:rPr>
          </w:pPr>
          <w:hyperlink w:anchor="_Toc220926183" w:history="1">
            <w:r w:rsidRPr="007F38DA">
              <w:rPr>
                <w:rStyle w:val="Hyperlink"/>
                <w:rFonts w:ascii="Arial" w:hAnsi="Arial" w:cs="Arial"/>
                <w:noProof/>
              </w:rPr>
              <w:t>2.3.1 Defining and Measuring NEET Status</w:t>
            </w:r>
            <w:r>
              <w:rPr>
                <w:noProof/>
                <w:webHidden/>
              </w:rPr>
              <w:tab/>
            </w:r>
            <w:r>
              <w:rPr>
                <w:noProof/>
                <w:webHidden/>
              </w:rPr>
              <w:fldChar w:fldCharType="begin"/>
            </w:r>
            <w:r>
              <w:rPr>
                <w:noProof/>
                <w:webHidden/>
              </w:rPr>
              <w:instrText xml:space="preserve"> PAGEREF _Toc220926183 \h </w:instrText>
            </w:r>
            <w:r>
              <w:rPr>
                <w:noProof/>
                <w:webHidden/>
              </w:rPr>
            </w:r>
            <w:r>
              <w:rPr>
                <w:noProof/>
                <w:webHidden/>
              </w:rPr>
              <w:fldChar w:fldCharType="separate"/>
            </w:r>
            <w:r>
              <w:rPr>
                <w:noProof/>
                <w:webHidden/>
              </w:rPr>
              <w:t>18</w:t>
            </w:r>
            <w:r>
              <w:rPr>
                <w:noProof/>
                <w:webHidden/>
              </w:rPr>
              <w:fldChar w:fldCharType="end"/>
            </w:r>
          </w:hyperlink>
        </w:p>
        <w:p w14:paraId="1B3FD82C" w14:textId="5595DAD7" w:rsidR="000B2682" w:rsidRDefault="000B2682">
          <w:pPr>
            <w:pStyle w:val="TOC3"/>
            <w:tabs>
              <w:tab w:val="right" w:leader="dot" w:pos="9016"/>
            </w:tabs>
            <w:rPr>
              <w:noProof/>
              <w:sz w:val="24"/>
              <w:szCs w:val="24"/>
              <w:lang w:eastAsia="en-GB"/>
            </w:rPr>
          </w:pPr>
          <w:hyperlink w:anchor="_Toc220926184" w:history="1">
            <w:r w:rsidRPr="007F38DA">
              <w:rPr>
                <w:rStyle w:val="Hyperlink"/>
                <w:rFonts w:ascii="Arial" w:hAnsi="Arial" w:cs="Arial"/>
                <w:noProof/>
              </w:rPr>
              <w:t>2.3.2 Mental Health Burden Among NEET Youth</w:t>
            </w:r>
            <w:r>
              <w:rPr>
                <w:noProof/>
                <w:webHidden/>
              </w:rPr>
              <w:tab/>
            </w:r>
            <w:r>
              <w:rPr>
                <w:noProof/>
                <w:webHidden/>
              </w:rPr>
              <w:fldChar w:fldCharType="begin"/>
            </w:r>
            <w:r>
              <w:rPr>
                <w:noProof/>
                <w:webHidden/>
              </w:rPr>
              <w:instrText xml:space="preserve"> PAGEREF _Toc220926184 \h </w:instrText>
            </w:r>
            <w:r>
              <w:rPr>
                <w:noProof/>
                <w:webHidden/>
              </w:rPr>
            </w:r>
            <w:r>
              <w:rPr>
                <w:noProof/>
                <w:webHidden/>
              </w:rPr>
              <w:fldChar w:fldCharType="separate"/>
            </w:r>
            <w:r>
              <w:rPr>
                <w:noProof/>
                <w:webHidden/>
              </w:rPr>
              <w:t>18</w:t>
            </w:r>
            <w:r>
              <w:rPr>
                <w:noProof/>
                <w:webHidden/>
              </w:rPr>
              <w:fldChar w:fldCharType="end"/>
            </w:r>
          </w:hyperlink>
        </w:p>
        <w:p w14:paraId="7B54E087" w14:textId="29DADC9C" w:rsidR="000B2682" w:rsidRDefault="000B2682">
          <w:pPr>
            <w:pStyle w:val="TOC3"/>
            <w:tabs>
              <w:tab w:val="right" w:leader="dot" w:pos="9016"/>
            </w:tabs>
            <w:rPr>
              <w:noProof/>
              <w:sz w:val="24"/>
              <w:szCs w:val="24"/>
              <w:lang w:eastAsia="en-GB"/>
            </w:rPr>
          </w:pPr>
          <w:hyperlink w:anchor="_Toc220926185" w:history="1">
            <w:r w:rsidRPr="007F38DA">
              <w:rPr>
                <w:rStyle w:val="Hyperlink"/>
                <w:rFonts w:ascii="Arial" w:hAnsi="Arial" w:cs="Arial"/>
                <w:noProof/>
              </w:rPr>
              <w:t>2.3.3 Social Determinants and Risk Factors</w:t>
            </w:r>
            <w:r>
              <w:rPr>
                <w:noProof/>
                <w:webHidden/>
              </w:rPr>
              <w:tab/>
            </w:r>
            <w:r>
              <w:rPr>
                <w:noProof/>
                <w:webHidden/>
              </w:rPr>
              <w:fldChar w:fldCharType="begin"/>
            </w:r>
            <w:r>
              <w:rPr>
                <w:noProof/>
                <w:webHidden/>
              </w:rPr>
              <w:instrText xml:space="preserve"> PAGEREF _Toc220926185 \h </w:instrText>
            </w:r>
            <w:r>
              <w:rPr>
                <w:noProof/>
                <w:webHidden/>
              </w:rPr>
            </w:r>
            <w:r>
              <w:rPr>
                <w:noProof/>
                <w:webHidden/>
              </w:rPr>
              <w:fldChar w:fldCharType="separate"/>
            </w:r>
            <w:r>
              <w:rPr>
                <w:noProof/>
                <w:webHidden/>
              </w:rPr>
              <w:t>19</w:t>
            </w:r>
            <w:r>
              <w:rPr>
                <w:noProof/>
                <w:webHidden/>
              </w:rPr>
              <w:fldChar w:fldCharType="end"/>
            </w:r>
          </w:hyperlink>
        </w:p>
        <w:p w14:paraId="0236A55D" w14:textId="6831BA6C" w:rsidR="000B2682" w:rsidRDefault="000B2682">
          <w:pPr>
            <w:pStyle w:val="TOC2"/>
            <w:tabs>
              <w:tab w:val="right" w:leader="dot" w:pos="9016"/>
            </w:tabs>
            <w:rPr>
              <w:noProof/>
              <w:sz w:val="24"/>
              <w:szCs w:val="24"/>
              <w:lang w:eastAsia="en-GB"/>
            </w:rPr>
          </w:pPr>
          <w:hyperlink w:anchor="_Toc220926186" w:history="1">
            <w:r w:rsidRPr="007F38DA">
              <w:rPr>
                <w:rStyle w:val="Hyperlink"/>
                <w:rFonts w:ascii="Arial" w:hAnsi="Arial" w:cs="Arial"/>
                <w:noProof/>
              </w:rPr>
              <w:t>2.4 Barriers to Mental Health Service Utilisation: General Youth Evidence</w:t>
            </w:r>
            <w:r>
              <w:rPr>
                <w:noProof/>
                <w:webHidden/>
              </w:rPr>
              <w:tab/>
            </w:r>
            <w:r>
              <w:rPr>
                <w:noProof/>
                <w:webHidden/>
              </w:rPr>
              <w:fldChar w:fldCharType="begin"/>
            </w:r>
            <w:r>
              <w:rPr>
                <w:noProof/>
                <w:webHidden/>
              </w:rPr>
              <w:instrText xml:space="preserve"> PAGEREF _Toc220926186 \h </w:instrText>
            </w:r>
            <w:r>
              <w:rPr>
                <w:noProof/>
                <w:webHidden/>
              </w:rPr>
            </w:r>
            <w:r>
              <w:rPr>
                <w:noProof/>
                <w:webHidden/>
              </w:rPr>
              <w:fldChar w:fldCharType="separate"/>
            </w:r>
            <w:r>
              <w:rPr>
                <w:noProof/>
                <w:webHidden/>
              </w:rPr>
              <w:t>20</w:t>
            </w:r>
            <w:r>
              <w:rPr>
                <w:noProof/>
                <w:webHidden/>
              </w:rPr>
              <w:fldChar w:fldCharType="end"/>
            </w:r>
          </w:hyperlink>
        </w:p>
        <w:p w14:paraId="0572A041" w14:textId="1200DA8A" w:rsidR="000B2682" w:rsidRDefault="000B2682">
          <w:pPr>
            <w:pStyle w:val="TOC3"/>
            <w:tabs>
              <w:tab w:val="right" w:leader="dot" w:pos="9016"/>
            </w:tabs>
            <w:rPr>
              <w:noProof/>
              <w:sz w:val="24"/>
              <w:szCs w:val="24"/>
              <w:lang w:eastAsia="en-GB"/>
            </w:rPr>
          </w:pPr>
          <w:hyperlink w:anchor="_Toc220926187" w:history="1">
            <w:r w:rsidRPr="007F38DA">
              <w:rPr>
                <w:rStyle w:val="Hyperlink"/>
                <w:rFonts w:ascii="Arial" w:hAnsi="Arial" w:cs="Arial"/>
                <w:noProof/>
              </w:rPr>
              <w:t>2.4.1 Structural Barriers</w:t>
            </w:r>
            <w:r>
              <w:rPr>
                <w:noProof/>
                <w:webHidden/>
              </w:rPr>
              <w:tab/>
            </w:r>
            <w:r>
              <w:rPr>
                <w:noProof/>
                <w:webHidden/>
              </w:rPr>
              <w:fldChar w:fldCharType="begin"/>
            </w:r>
            <w:r>
              <w:rPr>
                <w:noProof/>
                <w:webHidden/>
              </w:rPr>
              <w:instrText xml:space="preserve"> PAGEREF _Toc220926187 \h </w:instrText>
            </w:r>
            <w:r>
              <w:rPr>
                <w:noProof/>
                <w:webHidden/>
              </w:rPr>
            </w:r>
            <w:r>
              <w:rPr>
                <w:noProof/>
                <w:webHidden/>
              </w:rPr>
              <w:fldChar w:fldCharType="separate"/>
            </w:r>
            <w:r>
              <w:rPr>
                <w:noProof/>
                <w:webHidden/>
              </w:rPr>
              <w:t>20</w:t>
            </w:r>
            <w:r>
              <w:rPr>
                <w:noProof/>
                <w:webHidden/>
              </w:rPr>
              <w:fldChar w:fldCharType="end"/>
            </w:r>
          </w:hyperlink>
        </w:p>
        <w:p w14:paraId="197A8B53" w14:textId="55784BA2" w:rsidR="000B2682" w:rsidRDefault="000B2682">
          <w:pPr>
            <w:pStyle w:val="TOC3"/>
            <w:tabs>
              <w:tab w:val="right" w:leader="dot" w:pos="9016"/>
            </w:tabs>
            <w:rPr>
              <w:noProof/>
              <w:sz w:val="24"/>
              <w:szCs w:val="24"/>
              <w:lang w:eastAsia="en-GB"/>
            </w:rPr>
          </w:pPr>
          <w:hyperlink w:anchor="_Toc220926188" w:history="1">
            <w:r w:rsidRPr="007F38DA">
              <w:rPr>
                <w:rStyle w:val="Hyperlink"/>
                <w:rFonts w:ascii="Arial" w:hAnsi="Arial" w:cs="Arial"/>
                <w:noProof/>
              </w:rPr>
              <w:t>2.4.2 Attitudinal and Psychological Barriers</w:t>
            </w:r>
            <w:r>
              <w:rPr>
                <w:noProof/>
                <w:webHidden/>
              </w:rPr>
              <w:tab/>
            </w:r>
            <w:r>
              <w:rPr>
                <w:noProof/>
                <w:webHidden/>
              </w:rPr>
              <w:fldChar w:fldCharType="begin"/>
            </w:r>
            <w:r>
              <w:rPr>
                <w:noProof/>
                <w:webHidden/>
              </w:rPr>
              <w:instrText xml:space="preserve"> PAGEREF _Toc220926188 \h </w:instrText>
            </w:r>
            <w:r>
              <w:rPr>
                <w:noProof/>
                <w:webHidden/>
              </w:rPr>
            </w:r>
            <w:r>
              <w:rPr>
                <w:noProof/>
                <w:webHidden/>
              </w:rPr>
              <w:fldChar w:fldCharType="separate"/>
            </w:r>
            <w:r>
              <w:rPr>
                <w:noProof/>
                <w:webHidden/>
              </w:rPr>
              <w:t>21</w:t>
            </w:r>
            <w:r>
              <w:rPr>
                <w:noProof/>
                <w:webHidden/>
              </w:rPr>
              <w:fldChar w:fldCharType="end"/>
            </w:r>
          </w:hyperlink>
        </w:p>
        <w:p w14:paraId="0D3FB1FC" w14:textId="5DAB3324" w:rsidR="000B2682" w:rsidRDefault="000B2682">
          <w:pPr>
            <w:pStyle w:val="TOC2"/>
            <w:tabs>
              <w:tab w:val="right" w:leader="dot" w:pos="9016"/>
            </w:tabs>
            <w:rPr>
              <w:noProof/>
              <w:sz w:val="24"/>
              <w:szCs w:val="24"/>
              <w:lang w:eastAsia="en-GB"/>
            </w:rPr>
          </w:pPr>
          <w:hyperlink w:anchor="_Toc220926189" w:history="1">
            <w:r w:rsidRPr="007F38DA">
              <w:rPr>
                <w:rStyle w:val="Hyperlink"/>
                <w:rFonts w:ascii="Arial" w:hAnsi="Arial" w:cs="Arial"/>
                <w:noProof/>
              </w:rPr>
              <w:t>2.5 NEET-Specific Barriers: Emerging Evidence</w:t>
            </w:r>
            <w:r>
              <w:rPr>
                <w:noProof/>
                <w:webHidden/>
              </w:rPr>
              <w:tab/>
            </w:r>
            <w:r>
              <w:rPr>
                <w:noProof/>
                <w:webHidden/>
              </w:rPr>
              <w:fldChar w:fldCharType="begin"/>
            </w:r>
            <w:r>
              <w:rPr>
                <w:noProof/>
                <w:webHidden/>
              </w:rPr>
              <w:instrText xml:space="preserve"> PAGEREF _Toc220926189 \h </w:instrText>
            </w:r>
            <w:r>
              <w:rPr>
                <w:noProof/>
                <w:webHidden/>
              </w:rPr>
            </w:r>
            <w:r>
              <w:rPr>
                <w:noProof/>
                <w:webHidden/>
              </w:rPr>
              <w:fldChar w:fldCharType="separate"/>
            </w:r>
            <w:r>
              <w:rPr>
                <w:noProof/>
                <w:webHidden/>
              </w:rPr>
              <w:t>22</w:t>
            </w:r>
            <w:r>
              <w:rPr>
                <w:noProof/>
                <w:webHidden/>
              </w:rPr>
              <w:fldChar w:fldCharType="end"/>
            </w:r>
          </w:hyperlink>
        </w:p>
        <w:p w14:paraId="5F9BB5AC" w14:textId="2286F784" w:rsidR="000B2682" w:rsidRDefault="000B2682">
          <w:pPr>
            <w:pStyle w:val="TOC3"/>
            <w:tabs>
              <w:tab w:val="right" w:leader="dot" w:pos="9016"/>
            </w:tabs>
            <w:rPr>
              <w:noProof/>
              <w:sz w:val="24"/>
              <w:szCs w:val="24"/>
              <w:lang w:eastAsia="en-GB"/>
            </w:rPr>
          </w:pPr>
          <w:hyperlink w:anchor="_Toc220926190" w:history="1">
            <w:r w:rsidRPr="007F38DA">
              <w:rPr>
                <w:rStyle w:val="Hyperlink"/>
                <w:rFonts w:ascii="Arial" w:hAnsi="Arial" w:cs="Arial"/>
                <w:noProof/>
              </w:rPr>
              <w:t>2.5.1 Lack of Institutional Access Points</w:t>
            </w:r>
            <w:r>
              <w:rPr>
                <w:noProof/>
                <w:webHidden/>
              </w:rPr>
              <w:tab/>
            </w:r>
            <w:r>
              <w:rPr>
                <w:noProof/>
                <w:webHidden/>
              </w:rPr>
              <w:fldChar w:fldCharType="begin"/>
            </w:r>
            <w:r>
              <w:rPr>
                <w:noProof/>
                <w:webHidden/>
              </w:rPr>
              <w:instrText xml:space="preserve"> PAGEREF _Toc220926190 \h </w:instrText>
            </w:r>
            <w:r>
              <w:rPr>
                <w:noProof/>
                <w:webHidden/>
              </w:rPr>
            </w:r>
            <w:r>
              <w:rPr>
                <w:noProof/>
                <w:webHidden/>
              </w:rPr>
              <w:fldChar w:fldCharType="separate"/>
            </w:r>
            <w:r>
              <w:rPr>
                <w:noProof/>
                <w:webHidden/>
              </w:rPr>
              <w:t>22</w:t>
            </w:r>
            <w:r>
              <w:rPr>
                <w:noProof/>
                <w:webHidden/>
              </w:rPr>
              <w:fldChar w:fldCharType="end"/>
            </w:r>
          </w:hyperlink>
        </w:p>
        <w:p w14:paraId="7395749D" w14:textId="5234037C" w:rsidR="000B2682" w:rsidRDefault="000B2682">
          <w:pPr>
            <w:pStyle w:val="TOC3"/>
            <w:tabs>
              <w:tab w:val="right" w:leader="dot" w:pos="9016"/>
            </w:tabs>
            <w:rPr>
              <w:noProof/>
              <w:sz w:val="24"/>
              <w:szCs w:val="24"/>
              <w:lang w:eastAsia="en-GB"/>
            </w:rPr>
          </w:pPr>
          <w:hyperlink w:anchor="_Toc220926191" w:history="1">
            <w:r w:rsidRPr="007F38DA">
              <w:rPr>
                <w:rStyle w:val="Hyperlink"/>
                <w:rFonts w:ascii="Arial" w:hAnsi="Arial" w:cs="Arial"/>
                <w:noProof/>
              </w:rPr>
              <w:t>2.5.2 Intersection of Multiple Disadvantages</w:t>
            </w:r>
            <w:r>
              <w:rPr>
                <w:noProof/>
                <w:webHidden/>
              </w:rPr>
              <w:tab/>
            </w:r>
            <w:r>
              <w:rPr>
                <w:noProof/>
                <w:webHidden/>
              </w:rPr>
              <w:fldChar w:fldCharType="begin"/>
            </w:r>
            <w:r>
              <w:rPr>
                <w:noProof/>
                <w:webHidden/>
              </w:rPr>
              <w:instrText xml:space="preserve"> PAGEREF _Toc220926191 \h </w:instrText>
            </w:r>
            <w:r>
              <w:rPr>
                <w:noProof/>
                <w:webHidden/>
              </w:rPr>
            </w:r>
            <w:r>
              <w:rPr>
                <w:noProof/>
                <w:webHidden/>
              </w:rPr>
              <w:fldChar w:fldCharType="separate"/>
            </w:r>
            <w:r>
              <w:rPr>
                <w:noProof/>
                <w:webHidden/>
              </w:rPr>
              <w:t>23</w:t>
            </w:r>
            <w:r>
              <w:rPr>
                <w:noProof/>
                <w:webHidden/>
              </w:rPr>
              <w:fldChar w:fldCharType="end"/>
            </w:r>
          </w:hyperlink>
        </w:p>
        <w:p w14:paraId="47A7AD8F" w14:textId="4F3FF886" w:rsidR="000B2682" w:rsidRDefault="000B2682">
          <w:pPr>
            <w:pStyle w:val="TOC3"/>
            <w:tabs>
              <w:tab w:val="right" w:leader="dot" w:pos="9016"/>
            </w:tabs>
            <w:rPr>
              <w:noProof/>
              <w:sz w:val="24"/>
              <w:szCs w:val="24"/>
              <w:lang w:eastAsia="en-GB"/>
            </w:rPr>
          </w:pPr>
          <w:hyperlink w:anchor="_Toc220926192" w:history="1">
            <w:r w:rsidRPr="007F38DA">
              <w:rPr>
                <w:rStyle w:val="Hyperlink"/>
                <w:rFonts w:ascii="Arial" w:hAnsi="Arial" w:cs="Arial"/>
                <w:noProof/>
              </w:rPr>
              <w:t>2.5.3 Anticipated Discrimination and Low Expectations</w:t>
            </w:r>
            <w:r>
              <w:rPr>
                <w:noProof/>
                <w:webHidden/>
              </w:rPr>
              <w:tab/>
            </w:r>
            <w:r>
              <w:rPr>
                <w:noProof/>
                <w:webHidden/>
              </w:rPr>
              <w:fldChar w:fldCharType="begin"/>
            </w:r>
            <w:r>
              <w:rPr>
                <w:noProof/>
                <w:webHidden/>
              </w:rPr>
              <w:instrText xml:space="preserve"> PAGEREF _Toc220926192 \h </w:instrText>
            </w:r>
            <w:r>
              <w:rPr>
                <w:noProof/>
                <w:webHidden/>
              </w:rPr>
            </w:r>
            <w:r>
              <w:rPr>
                <w:noProof/>
                <w:webHidden/>
              </w:rPr>
              <w:fldChar w:fldCharType="separate"/>
            </w:r>
            <w:r>
              <w:rPr>
                <w:noProof/>
                <w:webHidden/>
              </w:rPr>
              <w:t>23</w:t>
            </w:r>
            <w:r>
              <w:rPr>
                <w:noProof/>
                <w:webHidden/>
              </w:rPr>
              <w:fldChar w:fldCharType="end"/>
            </w:r>
          </w:hyperlink>
        </w:p>
        <w:p w14:paraId="06BA30FA" w14:textId="53DF97F2" w:rsidR="000B2682" w:rsidRDefault="000B2682">
          <w:pPr>
            <w:pStyle w:val="TOC2"/>
            <w:tabs>
              <w:tab w:val="right" w:leader="dot" w:pos="9016"/>
            </w:tabs>
            <w:rPr>
              <w:noProof/>
              <w:sz w:val="24"/>
              <w:szCs w:val="24"/>
              <w:lang w:eastAsia="en-GB"/>
            </w:rPr>
          </w:pPr>
          <w:hyperlink w:anchor="_Toc220926193" w:history="1">
            <w:r w:rsidRPr="007F38DA">
              <w:rPr>
                <w:rStyle w:val="Hyperlink"/>
                <w:rFonts w:ascii="Arial" w:hAnsi="Arial" w:cs="Arial"/>
                <w:noProof/>
              </w:rPr>
              <w:t>2.6 UK Policy and Service Landscape</w:t>
            </w:r>
            <w:r>
              <w:rPr>
                <w:noProof/>
                <w:webHidden/>
              </w:rPr>
              <w:tab/>
            </w:r>
            <w:r>
              <w:rPr>
                <w:noProof/>
                <w:webHidden/>
              </w:rPr>
              <w:fldChar w:fldCharType="begin"/>
            </w:r>
            <w:r>
              <w:rPr>
                <w:noProof/>
                <w:webHidden/>
              </w:rPr>
              <w:instrText xml:space="preserve"> PAGEREF _Toc220926193 \h </w:instrText>
            </w:r>
            <w:r>
              <w:rPr>
                <w:noProof/>
                <w:webHidden/>
              </w:rPr>
            </w:r>
            <w:r>
              <w:rPr>
                <w:noProof/>
                <w:webHidden/>
              </w:rPr>
              <w:fldChar w:fldCharType="separate"/>
            </w:r>
            <w:r>
              <w:rPr>
                <w:noProof/>
                <w:webHidden/>
              </w:rPr>
              <w:t>24</w:t>
            </w:r>
            <w:r>
              <w:rPr>
                <w:noProof/>
                <w:webHidden/>
              </w:rPr>
              <w:fldChar w:fldCharType="end"/>
            </w:r>
          </w:hyperlink>
        </w:p>
        <w:p w14:paraId="2FF59B1F" w14:textId="5DD62495" w:rsidR="000B2682" w:rsidRDefault="000B2682">
          <w:pPr>
            <w:pStyle w:val="TOC3"/>
            <w:tabs>
              <w:tab w:val="right" w:leader="dot" w:pos="9016"/>
            </w:tabs>
            <w:rPr>
              <w:noProof/>
              <w:sz w:val="24"/>
              <w:szCs w:val="24"/>
              <w:lang w:eastAsia="en-GB"/>
            </w:rPr>
          </w:pPr>
          <w:hyperlink w:anchor="_Toc220926194" w:history="1">
            <w:r w:rsidRPr="007F38DA">
              <w:rPr>
                <w:rStyle w:val="Hyperlink"/>
                <w:rFonts w:ascii="Arial" w:hAnsi="Arial" w:cs="Arial"/>
                <w:noProof/>
              </w:rPr>
              <w:t>2.6.1 NHS Mental Health Services for Young Adults</w:t>
            </w:r>
            <w:r>
              <w:rPr>
                <w:noProof/>
                <w:webHidden/>
              </w:rPr>
              <w:tab/>
            </w:r>
            <w:r>
              <w:rPr>
                <w:noProof/>
                <w:webHidden/>
              </w:rPr>
              <w:fldChar w:fldCharType="begin"/>
            </w:r>
            <w:r>
              <w:rPr>
                <w:noProof/>
                <w:webHidden/>
              </w:rPr>
              <w:instrText xml:space="preserve"> PAGEREF _Toc220926194 \h </w:instrText>
            </w:r>
            <w:r>
              <w:rPr>
                <w:noProof/>
                <w:webHidden/>
              </w:rPr>
            </w:r>
            <w:r>
              <w:rPr>
                <w:noProof/>
                <w:webHidden/>
              </w:rPr>
              <w:fldChar w:fldCharType="separate"/>
            </w:r>
            <w:r>
              <w:rPr>
                <w:noProof/>
                <w:webHidden/>
              </w:rPr>
              <w:t>24</w:t>
            </w:r>
            <w:r>
              <w:rPr>
                <w:noProof/>
                <w:webHidden/>
              </w:rPr>
              <w:fldChar w:fldCharType="end"/>
            </w:r>
          </w:hyperlink>
        </w:p>
        <w:p w14:paraId="7C4CC5DB" w14:textId="55658A56" w:rsidR="000B2682" w:rsidRDefault="000B2682">
          <w:pPr>
            <w:pStyle w:val="TOC3"/>
            <w:tabs>
              <w:tab w:val="right" w:leader="dot" w:pos="9016"/>
            </w:tabs>
            <w:rPr>
              <w:noProof/>
              <w:sz w:val="24"/>
              <w:szCs w:val="24"/>
              <w:lang w:eastAsia="en-GB"/>
            </w:rPr>
          </w:pPr>
          <w:hyperlink w:anchor="_Toc220926195" w:history="1">
            <w:r w:rsidRPr="007F38DA">
              <w:rPr>
                <w:rStyle w:val="Hyperlink"/>
                <w:rFonts w:ascii="Arial" w:hAnsi="Arial" w:cs="Arial"/>
                <w:noProof/>
              </w:rPr>
              <w:t>2.6.2 Policy Initiatives and Integration</w:t>
            </w:r>
            <w:r>
              <w:rPr>
                <w:noProof/>
                <w:webHidden/>
              </w:rPr>
              <w:tab/>
            </w:r>
            <w:r>
              <w:rPr>
                <w:noProof/>
                <w:webHidden/>
              </w:rPr>
              <w:fldChar w:fldCharType="begin"/>
            </w:r>
            <w:r>
              <w:rPr>
                <w:noProof/>
                <w:webHidden/>
              </w:rPr>
              <w:instrText xml:space="preserve"> PAGEREF _Toc220926195 \h </w:instrText>
            </w:r>
            <w:r>
              <w:rPr>
                <w:noProof/>
                <w:webHidden/>
              </w:rPr>
            </w:r>
            <w:r>
              <w:rPr>
                <w:noProof/>
                <w:webHidden/>
              </w:rPr>
              <w:fldChar w:fldCharType="separate"/>
            </w:r>
            <w:r>
              <w:rPr>
                <w:noProof/>
                <w:webHidden/>
              </w:rPr>
              <w:t>24</w:t>
            </w:r>
            <w:r>
              <w:rPr>
                <w:noProof/>
                <w:webHidden/>
              </w:rPr>
              <w:fldChar w:fldCharType="end"/>
            </w:r>
          </w:hyperlink>
        </w:p>
        <w:p w14:paraId="284F5B58" w14:textId="41859E1C" w:rsidR="000B2682" w:rsidRDefault="000B2682">
          <w:pPr>
            <w:pStyle w:val="TOC2"/>
            <w:tabs>
              <w:tab w:val="right" w:leader="dot" w:pos="9016"/>
            </w:tabs>
            <w:rPr>
              <w:noProof/>
              <w:sz w:val="24"/>
              <w:szCs w:val="24"/>
              <w:lang w:eastAsia="en-GB"/>
            </w:rPr>
          </w:pPr>
          <w:hyperlink w:anchor="_Toc220926196" w:history="1">
            <w:r w:rsidRPr="007F38DA">
              <w:rPr>
                <w:rStyle w:val="Hyperlink"/>
                <w:rFonts w:ascii="Arial" w:hAnsi="Arial" w:cs="Arial"/>
                <w:noProof/>
              </w:rPr>
              <w:t>2.7 Synthesis and Research Gap Identification</w:t>
            </w:r>
            <w:r>
              <w:rPr>
                <w:noProof/>
                <w:webHidden/>
              </w:rPr>
              <w:tab/>
            </w:r>
            <w:r>
              <w:rPr>
                <w:noProof/>
                <w:webHidden/>
              </w:rPr>
              <w:fldChar w:fldCharType="begin"/>
            </w:r>
            <w:r>
              <w:rPr>
                <w:noProof/>
                <w:webHidden/>
              </w:rPr>
              <w:instrText xml:space="preserve"> PAGEREF _Toc220926196 \h </w:instrText>
            </w:r>
            <w:r>
              <w:rPr>
                <w:noProof/>
                <w:webHidden/>
              </w:rPr>
            </w:r>
            <w:r>
              <w:rPr>
                <w:noProof/>
                <w:webHidden/>
              </w:rPr>
              <w:fldChar w:fldCharType="separate"/>
            </w:r>
            <w:r>
              <w:rPr>
                <w:noProof/>
                <w:webHidden/>
              </w:rPr>
              <w:t>25</w:t>
            </w:r>
            <w:r>
              <w:rPr>
                <w:noProof/>
                <w:webHidden/>
              </w:rPr>
              <w:fldChar w:fldCharType="end"/>
            </w:r>
          </w:hyperlink>
        </w:p>
        <w:p w14:paraId="07701152" w14:textId="6F1D4B36" w:rsidR="000B2682" w:rsidRDefault="000B2682">
          <w:pPr>
            <w:pStyle w:val="TOC2"/>
            <w:tabs>
              <w:tab w:val="right" w:leader="dot" w:pos="9016"/>
            </w:tabs>
            <w:rPr>
              <w:noProof/>
              <w:sz w:val="24"/>
              <w:szCs w:val="24"/>
              <w:lang w:eastAsia="en-GB"/>
            </w:rPr>
          </w:pPr>
          <w:hyperlink w:anchor="_Toc220926197" w:history="1">
            <w:r w:rsidRPr="007F38DA">
              <w:rPr>
                <w:rStyle w:val="Hyperlink"/>
                <w:rFonts w:ascii="Arial" w:hAnsi="Arial" w:cs="Arial"/>
                <w:noProof/>
              </w:rPr>
              <w:t>2.8 Chapter Summary</w:t>
            </w:r>
            <w:r>
              <w:rPr>
                <w:noProof/>
                <w:webHidden/>
              </w:rPr>
              <w:tab/>
            </w:r>
            <w:r>
              <w:rPr>
                <w:noProof/>
                <w:webHidden/>
              </w:rPr>
              <w:fldChar w:fldCharType="begin"/>
            </w:r>
            <w:r>
              <w:rPr>
                <w:noProof/>
                <w:webHidden/>
              </w:rPr>
              <w:instrText xml:space="preserve"> PAGEREF _Toc220926197 \h </w:instrText>
            </w:r>
            <w:r>
              <w:rPr>
                <w:noProof/>
                <w:webHidden/>
              </w:rPr>
            </w:r>
            <w:r>
              <w:rPr>
                <w:noProof/>
                <w:webHidden/>
              </w:rPr>
              <w:fldChar w:fldCharType="separate"/>
            </w:r>
            <w:r>
              <w:rPr>
                <w:noProof/>
                <w:webHidden/>
              </w:rPr>
              <w:t>26</w:t>
            </w:r>
            <w:r>
              <w:rPr>
                <w:noProof/>
                <w:webHidden/>
              </w:rPr>
              <w:fldChar w:fldCharType="end"/>
            </w:r>
          </w:hyperlink>
        </w:p>
        <w:p w14:paraId="71551BCD" w14:textId="6470E120"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198" w:history="1">
            <w:r w:rsidRPr="007F38DA">
              <w:rPr>
                <w:rStyle w:val="Hyperlink"/>
                <w:rFonts w:ascii="Arial" w:eastAsiaTheme="majorEastAsia" w:hAnsi="Arial" w:cs="Arial"/>
                <w:noProof/>
              </w:rPr>
              <w:t>Chapter 3: Research Methodology</w:t>
            </w:r>
            <w:r>
              <w:rPr>
                <w:noProof/>
                <w:webHidden/>
              </w:rPr>
              <w:tab/>
            </w:r>
            <w:r>
              <w:rPr>
                <w:noProof/>
                <w:webHidden/>
              </w:rPr>
              <w:fldChar w:fldCharType="begin"/>
            </w:r>
            <w:r>
              <w:rPr>
                <w:noProof/>
                <w:webHidden/>
              </w:rPr>
              <w:instrText xml:space="preserve"> PAGEREF _Toc220926198 \h </w:instrText>
            </w:r>
            <w:r>
              <w:rPr>
                <w:noProof/>
                <w:webHidden/>
              </w:rPr>
            </w:r>
            <w:r>
              <w:rPr>
                <w:noProof/>
                <w:webHidden/>
              </w:rPr>
              <w:fldChar w:fldCharType="separate"/>
            </w:r>
            <w:r>
              <w:rPr>
                <w:noProof/>
                <w:webHidden/>
              </w:rPr>
              <w:t>27</w:t>
            </w:r>
            <w:r>
              <w:rPr>
                <w:noProof/>
                <w:webHidden/>
              </w:rPr>
              <w:fldChar w:fldCharType="end"/>
            </w:r>
          </w:hyperlink>
        </w:p>
        <w:p w14:paraId="69187D55" w14:textId="20D1A042" w:rsidR="000B2682" w:rsidRDefault="000B2682">
          <w:pPr>
            <w:pStyle w:val="TOC2"/>
            <w:tabs>
              <w:tab w:val="right" w:leader="dot" w:pos="9016"/>
            </w:tabs>
            <w:rPr>
              <w:noProof/>
              <w:sz w:val="24"/>
              <w:szCs w:val="24"/>
              <w:lang w:eastAsia="en-GB"/>
            </w:rPr>
          </w:pPr>
          <w:hyperlink w:anchor="_Toc220926199" w:history="1">
            <w:r w:rsidRPr="007F38DA">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_Toc220926199 \h </w:instrText>
            </w:r>
            <w:r>
              <w:rPr>
                <w:noProof/>
                <w:webHidden/>
              </w:rPr>
            </w:r>
            <w:r>
              <w:rPr>
                <w:noProof/>
                <w:webHidden/>
              </w:rPr>
              <w:fldChar w:fldCharType="separate"/>
            </w:r>
            <w:r>
              <w:rPr>
                <w:noProof/>
                <w:webHidden/>
              </w:rPr>
              <w:t>27</w:t>
            </w:r>
            <w:r>
              <w:rPr>
                <w:noProof/>
                <w:webHidden/>
              </w:rPr>
              <w:fldChar w:fldCharType="end"/>
            </w:r>
          </w:hyperlink>
        </w:p>
        <w:p w14:paraId="6B8D1B70" w14:textId="370BB0F0" w:rsidR="000B2682" w:rsidRDefault="000B2682">
          <w:pPr>
            <w:pStyle w:val="TOC2"/>
            <w:tabs>
              <w:tab w:val="right" w:leader="dot" w:pos="9016"/>
            </w:tabs>
            <w:rPr>
              <w:noProof/>
              <w:sz w:val="24"/>
              <w:szCs w:val="24"/>
              <w:lang w:eastAsia="en-GB"/>
            </w:rPr>
          </w:pPr>
          <w:hyperlink w:anchor="_Toc220926200" w:history="1">
            <w:r w:rsidRPr="007F38DA">
              <w:rPr>
                <w:rStyle w:val="Hyperlink"/>
                <w:rFonts w:ascii="Arial" w:hAnsi="Arial" w:cs="Arial"/>
                <w:noProof/>
              </w:rPr>
              <w:t>3.2 Research Design and Philosophical Position</w:t>
            </w:r>
            <w:r>
              <w:rPr>
                <w:noProof/>
                <w:webHidden/>
              </w:rPr>
              <w:tab/>
            </w:r>
            <w:r>
              <w:rPr>
                <w:noProof/>
                <w:webHidden/>
              </w:rPr>
              <w:fldChar w:fldCharType="begin"/>
            </w:r>
            <w:r>
              <w:rPr>
                <w:noProof/>
                <w:webHidden/>
              </w:rPr>
              <w:instrText xml:space="preserve"> PAGEREF _Toc220926200 \h </w:instrText>
            </w:r>
            <w:r>
              <w:rPr>
                <w:noProof/>
                <w:webHidden/>
              </w:rPr>
            </w:r>
            <w:r>
              <w:rPr>
                <w:noProof/>
                <w:webHidden/>
              </w:rPr>
              <w:fldChar w:fldCharType="separate"/>
            </w:r>
            <w:r>
              <w:rPr>
                <w:noProof/>
                <w:webHidden/>
              </w:rPr>
              <w:t>27</w:t>
            </w:r>
            <w:r>
              <w:rPr>
                <w:noProof/>
                <w:webHidden/>
              </w:rPr>
              <w:fldChar w:fldCharType="end"/>
            </w:r>
          </w:hyperlink>
        </w:p>
        <w:p w14:paraId="1F6297AB" w14:textId="64ECCFB4" w:rsidR="000B2682" w:rsidRDefault="000B2682">
          <w:pPr>
            <w:pStyle w:val="TOC3"/>
            <w:tabs>
              <w:tab w:val="right" w:leader="dot" w:pos="9016"/>
            </w:tabs>
            <w:rPr>
              <w:noProof/>
              <w:sz w:val="24"/>
              <w:szCs w:val="24"/>
              <w:lang w:eastAsia="en-GB"/>
            </w:rPr>
          </w:pPr>
          <w:hyperlink w:anchor="_Toc220926201" w:history="1">
            <w:r w:rsidRPr="007F38DA">
              <w:rPr>
                <w:rStyle w:val="Hyperlink"/>
                <w:rFonts w:ascii="Arial" w:hAnsi="Arial" w:cs="Arial"/>
                <w:noProof/>
              </w:rPr>
              <w:t>3.2.1 Systematic Review Design</w:t>
            </w:r>
            <w:r>
              <w:rPr>
                <w:noProof/>
                <w:webHidden/>
              </w:rPr>
              <w:tab/>
            </w:r>
            <w:r>
              <w:rPr>
                <w:noProof/>
                <w:webHidden/>
              </w:rPr>
              <w:fldChar w:fldCharType="begin"/>
            </w:r>
            <w:r>
              <w:rPr>
                <w:noProof/>
                <w:webHidden/>
              </w:rPr>
              <w:instrText xml:space="preserve"> PAGEREF _Toc220926201 \h </w:instrText>
            </w:r>
            <w:r>
              <w:rPr>
                <w:noProof/>
                <w:webHidden/>
              </w:rPr>
            </w:r>
            <w:r>
              <w:rPr>
                <w:noProof/>
                <w:webHidden/>
              </w:rPr>
              <w:fldChar w:fldCharType="separate"/>
            </w:r>
            <w:r>
              <w:rPr>
                <w:noProof/>
                <w:webHidden/>
              </w:rPr>
              <w:t>27</w:t>
            </w:r>
            <w:r>
              <w:rPr>
                <w:noProof/>
                <w:webHidden/>
              </w:rPr>
              <w:fldChar w:fldCharType="end"/>
            </w:r>
          </w:hyperlink>
        </w:p>
        <w:p w14:paraId="246137E4" w14:textId="68165AC8" w:rsidR="000B2682" w:rsidRDefault="000B2682">
          <w:pPr>
            <w:pStyle w:val="TOC3"/>
            <w:tabs>
              <w:tab w:val="right" w:leader="dot" w:pos="9016"/>
            </w:tabs>
            <w:rPr>
              <w:noProof/>
              <w:sz w:val="24"/>
              <w:szCs w:val="24"/>
              <w:lang w:eastAsia="en-GB"/>
            </w:rPr>
          </w:pPr>
          <w:hyperlink w:anchor="_Toc220926202" w:history="1">
            <w:r w:rsidRPr="007F38DA">
              <w:rPr>
                <w:rStyle w:val="Hyperlink"/>
                <w:rFonts w:ascii="Arial" w:hAnsi="Arial" w:cs="Arial"/>
                <w:noProof/>
              </w:rPr>
              <w:t>3.2.2 Philosophical Fundamentals</w:t>
            </w:r>
            <w:r>
              <w:rPr>
                <w:noProof/>
                <w:webHidden/>
              </w:rPr>
              <w:tab/>
            </w:r>
            <w:r>
              <w:rPr>
                <w:noProof/>
                <w:webHidden/>
              </w:rPr>
              <w:fldChar w:fldCharType="begin"/>
            </w:r>
            <w:r>
              <w:rPr>
                <w:noProof/>
                <w:webHidden/>
              </w:rPr>
              <w:instrText xml:space="preserve"> PAGEREF _Toc220926202 \h </w:instrText>
            </w:r>
            <w:r>
              <w:rPr>
                <w:noProof/>
                <w:webHidden/>
              </w:rPr>
            </w:r>
            <w:r>
              <w:rPr>
                <w:noProof/>
                <w:webHidden/>
              </w:rPr>
              <w:fldChar w:fldCharType="separate"/>
            </w:r>
            <w:r>
              <w:rPr>
                <w:noProof/>
                <w:webHidden/>
              </w:rPr>
              <w:t>27</w:t>
            </w:r>
            <w:r>
              <w:rPr>
                <w:noProof/>
                <w:webHidden/>
              </w:rPr>
              <w:fldChar w:fldCharType="end"/>
            </w:r>
          </w:hyperlink>
        </w:p>
        <w:p w14:paraId="40A9E538" w14:textId="3784EF08" w:rsidR="000B2682" w:rsidRDefault="000B2682">
          <w:pPr>
            <w:pStyle w:val="TOC2"/>
            <w:tabs>
              <w:tab w:val="right" w:leader="dot" w:pos="9016"/>
            </w:tabs>
            <w:rPr>
              <w:noProof/>
              <w:sz w:val="24"/>
              <w:szCs w:val="24"/>
              <w:lang w:eastAsia="en-GB"/>
            </w:rPr>
          </w:pPr>
          <w:hyperlink w:anchor="_Toc220926203" w:history="1">
            <w:r w:rsidRPr="007F38DA">
              <w:rPr>
                <w:rStyle w:val="Hyperlink"/>
                <w:rFonts w:ascii="Arial" w:hAnsi="Arial" w:cs="Arial"/>
                <w:noProof/>
              </w:rPr>
              <w:t>3.3 Systematic Review Protocol</w:t>
            </w:r>
            <w:r>
              <w:rPr>
                <w:noProof/>
                <w:webHidden/>
              </w:rPr>
              <w:tab/>
            </w:r>
            <w:r>
              <w:rPr>
                <w:noProof/>
                <w:webHidden/>
              </w:rPr>
              <w:fldChar w:fldCharType="begin"/>
            </w:r>
            <w:r>
              <w:rPr>
                <w:noProof/>
                <w:webHidden/>
              </w:rPr>
              <w:instrText xml:space="preserve"> PAGEREF _Toc220926203 \h </w:instrText>
            </w:r>
            <w:r>
              <w:rPr>
                <w:noProof/>
                <w:webHidden/>
              </w:rPr>
            </w:r>
            <w:r>
              <w:rPr>
                <w:noProof/>
                <w:webHidden/>
              </w:rPr>
              <w:fldChar w:fldCharType="separate"/>
            </w:r>
            <w:r>
              <w:rPr>
                <w:noProof/>
                <w:webHidden/>
              </w:rPr>
              <w:t>28</w:t>
            </w:r>
            <w:r>
              <w:rPr>
                <w:noProof/>
                <w:webHidden/>
              </w:rPr>
              <w:fldChar w:fldCharType="end"/>
            </w:r>
          </w:hyperlink>
        </w:p>
        <w:p w14:paraId="50CB6272" w14:textId="0E8B9A58" w:rsidR="000B2682" w:rsidRDefault="000B2682">
          <w:pPr>
            <w:pStyle w:val="TOC2"/>
            <w:tabs>
              <w:tab w:val="right" w:leader="dot" w:pos="9016"/>
            </w:tabs>
            <w:rPr>
              <w:noProof/>
              <w:sz w:val="24"/>
              <w:szCs w:val="24"/>
              <w:lang w:eastAsia="en-GB"/>
            </w:rPr>
          </w:pPr>
          <w:hyperlink w:anchor="_Toc220926204" w:history="1">
            <w:r w:rsidRPr="007F38DA">
              <w:rPr>
                <w:rStyle w:val="Hyperlink"/>
                <w:rFonts w:ascii="Arial" w:hAnsi="Arial" w:cs="Arial"/>
                <w:noProof/>
              </w:rPr>
              <w:t>3.4 Search Strategy</w:t>
            </w:r>
            <w:r>
              <w:rPr>
                <w:noProof/>
                <w:webHidden/>
              </w:rPr>
              <w:tab/>
            </w:r>
            <w:r>
              <w:rPr>
                <w:noProof/>
                <w:webHidden/>
              </w:rPr>
              <w:fldChar w:fldCharType="begin"/>
            </w:r>
            <w:r>
              <w:rPr>
                <w:noProof/>
                <w:webHidden/>
              </w:rPr>
              <w:instrText xml:space="preserve"> PAGEREF _Toc220926204 \h </w:instrText>
            </w:r>
            <w:r>
              <w:rPr>
                <w:noProof/>
                <w:webHidden/>
              </w:rPr>
            </w:r>
            <w:r>
              <w:rPr>
                <w:noProof/>
                <w:webHidden/>
              </w:rPr>
              <w:fldChar w:fldCharType="separate"/>
            </w:r>
            <w:r>
              <w:rPr>
                <w:noProof/>
                <w:webHidden/>
              </w:rPr>
              <w:t>28</w:t>
            </w:r>
            <w:r>
              <w:rPr>
                <w:noProof/>
                <w:webHidden/>
              </w:rPr>
              <w:fldChar w:fldCharType="end"/>
            </w:r>
          </w:hyperlink>
        </w:p>
        <w:p w14:paraId="258C85BC" w14:textId="2C492D51" w:rsidR="000B2682" w:rsidRDefault="000B2682">
          <w:pPr>
            <w:pStyle w:val="TOC3"/>
            <w:tabs>
              <w:tab w:val="right" w:leader="dot" w:pos="9016"/>
            </w:tabs>
            <w:rPr>
              <w:noProof/>
              <w:sz w:val="24"/>
              <w:szCs w:val="24"/>
              <w:lang w:eastAsia="en-GB"/>
            </w:rPr>
          </w:pPr>
          <w:hyperlink w:anchor="_Toc220926205" w:history="1">
            <w:r w:rsidRPr="007F38DA">
              <w:rPr>
                <w:rStyle w:val="Hyperlink"/>
                <w:rFonts w:ascii="Arial" w:hAnsi="Arial" w:cs="Arial"/>
                <w:noProof/>
              </w:rPr>
              <w:t>3.4.1 Information Sources</w:t>
            </w:r>
            <w:r>
              <w:rPr>
                <w:noProof/>
                <w:webHidden/>
              </w:rPr>
              <w:tab/>
            </w:r>
            <w:r>
              <w:rPr>
                <w:noProof/>
                <w:webHidden/>
              </w:rPr>
              <w:fldChar w:fldCharType="begin"/>
            </w:r>
            <w:r>
              <w:rPr>
                <w:noProof/>
                <w:webHidden/>
              </w:rPr>
              <w:instrText xml:space="preserve"> PAGEREF _Toc220926205 \h </w:instrText>
            </w:r>
            <w:r>
              <w:rPr>
                <w:noProof/>
                <w:webHidden/>
              </w:rPr>
            </w:r>
            <w:r>
              <w:rPr>
                <w:noProof/>
                <w:webHidden/>
              </w:rPr>
              <w:fldChar w:fldCharType="separate"/>
            </w:r>
            <w:r>
              <w:rPr>
                <w:noProof/>
                <w:webHidden/>
              </w:rPr>
              <w:t>28</w:t>
            </w:r>
            <w:r>
              <w:rPr>
                <w:noProof/>
                <w:webHidden/>
              </w:rPr>
              <w:fldChar w:fldCharType="end"/>
            </w:r>
          </w:hyperlink>
        </w:p>
        <w:p w14:paraId="1AF33A5E" w14:textId="04EAFCF6" w:rsidR="000B2682" w:rsidRDefault="000B2682">
          <w:pPr>
            <w:pStyle w:val="TOC3"/>
            <w:tabs>
              <w:tab w:val="right" w:leader="dot" w:pos="9016"/>
            </w:tabs>
            <w:rPr>
              <w:noProof/>
              <w:sz w:val="24"/>
              <w:szCs w:val="24"/>
              <w:lang w:eastAsia="en-GB"/>
            </w:rPr>
          </w:pPr>
          <w:hyperlink w:anchor="_Toc220926206" w:history="1">
            <w:r w:rsidRPr="007F38DA">
              <w:rPr>
                <w:rStyle w:val="Hyperlink"/>
                <w:rFonts w:ascii="Arial" w:hAnsi="Arial" w:cs="Arial"/>
                <w:noProof/>
              </w:rPr>
              <w:t>3.4.2 Search Terms and Strategy</w:t>
            </w:r>
            <w:r>
              <w:rPr>
                <w:noProof/>
                <w:webHidden/>
              </w:rPr>
              <w:tab/>
            </w:r>
            <w:r>
              <w:rPr>
                <w:noProof/>
                <w:webHidden/>
              </w:rPr>
              <w:fldChar w:fldCharType="begin"/>
            </w:r>
            <w:r>
              <w:rPr>
                <w:noProof/>
                <w:webHidden/>
              </w:rPr>
              <w:instrText xml:space="preserve"> PAGEREF _Toc220926206 \h </w:instrText>
            </w:r>
            <w:r>
              <w:rPr>
                <w:noProof/>
                <w:webHidden/>
              </w:rPr>
            </w:r>
            <w:r>
              <w:rPr>
                <w:noProof/>
                <w:webHidden/>
              </w:rPr>
              <w:fldChar w:fldCharType="separate"/>
            </w:r>
            <w:r>
              <w:rPr>
                <w:noProof/>
                <w:webHidden/>
              </w:rPr>
              <w:t>29</w:t>
            </w:r>
            <w:r>
              <w:rPr>
                <w:noProof/>
                <w:webHidden/>
              </w:rPr>
              <w:fldChar w:fldCharType="end"/>
            </w:r>
          </w:hyperlink>
        </w:p>
        <w:p w14:paraId="0012DD0D" w14:textId="328ACE1E" w:rsidR="000B2682" w:rsidRDefault="000B2682">
          <w:pPr>
            <w:pStyle w:val="TOC2"/>
            <w:tabs>
              <w:tab w:val="right" w:leader="dot" w:pos="9016"/>
            </w:tabs>
            <w:rPr>
              <w:noProof/>
              <w:sz w:val="24"/>
              <w:szCs w:val="24"/>
              <w:lang w:eastAsia="en-GB"/>
            </w:rPr>
          </w:pPr>
          <w:hyperlink w:anchor="_Toc220926207" w:history="1">
            <w:r w:rsidRPr="007F38DA">
              <w:rPr>
                <w:rStyle w:val="Hyperlink"/>
                <w:rFonts w:ascii="Arial" w:hAnsi="Arial" w:cs="Arial"/>
                <w:noProof/>
              </w:rPr>
              <w:t>3.5 Eligibility Criteria</w:t>
            </w:r>
            <w:r>
              <w:rPr>
                <w:noProof/>
                <w:webHidden/>
              </w:rPr>
              <w:tab/>
            </w:r>
            <w:r>
              <w:rPr>
                <w:noProof/>
                <w:webHidden/>
              </w:rPr>
              <w:fldChar w:fldCharType="begin"/>
            </w:r>
            <w:r>
              <w:rPr>
                <w:noProof/>
                <w:webHidden/>
              </w:rPr>
              <w:instrText xml:space="preserve"> PAGEREF _Toc220926207 \h </w:instrText>
            </w:r>
            <w:r>
              <w:rPr>
                <w:noProof/>
                <w:webHidden/>
              </w:rPr>
            </w:r>
            <w:r>
              <w:rPr>
                <w:noProof/>
                <w:webHidden/>
              </w:rPr>
              <w:fldChar w:fldCharType="separate"/>
            </w:r>
            <w:r>
              <w:rPr>
                <w:noProof/>
                <w:webHidden/>
              </w:rPr>
              <w:t>29</w:t>
            </w:r>
            <w:r>
              <w:rPr>
                <w:noProof/>
                <w:webHidden/>
              </w:rPr>
              <w:fldChar w:fldCharType="end"/>
            </w:r>
          </w:hyperlink>
        </w:p>
        <w:p w14:paraId="6EB6F856" w14:textId="5E21FFA2" w:rsidR="000B2682" w:rsidRDefault="000B2682">
          <w:pPr>
            <w:pStyle w:val="TOC2"/>
            <w:tabs>
              <w:tab w:val="right" w:leader="dot" w:pos="9016"/>
            </w:tabs>
            <w:rPr>
              <w:noProof/>
              <w:sz w:val="24"/>
              <w:szCs w:val="24"/>
              <w:lang w:eastAsia="en-GB"/>
            </w:rPr>
          </w:pPr>
          <w:hyperlink w:anchor="_Toc220926208" w:history="1">
            <w:r w:rsidRPr="007F38DA">
              <w:rPr>
                <w:rStyle w:val="Hyperlink"/>
                <w:rFonts w:ascii="Arial" w:hAnsi="Arial" w:cs="Arial"/>
                <w:noProof/>
              </w:rPr>
              <w:t>3.6 Study Selection Process</w:t>
            </w:r>
            <w:r>
              <w:rPr>
                <w:noProof/>
                <w:webHidden/>
              </w:rPr>
              <w:tab/>
            </w:r>
            <w:r>
              <w:rPr>
                <w:noProof/>
                <w:webHidden/>
              </w:rPr>
              <w:fldChar w:fldCharType="begin"/>
            </w:r>
            <w:r>
              <w:rPr>
                <w:noProof/>
                <w:webHidden/>
              </w:rPr>
              <w:instrText xml:space="preserve"> PAGEREF _Toc220926208 \h </w:instrText>
            </w:r>
            <w:r>
              <w:rPr>
                <w:noProof/>
                <w:webHidden/>
              </w:rPr>
            </w:r>
            <w:r>
              <w:rPr>
                <w:noProof/>
                <w:webHidden/>
              </w:rPr>
              <w:fldChar w:fldCharType="separate"/>
            </w:r>
            <w:r>
              <w:rPr>
                <w:noProof/>
                <w:webHidden/>
              </w:rPr>
              <w:t>30</w:t>
            </w:r>
            <w:r>
              <w:rPr>
                <w:noProof/>
                <w:webHidden/>
              </w:rPr>
              <w:fldChar w:fldCharType="end"/>
            </w:r>
          </w:hyperlink>
        </w:p>
        <w:p w14:paraId="7C61F96B" w14:textId="3F99F4FA" w:rsidR="000B2682" w:rsidRDefault="000B2682">
          <w:pPr>
            <w:pStyle w:val="TOC3"/>
            <w:tabs>
              <w:tab w:val="right" w:leader="dot" w:pos="9016"/>
            </w:tabs>
            <w:rPr>
              <w:noProof/>
              <w:sz w:val="24"/>
              <w:szCs w:val="24"/>
              <w:lang w:eastAsia="en-GB"/>
            </w:rPr>
          </w:pPr>
          <w:hyperlink w:anchor="_Toc220926209" w:history="1">
            <w:r w:rsidRPr="007F38DA">
              <w:rPr>
                <w:rStyle w:val="Hyperlink"/>
                <w:rFonts w:ascii="Arial" w:hAnsi="Arial" w:cs="Arial"/>
                <w:noProof/>
              </w:rPr>
              <w:t>3.6.1 PRISMA Flow</w:t>
            </w:r>
            <w:r>
              <w:rPr>
                <w:noProof/>
                <w:webHidden/>
              </w:rPr>
              <w:tab/>
            </w:r>
            <w:r>
              <w:rPr>
                <w:noProof/>
                <w:webHidden/>
              </w:rPr>
              <w:fldChar w:fldCharType="begin"/>
            </w:r>
            <w:r>
              <w:rPr>
                <w:noProof/>
                <w:webHidden/>
              </w:rPr>
              <w:instrText xml:space="preserve"> PAGEREF _Toc220926209 \h </w:instrText>
            </w:r>
            <w:r>
              <w:rPr>
                <w:noProof/>
                <w:webHidden/>
              </w:rPr>
            </w:r>
            <w:r>
              <w:rPr>
                <w:noProof/>
                <w:webHidden/>
              </w:rPr>
              <w:fldChar w:fldCharType="separate"/>
            </w:r>
            <w:r>
              <w:rPr>
                <w:noProof/>
                <w:webHidden/>
              </w:rPr>
              <w:t>30</w:t>
            </w:r>
            <w:r>
              <w:rPr>
                <w:noProof/>
                <w:webHidden/>
              </w:rPr>
              <w:fldChar w:fldCharType="end"/>
            </w:r>
          </w:hyperlink>
        </w:p>
        <w:p w14:paraId="55AA875D" w14:textId="1B994ED1" w:rsidR="000B2682" w:rsidRDefault="000B2682">
          <w:pPr>
            <w:pStyle w:val="TOC3"/>
            <w:tabs>
              <w:tab w:val="right" w:leader="dot" w:pos="9016"/>
            </w:tabs>
            <w:rPr>
              <w:noProof/>
              <w:sz w:val="24"/>
              <w:szCs w:val="24"/>
              <w:lang w:eastAsia="en-GB"/>
            </w:rPr>
          </w:pPr>
          <w:hyperlink w:anchor="_Toc220926210" w:history="1">
            <w:r w:rsidRPr="007F38DA">
              <w:rPr>
                <w:rStyle w:val="Hyperlink"/>
                <w:rFonts w:ascii="Arial" w:hAnsi="Arial" w:cs="Arial"/>
                <w:noProof/>
              </w:rPr>
              <w:t>3.6.2 Single Researcher Approach</w:t>
            </w:r>
            <w:r>
              <w:rPr>
                <w:noProof/>
                <w:webHidden/>
              </w:rPr>
              <w:tab/>
            </w:r>
            <w:r>
              <w:rPr>
                <w:noProof/>
                <w:webHidden/>
              </w:rPr>
              <w:fldChar w:fldCharType="begin"/>
            </w:r>
            <w:r>
              <w:rPr>
                <w:noProof/>
                <w:webHidden/>
              </w:rPr>
              <w:instrText xml:space="preserve"> PAGEREF _Toc220926210 \h </w:instrText>
            </w:r>
            <w:r>
              <w:rPr>
                <w:noProof/>
                <w:webHidden/>
              </w:rPr>
            </w:r>
            <w:r>
              <w:rPr>
                <w:noProof/>
                <w:webHidden/>
              </w:rPr>
              <w:fldChar w:fldCharType="separate"/>
            </w:r>
            <w:r>
              <w:rPr>
                <w:noProof/>
                <w:webHidden/>
              </w:rPr>
              <w:t>31</w:t>
            </w:r>
            <w:r>
              <w:rPr>
                <w:noProof/>
                <w:webHidden/>
              </w:rPr>
              <w:fldChar w:fldCharType="end"/>
            </w:r>
          </w:hyperlink>
        </w:p>
        <w:p w14:paraId="0A17E09E" w14:textId="0FD7A411" w:rsidR="000B2682" w:rsidRDefault="000B2682">
          <w:pPr>
            <w:pStyle w:val="TOC2"/>
            <w:tabs>
              <w:tab w:val="right" w:leader="dot" w:pos="9016"/>
            </w:tabs>
            <w:rPr>
              <w:noProof/>
              <w:sz w:val="24"/>
              <w:szCs w:val="24"/>
              <w:lang w:eastAsia="en-GB"/>
            </w:rPr>
          </w:pPr>
          <w:hyperlink w:anchor="_Toc220926211" w:history="1">
            <w:r w:rsidRPr="007F38DA">
              <w:rPr>
                <w:rStyle w:val="Hyperlink"/>
                <w:rFonts w:ascii="Arial" w:hAnsi="Arial" w:cs="Arial"/>
                <w:noProof/>
              </w:rPr>
              <w:t>3.7 Data Extraction</w:t>
            </w:r>
            <w:r>
              <w:rPr>
                <w:noProof/>
                <w:webHidden/>
              </w:rPr>
              <w:tab/>
            </w:r>
            <w:r>
              <w:rPr>
                <w:noProof/>
                <w:webHidden/>
              </w:rPr>
              <w:fldChar w:fldCharType="begin"/>
            </w:r>
            <w:r>
              <w:rPr>
                <w:noProof/>
                <w:webHidden/>
              </w:rPr>
              <w:instrText xml:space="preserve"> PAGEREF _Toc220926211 \h </w:instrText>
            </w:r>
            <w:r>
              <w:rPr>
                <w:noProof/>
                <w:webHidden/>
              </w:rPr>
            </w:r>
            <w:r>
              <w:rPr>
                <w:noProof/>
                <w:webHidden/>
              </w:rPr>
              <w:fldChar w:fldCharType="separate"/>
            </w:r>
            <w:r>
              <w:rPr>
                <w:noProof/>
                <w:webHidden/>
              </w:rPr>
              <w:t>31</w:t>
            </w:r>
            <w:r>
              <w:rPr>
                <w:noProof/>
                <w:webHidden/>
              </w:rPr>
              <w:fldChar w:fldCharType="end"/>
            </w:r>
          </w:hyperlink>
        </w:p>
        <w:p w14:paraId="5110BB1B" w14:textId="336A9F78" w:rsidR="000B2682" w:rsidRDefault="000B2682">
          <w:pPr>
            <w:pStyle w:val="TOC3"/>
            <w:tabs>
              <w:tab w:val="right" w:leader="dot" w:pos="9016"/>
            </w:tabs>
            <w:rPr>
              <w:noProof/>
              <w:sz w:val="24"/>
              <w:szCs w:val="24"/>
              <w:lang w:eastAsia="en-GB"/>
            </w:rPr>
          </w:pPr>
          <w:hyperlink w:anchor="_Toc220926212" w:history="1">
            <w:r w:rsidRPr="007F38DA">
              <w:rPr>
                <w:rStyle w:val="Hyperlink"/>
                <w:rFonts w:ascii="Arial" w:hAnsi="Arial" w:cs="Arial"/>
                <w:noProof/>
              </w:rPr>
              <w:t>3.7.1 Data Extraction Form and Process</w:t>
            </w:r>
            <w:r>
              <w:rPr>
                <w:noProof/>
                <w:webHidden/>
              </w:rPr>
              <w:tab/>
            </w:r>
            <w:r>
              <w:rPr>
                <w:noProof/>
                <w:webHidden/>
              </w:rPr>
              <w:fldChar w:fldCharType="begin"/>
            </w:r>
            <w:r>
              <w:rPr>
                <w:noProof/>
                <w:webHidden/>
              </w:rPr>
              <w:instrText xml:space="preserve"> PAGEREF _Toc220926212 \h </w:instrText>
            </w:r>
            <w:r>
              <w:rPr>
                <w:noProof/>
                <w:webHidden/>
              </w:rPr>
            </w:r>
            <w:r>
              <w:rPr>
                <w:noProof/>
                <w:webHidden/>
              </w:rPr>
              <w:fldChar w:fldCharType="separate"/>
            </w:r>
            <w:r>
              <w:rPr>
                <w:noProof/>
                <w:webHidden/>
              </w:rPr>
              <w:t>31</w:t>
            </w:r>
            <w:r>
              <w:rPr>
                <w:noProof/>
                <w:webHidden/>
              </w:rPr>
              <w:fldChar w:fldCharType="end"/>
            </w:r>
          </w:hyperlink>
        </w:p>
        <w:p w14:paraId="09E6CD02" w14:textId="409585A9" w:rsidR="000B2682" w:rsidRDefault="000B2682">
          <w:pPr>
            <w:pStyle w:val="TOC2"/>
            <w:tabs>
              <w:tab w:val="right" w:leader="dot" w:pos="9016"/>
            </w:tabs>
            <w:rPr>
              <w:noProof/>
              <w:sz w:val="24"/>
              <w:szCs w:val="24"/>
              <w:lang w:eastAsia="en-GB"/>
            </w:rPr>
          </w:pPr>
          <w:hyperlink w:anchor="_Toc220926213" w:history="1">
            <w:r w:rsidRPr="007F38DA">
              <w:rPr>
                <w:rStyle w:val="Hyperlink"/>
                <w:rFonts w:ascii="Arial" w:hAnsi="Arial" w:cs="Arial"/>
                <w:noProof/>
              </w:rPr>
              <w:t>3.8 Quality Assessment</w:t>
            </w:r>
            <w:r>
              <w:rPr>
                <w:noProof/>
                <w:webHidden/>
              </w:rPr>
              <w:tab/>
            </w:r>
            <w:r>
              <w:rPr>
                <w:noProof/>
                <w:webHidden/>
              </w:rPr>
              <w:fldChar w:fldCharType="begin"/>
            </w:r>
            <w:r>
              <w:rPr>
                <w:noProof/>
                <w:webHidden/>
              </w:rPr>
              <w:instrText xml:space="preserve"> PAGEREF _Toc220926213 \h </w:instrText>
            </w:r>
            <w:r>
              <w:rPr>
                <w:noProof/>
                <w:webHidden/>
              </w:rPr>
            </w:r>
            <w:r>
              <w:rPr>
                <w:noProof/>
                <w:webHidden/>
              </w:rPr>
              <w:fldChar w:fldCharType="separate"/>
            </w:r>
            <w:r>
              <w:rPr>
                <w:noProof/>
                <w:webHidden/>
              </w:rPr>
              <w:t>32</w:t>
            </w:r>
            <w:r>
              <w:rPr>
                <w:noProof/>
                <w:webHidden/>
              </w:rPr>
              <w:fldChar w:fldCharType="end"/>
            </w:r>
          </w:hyperlink>
        </w:p>
        <w:p w14:paraId="7653832A" w14:textId="74A347B3" w:rsidR="000B2682" w:rsidRDefault="000B2682">
          <w:pPr>
            <w:pStyle w:val="TOC3"/>
            <w:tabs>
              <w:tab w:val="right" w:leader="dot" w:pos="9016"/>
            </w:tabs>
            <w:rPr>
              <w:noProof/>
              <w:sz w:val="24"/>
              <w:szCs w:val="24"/>
              <w:lang w:eastAsia="en-GB"/>
            </w:rPr>
          </w:pPr>
          <w:hyperlink w:anchor="_Toc220926214" w:history="1">
            <w:r w:rsidRPr="007F38DA">
              <w:rPr>
                <w:rStyle w:val="Hyperlink"/>
                <w:rFonts w:ascii="Arial" w:hAnsi="Arial" w:cs="Arial"/>
                <w:noProof/>
              </w:rPr>
              <w:t>3.8.1 Quality Assessment Tool and Process</w:t>
            </w:r>
            <w:r>
              <w:rPr>
                <w:noProof/>
                <w:webHidden/>
              </w:rPr>
              <w:tab/>
            </w:r>
            <w:r>
              <w:rPr>
                <w:noProof/>
                <w:webHidden/>
              </w:rPr>
              <w:fldChar w:fldCharType="begin"/>
            </w:r>
            <w:r>
              <w:rPr>
                <w:noProof/>
                <w:webHidden/>
              </w:rPr>
              <w:instrText xml:space="preserve"> PAGEREF _Toc220926214 \h </w:instrText>
            </w:r>
            <w:r>
              <w:rPr>
                <w:noProof/>
                <w:webHidden/>
              </w:rPr>
            </w:r>
            <w:r>
              <w:rPr>
                <w:noProof/>
                <w:webHidden/>
              </w:rPr>
              <w:fldChar w:fldCharType="separate"/>
            </w:r>
            <w:r>
              <w:rPr>
                <w:noProof/>
                <w:webHidden/>
              </w:rPr>
              <w:t>32</w:t>
            </w:r>
            <w:r>
              <w:rPr>
                <w:noProof/>
                <w:webHidden/>
              </w:rPr>
              <w:fldChar w:fldCharType="end"/>
            </w:r>
          </w:hyperlink>
        </w:p>
        <w:p w14:paraId="7CDBE05C" w14:textId="7B43662E" w:rsidR="000B2682" w:rsidRDefault="000B2682">
          <w:pPr>
            <w:pStyle w:val="TOC2"/>
            <w:tabs>
              <w:tab w:val="right" w:leader="dot" w:pos="9016"/>
            </w:tabs>
            <w:rPr>
              <w:noProof/>
              <w:sz w:val="24"/>
              <w:szCs w:val="24"/>
              <w:lang w:eastAsia="en-GB"/>
            </w:rPr>
          </w:pPr>
          <w:hyperlink w:anchor="_Toc220926215" w:history="1">
            <w:r w:rsidRPr="007F38DA">
              <w:rPr>
                <w:rStyle w:val="Hyperlink"/>
                <w:rFonts w:ascii="Arial" w:hAnsi="Arial" w:cs="Arial"/>
                <w:noProof/>
              </w:rPr>
              <w:t>3.9 Data Synthesis</w:t>
            </w:r>
            <w:r>
              <w:rPr>
                <w:noProof/>
                <w:webHidden/>
              </w:rPr>
              <w:tab/>
            </w:r>
            <w:r>
              <w:rPr>
                <w:noProof/>
                <w:webHidden/>
              </w:rPr>
              <w:fldChar w:fldCharType="begin"/>
            </w:r>
            <w:r>
              <w:rPr>
                <w:noProof/>
                <w:webHidden/>
              </w:rPr>
              <w:instrText xml:space="preserve"> PAGEREF _Toc220926215 \h </w:instrText>
            </w:r>
            <w:r>
              <w:rPr>
                <w:noProof/>
                <w:webHidden/>
              </w:rPr>
            </w:r>
            <w:r>
              <w:rPr>
                <w:noProof/>
                <w:webHidden/>
              </w:rPr>
              <w:fldChar w:fldCharType="separate"/>
            </w:r>
            <w:r>
              <w:rPr>
                <w:noProof/>
                <w:webHidden/>
              </w:rPr>
              <w:t>32</w:t>
            </w:r>
            <w:r>
              <w:rPr>
                <w:noProof/>
                <w:webHidden/>
              </w:rPr>
              <w:fldChar w:fldCharType="end"/>
            </w:r>
          </w:hyperlink>
        </w:p>
        <w:p w14:paraId="1A3B1E3D" w14:textId="070B08E6" w:rsidR="000B2682" w:rsidRDefault="000B2682">
          <w:pPr>
            <w:pStyle w:val="TOC3"/>
            <w:tabs>
              <w:tab w:val="right" w:leader="dot" w:pos="9016"/>
            </w:tabs>
            <w:rPr>
              <w:noProof/>
              <w:sz w:val="24"/>
              <w:szCs w:val="24"/>
              <w:lang w:eastAsia="en-GB"/>
            </w:rPr>
          </w:pPr>
          <w:hyperlink w:anchor="_Toc220926216" w:history="1">
            <w:r w:rsidRPr="007F38DA">
              <w:rPr>
                <w:rStyle w:val="Hyperlink"/>
                <w:rFonts w:ascii="Arial" w:hAnsi="Arial" w:cs="Arial"/>
                <w:noProof/>
              </w:rPr>
              <w:t>3.9.1 Thematic Synthesis Approach</w:t>
            </w:r>
            <w:r>
              <w:rPr>
                <w:noProof/>
                <w:webHidden/>
              </w:rPr>
              <w:tab/>
            </w:r>
            <w:r>
              <w:rPr>
                <w:noProof/>
                <w:webHidden/>
              </w:rPr>
              <w:fldChar w:fldCharType="begin"/>
            </w:r>
            <w:r>
              <w:rPr>
                <w:noProof/>
                <w:webHidden/>
              </w:rPr>
              <w:instrText xml:space="preserve"> PAGEREF _Toc220926216 \h </w:instrText>
            </w:r>
            <w:r>
              <w:rPr>
                <w:noProof/>
                <w:webHidden/>
              </w:rPr>
            </w:r>
            <w:r>
              <w:rPr>
                <w:noProof/>
                <w:webHidden/>
              </w:rPr>
              <w:fldChar w:fldCharType="separate"/>
            </w:r>
            <w:r>
              <w:rPr>
                <w:noProof/>
                <w:webHidden/>
              </w:rPr>
              <w:t>32</w:t>
            </w:r>
            <w:r>
              <w:rPr>
                <w:noProof/>
                <w:webHidden/>
              </w:rPr>
              <w:fldChar w:fldCharType="end"/>
            </w:r>
          </w:hyperlink>
        </w:p>
        <w:p w14:paraId="6903C487" w14:textId="1E32A1F4" w:rsidR="000B2682" w:rsidRDefault="000B2682">
          <w:pPr>
            <w:pStyle w:val="TOC3"/>
            <w:tabs>
              <w:tab w:val="right" w:leader="dot" w:pos="9016"/>
            </w:tabs>
            <w:rPr>
              <w:noProof/>
              <w:sz w:val="24"/>
              <w:szCs w:val="24"/>
              <w:lang w:eastAsia="en-GB"/>
            </w:rPr>
          </w:pPr>
          <w:hyperlink w:anchor="_Toc220926217" w:history="1">
            <w:r w:rsidRPr="007F38DA">
              <w:rPr>
                <w:rStyle w:val="Hyperlink"/>
                <w:rFonts w:ascii="Arial" w:hAnsi="Arial" w:cs="Arial"/>
                <w:noProof/>
              </w:rPr>
              <w:t>3.9.2 Synthesis Process</w:t>
            </w:r>
            <w:r>
              <w:rPr>
                <w:noProof/>
                <w:webHidden/>
              </w:rPr>
              <w:tab/>
            </w:r>
            <w:r>
              <w:rPr>
                <w:noProof/>
                <w:webHidden/>
              </w:rPr>
              <w:fldChar w:fldCharType="begin"/>
            </w:r>
            <w:r>
              <w:rPr>
                <w:noProof/>
                <w:webHidden/>
              </w:rPr>
              <w:instrText xml:space="preserve"> PAGEREF _Toc220926217 \h </w:instrText>
            </w:r>
            <w:r>
              <w:rPr>
                <w:noProof/>
                <w:webHidden/>
              </w:rPr>
            </w:r>
            <w:r>
              <w:rPr>
                <w:noProof/>
                <w:webHidden/>
              </w:rPr>
              <w:fldChar w:fldCharType="separate"/>
            </w:r>
            <w:r>
              <w:rPr>
                <w:noProof/>
                <w:webHidden/>
              </w:rPr>
              <w:t>32</w:t>
            </w:r>
            <w:r>
              <w:rPr>
                <w:noProof/>
                <w:webHidden/>
              </w:rPr>
              <w:fldChar w:fldCharType="end"/>
            </w:r>
          </w:hyperlink>
        </w:p>
        <w:p w14:paraId="50975BFD" w14:textId="04F6A7AF" w:rsidR="000B2682" w:rsidRDefault="000B2682">
          <w:pPr>
            <w:pStyle w:val="TOC2"/>
            <w:tabs>
              <w:tab w:val="right" w:leader="dot" w:pos="9016"/>
            </w:tabs>
            <w:rPr>
              <w:noProof/>
              <w:sz w:val="24"/>
              <w:szCs w:val="24"/>
              <w:lang w:eastAsia="en-GB"/>
            </w:rPr>
          </w:pPr>
          <w:hyperlink w:anchor="_Toc220926218" w:history="1">
            <w:r w:rsidRPr="007F38DA">
              <w:rPr>
                <w:rStyle w:val="Hyperlink"/>
                <w:rFonts w:ascii="Arial" w:hAnsi="Arial" w:cs="Arial"/>
                <w:noProof/>
              </w:rPr>
              <w:t>3.10 Ethical Considerations</w:t>
            </w:r>
            <w:r>
              <w:rPr>
                <w:noProof/>
                <w:webHidden/>
              </w:rPr>
              <w:tab/>
            </w:r>
            <w:r>
              <w:rPr>
                <w:noProof/>
                <w:webHidden/>
              </w:rPr>
              <w:fldChar w:fldCharType="begin"/>
            </w:r>
            <w:r>
              <w:rPr>
                <w:noProof/>
                <w:webHidden/>
              </w:rPr>
              <w:instrText xml:space="preserve"> PAGEREF _Toc220926218 \h </w:instrText>
            </w:r>
            <w:r>
              <w:rPr>
                <w:noProof/>
                <w:webHidden/>
              </w:rPr>
            </w:r>
            <w:r>
              <w:rPr>
                <w:noProof/>
                <w:webHidden/>
              </w:rPr>
              <w:fldChar w:fldCharType="separate"/>
            </w:r>
            <w:r>
              <w:rPr>
                <w:noProof/>
                <w:webHidden/>
              </w:rPr>
              <w:t>33</w:t>
            </w:r>
            <w:r>
              <w:rPr>
                <w:noProof/>
                <w:webHidden/>
              </w:rPr>
              <w:fldChar w:fldCharType="end"/>
            </w:r>
          </w:hyperlink>
        </w:p>
        <w:p w14:paraId="59B0D6CB" w14:textId="54893C99" w:rsidR="000B2682" w:rsidRDefault="000B2682">
          <w:pPr>
            <w:pStyle w:val="TOC2"/>
            <w:tabs>
              <w:tab w:val="right" w:leader="dot" w:pos="9016"/>
            </w:tabs>
            <w:rPr>
              <w:noProof/>
              <w:sz w:val="24"/>
              <w:szCs w:val="24"/>
              <w:lang w:eastAsia="en-GB"/>
            </w:rPr>
          </w:pPr>
          <w:hyperlink w:anchor="_Toc220926219" w:history="1">
            <w:r w:rsidRPr="007F38DA">
              <w:rPr>
                <w:rStyle w:val="Hyperlink"/>
                <w:rFonts w:ascii="Arial" w:hAnsi="Arial" w:cs="Arial"/>
                <w:noProof/>
              </w:rPr>
              <w:t>3.11 Methodological Rigour and Limitations</w:t>
            </w:r>
            <w:r>
              <w:rPr>
                <w:noProof/>
                <w:webHidden/>
              </w:rPr>
              <w:tab/>
            </w:r>
            <w:r>
              <w:rPr>
                <w:noProof/>
                <w:webHidden/>
              </w:rPr>
              <w:fldChar w:fldCharType="begin"/>
            </w:r>
            <w:r>
              <w:rPr>
                <w:noProof/>
                <w:webHidden/>
              </w:rPr>
              <w:instrText xml:space="preserve"> PAGEREF _Toc220926219 \h </w:instrText>
            </w:r>
            <w:r>
              <w:rPr>
                <w:noProof/>
                <w:webHidden/>
              </w:rPr>
            </w:r>
            <w:r>
              <w:rPr>
                <w:noProof/>
                <w:webHidden/>
              </w:rPr>
              <w:fldChar w:fldCharType="separate"/>
            </w:r>
            <w:r>
              <w:rPr>
                <w:noProof/>
                <w:webHidden/>
              </w:rPr>
              <w:t>33</w:t>
            </w:r>
            <w:r>
              <w:rPr>
                <w:noProof/>
                <w:webHidden/>
              </w:rPr>
              <w:fldChar w:fldCharType="end"/>
            </w:r>
          </w:hyperlink>
        </w:p>
        <w:p w14:paraId="702D1A70" w14:textId="3A2E595E" w:rsidR="000B2682" w:rsidRDefault="000B2682">
          <w:pPr>
            <w:pStyle w:val="TOC2"/>
            <w:tabs>
              <w:tab w:val="right" w:leader="dot" w:pos="9016"/>
            </w:tabs>
            <w:rPr>
              <w:noProof/>
              <w:sz w:val="24"/>
              <w:szCs w:val="24"/>
              <w:lang w:eastAsia="en-GB"/>
            </w:rPr>
          </w:pPr>
          <w:hyperlink w:anchor="_Toc220926220" w:history="1">
            <w:r w:rsidRPr="007F38DA">
              <w:rPr>
                <w:rStyle w:val="Hyperlink"/>
                <w:rFonts w:ascii="Arial" w:hAnsi="Arial" w:cs="Arial"/>
                <w:noProof/>
              </w:rPr>
              <w:t>3.12 Chapter Summary</w:t>
            </w:r>
            <w:r>
              <w:rPr>
                <w:noProof/>
                <w:webHidden/>
              </w:rPr>
              <w:tab/>
            </w:r>
            <w:r>
              <w:rPr>
                <w:noProof/>
                <w:webHidden/>
              </w:rPr>
              <w:fldChar w:fldCharType="begin"/>
            </w:r>
            <w:r>
              <w:rPr>
                <w:noProof/>
                <w:webHidden/>
              </w:rPr>
              <w:instrText xml:space="preserve"> PAGEREF _Toc220926220 \h </w:instrText>
            </w:r>
            <w:r>
              <w:rPr>
                <w:noProof/>
                <w:webHidden/>
              </w:rPr>
            </w:r>
            <w:r>
              <w:rPr>
                <w:noProof/>
                <w:webHidden/>
              </w:rPr>
              <w:fldChar w:fldCharType="separate"/>
            </w:r>
            <w:r>
              <w:rPr>
                <w:noProof/>
                <w:webHidden/>
              </w:rPr>
              <w:t>34</w:t>
            </w:r>
            <w:r>
              <w:rPr>
                <w:noProof/>
                <w:webHidden/>
              </w:rPr>
              <w:fldChar w:fldCharType="end"/>
            </w:r>
          </w:hyperlink>
        </w:p>
        <w:p w14:paraId="0D5C1BB9" w14:textId="3DA03156"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221" w:history="1">
            <w:r w:rsidRPr="007F38DA">
              <w:rPr>
                <w:rStyle w:val="Hyperlink"/>
                <w:rFonts w:ascii="Arial" w:eastAsiaTheme="majorEastAsia" w:hAnsi="Arial" w:cs="Arial"/>
                <w:noProof/>
              </w:rPr>
              <w:t>CHAPTER 4: RESULTS AND DISCUSSION</w:t>
            </w:r>
            <w:r>
              <w:rPr>
                <w:noProof/>
                <w:webHidden/>
              </w:rPr>
              <w:tab/>
            </w:r>
            <w:r>
              <w:rPr>
                <w:noProof/>
                <w:webHidden/>
              </w:rPr>
              <w:fldChar w:fldCharType="begin"/>
            </w:r>
            <w:r>
              <w:rPr>
                <w:noProof/>
                <w:webHidden/>
              </w:rPr>
              <w:instrText xml:space="preserve"> PAGEREF _Toc220926221 \h </w:instrText>
            </w:r>
            <w:r>
              <w:rPr>
                <w:noProof/>
                <w:webHidden/>
              </w:rPr>
            </w:r>
            <w:r>
              <w:rPr>
                <w:noProof/>
                <w:webHidden/>
              </w:rPr>
              <w:fldChar w:fldCharType="separate"/>
            </w:r>
            <w:r>
              <w:rPr>
                <w:noProof/>
                <w:webHidden/>
              </w:rPr>
              <w:t>35</w:t>
            </w:r>
            <w:r>
              <w:rPr>
                <w:noProof/>
                <w:webHidden/>
              </w:rPr>
              <w:fldChar w:fldCharType="end"/>
            </w:r>
          </w:hyperlink>
        </w:p>
        <w:p w14:paraId="21A04460" w14:textId="7B90779E" w:rsidR="000B2682" w:rsidRDefault="000B2682">
          <w:pPr>
            <w:pStyle w:val="TOC2"/>
            <w:tabs>
              <w:tab w:val="right" w:leader="dot" w:pos="9016"/>
            </w:tabs>
            <w:rPr>
              <w:noProof/>
              <w:sz w:val="24"/>
              <w:szCs w:val="24"/>
              <w:lang w:eastAsia="en-GB"/>
            </w:rPr>
          </w:pPr>
          <w:hyperlink w:anchor="_Toc220926222" w:history="1">
            <w:r w:rsidRPr="007F38DA">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_Toc220926222 \h </w:instrText>
            </w:r>
            <w:r>
              <w:rPr>
                <w:noProof/>
                <w:webHidden/>
              </w:rPr>
            </w:r>
            <w:r>
              <w:rPr>
                <w:noProof/>
                <w:webHidden/>
              </w:rPr>
              <w:fldChar w:fldCharType="separate"/>
            </w:r>
            <w:r>
              <w:rPr>
                <w:noProof/>
                <w:webHidden/>
              </w:rPr>
              <w:t>35</w:t>
            </w:r>
            <w:r>
              <w:rPr>
                <w:noProof/>
                <w:webHidden/>
              </w:rPr>
              <w:fldChar w:fldCharType="end"/>
            </w:r>
          </w:hyperlink>
        </w:p>
        <w:p w14:paraId="1C6BEB3F" w14:textId="5C1468CB" w:rsidR="000B2682" w:rsidRDefault="000B2682">
          <w:pPr>
            <w:pStyle w:val="TOC2"/>
            <w:tabs>
              <w:tab w:val="right" w:leader="dot" w:pos="9016"/>
            </w:tabs>
            <w:rPr>
              <w:noProof/>
              <w:sz w:val="24"/>
              <w:szCs w:val="24"/>
              <w:lang w:eastAsia="en-GB"/>
            </w:rPr>
          </w:pPr>
          <w:hyperlink w:anchor="_Toc220926223" w:history="1">
            <w:r w:rsidRPr="007F38DA">
              <w:rPr>
                <w:rStyle w:val="Hyperlink"/>
                <w:rFonts w:ascii="Arial" w:hAnsi="Arial" w:cs="Arial"/>
                <w:noProof/>
              </w:rPr>
              <w:t>SECTION A: RESULTS</w:t>
            </w:r>
            <w:r>
              <w:rPr>
                <w:noProof/>
                <w:webHidden/>
              </w:rPr>
              <w:tab/>
            </w:r>
            <w:r>
              <w:rPr>
                <w:noProof/>
                <w:webHidden/>
              </w:rPr>
              <w:fldChar w:fldCharType="begin"/>
            </w:r>
            <w:r>
              <w:rPr>
                <w:noProof/>
                <w:webHidden/>
              </w:rPr>
              <w:instrText xml:space="preserve"> PAGEREF _Toc220926223 \h </w:instrText>
            </w:r>
            <w:r>
              <w:rPr>
                <w:noProof/>
                <w:webHidden/>
              </w:rPr>
            </w:r>
            <w:r>
              <w:rPr>
                <w:noProof/>
                <w:webHidden/>
              </w:rPr>
              <w:fldChar w:fldCharType="separate"/>
            </w:r>
            <w:r>
              <w:rPr>
                <w:noProof/>
                <w:webHidden/>
              </w:rPr>
              <w:t>35</w:t>
            </w:r>
            <w:r>
              <w:rPr>
                <w:noProof/>
                <w:webHidden/>
              </w:rPr>
              <w:fldChar w:fldCharType="end"/>
            </w:r>
          </w:hyperlink>
        </w:p>
        <w:p w14:paraId="732C9797" w14:textId="5F874FE1" w:rsidR="000B2682" w:rsidRDefault="000B2682">
          <w:pPr>
            <w:pStyle w:val="TOC2"/>
            <w:tabs>
              <w:tab w:val="right" w:leader="dot" w:pos="9016"/>
            </w:tabs>
            <w:rPr>
              <w:noProof/>
              <w:sz w:val="24"/>
              <w:szCs w:val="24"/>
              <w:lang w:eastAsia="en-GB"/>
            </w:rPr>
          </w:pPr>
          <w:hyperlink w:anchor="_Toc220926224" w:history="1">
            <w:r w:rsidRPr="007F38DA">
              <w:rPr>
                <w:rStyle w:val="Hyperlink"/>
                <w:rFonts w:ascii="Arial" w:hAnsi="Arial" w:cs="Arial"/>
                <w:noProof/>
              </w:rPr>
              <w:t>4.2 Study Selection Results</w:t>
            </w:r>
            <w:r>
              <w:rPr>
                <w:noProof/>
                <w:webHidden/>
              </w:rPr>
              <w:tab/>
            </w:r>
            <w:r>
              <w:rPr>
                <w:noProof/>
                <w:webHidden/>
              </w:rPr>
              <w:fldChar w:fldCharType="begin"/>
            </w:r>
            <w:r>
              <w:rPr>
                <w:noProof/>
                <w:webHidden/>
              </w:rPr>
              <w:instrText xml:space="preserve"> PAGEREF _Toc220926224 \h </w:instrText>
            </w:r>
            <w:r>
              <w:rPr>
                <w:noProof/>
                <w:webHidden/>
              </w:rPr>
            </w:r>
            <w:r>
              <w:rPr>
                <w:noProof/>
                <w:webHidden/>
              </w:rPr>
              <w:fldChar w:fldCharType="separate"/>
            </w:r>
            <w:r>
              <w:rPr>
                <w:noProof/>
                <w:webHidden/>
              </w:rPr>
              <w:t>35</w:t>
            </w:r>
            <w:r>
              <w:rPr>
                <w:noProof/>
                <w:webHidden/>
              </w:rPr>
              <w:fldChar w:fldCharType="end"/>
            </w:r>
          </w:hyperlink>
        </w:p>
        <w:p w14:paraId="10C0758B" w14:textId="4056C312" w:rsidR="000B2682" w:rsidRDefault="000B2682">
          <w:pPr>
            <w:pStyle w:val="TOC3"/>
            <w:tabs>
              <w:tab w:val="right" w:leader="dot" w:pos="9016"/>
            </w:tabs>
            <w:rPr>
              <w:noProof/>
              <w:sz w:val="24"/>
              <w:szCs w:val="24"/>
              <w:lang w:eastAsia="en-GB"/>
            </w:rPr>
          </w:pPr>
          <w:hyperlink w:anchor="_Toc220926225" w:history="1">
            <w:r w:rsidRPr="007F38DA">
              <w:rPr>
                <w:rStyle w:val="Hyperlink"/>
                <w:rFonts w:ascii="Arial" w:hAnsi="Arial" w:cs="Arial"/>
                <w:noProof/>
              </w:rPr>
              <w:t>4.2.1 PRISMA Flow</w:t>
            </w:r>
            <w:r>
              <w:rPr>
                <w:noProof/>
                <w:webHidden/>
              </w:rPr>
              <w:tab/>
            </w:r>
            <w:r>
              <w:rPr>
                <w:noProof/>
                <w:webHidden/>
              </w:rPr>
              <w:fldChar w:fldCharType="begin"/>
            </w:r>
            <w:r>
              <w:rPr>
                <w:noProof/>
                <w:webHidden/>
              </w:rPr>
              <w:instrText xml:space="preserve"> PAGEREF _Toc220926225 \h </w:instrText>
            </w:r>
            <w:r>
              <w:rPr>
                <w:noProof/>
                <w:webHidden/>
              </w:rPr>
            </w:r>
            <w:r>
              <w:rPr>
                <w:noProof/>
                <w:webHidden/>
              </w:rPr>
              <w:fldChar w:fldCharType="separate"/>
            </w:r>
            <w:r>
              <w:rPr>
                <w:noProof/>
                <w:webHidden/>
              </w:rPr>
              <w:t>35</w:t>
            </w:r>
            <w:r>
              <w:rPr>
                <w:noProof/>
                <w:webHidden/>
              </w:rPr>
              <w:fldChar w:fldCharType="end"/>
            </w:r>
          </w:hyperlink>
        </w:p>
        <w:p w14:paraId="426A085F" w14:textId="4C8B5E53" w:rsidR="000B2682" w:rsidRDefault="000B2682">
          <w:pPr>
            <w:pStyle w:val="TOC3"/>
            <w:tabs>
              <w:tab w:val="right" w:leader="dot" w:pos="9016"/>
            </w:tabs>
            <w:rPr>
              <w:noProof/>
              <w:sz w:val="24"/>
              <w:szCs w:val="24"/>
              <w:lang w:eastAsia="en-GB"/>
            </w:rPr>
          </w:pPr>
          <w:hyperlink w:anchor="_Toc220926226" w:history="1">
            <w:r w:rsidRPr="007F38DA">
              <w:rPr>
                <w:rStyle w:val="Hyperlink"/>
                <w:rFonts w:ascii="Arial" w:hAnsi="Arial" w:cs="Arial"/>
                <w:noProof/>
              </w:rPr>
              <w:t>4.2.2 Justification for Inclusion</w:t>
            </w:r>
            <w:r>
              <w:rPr>
                <w:noProof/>
                <w:webHidden/>
              </w:rPr>
              <w:tab/>
            </w:r>
            <w:r>
              <w:rPr>
                <w:noProof/>
                <w:webHidden/>
              </w:rPr>
              <w:fldChar w:fldCharType="begin"/>
            </w:r>
            <w:r>
              <w:rPr>
                <w:noProof/>
                <w:webHidden/>
              </w:rPr>
              <w:instrText xml:space="preserve"> PAGEREF _Toc220926226 \h </w:instrText>
            </w:r>
            <w:r>
              <w:rPr>
                <w:noProof/>
                <w:webHidden/>
              </w:rPr>
            </w:r>
            <w:r>
              <w:rPr>
                <w:noProof/>
                <w:webHidden/>
              </w:rPr>
              <w:fldChar w:fldCharType="separate"/>
            </w:r>
            <w:r>
              <w:rPr>
                <w:noProof/>
                <w:webHidden/>
              </w:rPr>
              <w:t>35</w:t>
            </w:r>
            <w:r>
              <w:rPr>
                <w:noProof/>
                <w:webHidden/>
              </w:rPr>
              <w:fldChar w:fldCharType="end"/>
            </w:r>
          </w:hyperlink>
        </w:p>
        <w:p w14:paraId="78D00B29" w14:textId="55C5E107" w:rsidR="000B2682" w:rsidRDefault="000B2682">
          <w:pPr>
            <w:pStyle w:val="TOC2"/>
            <w:tabs>
              <w:tab w:val="right" w:leader="dot" w:pos="9016"/>
            </w:tabs>
            <w:rPr>
              <w:noProof/>
              <w:sz w:val="24"/>
              <w:szCs w:val="24"/>
              <w:lang w:eastAsia="en-GB"/>
            </w:rPr>
          </w:pPr>
          <w:hyperlink w:anchor="_Toc220926227" w:history="1">
            <w:r w:rsidRPr="007F38DA">
              <w:rPr>
                <w:rStyle w:val="Hyperlink"/>
                <w:rFonts w:ascii="Arial" w:hAnsi="Arial" w:cs="Arial"/>
                <w:noProof/>
              </w:rPr>
              <w:t>4.3 Characteristics of Included Studies</w:t>
            </w:r>
            <w:r>
              <w:rPr>
                <w:noProof/>
                <w:webHidden/>
              </w:rPr>
              <w:tab/>
            </w:r>
            <w:r>
              <w:rPr>
                <w:noProof/>
                <w:webHidden/>
              </w:rPr>
              <w:fldChar w:fldCharType="begin"/>
            </w:r>
            <w:r>
              <w:rPr>
                <w:noProof/>
                <w:webHidden/>
              </w:rPr>
              <w:instrText xml:space="preserve"> PAGEREF _Toc220926227 \h </w:instrText>
            </w:r>
            <w:r>
              <w:rPr>
                <w:noProof/>
                <w:webHidden/>
              </w:rPr>
            </w:r>
            <w:r>
              <w:rPr>
                <w:noProof/>
                <w:webHidden/>
              </w:rPr>
              <w:fldChar w:fldCharType="separate"/>
            </w:r>
            <w:r>
              <w:rPr>
                <w:noProof/>
                <w:webHidden/>
              </w:rPr>
              <w:t>36</w:t>
            </w:r>
            <w:r>
              <w:rPr>
                <w:noProof/>
                <w:webHidden/>
              </w:rPr>
              <w:fldChar w:fldCharType="end"/>
            </w:r>
          </w:hyperlink>
        </w:p>
        <w:p w14:paraId="60491E40" w14:textId="50561AC9" w:rsidR="000B2682" w:rsidRDefault="000B2682">
          <w:pPr>
            <w:pStyle w:val="TOC3"/>
            <w:tabs>
              <w:tab w:val="right" w:leader="dot" w:pos="9016"/>
            </w:tabs>
            <w:rPr>
              <w:noProof/>
              <w:sz w:val="24"/>
              <w:szCs w:val="24"/>
              <w:lang w:eastAsia="en-GB"/>
            </w:rPr>
          </w:pPr>
          <w:hyperlink w:anchor="_Toc220926228" w:history="1">
            <w:r w:rsidRPr="007F38DA">
              <w:rPr>
                <w:rStyle w:val="Hyperlink"/>
                <w:rFonts w:ascii="Arial" w:hAnsi="Arial" w:cs="Arial"/>
                <w:noProof/>
              </w:rPr>
              <w:t>4.3.1 Study Characteristics</w:t>
            </w:r>
            <w:r>
              <w:rPr>
                <w:noProof/>
                <w:webHidden/>
              </w:rPr>
              <w:tab/>
            </w:r>
            <w:r>
              <w:rPr>
                <w:noProof/>
                <w:webHidden/>
              </w:rPr>
              <w:fldChar w:fldCharType="begin"/>
            </w:r>
            <w:r>
              <w:rPr>
                <w:noProof/>
                <w:webHidden/>
              </w:rPr>
              <w:instrText xml:space="preserve"> PAGEREF _Toc220926228 \h </w:instrText>
            </w:r>
            <w:r>
              <w:rPr>
                <w:noProof/>
                <w:webHidden/>
              </w:rPr>
            </w:r>
            <w:r>
              <w:rPr>
                <w:noProof/>
                <w:webHidden/>
              </w:rPr>
              <w:fldChar w:fldCharType="separate"/>
            </w:r>
            <w:r>
              <w:rPr>
                <w:noProof/>
                <w:webHidden/>
              </w:rPr>
              <w:t>36</w:t>
            </w:r>
            <w:r>
              <w:rPr>
                <w:noProof/>
                <w:webHidden/>
              </w:rPr>
              <w:fldChar w:fldCharType="end"/>
            </w:r>
          </w:hyperlink>
        </w:p>
        <w:p w14:paraId="701A6EEA" w14:textId="68406ABE" w:rsidR="000B2682" w:rsidRDefault="000B2682">
          <w:pPr>
            <w:pStyle w:val="TOC3"/>
            <w:tabs>
              <w:tab w:val="right" w:leader="dot" w:pos="9016"/>
            </w:tabs>
            <w:rPr>
              <w:noProof/>
              <w:sz w:val="24"/>
              <w:szCs w:val="24"/>
              <w:lang w:eastAsia="en-GB"/>
            </w:rPr>
          </w:pPr>
          <w:hyperlink w:anchor="_Toc220926229" w:history="1">
            <w:r w:rsidRPr="007F38DA">
              <w:rPr>
                <w:rStyle w:val="Hyperlink"/>
                <w:rFonts w:ascii="Arial" w:hAnsi="Arial" w:cs="Arial"/>
                <w:noProof/>
              </w:rPr>
              <w:t>4.3.2 Narrative Description</w:t>
            </w:r>
            <w:r>
              <w:rPr>
                <w:noProof/>
                <w:webHidden/>
              </w:rPr>
              <w:tab/>
            </w:r>
            <w:r>
              <w:rPr>
                <w:noProof/>
                <w:webHidden/>
              </w:rPr>
              <w:fldChar w:fldCharType="begin"/>
            </w:r>
            <w:r>
              <w:rPr>
                <w:noProof/>
                <w:webHidden/>
              </w:rPr>
              <w:instrText xml:space="preserve"> PAGEREF _Toc220926229 \h </w:instrText>
            </w:r>
            <w:r>
              <w:rPr>
                <w:noProof/>
                <w:webHidden/>
              </w:rPr>
            </w:r>
            <w:r>
              <w:rPr>
                <w:noProof/>
                <w:webHidden/>
              </w:rPr>
              <w:fldChar w:fldCharType="separate"/>
            </w:r>
            <w:r>
              <w:rPr>
                <w:noProof/>
                <w:webHidden/>
              </w:rPr>
              <w:t>36</w:t>
            </w:r>
            <w:r>
              <w:rPr>
                <w:noProof/>
                <w:webHidden/>
              </w:rPr>
              <w:fldChar w:fldCharType="end"/>
            </w:r>
          </w:hyperlink>
        </w:p>
        <w:p w14:paraId="411DF5E7" w14:textId="1E3CC567" w:rsidR="000B2682" w:rsidRDefault="000B2682">
          <w:pPr>
            <w:pStyle w:val="TOC2"/>
            <w:tabs>
              <w:tab w:val="right" w:leader="dot" w:pos="9016"/>
            </w:tabs>
            <w:rPr>
              <w:noProof/>
              <w:sz w:val="24"/>
              <w:szCs w:val="24"/>
              <w:lang w:eastAsia="en-GB"/>
            </w:rPr>
          </w:pPr>
          <w:hyperlink w:anchor="_Toc220926230" w:history="1">
            <w:r w:rsidRPr="007F38DA">
              <w:rPr>
                <w:rStyle w:val="Hyperlink"/>
                <w:rFonts w:ascii="Arial" w:hAnsi="Arial" w:cs="Arial"/>
                <w:noProof/>
              </w:rPr>
              <w:t>4.4 Quality Assessment Summary</w:t>
            </w:r>
            <w:r>
              <w:rPr>
                <w:noProof/>
                <w:webHidden/>
              </w:rPr>
              <w:tab/>
            </w:r>
            <w:r>
              <w:rPr>
                <w:noProof/>
                <w:webHidden/>
              </w:rPr>
              <w:fldChar w:fldCharType="begin"/>
            </w:r>
            <w:r>
              <w:rPr>
                <w:noProof/>
                <w:webHidden/>
              </w:rPr>
              <w:instrText xml:space="preserve"> PAGEREF _Toc220926230 \h </w:instrText>
            </w:r>
            <w:r>
              <w:rPr>
                <w:noProof/>
                <w:webHidden/>
              </w:rPr>
            </w:r>
            <w:r>
              <w:rPr>
                <w:noProof/>
                <w:webHidden/>
              </w:rPr>
              <w:fldChar w:fldCharType="separate"/>
            </w:r>
            <w:r>
              <w:rPr>
                <w:noProof/>
                <w:webHidden/>
              </w:rPr>
              <w:t>37</w:t>
            </w:r>
            <w:r>
              <w:rPr>
                <w:noProof/>
                <w:webHidden/>
              </w:rPr>
              <w:fldChar w:fldCharType="end"/>
            </w:r>
          </w:hyperlink>
        </w:p>
        <w:p w14:paraId="356F722A" w14:textId="396CD4EA" w:rsidR="000B2682" w:rsidRDefault="000B2682">
          <w:pPr>
            <w:pStyle w:val="TOC3"/>
            <w:tabs>
              <w:tab w:val="right" w:leader="dot" w:pos="9016"/>
            </w:tabs>
            <w:rPr>
              <w:noProof/>
              <w:sz w:val="24"/>
              <w:szCs w:val="24"/>
              <w:lang w:eastAsia="en-GB"/>
            </w:rPr>
          </w:pPr>
          <w:hyperlink w:anchor="_Toc220926231" w:history="1">
            <w:r w:rsidRPr="007F38DA">
              <w:rPr>
                <w:rStyle w:val="Hyperlink"/>
                <w:rFonts w:ascii="Arial" w:hAnsi="Arial" w:cs="Arial"/>
                <w:noProof/>
              </w:rPr>
              <w:t>4.4.1 Overall Quality</w:t>
            </w:r>
            <w:r>
              <w:rPr>
                <w:noProof/>
                <w:webHidden/>
              </w:rPr>
              <w:tab/>
            </w:r>
            <w:r>
              <w:rPr>
                <w:noProof/>
                <w:webHidden/>
              </w:rPr>
              <w:fldChar w:fldCharType="begin"/>
            </w:r>
            <w:r>
              <w:rPr>
                <w:noProof/>
                <w:webHidden/>
              </w:rPr>
              <w:instrText xml:space="preserve"> PAGEREF _Toc220926231 \h </w:instrText>
            </w:r>
            <w:r>
              <w:rPr>
                <w:noProof/>
                <w:webHidden/>
              </w:rPr>
            </w:r>
            <w:r>
              <w:rPr>
                <w:noProof/>
                <w:webHidden/>
              </w:rPr>
              <w:fldChar w:fldCharType="separate"/>
            </w:r>
            <w:r>
              <w:rPr>
                <w:noProof/>
                <w:webHidden/>
              </w:rPr>
              <w:t>37</w:t>
            </w:r>
            <w:r>
              <w:rPr>
                <w:noProof/>
                <w:webHidden/>
              </w:rPr>
              <w:fldChar w:fldCharType="end"/>
            </w:r>
          </w:hyperlink>
        </w:p>
        <w:p w14:paraId="0F7B8788" w14:textId="30E667EC" w:rsidR="000B2682" w:rsidRDefault="000B2682">
          <w:pPr>
            <w:pStyle w:val="TOC3"/>
            <w:tabs>
              <w:tab w:val="right" w:leader="dot" w:pos="9016"/>
            </w:tabs>
            <w:rPr>
              <w:noProof/>
              <w:sz w:val="24"/>
              <w:szCs w:val="24"/>
              <w:lang w:eastAsia="en-GB"/>
            </w:rPr>
          </w:pPr>
          <w:hyperlink w:anchor="_Toc220926232" w:history="1">
            <w:r w:rsidRPr="007F38DA">
              <w:rPr>
                <w:rStyle w:val="Hyperlink"/>
                <w:rFonts w:ascii="Arial" w:hAnsi="Arial" w:cs="Arial"/>
                <w:noProof/>
              </w:rPr>
              <w:t>4.4.2 Compliance and Quality Relationship</w:t>
            </w:r>
            <w:r>
              <w:rPr>
                <w:noProof/>
                <w:webHidden/>
              </w:rPr>
              <w:tab/>
            </w:r>
            <w:r>
              <w:rPr>
                <w:noProof/>
                <w:webHidden/>
              </w:rPr>
              <w:fldChar w:fldCharType="begin"/>
            </w:r>
            <w:r>
              <w:rPr>
                <w:noProof/>
                <w:webHidden/>
              </w:rPr>
              <w:instrText xml:space="preserve"> PAGEREF _Toc220926232 \h </w:instrText>
            </w:r>
            <w:r>
              <w:rPr>
                <w:noProof/>
                <w:webHidden/>
              </w:rPr>
            </w:r>
            <w:r>
              <w:rPr>
                <w:noProof/>
                <w:webHidden/>
              </w:rPr>
              <w:fldChar w:fldCharType="separate"/>
            </w:r>
            <w:r>
              <w:rPr>
                <w:noProof/>
                <w:webHidden/>
              </w:rPr>
              <w:t>37</w:t>
            </w:r>
            <w:r>
              <w:rPr>
                <w:noProof/>
                <w:webHidden/>
              </w:rPr>
              <w:fldChar w:fldCharType="end"/>
            </w:r>
          </w:hyperlink>
        </w:p>
        <w:p w14:paraId="110B30D2" w14:textId="7A6402D9" w:rsidR="000B2682" w:rsidRDefault="000B2682">
          <w:pPr>
            <w:pStyle w:val="TOC2"/>
            <w:tabs>
              <w:tab w:val="right" w:leader="dot" w:pos="9016"/>
            </w:tabs>
            <w:rPr>
              <w:noProof/>
              <w:sz w:val="24"/>
              <w:szCs w:val="24"/>
              <w:lang w:eastAsia="en-GB"/>
            </w:rPr>
          </w:pPr>
          <w:hyperlink w:anchor="_Toc220926233" w:history="1">
            <w:r w:rsidRPr="007F38DA">
              <w:rPr>
                <w:rStyle w:val="Hyperlink"/>
                <w:rFonts w:ascii="Arial" w:hAnsi="Arial" w:cs="Arial"/>
                <w:noProof/>
              </w:rPr>
              <w:t>4.5 Thematic Synthesis: Identified Barriers</w:t>
            </w:r>
            <w:r>
              <w:rPr>
                <w:noProof/>
                <w:webHidden/>
              </w:rPr>
              <w:tab/>
            </w:r>
            <w:r>
              <w:rPr>
                <w:noProof/>
                <w:webHidden/>
              </w:rPr>
              <w:fldChar w:fldCharType="begin"/>
            </w:r>
            <w:r>
              <w:rPr>
                <w:noProof/>
                <w:webHidden/>
              </w:rPr>
              <w:instrText xml:space="preserve"> PAGEREF _Toc220926233 \h </w:instrText>
            </w:r>
            <w:r>
              <w:rPr>
                <w:noProof/>
                <w:webHidden/>
              </w:rPr>
            </w:r>
            <w:r>
              <w:rPr>
                <w:noProof/>
                <w:webHidden/>
              </w:rPr>
              <w:fldChar w:fldCharType="separate"/>
            </w:r>
            <w:r>
              <w:rPr>
                <w:noProof/>
                <w:webHidden/>
              </w:rPr>
              <w:t>38</w:t>
            </w:r>
            <w:r>
              <w:rPr>
                <w:noProof/>
                <w:webHidden/>
              </w:rPr>
              <w:fldChar w:fldCharType="end"/>
            </w:r>
          </w:hyperlink>
        </w:p>
        <w:p w14:paraId="755C958B" w14:textId="28DF07CF" w:rsidR="000B2682" w:rsidRDefault="000B2682">
          <w:pPr>
            <w:pStyle w:val="TOC3"/>
            <w:tabs>
              <w:tab w:val="right" w:leader="dot" w:pos="9016"/>
            </w:tabs>
            <w:rPr>
              <w:noProof/>
              <w:sz w:val="24"/>
              <w:szCs w:val="24"/>
              <w:lang w:eastAsia="en-GB"/>
            </w:rPr>
          </w:pPr>
          <w:hyperlink w:anchor="_Toc220926234" w:history="1">
            <w:r w:rsidRPr="007F38DA">
              <w:rPr>
                <w:rStyle w:val="Hyperlink"/>
                <w:rFonts w:ascii="Arial" w:hAnsi="Arial" w:cs="Arial"/>
                <w:noProof/>
              </w:rPr>
              <w:t>4.5.1 Structural/Systemic Barriers</w:t>
            </w:r>
            <w:r>
              <w:rPr>
                <w:noProof/>
                <w:webHidden/>
              </w:rPr>
              <w:tab/>
            </w:r>
            <w:r>
              <w:rPr>
                <w:noProof/>
                <w:webHidden/>
              </w:rPr>
              <w:fldChar w:fldCharType="begin"/>
            </w:r>
            <w:r>
              <w:rPr>
                <w:noProof/>
                <w:webHidden/>
              </w:rPr>
              <w:instrText xml:space="preserve"> PAGEREF _Toc220926234 \h </w:instrText>
            </w:r>
            <w:r>
              <w:rPr>
                <w:noProof/>
                <w:webHidden/>
              </w:rPr>
            </w:r>
            <w:r>
              <w:rPr>
                <w:noProof/>
                <w:webHidden/>
              </w:rPr>
              <w:fldChar w:fldCharType="separate"/>
            </w:r>
            <w:r>
              <w:rPr>
                <w:noProof/>
                <w:webHidden/>
              </w:rPr>
              <w:t>38</w:t>
            </w:r>
            <w:r>
              <w:rPr>
                <w:noProof/>
                <w:webHidden/>
              </w:rPr>
              <w:fldChar w:fldCharType="end"/>
            </w:r>
          </w:hyperlink>
        </w:p>
        <w:p w14:paraId="7BE1EA9B" w14:textId="7573F265" w:rsidR="000B2682" w:rsidRDefault="000B2682">
          <w:pPr>
            <w:pStyle w:val="TOC3"/>
            <w:tabs>
              <w:tab w:val="right" w:leader="dot" w:pos="9016"/>
            </w:tabs>
            <w:rPr>
              <w:noProof/>
              <w:sz w:val="24"/>
              <w:szCs w:val="24"/>
              <w:lang w:eastAsia="en-GB"/>
            </w:rPr>
          </w:pPr>
          <w:hyperlink w:anchor="_Toc220926235" w:history="1">
            <w:r w:rsidRPr="007F38DA">
              <w:rPr>
                <w:rStyle w:val="Hyperlink"/>
                <w:rFonts w:ascii="Arial" w:hAnsi="Arial" w:cs="Arial"/>
                <w:noProof/>
              </w:rPr>
              <w:t>4.5.2 Attitudinal/Psychological Barriers</w:t>
            </w:r>
            <w:r>
              <w:rPr>
                <w:noProof/>
                <w:webHidden/>
              </w:rPr>
              <w:tab/>
            </w:r>
            <w:r>
              <w:rPr>
                <w:noProof/>
                <w:webHidden/>
              </w:rPr>
              <w:fldChar w:fldCharType="begin"/>
            </w:r>
            <w:r>
              <w:rPr>
                <w:noProof/>
                <w:webHidden/>
              </w:rPr>
              <w:instrText xml:space="preserve"> PAGEREF _Toc220926235 \h </w:instrText>
            </w:r>
            <w:r>
              <w:rPr>
                <w:noProof/>
                <w:webHidden/>
              </w:rPr>
            </w:r>
            <w:r>
              <w:rPr>
                <w:noProof/>
                <w:webHidden/>
              </w:rPr>
              <w:fldChar w:fldCharType="separate"/>
            </w:r>
            <w:r>
              <w:rPr>
                <w:noProof/>
                <w:webHidden/>
              </w:rPr>
              <w:t>39</w:t>
            </w:r>
            <w:r>
              <w:rPr>
                <w:noProof/>
                <w:webHidden/>
              </w:rPr>
              <w:fldChar w:fldCharType="end"/>
            </w:r>
          </w:hyperlink>
        </w:p>
        <w:p w14:paraId="24F238EB" w14:textId="02824F38" w:rsidR="000B2682" w:rsidRDefault="000B2682">
          <w:pPr>
            <w:pStyle w:val="TOC3"/>
            <w:tabs>
              <w:tab w:val="right" w:leader="dot" w:pos="9016"/>
            </w:tabs>
            <w:rPr>
              <w:noProof/>
              <w:sz w:val="24"/>
              <w:szCs w:val="24"/>
              <w:lang w:eastAsia="en-GB"/>
            </w:rPr>
          </w:pPr>
          <w:hyperlink w:anchor="_Toc220926236" w:history="1">
            <w:r w:rsidRPr="007F38DA">
              <w:rPr>
                <w:rStyle w:val="Hyperlink"/>
                <w:rFonts w:ascii="Arial" w:hAnsi="Arial" w:cs="Arial"/>
                <w:noProof/>
              </w:rPr>
              <w:t>4.5.4 Summary</w:t>
            </w:r>
            <w:r>
              <w:rPr>
                <w:noProof/>
                <w:webHidden/>
              </w:rPr>
              <w:tab/>
            </w:r>
            <w:r>
              <w:rPr>
                <w:noProof/>
                <w:webHidden/>
              </w:rPr>
              <w:fldChar w:fldCharType="begin"/>
            </w:r>
            <w:r>
              <w:rPr>
                <w:noProof/>
                <w:webHidden/>
              </w:rPr>
              <w:instrText xml:space="preserve"> PAGEREF _Toc220926236 \h </w:instrText>
            </w:r>
            <w:r>
              <w:rPr>
                <w:noProof/>
                <w:webHidden/>
              </w:rPr>
            </w:r>
            <w:r>
              <w:rPr>
                <w:noProof/>
                <w:webHidden/>
              </w:rPr>
              <w:fldChar w:fldCharType="separate"/>
            </w:r>
            <w:r>
              <w:rPr>
                <w:noProof/>
                <w:webHidden/>
              </w:rPr>
              <w:t>40</w:t>
            </w:r>
            <w:r>
              <w:rPr>
                <w:noProof/>
                <w:webHidden/>
              </w:rPr>
              <w:fldChar w:fldCharType="end"/>
            </w:r>
          </w:hyperlink>
        </w:p>
        <w:p w14:paraId="7B7E458A" w14:textId="30D72C7B" w:rsidR="000B2682" w:rsidRDefault="000B2682">
          <w:pPr>
            <w:pStyle w:val="TOC2"/>
            <w:tabs>
              <w:tab w:val="right" w:leader="dot" w:pos="9016"/>
            </w:tabs>
            <w:rPr>
              <w:noProof/>
              <w:sz w:val="24"/>
              <w:szCs w:val="24"/>
              <w:lang w:eastAsia="en-GB"/>
            </w:rPr>
          </w:pPr>
          <w:hyperlink w:anchor="_Toc220926237" w:history="1">
            <w:r w:rsidRPr="007F38DA">
              <w:rPr>
                <w:rStyle w:val="Hyperlink"/>
                <w:rFonts w:ascii="Arial" w:hAnsi="Arial" w:cs="Arial"/>
                <w:noProof/>
              </w:rPr>
              <w:t>SECTION B: DISCUSSION</w:t>
            </w:r>
            <w:r>
              <w:rPr>
                <w:noProof/>
                <w:webHidden/>
              </w:rPr>
              <w:tab/>
            </w:r>
            <w:r>
              <w:rPr>
                <w:noProof/>
                <w:webHidden/>
              </w:rPr>
              <w:fldChar w:fldCharType="begin"/>
            </w:r>
            <w:r>
              <w:rPr>
                <w:noProof/>
                <w:webHidden/>
              </w:rPr>
              <w:instrText xml:space="preserve"> PAGEREF _Toc220926237 \h </w:instrText>
            </w:r>
            <w:r>
              <w:rPr>
                <w:noProof/>
                <w:webHidden/>
              </w:rPr>
            </w:r>
            <w:r>
              <w:rPr>
                <w:noProof/>
                <w:webHidden/>
              </w:rPr>
              <w:fldChar w:fldCharType="separate"/>
            </w:r>
            <w:r>
              <w:rPr>
                <w:noProof/>
                <w:webHidden/>
              </w:rPr>
              <w:t>40</w:t>
            </w:r>
            <w:r>
              <w:rPr>
                <w:noProof/>
                <w:webHidden/>
              </w:rPr>
              <w:fldChar w:fldCharType="end"/>
            </w:r>
          </w:hyperlink>
        </w:p>
        <w:p w14:paraId="363ECBD9" w14:textId="22B57931" w:rsidR="000B2682" w:rsidRDefault="000B2682">
          <w:pPr>
            <w:pStyle w:val="TOC2"/>
            <w:tabs>
              <w:tab w:val="right" w:leader="dot" w:pos="9016"/>
            </w:tabs>
            <w:rPr>
              <w:noProof/>
              <w:sz w:val="24"/>
              <w:szCs w:val="24"/>
              <w:lang w:eastAsia="en-GB"/>
            </w:rPr>
          </w:pPr>
          <w:hyperlink w:anchor="_Toc220926238" w:history="1">
            <w:r w:rsidRPr="007F38DA">
              <w:rPr>
                <w:rStyle w:val="Hyperlink"/>
                <w:rFonts w:ascii="Arial" w:hAnsi="Arial" w:cs="Arial"/>
                <w:noProof/>
              </w:rPr>
              <w:t>4.6 Discussion of Key Findings</w:t>
            </w:r>
            <w:r>
              <w:rPr>
                <w:noProof/>
                <w:webHidden/>
              </w:rPr>
              <w:tab/>
            </w:r>
            <w:r>
              <w:rPr>
                <w:noProof/>
                <w:webHidden/>
              </w:rPr>
              <w:fldChar w:fldCharType="begin"/>
            </w:r>
            <w:r>
              <w:rPr>
                <w:noProof/>
                <w:webHidden/>
              </w:rPr>
              <w:instrText xml:space="preserve"> PAGEREF _Toc220926238 \h </w:instrText>
            </w:r>
            <w:r>
              <w:rPr>
                <w:noProof/>
                <w:webHidden/>
              </w:rPr>
            </w:r>
            <w:r>
              <w:rPr>
                <w:noProof/>
                <w:webHidden/>
              </w:rPr>
              <w:fldChar w:fldCharType="separate"/>
            </w:r>
            <w:r>
              <w:rPr>
                <w:noProof/>
                <w:webHidden/>
              </w:rPr>
              <w:t>40</w:t>
            </w:r>
            <w:r>
              <w:rPr>
                <w:noProof/>
                <w:webHidden/>
              </w:rPr>
              <w:fldChar w:fldCharType="end"/>
            </w:r>
          </w:hyperlink>
        </w:p>
        <w:p w14:paraId="221F2278" w14:textId="6CF2140A" w:rsidR="000B2682" w:rsidRDefault="000B2682">
          <w:pPr>
            <w:pStyle w:val="TOC2"/>
            <w:tabs>
              <w:tab w:val="right" w:leader="dot" w:pos="9016"/>
            </w:tabs>
            <w:rPr>
              <w:noProof/>
              <w:sz w:val="24"/>
              <w:szCs w:val="24"/>
              <w:lang w:eastAsia="en-GB"/>
            </w:rPr>
          </w:pPr>
          <w:hyperlink w:anchor="_Toc220926239" w:history="1">
            <w:r w:rsidRPr="007F38DA">
              <w:rPr>
                <w:rStyle w:val="Hyperlink"/>
                <w:rFonts w:ascii="Arial" w:hAnsi="Arial" w:cs="Arial"/>
                <w:noProof/>
              </w:rPr>
              <w:t>4.7 The Evidence Gap as Critical Finding</w:t>
            </w:r>
            <w:r>
              <w:rPr>
                <w:noProof/>
                <w:webHidden/>
              </w:rPr>
              <w:tab/>
            </w:r>
            <w:r>
              <w:rPr>
                <w:noProof/>
                <w:webHidden/>
              </w:rPr>
              <w:fldChar w:fldCharType="begin"/>
            </w:r>
            <w:r>
              <w:rPr>
                <w:noProof/>
                <w:webHidden/>
              </w:rPr>
              <w:instrText xml:space="preserve"> PAGEREF _Toc220926239 \h </w:instrText>
            </w:r>
            <w:r>
              <w:rPr>
                <w:noProof/>
                <w:webHidden/>
              </w:rPr>
            </w:r>
            <w:r>
              <w:rPr>
                <w:noProof/>
                <w:webHidden/>
              </w:rPr>
              <w:fldChar w:fldCharType="separate"/>
            </w:r>
            <w:r>
              <w:rPr>
                <w:noProof/>
                <w:webHidden/>
              </w:rPr>
              <w:t>42</w:t>
            </w:r>
            <w:r>
              <w:rPr>
                <w:noProof/>
                <w:webHidden/>
              </w:rPr>
              <w:fldChar w:fldCharType="end"/>
            </w:r>
          </w:hyperlink>
        </w:p>
        <w:p w14:paraId="1F7A18E2" w14:textId="44042738" w:rsidR="000B2682" w:rsidRDefault="000B2682">
          <w:pPr>
            <w:pStyle w:val="TOC2"/>
            <w:tabs>
              <w:tab w:val="right" w:leader="dot" w:pos="9016"/>
            </w:tabs>
            <w:rPr>
              <w:noProof/>
              <w:sz w:val="24"/>
              <w:szCs w:val="24"/>
              <w:lang w:eastAsia="en-GB"/>
            </w:rPr>
          </w:pPr>
          <w:hyperlink w:anchor="_Toc220926240" w:history="1">
            <w:r w:rsidRPr="007F38DA">
              <w:rPr>
                <w:rStyle w:val="Hyperlink"/>
                <w:rFonts w:ascii="Arial" w:hAnsi="Arial" w:cs="Arial"/>
                <w:noProof/>
              </w:rPr>
              <w:t>4.8 Strengths and Limitations</w:t>
            </w:r>
            <w:r>
              <w:rPr>
                <w:noProof/>
                <w:webHidden/>
              </w:rPr>
              <w:tab/>
            </w:r>
            <w:r>
              <w:rPr>
                <w:noProof/>
                <w:webHidden/>
              </w:rPr>
              <w:fldChar w:fldCharType="begin"/>
            </w:r>
            <w:r>
              <w:rPr>
                <w:noProof/>
                <w:webHidden/>
              </w:rPr>
              <w:instrText xml:space="preserve"> PAGEREF _Toc220926240 \h </w:instrText>
            </w:r>
            <w:r>
              <w:rPr>
                <w:noProof/>
                <w:webHidden/>
              </w:rPr>
            </w:r>
            <w:r>
              <w:rPr>
                <w:noProof/>
                <w:webHidden/>
              </w:rPr>
              <w:fldChar w:fldCharType="separate"/>
            </w:r>
            <w:r>
              <w:rPr>
                <w:noProof/>
                <w:webHidden/>
              </w:rPr>
              <w:t>42</w:t>
            </w:r>
            <w:r>
              <w:rPr>
                <w:noProof/>
                <w:webHidden/>
              </w:rPr>
              <w:fldChar w:fldCharType="end"/>
            </w:r>
          </w:hyperlink>
        </w:p>
        <w:p w14:paraId="2A194DED" w14:textId="27E23AB5" w:rsidR="000B2682" w:rsidRDefault="000B2682">
          <w:pPr>
            <w:pStyle w:val="TOC2"/>
            <w:tabs>
              <w:tab w:val="right" w:leader="dot" w:pos="9016"/>
            </w:tabs>
            <w:rPr>
              <w:noProof/>
              <w:sz w:val="24"/>
              <w:szCs w:val="24"/>
              <w:lang w:eastAsia="en-GB"/>
            </w:rPr>
          </w:pPr>
          <w:hyperlink w:anchor="_Toc220926241" w:history="1">
            <w:r w:rsidRPr="007F38DA">
              <w:rPr>
                <w:rStyle w:val="Hyperlink"/>
                <w:rFonts w:ascii="Arial" w:hAnsi="Arial" w:cs="Arial"/>
                <w:noProof/>
              </w:rPr>
              <w:t>4.9 Implications for Practice and Policy</w:t>
            </w:r>
            <w:r>
              <w:rPr>
                <w:noProof/>
                <w:webHidden/>
              </w:rPr>
              <w:tab/>
            </w:r>
            <w:r>
              <w:rPr>
                <w:noProof/>
                <w:webHidden/>
              </w:rPr>
              <w:fldChar w:fldCharType="begin"/>
            </w:r>
            <w:r>
              <w:rPr>
                <w:noProof/>
                <w:webHidden/>
              </w:rPr>
              <w:instrText xml:space="preserve"> PAGEREF _Toc220926241 \h </w:instrText>
            </w:r>
            <w:r>
              <w:rPr>
                <w:noProof/>
                <w:webHidden/>
              </w:rPr>
            </w:r>
            <w:r>
              <w:rPr>
                <w:noProof/>
                <w:webHidden/>
              </w:rPr>
              <w:fldChar w:fldCharType="separate"/>
            </w:r>
            <w:r>
              <w:rPr>
                <w:noProof/>
                <w:webHidden/>
              </w:rPr>
              <w:t>43</w:t>
            </w:r>
            <w:r>
              <w:rPr>
                <w:noProof/>
                <w:webHidden/>
              </w:rPr>
              <w:fldChar w:fldCharType="end"/>
            </w:r>
          </w:hyperlink>
        </w:p>
        <w:p w14:paraId="27CF3CF0" w14:textId="01786A42" w:rsidR="000B2682" w:rsidRDefault="000B2682">
          <w:pPr>
            <w:pStyle w:val="TOC3"/>
            <w:tabs>
              <w:tab w:val="right" w:leader="dot" w:pos="9016"/>
            </w:tabs>
            <w:rPr>
              <w:noProof/>
              <w:sz w:val="24"/>
              <w:szCs w:val="24"/>
              <w:lang w:eastAsia="en-GB"/>
            </w:rPr>
          </w:pPr>
          <w:hyperlink w:anchor="_Toc220926242" w:history="1">
            <w:r w:rsidRPr="007F38DA">
              <w:rPr>
                <w:rStyle w:val="Hyperlink"/>
                <w:rFonts w:ascii="Arial" w:hAnsi="Arial" w:cs="Arial"/>
                <w:noProof/>
              </w:rPr>
              <w:t>4.9.1 Implementation Challenges</w:t>
            </w:r>
            <w:r>
              <w:rPr>
                <w:noProof/>
                <w:webHidden/>
              </w:rPr>
              <w:tab/>
            </w:r>
            <w:r>
              <w:rPr>
                <w:noProof/>
                <w:webHidden/>
              </w:rPr>
              <w:fldChar w:fldCharType="begin"/>
            </w:r>
            <w:r>
              <w:rPr>
                <w:noProof/>
                <w:webHidden/>
              </w:rPr>
              <w:instrText xml:space="preserve"> PAGEREF _Toc220926242 \h </w:instrText>
            </w:r>
            <w:r>
              <w:rPr>
                <w:noProof/>
                <w:webHidden/>
              </w:rPr>
            </w:r>
            <w:r>
              <w:rPr>
                <w:noProof/>
                <w:webHidden/>
              </w:rPr>
              <w:fldChar w:fldCharType="separate"/>
            </w:r>
            <w:r>
              <w:rPr>
                <w:noProof/>
                <w:webHidden/>
              </w:rPr>
              <w:t>43</w:t>
            </w:r>
            <w:r>
              <w:rPr>
                <w:noProof/>
                <w:webHidden/>
              </w:rPr>
              <w:fldChar w:fldCharType="end"/>
            </w:r>
          </w:hyperlink>
        </w:p>
        <w:p w14:paraId="546193BC" w14:textId="71EEB8C6" w:rsidR="000B2682" w:rsidRDefault="000B2682">
          <w:pPr>
            <w:pStyle w:val="TOC3"/>
            <w:tabs>
              <w:tab w:val="right" w:leader="dot" w:pos="9016"/>
            </w:tabs>
            <w:rPr>
              <w:noProof/>
              <w:sz w:val="24"/>
              <w:szCs w:val="24"/>
              <w:lang w:eastAsia="en-GB"/>
            </w:rPr>
          </w:pPr>
          <w:hyperlink w:anchor="_Toc220926243" w:history="1">
            <w:r w:rsidRPr="007F38DA">
              <w:rPr>
                <w:rStyle w:val="Hyperlink"/>
                <w:rFonts w:ascii="Arial" w:hAnsi="Arial" w:cs="Arial"/>
                <w:noProof/>
              </w:rPr>
              <w:t>4.9.2 Prioritisation and Phasing</w:t>
            </w:r>
            <w:r>
              <w:rPr>
                <w:noProof/>
                <w:webHidden/>
              </w:rPr>
              <w:tab/>
            </w:r>
            <w:r>
              <w:rPr>
                <w:noProof/>
                <w:webHidden/>
              </w:rPr>
              <w:fldChar w:fldCharType="begin"/>
            </w:r>
            <w:r>
              <w:rPr>
                <w:noProof/>
                <w:webHidden/>
              </w:rPr>
              <w:instrText xml:space="preserve"> PAGEREF _Toc220926243 \h </w:instrText>
            </w:r>
            <w:r>
              <w:rPr>
                <w:noProof/>
                <w:webHidden/>
              </w:rPr>
            </w:r>
            <w:r>
              <w:rPr>
                <w:noProof/>
                <w:webHidden/>
              </w:rPr>
              <w:fldChar w:fldCharType="separate"/>
            </w:r>
            <w:r>
              <w:rPr>
                <w:noProof/>
                <w:webHidden/>
              </w:rPr>
              <w:t>44</w:t>
            </w:r>
            <w:r>
              <w:rPr>
                <w:noProof/>
                <w:webHidden/>
              </w:rPr>
              <w:fldChar w:fldCharType="end"/>
            </w:r>
          </w:hyperlink>
        </w:p>
        <w:p w14:paraId="3E6D7740" w14:textId="49314243" w:rsidR="000B2682" w:rsidRDefault="000B2682">
          <w:pPr>
            <w:pStyle w:val="TOC2"/>
            <w:tabs>
              <w:tab w:val="right" w:leader="dot" w:pos="9016"/>
            </w:tabs>
            <w:rPr>
              <w:noProof/>
              <w:sz w:val="24"/>
              <w:szCs w:val="24"/>
              <w:lang w:eastAsia="en-GB"/>
            </w:rPr>
          </w:pPr>
          <w:hyperlink w:anchor="_Toc220926244" w:history="1">
            <w:r w:rsidRPr="007F38DA">
              <w:rPr>
                <w:rStyle w:val="Hyperlink"/>
                <w:rFonts w:ascii="Arial" w:hAnsi="Arial" w:cs="Arial"/>
                <w:noProof/>
              </w:rPr>
              <w:t>4.10 Implications for Future Research</w:t>
            </w:r>
            <w:r>
              <w:rPr>
                <w:noProof/>
                <w:webHidden/>
              </w:rPr>
              <w:tab/>
            </w:r>
            <w:r>
              <w:rPr>
                <w:noProof/>
                <w:webHidden/>
              </w:rPr>
              <w:fldChar w:fldCharType="begin"/>
            </w:r>
            <w:r>
              <w:rPr>
                <w:noProof/>
                <w:webHidden/>
              </w:rPr>
              <w:instrText xml:space="preserve"> PAGEREF _Toc220926244 \h </w:instrText>
            </w:r>
            <w:r>
              <w:rPr>
                <w:noProof/>
                <w:webHidden/>
              </w:rPr>
            </w:r>
            <w:r>
              <w:rPr>
                <w:noProof/>
                <w:webHidden/>
              </w:rPr>
              <w:fldChar w:fldCharType="separate"/>
            </w:r>
            <w:r>
              <w:rPr>
                <w:noProof/>
                <w:webHidden/>
              </w:rPr>
              <w:t>44</w:t>
            </w:r>
            <w:r>
              <w:rPr>
                <w:noProof/>
                <w:webHidden/>
              </w:rPr>
              <w:fldChar w:fldCharType="end"/>
            </w:r>
          </w:hyperlink>
        </w:p>
        <w:p w14:paraId="0884B7EE" w14:textId="6E8EBAC1" w:rsidR="000B2682" w:rsidRDefault="000B2682">
          <w:pPr>
            <w:pStyle w:val="TOC2"/>
            <w:tabs>
              <w:tab w:val="right" w:leader="dot" w:pos="9016"/>
            </w:tabs>
            <w:rPr>
              <w:noProof/>
              <w:sz w:val="24"/>
              <w:szCs w:val="24"/>
              <w:lang w:eastAsia="en-GB"/>
            </w:rPr>
          </w:pPr>
          <w:hyperlink w:anchor="_Toc220926245" w:history="1">
            <w:r w:rsidRPr="007F38DA">
              <w:rPr>
                <w:rStyle w:val="Hyperlink"/>
                <w:rFonts w:ascii="Arial" w:hAnsi="Arial" w:cs="Arial"/>
                <w:noProof/>
              </w:rPr>
              <w:t>4.11 Chapter Summary</w:t>
            </w:r>
            <w:r>
              <w:rPr>
                <w:noProof/>
                <w:webHidden/>
              </w:rPr>
              <w:tab/>
            </w:r>
            <w:r>
              <w:rPr>
                <w:noProof/>
                <w:webHidden/>
              </w:rPr>
              <w:fldChar w:fldCharType="begin"/>
            </w:r>
            <w:r>
              <w:rPr>
                <w:noProof/>
                <w:webHidden/>
              </w:rPr>
              <w:instrText xml:space="preserve"> PAGEREF _Toc220926245 \h </w:instrText>
            </w:r>
            <w:r>
              <w:rPr>
                <w:noProof/>
                <w:webHidden/>
              </w:rPr>
            </w:r>
            <w:r>
              <w:rPr>
                <w:noProof/>
                <w:webHidden/>
              </w:rPr>
              <w:fldChar w:fldCharType="separate"/>
            </w:r>
            <w:r>
              <w:rPr>
                <w:noProof/>
                <w:webHidden/>
              </w:rPr>
              <w:t>45</w:t>
            </w:r>
            <w:r>
              <w:rPr>
                <w:noProof/>
                <w:webHidden/>
              </w:rPr>
              <w:fldChar w:fldCharType="end"/>
            </w:r>
          </w:hyperlink>
        </w:p>
        <w:p w14:paraId="6690EB97" w14:textId="26140E39"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246" w:history="1">
            <w:r w:rsidRPr="007F38DA">
              <w:rPr>
                <w:rStyle w:val="Hyperlink"/>
                <w:rFonts w:ascii="Arial" w:eastAsiaTheme="majorEastAsia" w:hAnsi="Arial" w:cs="Arial"/>
                <w:noProof/>
              </w:rPr>
              <w:t>Chapter 5:  CONCLUSION AND RECOMMENDATIONS</w:t>
            </w:r>
            <w:r>
              <w:rPr>
                <w:noProof/>
                <w:webHidden/>
              </w:rPr>
              <w:tab/>
            </w:r>
            <w:r>
              <w:rPr>
                <w:noProof/>
                <w:webHidden/>
              </w:rPr>
              <w:fldChar w:fldCharType="begin"/>
            </w:r>
            <w:r>
              <w:rPr>
                <w:noProof/>
                <w:webHidden/>
              </w:rPr>
              <w:instrText xml:space="preserve"> PAGEREF _Toc220926246 \h </w:instrText>
            </w:r>
            <w:r>
              <w:rPr>
                <w:noProof/>
                <w:webHidden/>
              </w:rPr>
            </w:r>
            <w:r>
              <w:rPr>
                <w:noProof/>
                <w:webHidden/>
              </w:rPr>
              <w:fldChar w:fldCharType="separate"/>
            </w:r>
            <w:r>
              <w:rPr>
                <w:noProof/>
                <w:webHidden/>
              </w:rPr>
              <w:t>46</w:t>
            </w:r>
            <w:r>
              <w:rPr>
                <w:noProof/>
                <w:webHidden/>
              </w:rPr>
              <w:fldChar w:fldCharType="end"/>
            </w:r>
          </w:hyperlink>
        </w:p>
        <w:p w14:paraId="60AB00A8" w14:textId="42223D92" w:rsidR="000B2682" w:rsidRDefault="000B2682">
          <w:pPr>
            <w:pStyle w:val="TOC2"/>
            <w:tabs>
              <w:tab w:val="right" w:leader="dot" w:pos="9016"/>
            </w:tabs>
            <w:rPr>
              <w:noProof/>
              <w:sz w:val="24"/>
              <w:szCs w:val="24"/>
              <w:lang w:eastAsia="en-GB"/>
            </w:rPr>
          </w:pPr>
          <w:hyperlink w:anchor="_Toc220926247" w:history="1">
            <w:r w:rsidRPr="007F38DA">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_Toc220926247 \h </w:instrText>
            </w:r>
            <w:r>
              <w:rPr>
                <w:noProof/>
                <w:webHidden/>
              </w:rPr>
            </w:r>
            <w:r>
              <w:rPr>
                <w:noProof/>
                <w:webHidden/>
              </w:rPr>
              <w:fldChar w:fldCharType="separate"/>
            </w:r>
            <w:r>
              <w:rPr>
                <w:noProof/>
                <w:webHidden/>
              </w:rPr>
              <w:t>46</w:t>
            </w:r>
            <w:r>
              <w:rPr>
                <w:noProof/>
                <w:webHidden/>
              </w:rPr>
              <w:fldChar w:fldCharType="end"/>
            </w:r>
          </w:hyperlink>
        </w:p>
        <w:p w14:paraId="1B451017" w14:textId="53FFCFAB" w:rsidR="000B2682" w:rsidRDefault="000B2682">
          <w:pPr>
            <w:pStyle w:val="TOC2"/>
            <w:tabs>
              <w:tab w:val="right" w:leader="dot" w:pos="9016"/>
            </w:tabs>
            <w:rPr>
              <w:noProof/>
              <w:sz w:val="24"/>
              <w:szCs w:val="24"/>
              <w:lang w:eastAsia="en-GB"/>
            </w:rPr>
          </w:pPr>
          <w:hyperlink w:anchor="_Toc220926248" w:history="1">
            <w:r w:rsidRPr="007F38DA">
              <w:rPr>
                <w:rStyle w:val="Hyperlink"/>
                <w:rFonts w:ascii="Arial" w:hAnsi="Arial" w:cs="Arial"/>
                <w:noProof/>
              </w:rPr>
              <w:t>5.2 Summary of Key Findings</w:t>
            </w:r>
            <w:r>
              <w:rPr>
                <w:noProof/>
                <w:webHidden/>
              </w:rPr>
              <w:tab/>
            </w:r>
            <w:r>
              <w:rPr>
                <w:noProof/>
                <w:webHidden/>
              </w:rPr>
              <w:fldChar w:fldCharType="begin"/>
            </w:r>
            <w:r>
              <w:rPr>
                <w:noProof/>
                <w:webHidden/>
              </w:rPr>
              <w:instrText xml:space="preserve"> PAGEREF _Toc220926248 \h </w:instrText>
            </w:r>
            <w:r>
              <w:rPr>
                <w:noProof/>
                <w:webHidden/>
              </w:rPr>
            </w:r>
            <w:r>
              <w:rPr>
                <w:noProof/>
                <w:webHidden/>
              </w:rPr>
              <w:fldChar w:fldCharType="separate"/>
            </w:r>
            <w:r>
              <w:rPr>
                <w:noProof/>
                <w:webHidden/>
              </w:rPr>
              <w:t>46</w:t>
            </w:r>
            <w:r>
              <w:rPr>
                <w:noProof/>
                <w:webHidden/>
              </w:rPr>
              <w:fldChar w:fldCharType="end"/>
            </w:r>
          </w:hyperlink>
        </w:p>
        <w:p w14:paraId="4386FAC7" w14:textId="729F7F11" w:rsidR="000B2682" w:rsidRDefault="000B2682">
          <w:pPr>
            <w:pStyle w:val="TOC3"/>
            <w:tabs>
              <w:tab w:val="right" w:leader="dot" w:pos="9016"/>
            </w:tabs>
            <w:rPr>
              <w:noProof/>
              <w:sz w:val="24"/>
              <w:szCs w:val="24"/>
              <w:lang w:eastAsia="en-GB"/>
            </w:rPr>
          </w:pPr>
          <w:hyperlink w:anchor="_Toc220926249" w:history="1">
            <w:r w:rsidRPr="007F38DA">
              <w:rPr>
                <w:rStyle w:val="Hyperlink"/>
                <w:rFonts w:ascii="Arial" w:hAnsi="Arial" w:cs="Arial"/>
                <w:noProof/>
              </w:rPr>
              <w:t>5.2.1 The Evidence Base</w:t>
            </w:r>
            <w:r>
              <w:rPr>
                <w:noProof/>
                <w:webHidden/>
              </w:rPr>
              <w:tab/>
            </w:r>
            <w:r>
              <w:rPr>
                <w:noProof/>
                <w:webHidden/>
              </w:rPr>
              <w:fldChar w:fldCharType="begin"/>
            </w:r>
            <w:r>
              <w:rPr>
                <w:noProof/>
                <w:webHidden/>
              </w:rPr>
              <w:instrText xml:space="preserve"> PAGEREF _Toc220926249 \h </w:instrText>
            </w:r>
            <w:r>
              <w:rPr>
                <w:noProof/>
                <w:webHidden/>
              </w:rPr>
            </w:r>
            <w:r>
              <w:rPr>
                <w:noProof/>
                <w:webHidden/>
              </w:rPr>
              <w:fldChar w:fldCharType="separate"/>
            </w:r>
            <w:r>
              <w:rPr>
                <w:noProof/>
                <w:webHidden/>
              </w:rPr>
              <w:t>46</w:t>
            </w:r>
            <w:r>
              <w:rPr>
                <w:noProof/>
                <w:webHidden/>
              </w:rPr>
              <w:fldChar w:fldCharType="end"/>
            </w:r>
          </w:hyperlink>
        </w:p>
        <w:p w14:paraId="2C4F7584" w14:textId="3C73516C" w:rsidR="000B2682" w:rsidRDefault="000B2682">
          <w:pPr>
            <w:pStyle w:val="TOC3"/>
            <w:tabs>
              <w:tab w:val="right" w:leader="dot" w:pos="9016"/>
            </w:tabs>
            <w:rPr>
              <w:noProof/>
              <w:sz w:val="24"/>
              <w:szCs w:val="24"/>
              <w:lang w:eastAsia="en-GB"/>
            </w:rPr>
          </w:pPr>
          <w:hyperlink w:anchor="_Toc220926250" w:history="1">
            <w:r w:rsidRPr="007F38DA">
              <w:rPr>
                <w:rStyle w:val="Hyperlink"/>
                <w:rFonts w:ascii="Arial" w:hAnsi="Arial" w:cs="Arial"/>
                <w:noProof/>
              </w:rPr>
              <w:t>5.2.2 Identified Barriers</w:t>
            </w:r>
            <w:r>
              <w:rPr>
                <w:noProof/>
                <w:webHidden/>
              </w:rPr>
              <w:tab/>
            </w:r>
            <w:r>
              <w:rPr>
                <w:noProof/>
                <w:webHidden/>
              </w:rPr>
              <w:fldChar w:fldCharType="begin"/>
            </w:r>
            <w:r>
              <w:rPr>
                <w:noProof/>
                <w:webHidden/>
              </w:rPr>
              <w:instrText xml:space="preserve"> PAGEREF _Toc220926250 \h </w:instrText>
            </w:r>
            <w:r>
              <w:rPr>
                <w:noProof/>
                <w:webHidden/>
              </w:rPr>
            </w:r>
            <w:r>
              <w:rPr>
                <w:noProof/>
                <w:webHidden/>
              </w:rPr>
              <w:fldChar w:fldCharType="separate"/>
            </w:r>
            <w:r>
              <w:rPr>
                <w:noProof/>
                <w:webHidden/>
              </w:rPr>
              <w:t>46</w:t>
            </w:r>
            <w:r>
              <w:rPr>
                <w:noProof/>
                <w:webHidden/>
              </w:rPr>
              <w:fldChar w:fldCharType="end"/>
            </w:r>
          </w:hyperlink>
        </w:p>
        <w:p w14:paraId="7F5C1EE4" w14:textId="4A04E2B3" w:rsidR="000B2682" w:rsidRDefault="000B2682">
          <w:pPr>
            <w:pStyle w:val="TOC3"/>
            <w:tabs>
              <w:tab w:val="right" w:leader="dot" w:pos="9016"/>
            </w:tabs>
            <w:rPr>
              <w:noProof/>
              <w:sz w:val="24"/>
              <w:szCs w:val="24"/>
              <w:lang w:eastAsia="en-GB"/>
            </w:rPr>
          </w:pPr>
          <w:hyperlink w:anchor="_Toc220926251" w:history="1">
            <w:r w:rsidRPr="007F38DA">
              <w:rPr>
                <w:rStyle w:val="Hyperlink"/>
                <w:rFonts w:ascii="Arial" w:hAnsi="Arial" w:cs="Arial"/>
                <w:noProof/>
              </w:rPr>
              <w:t>5.2.3 The Critical Evidence Gap</w:t>
            </w:r>
            <w:r>
              <w:rPr>
                <w:noProof/>
                <w:webHidden/>
              </w:rPr>
              <w:tab/>
            </w:r>
            <w:r>
              <w:rPr>
                <w:noProof/>
                <w:webHidden/>
              </w:rPr>
              <w:fldChar w:fldCharType="begin"/>
            </w:r>
            <w:r>
              <w:rPr>
                <w:noProof/>
                <w:webHidden/>
              </w:rPr>
              <w:instrText xml:space="preserve"> PAGEREF _Toc220926251 \h </w:instrText>
            </w:r>
            <w:r>
              <w:rPr>
                <w:noProof/>
                <w:webHidden/>
              </w:rPr>
            </w:r>
            <w:r>
              <w:rPr>
                <w:noProof/>
                <w:webHidden/>
              </w:rPr>
              <w:fldChar w:fldCharType="separate"/>
            </w:r>
            <w:r>
              <w:rPr>
                <w:noProof/>
                <w:webHidden/>
              </w:rPr>
              <w:t>47</w:t>
            </w:r>
            <w:r>
              <w:rPr>
                <w:noProof/>
                <w:webHidden/>
              </w:rPr>
              <w:fldChar w:fldCharType="end"/>
            </w:r>
          </w:hyperlink>
        </w:p>
        <w:p w14:paraId="0C1A1E25" w14:textId="31031903" w:rsidR="000B2682" w:rsidRDefault="000B2682">
          <w:pPr>
            <w:pStyle w:val="TOC2"/>
            <w:tabs>
              <w:tab w:val="right" w:leader="dot" w:pos="9016"/>
            </w:tabs>
            <w:rPr>
              <w:noProof/>
              <w:sz w:val="24"/>
              <w:szCs w:val="24"/>
              <w:lang w:eastAsia="en-GB"/>
            </w:rPr>
          </w:pPr>
          <w:hyperlink w:anchor="_Toc220926252" w:history="1">
            <w:r w:rsidRPr="007F38DA">
              <w:rPr>
                <w:rStyle w:val="Hyperlink"/>
                <w:rFonts w:ascii="Arial" w:hAnsi="Arial" w:cs="Arial"/>
                <w:noProof/>
              </w:rPr>
              <w:t>5.3 Contributions to Knowledge</w:t>
            </w:r>
            <w:r>
              <w:rPr>
                <w:noProof/>
                <w:webHidden/>
              </w:rPr>
              <w:tab/>
            </w:r>
            <w:r>
              <w:rPr>
                <w:noProof/>
                <w:webHidden/>
              </w:rPr>
              <w:fldChar w:fldCharType="begin"/>
            </w:r>
            <w:r>
              <w:rPr>
                <w:noProof/>
                <w:webHidden/>
              </w:rPr>
              <w:instrText xml:space="preserve"> PAGEREF _Toc220926252 \h </w:instrText>
            </w:r>
            <w:r>
              <w:rPr>
                <w:noProof/>
                <w:webHidden/>
              </w:rPr>
            </w:r>
            <w:r>
              <w:rPr>
                <w:noProof/>
                <w:webHidden/>
              </w:rPr>
              <w:fldChar w:fldCharType="separate"/>
            </w:r>
            <w:r>
              <w:rPr>
                <w:noProof/>
                <w:webHidden/>
              </w:rPr>
              <w:t>47</w:t>
            </w:r>
            <w:r>
              <w:rPr>
                <w:noProof/>
                <w:webHidden/>
              </w:rPr>
              <w:fldChar w:fldCharType="end"/>
            </w:r>
          </w:hyperlink>
        </w:p>
        <w:p w14:paraId="61033B18" w14:textId="55336D7E" w:rsidR="000B2682" w:rsidRDefault="000B2682">
          <w:pPr>
            <w:pStyle w:val="TOC3"/>
            <w:tabs>
              <w:tab w:val="right" w:leader="dot" w:pos="9016"/>
            </w:tabs>
            <w:rPr>
              <w:noProof/>
              <w:sz w:val="24"/>
              <w:szCs w:val="24"/>
              <w:lang w:eastAsia="en-GB"/>
            </w:rPr>
          </w:pPr>
          <w:hyperlink w:anchor="_Toc220926253" w:history="1">
            <w:r w:rsidRPr="007F38DA">
              <w:rPr>
                <w:rStyle w:val="Hyperlink"/>
                <w:rFonts w:ascii="Arial" w:hAnsi="Arial" w:cs="Arial"/>
                <w:noProof/>
              </w:rPr>
              <w:t>5.3.1 Original Contribution</w:t>
            </w:r>
            <w:r>
              <w:rPr>
                <w:noProof/>
                <w:webHidden/>
              </w:rPr>
              <w:tab/>
            </w:r>
            <w:r>
              <w:rPr>
                <w:noProof/>
                <w:webHidden/>
              </w:rPr>
              <w:fldChar w:fldCharType="begin"/>
            </w:r>
            <w:r>
              <w:rPr>
                <w:noProof/>
                <w:webHidden/>
              </w:rPr>
              <w:instrText xml:space="preserve"> PAGEREF _Toc220926253 \h </w:instrText>
            </w:r>
            <w:r>
              <w:rPr>
                <w:noProof/>
                <w:webHidden/>
              </w:rPr>
            </w:r>
            <w:r>
              <w:rPr>
                <w:noProof/>
                <w:webHidden/>
              </w:rPr>
              <w:fldChar w:fldCharType="separate"/>
            </w:r>
            <w:r>
              <w:rPr>
                <w:noProof/>
                <w:webHidden/>
              </w:rPr>
              <w:t>47</w:t>
            </w:r>
            <w:r>
              <w:rPr>
                <w:noProof/>
                <w:webHidden/>
              </w:rPr>
              <w:fldChar w:fldCharType="end"/>
            </w:r>
          </w:hyperlink>
        </w:p>
        <w:p w14:paraId="53FEF6C3" w14:textId="5D1E477F" w:rsidR="000B2682" w:rsidRDefault="000B2682">
          <w:pPr>
            <w:pStyle w:val="TOC3"/>
            <w:tabs>
              <w:tab w:val="right" w:leader="dot" w:pos="9016"/>
            </w:tabs>
            <w:rPr>
              <w:noProof/>
              <w:sz w:val="24"/>
              <w:szCs w:val="24"/>
              <w:lang w:eastAsia="en-GB"/>
            </w:rPr>
          </w:pPr>
          <w:hyperlink w:anchor="_Toc220926254" w:history="1">
            <w:r w:rsidRPr="007F38DA">
              <w:rPr>
                <w:rStyle w:val="Hyperlink"/>
                <w:rFonts w:ascii="Arial" w:hAnsi="Arial" w:cs="Arial"/>
                <w:noProof/>
              </w:rPr>
              <w:t>5.3.2 Theoretical and Methodological Contributions</w:t>
            </w:r>
            <w:r>
              <w:rPr>
                <w:noProof/>
                <w:webHidden/>
              </w:rPr>
              <w:tab/>
            </w:r>
            <w:r>
              <w:rPr>
                <w:noProof/>
                <w:webHidden/>
              </w:rPr>
              <w:fldChar w:fldCharType="begin"/>
            </w:r>
            <w:r>
              <w:rPr>
                <w:noProof/>
                <w:webHidden/>
              </w:rPr>
              <w:instrText xml:space="preserve"> PAGEREF _Toc220926254 \h </w:instrText>
            </w:r>
            <w:r>
              <w:rPr>
                <w:noProof/>
                <w:webHidden/>
              </w:rPr>
            </w:r>
            <w:r>
              <w:rPr>
                <w:noProof/>
                <w:webHidden/>
              </w:rPr>
              <w:fldChar w:fldCharType="separate"/>
            </w:r>
            <w:r>
              <w:rPr>
                <w:noProof/>
                <w:webHidden/>
              </w:rPr>
              <w:t>47</w:t>
            </w:r>
            <w:r>
              <w:rPr>
                <w:noProof/>
                <w:webHidden/>
              </w:rPr>
              <w:fldChar w:fldCharType="end"/>
            </w:r>
          </w:hyperlink>
        </w:p>
        <w:p w14:paraId="774D7805" w14:textId="237FEBEC" w:rsidR="000B2682" w:rsidRDefault="000B2682">
          <w:pPr>
            <w:pStyle w:val="TOC2"/>
            <w:tabs>
              <w:tab w:val="right" w:leader="dot" w:pos="9016"/>
            </w:tabs>
            <w:rPr>
              <w:noProof/>
              <w:sz w:val="24"/>
              <w:szCs w:val="24"/>
              <w:lang w:eastAsia="en-GB"/>
            </w:rPr>
          </w:pPr>
          <w:hyperlink w:anchor="_Toc220926255" w:history="1">
            <w:r w:rsidRPr="007F38DA">
              <w:rPr>
                <w:rStyle w:val="Hyperlink"/>
                <w:rFonts w:ascii="Arial" w:hAnsi="Arial" w:cs="Arial"/>
                <w:noProof/>
              </w:rPr>
              <w:t>5.4 Recommendations</w:t>
            </w:r>
            <w:r>
              <w:rPr>
                <w:noProof/>
                <w:webHidden/>
              </w:rPr>
              <w:tab/>
            </w:r>
            <w:r>
              <w:rPr>
                <w:noProof/>
                <w:webHidden/>
              </w:rPr>
              <w:fldChar w:fldCharType="begin"/>
            </w:r>
            <w:r>
              <w:rPr>
                <w:noProof/>
                <w:webHidden/>
              </w:rPr>
              <w:instrText xml:space="preserve"> PAGEREF _Toc220926255 \h </w:instrText>
            </w:r>
            <w:r>
              <w:rPr>
                <w:noProof/>
                <w:webHidden/>
              </w:rPr>
            </w:r>
            <w:r>
              <w:rPr>
                <w:noProof/>
                <w:webHidden/>
              </w:rPr>
              <w:fldChar w:fldCharType="separate"/>
            </w:r>
            <w:r>
              <w:rPr>
                <w:noProof/>
                <w:webHidden/>
              </w:rPr>
              <w:t>47</w:t>
            </w:r>
            <w:r>
              <w:rPr>
                <w:noProof/>
                <w:webHidden/>
              </w:rPr>
              <w:fldChar w:fldCharType="end"/>
            </w:r>
          </w:hyperlink>
        </w:p>
        <w:p w14:paraId="72024835" w14:textId="46527302" w:rsidR="000B2682" w:rsidRDefault="000B2682">
          <w:pPr>
            <w:pStyle w:val="TOC3"/>
            <w:tabs>
              <w:tab w:val="right" w:leader="dot" w:pos="9016"/>
            </w:tabs>
            <w:rPr>
              <w:noProof/>
              <w:sz w:val="24"/>
              <w:szCs w:val="24"/>
              <w:lang w:eastAsia="en-GB"/>
            </w:rPr>
          </w:pPr>
          <w:hyperlink w:anchor="_Toc220926256" w:history="1">
            <w:r w:rsidRPr="007F38DA">
              <w:rPr>
                <w:rStyle w:val="Hyperlink"/>
                <w:rFonts w:ascii="Arial" w:hAnsi="Arial" w:cs="Arial"/>
                <w:noProof/>
              </w:rPr>
              <w:t>5.4.1 For Mental Health Services and Practitioners</w:t>
            </w:r>
            <w:r>
              <w:rPr>
                <w:noProof/>
                <w:webHidden/>
              </w:rPr>
              <w:tab/>
            </w:r>
            <w:r>
              <w:rPr>
                <w:noProof/>
                <w:webHidden/>
              </w:rPr>
              <w:fldChar w:fldCharType="begin"/>
            </w:r>
            <w:r>
              <w:rPr>
                <w:noProof/>
                <w:webHidden/>
              </w:rPr>
              <w:instrText xml:space="preserve"> PAGEREF _Toc220926256 \h </w:instrText>
            </w:r>
            <w:r>
              <w:rPr>
                <w:noProof/>
                <w:webHidden/>
              </w:rPr>
            </w:r>
            <w:r>
              <w:rPr>
                <w:noProof/>
                <w:webHidden/>
              </w:rPr>
              <w:fldChar w:fldCharType="separate"/>
            </w:r>
            <w:r>
              <w:rPr>
                <w:noProof/>
                <w:webHidden/>
              </w:rPr>
              <w:t>47</w:t>
            </w:r>
            <w:r>
              <w:rPr>
                <w:noProof/>
                <w:webHidden/>
              </w:rPr>
              <w:fldChar w:fldCharType="end"/>
            </w:r>
          </w:hyperlink>
        </w:p>
        <w:p w14:paraId="5C9904C6" w14:textId="4650186A" w:rsidR="000B2682" w:rsidRDefault="000B2682">
          <w:pPr>
            <w:pStyle w:val="TOC3"/>
            <w:tabs>
              <w:tab w:val="right" w:leader="dot" w:pos="9016"/>
            </w:tabs>
            <w:rPr>
              <w:noProof/>
              <w:sz w:val="24"/>
              <w:szCs w:val="24"/>
              <w:lang w:eastAsia="en-GB"/>
            </w:rPr>
          </w:pPr>
          <w:hyperlink w:anchor="_Toc220926257" w:history="1">
            <w:r w:rsidRPr="007F38DA">
              <w:rPr>
                <w:rStyle w:val="Hyperlink"/>
                <w:rFonts w:ascii="Arial" w:hAnsi="Arial" w:cs="Arial"/>
                <w:noProof/>
              </w:rPr>
              <w:t>5.4.2 For Policy Makers and Commissioners</w:t>
            </w:r>
            <w:r>
              <w:rPr>
                <w:noProof/>
                <w:webHidden/>
              </w:rPr>
              <w:tab/>
            </w:r>
            <w:r>
              <w:rPr>
                <w:noProof/>
                <w:webHidden/>
              </w:rPr>
              <w:fldChar w:fldCharType="begin"/>
            </w:r>
            <w:r>
              <w:rPr>
                <w:noProof/>
                <w:webHidden/>
              </w:rPr>
              <w:instrText xml:space="preserve"> PAGEREF _Toc220926257 \h </w:instrText>
            </w:r>
            <w:r>
              <w:rPr>
                <w:noProof/>
                <w:webHidden/>
              </w:rPr>
            </w:r>
            <w:r>
              <w:rPr>
                <w:noProof/>
                <w:webHidden/>
              </w:rPr>
              <w:fldChar w:fldCharType="separate"/>
            </w:r>
            <w:r>
              <w:rPr>
                <w:noProof/>
                <w:webHidden/>
              </w:rPr>
              <w:t>48</w:t>
            </w:r>
            <w:r>
              <w:rPr>
                <w:noProof/>
                <w:webHidden/>
              </w:rPr>
              <w:fldChar w:fldCharType="end"/>
            </w:r>
          </w:hyperlink>
        </w:p>
        <w:p w14:paraId="755912F1" w14:textId="78777BB5" w:rsidR="000B2682" w:rsidRDefault="000B2682">
          <w:pPr>
            <w:pStyle w:val="TOC3"/>
            <w:tabs>
              <w:tab w:val="right" w:leader="dot" w:pos="9016"/>
            </w:tabs>
            <w:rPr>
              <w:noProof/>
              <w:sz w:val="24"/>
              <w:szCs w:val="24"/>
              <w:lang w:eastAsia="en-GB"/>
            </w:rPr>
          </w:pPr>
          <w:hyperlink w:anchor="_Toc220926258" w:history="1">
            <w:r w:rsidRPr="007F38DA">
              <w:rPr>
                <w:rStyle w:val="Hyperlink"/>
                <w:rFonts w:ascii="Arial" w:hAnsi="Arial" w:cs="Arial"/>
                <w:noProof/>
              </w:rPr>
              <w:t>5.4.3 For Researchers</w:t>
            </w:r>
            <w:r>
              <w:rPr>
                <w:noProof/>
                <w:webHidden/>
              </w:rPr>
              <w:tab/>
            </w:r>
            <w:r>
              <w:rPr>
                <w:noProof/>
                <w:webHidden/>
              </w:rPr>
              <w:fldChar w:fldCharType="begin"/>
            </w:r>
            <w:r>
              <w:rPr>
                <w:noProof/>
                <w:webHidden/>
              </w:rPr>
              <w:instrText xml:space="preserve"> PAGEREF _Toc220926258 \h </w:instrText>
            </w:r>
            <w:r>
              <w:rPr>
                <w:noProof/>
                <w:webHidden/>
              </w:rPr>
            </w:r>
            <w:r>
              <w:rPr>
                <w:noProof/>
                <w:webHidden/>
              </w:rPr>
              <w:fldChar w:fldCharType="separate"/>
            </w:r>
            <w:r>
              <w:rPr>
                <w:noProof/>
                <w:webHidden/>
              </w:rPr>
              <w:t>48</w:t>
            </w:r>
            <w:r>
              <w:rPr>
                <w:noProof/>
                <w:webHidden/>
              </w:rPr>
              <w:fldChar w:fldCharType="end"/>
            </w:r>
          </w:hyperlink>
        </w:p>
        <w:p w14:paraId="7538A0C8" w14:textId="7AD882F5" w:rsidR="000B2682" w:rsidRDefault="000B2682">
          <w:pPr>
            <w:pStyle w:val="TOC2"/>
            <w:tabs>
              <w:tab w:val="right" w:leader="dot" w:pos="9016"/>
            </w:tabs>
            <w:rPr>
              <w:noProof/>
              <w:sz w:val="24"/>
              <w:szCs w:val="24"/>
              <w:lang w:eastAsia="en-GB"/>
            </w:rPr>
          </w:pPr>
          <w:hyperlink w:anchor="_Toc220926259" w:history="1">
            <w:r w:rsidRPr="007F38DA">
              <w:rPr>
                <w:rStyle w:val="Hyperlink"/>
                <w:rFonts w:ascii="Arial" w:hAnsi="Arial" w:cs="Arial"/>
                <w:noProof/>
              </w:rPr>
              <w:t>5.5 Limitations Revisited</w:t>
            </w:r>
            <w:r>
              <w:rPr>
                <w:noProof/>
                <w:webHidden/>
              </w:rPr>
              <w:tab/>
            </w:r>
            <w:r>
              <w:rPr>
                <w:noProof/>
                <w:webHidden/>
              </w:rPr>
              <w:fldChar w:fldCharType="begin"/>
            </w:r>
            <w:r>
              <w:rPr>
                <w:noProof/>
                <w:webHidden/>
              </w:rPr>
              <w:instrText xml:space="preserve"> PAGEREF _Toc220926259 \h </w:instrText>
            </w:r>
            <w:r>
              <w:rPr>
                <w:noProof/>
                <w:webHidden/>
              </w:rPr>
            </w:r>
            <w:r>
              <w:rPr>
                <w:noProof/>
                <w:webHidden/>
              </w:rPr>
              <w:fldChar w:fldCharType="separate"/>
            </w:r>
            <w:r>
              <w:rPr>
                <w:noProof/>
                <w:webHidden/>
              </w:rPr>
              <w:t>48</w:t>
            </w:r>
            <w:r>
              <w:rPr>
                <w:noProof/>
                <w:webHidden/>
              </w:rPr>
              <w:fldChar w:fldCharType="end"/>
            </w:r>
          </w:hyperlink>
        </w:p>
        <w:p w14:paraId="187D14F7" w14:textId="28B35FA7" w:rsidR="000B2682" w:rsidRDefault="000B2682">
          <w:pPr>
            <w:pStyle w:val="TOC2"/>
            <w:tabs>
              <w:tab w:val="right" w:leader="dot" w:pos="9016"/>
            </w:tabs>
            <w:rPr>
              <w:noProof/>
              <w:sz w:val="24"/>
              <w:szCs w:val="24"/>
              <w:lang w:eastAsia="en-GB"/>
            </w:rPr>
          </w:pPr>
          <w:hyperlink w:anchor="_Toc220926260" w:history="1">
            <w:r w:rsidRPr="007F38DA">
              <w:rPr>
                <w:rStyle w:val="Hyperlink"/>
                <w:rFonts w:ascii="Arial" w:hAnsi="Arial" w:cs="Arial"/>
                <w:noProof/>
              </w:rPr>
              <w:t>5.6 Reflexivity and Personal Learning</w:t>
            </w:r>
            <w:r>
              <w:rPr>
                <w:noProof/>
                <w:webHidden/>
              </w:rPr>
              <w:tab/>
            </w:r>
            <w:r>
              <w:rPr>
                <w:noProof/>
                <w:webHidden/>
              </w:rPr>
              <w:fldChar w:fldCharType="begin"/>
            </w:r>
            <w:r>
              <w:rPr>
                <w:noProof/>
                <w:webHidden/>
              </w:rPr>
              <w:instrText xml:space="preserve"> PAGEREF _Toc220926260 \h </w:instrText>
            </w:r>
            <w:r>
              <w:rPr>
                <w:noProof/>
                <w:webHidden/>
              </w:rPr>
            </w:r>
            <w:r>
              <w:rPr>
                <w:noProof/>
                <w:webHidden/>
              </w:rPr>
              <w:fldChar w:fldCharType="separate"/>
            </w:r>
            <w:r>
              <w:rPr>
                <w:noProof/>
                <w:webHidden/>
              </w:rPr>
              <w:t>49</w:t>
            </w:r>
            <w:r>
              <w:rPr>
                <w:noProof/>
                <w:webHidden/>
              </w:rPr>
              <w:fldChar w:fldCharType="end"/>
            </w:r>
          </w:hyperlink>
        </w:p>
        <w:p w14:paraId="119A0866" w14:textId="586EF72B" w:rsidR="000B2682" w:rsidRDefault="000B2682">
          <w:pPr>
            <w:pStyle w:val="TOC2"/>
            <w:tabs>
              <w:tab w:val="right" w:leader="dot" w:pos="9016"/>
            </w:tabs>
            <w:rPr>
              <w:noProof/>
              <w:sz w:val="24"/>
              <w:szCs w:val="24"/>
              <w:lang w:eastAsia="en-GB"/>
            </w:rPr>
          </w:pPr>
          <w:hyperlink w:anchor="_Toc220926261" w:history="1">
            <w:r w:rsidRPr="007F38DA">
              <w:rPr>
                <w:rStyle w:val="Hyperlink"/>
                <w:rFonts w:ascii="Arial" w:hAnsi="Arial" w:cs="Arial"/>
                <w:noProof/>
              </w:rPr>
              <w:t>5.7 Final Conclusions</w:t>
            </w:r>
            <w:r>
              <w:rPr>
                <w:noProof/>
                <w:webHidden/>
              </w:rPr>
              <w:tab/>
            </w:r>
            <w:r>
              <w:rPr>
                <w:noProof/>
                <w:webHidden/>
              </w:rPr>
              <w:fldChar w:fldCharType="begin"/>
            </w:r>
            <w:r>
              <w:rPr>
                <w:noProof/>
                <w:webHidden/>
              </w:rPr>
              <w:instrText xml:space="preserve"> PAGEREF _Toc220926261 \h </w:instrText>
            </w:r>
            <w:r>
              <w:rPr>
                <w:noProof/>
                <w:webHidden/>
              </w:rPr>
            </w:r>
            <w:r>
              <w:rPr>
                <w:noProof/>
                <w:webHidden/>
              </w:rPr>
              <w:fldChar w:fldCharType="separate"/>
            </w:r>
            <w:r>
              <w:rPr>
                <w:noProof/>
                <w:webHidden/>
              </w:rPr>
              <w:t>49</w:t>
            </w:r>
            <w:r>
              <w:rPr>
                <w:noProof/>
                <w:webHidden/>
              </w:rPr>
              <w:fldChar w:fldCharType="end"/>
            </w:r>
          </w:hyperlink>
        </w:p>
        <w:p w14:paraId="5D40DB2A" w14:textId="72B50EED" w:rsidR="000B2682" w:rsidRDefault="000B2682">
          <w:pPr>
            <w:pStyle w:val="TOC1"/>
            <w:tabs>
              <w:tab w:val="right" w:leader="dot" w:pos="9016"/>
            </w:tabs>
            <w:rPr>
              <w:rFonts w:asciiTheme="minorHAnsi" w:eastAsiaTheme="minorEastAsia" w:hAnsiTheme="minorHAnsi" w:cstheme="minorBidi"/>
              <w:noProof/>
              <w:color w:val="auto"/>
              <w:szCs w:val="24"/>
              <w:lang w:eastAsia="en-GB"/>
            </w:rPr>
          </w:pPr>
          <w:hyperlink w:anchor="_Toc220926262" w:history="1">
            <w:r w:rsidRPr="007F38DA">
              <w:rPr>
                <w:rStyle w:val="Hyperlink"/>
                <w:rFonts w:ascii="Arial" w:eastAsiaTheme="majorEastAsia" w:hAnsi="Arial" w:cs="Arial"/>
                <w:noProof/>
              </w:rPr>
              <w:t>Reference list</w:t>
            </w:r>
            <w:r>
              <w:rPr>
                <w:noProof/>
                <w:webHidden/>
              </w:rPr>
              <w:tab/>
            </w:r>
            <w:r>
              <w:rPr>
                <w:noProof/>
                <w:webHidden/>
              </w:rPr>
              <w:fldChar w:fldCharType="begin"/>
            </w:r>
            <w:r>
              <w:rPr>
                <w:noProof/>
                <w:webHidden/>
              </w:rPr>
              <w:instrText xml:space="preserve"> PAGEREF _Toc220926262 \h </w:instrText>
            </w:r>
            <w:r>
              <w:rPr>
                <w:noProof/>
                <w:webHidden/>
              </w:rPr>
            </w:r>
            <w:r>
              <w:rPr>
                <w:noProof/>
                <w:webHidden/>
              </w:rPr>
              <w:fldChar w:fldCharType="separate"/>
            </w:r>
            <w:r>
              <w:rPr>
                <w:noProof/>
                <w:webHidden/>
              </w:rPr>
              <w:t>50</w:t>
            </w:r>
            <w:r>
              <w:rPr>
                <w:noProof/>
                <w:webHidden/>
              </w:rPr>
              <w:fldChar w:fldCharType="end"/>
            </w:r>
          </w:hyperlink>
        </w:p>
        <w:p w14:paraId="202F33FA" w14:textId="1C24B73F" w:rsidR="001004D8" w:rsidRPr="002374EC" w:rsidRDefault="001004D8">
          <w:pPr>
            <w:rPr>
              <w:rFonts w:ascii="Arial" w:hAnsi="Arial" w:cs="Arial"/>
            </w:rPr>
          </w:pPr>
          <w:r w:rsidRPr="002374EC">
            <w:rPr>
              <w:rFonts w:ascii="Arial" w:hAnsi="Arial" w:cs="Arial"/>
              <w:b/>
              <w:bCs/>
              <w:noProof/>
            </w:rPr>
            <w:fldChar w:fldCharType="end"/>
          </w:r>
        </w:p>
      </w:sdtContent>
    </w:sdt>
    <w:p w14:paraId="617F822A" w14:textId="77777777" w:rsidR="000555DE" w:rsidRPr="002374EC" w:rsidRDefault="000555DE" w:rsidP="00627837">
      <w:pPr>
        <w:spacing w:after="0" w:line="360" w:lineRule="auto"/>
        <w:rPr>
          <w:rFonts w:ascii="Arial" w:eastAsia="Times New Roman" w:hAnsi="Arial" w:cs="Arial"/>
          <w:b/>
        </w:rPr>
      </w:pPr>
      <w:r w:rsidRPr="002374EC">
        <w:rPr>
          <w:rFonts w:ascii="Arial" w:hAnsi="Arial" w:cs="Arial"/>
        </w:rPr>
        <w:br w:type="page"/>
      </w:r>
    </w:p>
    <w:p w14:paraId="62005416" w14:textId="77777777" w:rsidR="00D22E9E" w:rsidRPr="002374EC" w:rsidRDefault="009F64C5" w:rsidP="00627837">
      <w:pPr>
        <w:pStyle w:val="Heading1"/>
        <w:spacing w:after="0" w:line="360" w:lineRule="auto"/>
        <w:ind w:left="0" w:right="0" w:firstLine="0"/>
        <w:rPr>
          <w:rFonts w:ascii="Arial" w:hAnsi="Arial" w:cs="Arial"/>
          <w:color w:val="auto"/>
          <w:sz w:val="22"/>
        </w:rPr>
      </w:pPr>
      <w:bookmarkStart w:id="2" w:name="_Toc220926166"/>
      <w:r w:rsidRPr="002374EC">
        <w:rPr>
          <w:rFonts w:ascii="Arial" w:hAnsi="Arial" w:cs="Arial"/>
          <w:color w:val="auto"/>
          <w:sz w:val="22"/>
        </w:rPr>
        <w:lastRenderedPageBreak/>
        <w:t>List of figures</w:t>
      </w:r>
      <w:bookmarkEnd w:id="2"/>
      <w:r w:rsidRPr="002374EC">
        <w:rPr>
          <w:rFonts w:ascii="Arial" w:hAnsi="Arial" w:cs="Arial"/>
          <w:color w:val="auto"/>
          <w:sz w:val="22"/>
        </w:rPr>
        <w:t xml:space="preserve"> </w:t>
      </w:r>
    </w:p>
    <w:p w14:paraId="069A36CD" w14:textId="45D39B79" w:rsidR="009F64C5" w:rsidRPr="002374EC" w:rsidRDefault="009F64C5" w:rsidP="00627837">
      <w:pPr>
        <w:pStyle w:val="Heading1"/>
        <w:spacing w:after="0" w:line="360" w:lineRule="auto"/>
        <w:ind w:left="0" w:right="0" w:firstLine="0"/>
        <w:rPr>
          <w:rFonts w:ascii="Arial" w:hAnsi="Arial" w:cs="Arial"/>
          <w:color w:val="auto"/>
          <w:sz w:val="22"/>
        </w:rPr>
      </w:pPr>
      <w:r w:rsidRPr="002374EC">
        <w:rPr>
          <w:rFonts w:ascii="Arial" w:hAnsi="Arial" w:cs="Arial"/>
          <w:color w:val="auto"/>
          <w:sz w:val="22"/>
        </w:rPr>
        <w:t xml:space="preserve"> </w:t>
      </w:r>
    </w:p>
    <w:p w14:paraId="653508AC" w14:textId="77777777" w:rsidR="009F64C5" w:rsidRPr="002374EC" w:rsidRDefault="009F64C5" w:rsidP="00627837">
      <w:pPr>
        <w:spacing w:after="0" w:line="360" w:lineRule="auto"/>
        <w:rPr>
          <w:rFonts w:ascii="Arial" w:hAnsi="Arial" w:cs="Arial"/>
        </w:rPr>
      </w:pPr>
      <w:r w:rsidRPr="002374EC">
        <w:rPr>
          <w:rFonts w:ascii="Arial" w:hAnsi="Arial" w:cs="Arial"/>
        </w:rPr>
        <w:t xml:space="preserve">Figure 1: Caption…………………………………………………………………………….11 </w:t>
      </w:r>
    </w:p>
    <w:p w14:paraId="3E9AA326" w14:textId="77777777" w:rsidR="009F64C5" w:rsidRPr="002374EC" w:rsidRDefault="009F64C5" w:rsidP="00627837">
      <w:pPr>
        <w:spacing w:after="0" w:line="360" w:lineRule="auto"/>
        <w:rPr>
          <w:rFonts w:ascii="Arial" w:hAnsi="Arial" w:cs="Arial"/>
        </w:rPr>
      </w:pPr>
      <w:r w:rsidRPr="002374EC">
        <w:rPr>
          <w:rFonts w:ascii="Arial" w:hAnsi="Arial" w:cs="Arial"/>
        </w:rPr>
        <w:t xml:space="preserve">Figure 2: Caption…………………………………………………………………………….26 </w:t>
      </w:r>
    </w:p>
    <w:p w14:paraId="4D71BB86" w14:textId="77777777" w:rsidR="009F64C5" w:rsidRPr="002374EC" w:rsidRDefault="009F64C5" w:rsidP="00627837">
      <w:pPr>
        <w:spacing w:after="0" w:line="360" w:lineRule="auto"/>
        <w:rPr>
          <w:rFonts w:ascii="Arial" w:hAnsi="Arial" w:cs="Arial"/>
        </w:rPr>
      </w:pPr>
      <w:r w:rsidRPr="002374EC">
        <w:rPr>
          <w:rFonts w:ascii="Arial" w:hAnsi="Arial" w:cs="Arial"/>
        </w:rPr>
        <w:t xml:space="preserve"> </w:t>
      </w:r>
    </w:p>
    <w:p w14:paraId="1F33F1E7" w14:textId="77777777" w:rsidR="009F64C5" w:rsidRPr="002374EC" w:rsidRDefault="009F64C5" w:rsidP="00627837">
      <w:pPr>
        <w:spacing w:after="0" w:line="360" w:lineRule="auto"/>
        <w:ind w:left="59"/>
        <w:jc w:val="center"/>
        <w:rPr>
          <w:rFonts w:ascii="Arial" w:hAnsi="Arial" w:cs="Arial"/>
        </w:rPr>
      </w:pPr>
      <w:r w:rsidRPr="002374EC">
        <w:rPr>
          <w:rFonts w:ascii="Arial" w:eastAsia="Times New Roman" w:hAnsi="Arial" w:cs="Arial"/>
          <w:b/>
        </w:rPr>
        <w:t xml:space="preserve"> </w:t>
      </w:r>
    </w:p>
    <w:p w14:paraId="1028A266" w14:textId="77777777" w:rsidR="000555DE" w:rsidRPr="002374EC" w:rsidRDefault="000555DE" w:rsidP="00627837">
      <w:pPr>
        <w:spacing w:after="0" w:line="360" w:lineRule="auto"/>
        <w:rPr>
          <w:rFonts w:ascii="Arial" w:eastAsia="Times New Roman" w:hAnsi="Arial" w:cs="Arial"/>
          <w:b/>
        </w:rPr>
      </w:pPr>
      <w:r w:rsidRPr="002374EC">
        <w:rPr>
          <w:rFonts w:ascii="Arial" w:hAnsi="Arial" w:cs="Arial"/>
        </w:rPr>
        <w:br w:type="page"/>
      </w:r>
    </w:p>
    <w:p w14:paraId="26D3E5D0" w14:textId="4977B35C" w:rsidR="009F64C5" w:rsidRPr="002374EC" w:rsidRDefault="009F64C5" w:rsidP="00627837">
      <w:pPr>
        <w:pStyle w:val="Heading1"/>
        <w:spacing w:after="0" w:line="360" w:lineRule="auto"/>
        <w:ind w:left="12" w:right="4"/>
        <w:rPr>
          <w:rFonts w:ascii="Arial" w:hAnsi="Arial" w:cs="Arial"/>
          <w:color w:val="auto"/>
          <w:sz w:val="22"/>
        </w:rPr>
      </w:pPr>
      <w:bookmarkStart w:id="3" w:name="_Toc220926167"/>
      <w:r w:rsidRPr="002374EC">
        <w:rPr>
          <w:rFonts w:ascii="Arial" w:hAnsi="Arial" w:cs="Arial"/>
          <w:color w:val="auto"/>
          <w:sz w:val="22"/>
        </w:rPr>
        <w:lastRenderedPageBreak/>
        <w:t>List of tables</w:t>
      </w:r>
      <w:bookmarkEnd w:id="3"/>
      <w:r w:rsidRPr="002374EC">
        <w:rPr>
          <w:rFonts w:ascii="Arial" w:hAnsi="Arial" w:cs="Arial"/>
          <w:color w:val="auto"/>
          <w:sz w:val="22"/>
        </w:rPr>
        <w:t xml:space="preserve"> </w:t>
      </w:r>
    </w:p>
    <w:p w14:paraId="6DD17FA5" w14:textId="41A6B5BF" w:rsidR="009F64C5" w:rsidRPr="002374EC" w:rsidRDefault="009F64C5" w:rsidP="00627837">
      <w:pPr>
        <w:spacing w:after="0" w:line="360" w:lineRule="auto"/>
        <w:rPr>
          <w:rFonts w:ascii="Arial" w:hAnsi="Arial" w:cs="Arial"/>
        </w:rPr>
      </w:pPr>
      <w:r w:rsidRPr="002374EC">
        <w:rPr>
          <w:rFonts w:ascii="Arial" w:eastAsia="Calibri" w:hAnsi="Arial" w:cs="Arial"/>
        </w:rPr>
        <w:t xml:space="preserve"> </w:t>
      </w:r>
      <w:r w:rsidRPr="002374EC">
        <w:rPr>
          <w:rFonts w:ascii="Arial" w:hAnsi="Arial" w:cs="Arial"/>
        </w:rPr>
        <w:t xml:space="preserve"> </w:t>
      </w:r>
    </w:p>
    <w:p w14:paraId="583DF74D" w14:textId="640273F6" w:rsidR="000B2682" w:rsidRDefault="002374EC">
      <w:pPr>
        <w:pStyle w:val="TableofFigures"/>
        <w:tabs>
          <w:tab w:val="right" w:leader="dot" w:pos="9016"/>
        </w:tabs>
        <w:rPr>
          <w:noProof/>
          <w:sz w:val="24"/>
          <w:szCs w:val="24"/>
          <w:lang w:eastAsia="en-GB"/>
        </w:rPr>
      </w:pPr>
      <w:r w:rsidRPr="002374EC">
        <w:rPr>
          <w:rFonts w:ascii="Arial" w:hAnsi="Arial" w:cs="Arial"/>
        </w:rPr>
        <w:fldChar w:fldCharType="begin"/>
      </w:r>
      <w:r w:rsidRPr="002374EC">
        <w:rPr>
          <w:rFonts w:ascii="Arial" w:hAnsi="Arial" w:cs="Arial"/>
        </w:rPr>
        <w:instrText xml:space="preserve"> TOC \h \z \c "Table" </w:instrText>
      </w:r>
      <w:r w:rsidRPr="002374EC">
        <w:rPr>
          <w:rFonts w:ascii="Arial" w:hAnsi="Arial" w:cs="Arial"/>
        </w:rPr>
        <w:fldChar w:fldCharType="separate"/>
      </w:r>
      <w:hyperlink w:anchor="_Toc220925860" w:history="1">
        <w:r w:rsidR="000B2682" w:rsidRPr="009117C7">
          <w:rPr>
            <w:rStyle w:val="Hyperlink"/>
            <w:rFonts w:ascii="Arial" w:hAnsi="Arial" w:cs="Arial"/>
            <w:b/>
            <w:bCs/>
            <w:noProof/>
          </w:rPr>
          <w:t>Table 1: Search Term Categories and Boolean Strategy</w:t>
        </w:r>
        <w:r w:rsidR="000B2682">
          <w:rPr>
            <w:noProof/>
            <w:webHidden/>
          </w:rPr>
          <w:tab/>
        </w:r>
        <w:r w:rsidR="000B2682">
          <w:rPr>
            <w:noProof/>
            <w:webHidden/>
          </w:rPr>
          <w:fldChar w:fldCharType="begin"/>
        </w:r>
        <w:r w:rsidR="000B2682">
          <w:rPr>
            <w:noProof/>
            <w:webHidden/>
          </w:rPr>
          <w:instrText xml:space="preserve"> PAGEREF _Toc220925860 \h </w:instrText>
        </w:r>
        <w:r w:rsidR="000B2682">
          <w:rPr>
            <w:noProof/>
            <w:webHidden/>
          </w:rPr>
        </w:r>
        <w:r w:rsidR="000B2682">
          <w:rPr>
            <w:noProof/>
            <w:webHidden/>
          </w:rPr>
          <w:fldChar w:fldCharType="separate"/>
        </w:r>
        <w:r w:rsidR="000B2682">
          <w:rPr>
            <w:noProof/>
            <w:webHidden/>
          </w:rPr>
          <w:t>30</w:t>
        </w:r>
        <w:r w:rsidR="000B2682">
          <w:rPr>
            <w:noProof/>
            <w:webHidden/>
          </w:rPr>
          <w:fldChar w:fldCharType="end"/>
        </w:r>
      </w:hyperlink>
    </w:p>
    <w:p w14:paraId="5C453477" w14:textId="7FFBFF18" w:rsidR="000B2682" w:rsidRDefault="000B2682">
      <w:pPr>
        <w:pStyle w:val="TableofFigures"/>
        <w:tabs>
          <w:tab w:val="right" w:leader="dot" w:pos="9016"/>
        </w:tabs>
        <w:rPr>
          <w:noProof/>
          <w:sz w:val="24"/>
          <w:szCs w:val="24"/>
          <w:lang w:eastAsia="en-GB"/>
        </w:rPr>
      </w:pPr>
      <w:hyperlink w:anchor="_Toc220925861" w:history="1">
        <w:r w:rsidRPr="009117C7">
          <w:rPr>
            <w:rStyle w:val="Hyperlink"/>
            <w:rFonts w:ascii="Arial" w:hAnsi="Arial" w:cs="Arial"/>
            <w:b/>
            <w:bCs/>
            <w:noProof/>
          </w:rPr>
          <w:t>Table 2: Inclusion and Exclusion Criteria</w:t>
        </w:r>
        <w:r>
          <w:rPr>
            <w:noProof/>
            <w:webHidden/>
          </w:rPr>
          <w:tab/>
        </w:r>
        <w:r>
          <w:rPr>
            <w:noProof/>
            <w:webHidden/>
          </w:rPr>
          <w:fldChar w:fldCharType="begin"/>
        </w:r>
        <w:r>
          <w:rPr>
            <w:noProof/>
            <w:webHidden/>
          </w:rPr>
          <w:instrText xml:space="preserve"> PAGEREF _Toc220925861 \h </w:instrText>
        </w:r>
        <w:r>
          <w:rPr>
            <w:noProof/>
            <w:webHidden/>
          </w:rPr>
        </w:r>
        <w:r>
          <w:rPr>
            <w:noProof/>
            <w:webHidden/>
          </w:rPr>
          <w:fldChar w:fldCharType="separate"/>
        </w:r>
        <w:r>
          <w:rPr>
            <w:noProof/>
            <w:webHidden/>
          </w:rPr>
          <w:t>31</w:t>
        </w:r>
        <w:r>
          <w:rPr>
            <w:noProof/>
            <w:webHidden/>
          </w:rPr>
          <w:fldChar w:fldCharType="end"/>
        </w:r>
      </w:hyperlink>
    </w:p>
    <w:p w14:paraId="65FA9DDB" w14:textId="2EE2EA1F" w:rsidR="000B2682" w:rsidRDefault="000B2682">
      <w:pPr>
        <w:pStyle w:val="TableofFigures"/>
        <w:tabs>
          <w:tab w:val="right" w:leader="dot" w:pos="9016"/>
        </w:tabs>
        <w:rPr>
          <w:noProof/>
          <w:sz w:val="24"/>
          <w:szCs w:val="24"/>
          <w:lang w:eastAsia="en-GB"/>
        </w:rPr>
      </w:pPr>
      <w:hyperlink w:anchor="_Toc220925862" w:history="1">
        <w:r w:rsidRPr="009117C7">
          <w:rPr>
            <w:rStyle w:val="Hyperlink"/>
            <w:rFonts w:ascii="Arial" w:hAnsi="Arial" w:cs="Arial"/>
            <w:b/>
            <w:bCs/>
            <w:noProof/>
          </w:rPr>
          <w:t>Table 3: Characteristics of Included Studies (N=11)</w:t>
        </w:r>
        <w:r>
          <w:rPr>
            <w:noProof/>
            <w:webHidden/>
          </w:rPr>
          <w:tab/>
        </w:r>
        <w:r>
          <w:rPr>
            <w:noProof/>
            <w:webHidden/>
          </w:rPr>
          <w:fldChar w:fldCharType="begin"/>
        </w:r>
        <w:r>
          <w:rPr>
            <w:noProof/>
            <w:webHidden/>
          </w:rPr>
          <w:instrText xml:space="preserve"> PAGEREF _Toc220925862 \h </w:instrText>
        </w:r>
        <w:r>
          <w:rPr>
            <w:noProof/>
            <w:webHidden/>
          </w:rPr>
        </w:r>
        <w:r>
          <w:rPr>
            <w:noProof/>
            <w:webHidden/>
          </w:rPr>
          <w:fldChar w:fldCharType="separate"/>
        </w:r>
        <w:r>
          <w:rPr>
            <w:noProof/>
            <w:webHidden/>
          </w:rPr>
          <w:t>37</w:t>
        </w:r>
        <w:r>
          <w:rPr>
            <w:noProof/>
            <w:webHidden/>
          </w:rPr>
          <w:fldChar w:fldCharType="end"/>
        </w:r>
      </w:hyperlink>
    </w:p>
    <w:p w14:paraId="279143F6" w14:textId="5A86D896" w:rsidR="000555DE" w:rsidRPr="002374EC" w:rsidRDefault="002374EC" w:rsidP="00627837">
      <w:pPr>
        <w:spacing w:after="0" w:line="360" w:lineRule="auto"/>
        <w:rPr>
          <w:rFonts w:ascii="Arial" w:hAnsi="Arial" w:cs="Arial"/>
        </w:rPr>
      </w:pPr>
      <w:r w:rsidRPr="002374EC">
        <w:rPr>
          <w:rFonts w:ascii="Arial" w:hAnsi="Arial" w:cs="Arial"/>
        </w:rPr>
        <w:fldChar w:fldCharType="end"/>
      </w:r>
      <w:r w:rsidR="000555DE" w:rsidRPr="002374EC">
        <w:rPr>
          <w:rFonts w:ascii="Arial" w:hAnsi="Arial" w:cs="Arial"/>
        </w:rPr>
        <w:br w:type="page"/>
      </w:r>
    </w:p>
    <w:p w14:paraId="3ABADF24" w14:textId="4B15EAE8" w:rsidR="009F64C5" w:rsidRPr="002374EC" w:rsidRDefault="009F64C5" w:rsidP="00627837">
      <w:pPr>
        <w:pStyle w:val="Heading1"/>
        <w:spacing w:after="0" w:line="360" w:lineRule="auto"/>
        <w:ind w:right="0"/>
        <w:rPr>
          <w:rFonts w:ascii="Arial" w:hAnsi="Arial" w:cs="Arial"/>
          <w:color w:val="auto"/>
          <w:sz w:val="22"/>
        </w:rPr>
      </w:pPr>
      <w:bookmarkStart w:id="4" w:name="_Toc220926168"/>
      <w:r w:rsidRPr="002374EC">
        <w:rPr>
          <w:rFonts w:ascii="Arial" w:hAnsi="Arial" w:cs="Arial"/>
          <w:color w:val="auto"/>
          <w:sz w:val="22"/>
        </w:rPr>
        <w:lastRenderedPageBreak/>
        <w:t>List of abbreviations</w:t>
      </w:r>
      <w:bookmarkEnd w:id="4"/>
    </w:p>
    <w:p w14:paraId="2E0F49DC" w14:textId="77777777" w:rsidR="009F64C5" w:rsidRPr="002374EC" w:rsidRDefault="009F64C5" w:rsidP="00627837">
      <w:pPr>
        <w:spacing w:after="0" w:line="360" w:lineRule="auto"/>
        <w:ind w:left="59"/>
        <w:jc w:val="center"/>
        <w:rPr>
          <w:rFonts w:ascii="Arial" w:hAnsi="Arial" w:cs="Arial"/>
        </w:rPr>
      </w:pPr>
      <w:r w:rsidRPr="002374EC">
        <w:rPr>
          <w:rFonts w:ascii="Arial" w:eastAsia="Times New Roman" w:hAnsi="Arial" w:cs="Arial"/>
          <w:b/>
        </w:rPr>
        <w:t xml:space="preserve"> </w:t>
      </w:r>
    </w:p>
    <w:p w14:paraId="1C1DC50C" w14:textId="77777777" w:rsidR="001004D8" w:rsidRPr="002374EC" w:rsidRDefault="001004D8" w:rsidP="001004D8">
      <w:pPr>
        <w:spacing w:after="0" w:line="360" w:lineRule="auto"/>
        <w:rPr>
          <w:rFonts w:ascii="Arial" w:eastAsia="Times New Roman" w:hAnsi="Arial" w:cs="Arial"/>
          <w:b/>
          <w:bCs/>
          <w:i/>
        </w:rPr>
      </w:pPr>
      <w:r w:rsidRPr="002374EC">
        <w:rPr>
          <w:rFonts w:ascii="Arial" w:eastAsia="Times New Roman" w:hAnsi="Arial" w:cs="Arial"/>
          <w:b/>
          <w:bCs/>
          <w:i/>
        </w:rPr>
        <w:t>LIST OF ABBREVIATIONS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07"/>
        <w:gridCol w:w="6298"/>
      </w:tblGrid>
      <w:tr w:rsidR="001004D8" w:rsidRPr="002374EC" w14:paraId="3DB94D5A" w14:textId="77777777" w:rsidTr="001004D8">
        <w:trPr>
          <w:tblHeader/>
          <w:tblCellSpacing w:w="15" w:type="dxa"/>
        </w:trPr>
        <w:tc>
          <w:tcPr>
            <w:tcW w:w="0" w:type="auto"/>
            <w:vAlign w:val="center"/>
            <w:hideMark/>
          </w:tcPr>
          <w:p w14:paraId="3D1D1601"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Abbreviation</w:t>
            </w:r>
          </w:p>
        </w:tc>
        <w:tc>
          <w:tcPr>
            <w:tcW w:w="0" w:type="auto"/>
            <w:vAlign w:val="center"/>
            <w:hideMark/>
          </w:tcPr>
          <w:p w14:paraId="1FE20A7E"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Full Form</w:t>
            </w:r>
          </w:p>
        </w:tc>
      </w:tr>
      <w:tr w:rsidR="001004D8" w:rsidRPr="002374EC" w14:paraId="14A5BBAB" w14:textId="77777777" w:rsidTr="001004D8">
        <w:trPr>
          <w:tblCellSpacing w:w="15" w:type="dxa"/>
        </w:trPr>
        <w:tc>
          <w:tcPr>
            <w:tcW w:w="0" w:type="auto"/>
            <w:vAlign w:val="center"/>
            <w:hideMark/>
          </w:tcPr>
          <w:p w14:paraId="08D95DC6"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AMHS</w:t>
            </w:r>
          </w:p>
        </w:tc>
        <w:tc>
          <w:tcPr>
            <w:tcW w:w="0" w:type="auto"/>
            <w:vAlign w:val="center"/>
            <w:hideMark/>
          </w:tcPr>
          <w:p w14:paraId="15EF33DF"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Adult Mental Health Services</w:t>
            </w:r>
          </w:p>
        </w:tc>
      </w:tr>
      <w:tr w:rsidR="001004D8" w:rsidRPr="002374EC" w14:paraId="38F6DB10" w14:textId="77777777" w:rsidTr="001004D8">
        <w:trPr>
          <w:tblCellSpacing w:w="15" w:type="dxa"/>
        </w:trPr>
        <w:tc>
          <w:tcPr>
            <w:tcW w:w="0" w:type="auto"/>
            <w:vAlign w:val="center"/>
            <w:hideMark/>
          </w:tcPr>
          <w:p w14:paraId="351D57CD"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APLP</w:t>
            </w:r>
          </w:p>
        </w:tc>
        <w:tc>
          <w:tcPr>
            <w:tcW w:w="0" w:type="auto"/>
            <w:vAlign w:val="center"/>
            <w:hideMark/>
          </w:tcPr>
          <w:p w14:paraId="41BE34A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Athrofa Professional Learning Partnership</w:t>
            </w:r>
          </w:p>
        </w:tc>
      </w:tr>
      <w:tr w:rsidR="001004D8" w:rsidRPr="002374EC" w14:paraId="2C64EF53" w14:textId="77777777" w:rsidTr="001004D8">
        <w:trPr>
          <w:tblCellSpacing w:w="15" w:type="dxa"/>
        </w:trPr>
        <w:tc>
          <w:tcPr>
            <w:tcW w:w="0" w:type="auto"/>
            <w:vAlign w:val="center"/>
            <w:hideMark/>
          </w:tcPr>
          <w:p w14:paraId="713EB9F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BMJ</w:t>
            </w:r>
          </w:p>
        </w:tc>
        <w:tc>
          <w:tcPr>
            <w:tcW w:w="0" w:type="auto"/>
            <w:vAlign w:val="center"/>
            <w:hideMark/>
          </w:tcPr>
          <w:p w14:paraId="0E71520A"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British Medical Journal</w:t>
            </w:r>
          </w:p>
        </w:tc>
      </w:tr>
      <w:tr w:rsidR="001004D8" w:rsidRPr="002374EC" w14:paraId="291E67D7" w14:textId="77777777" w:rsidTr="001004D8">
        <w:trPr>
          <w:tblCellSpacing w:w="15" w:type="dxa"/>
        </w:trPr>
        <w:tc>
          <w:tcPr>
            <w:tcW w:w="0" w:type="auto"/>
            <w:vAlign w:val="center"/>
            <w:hideMark/>
          </w:tcPr>
          <w:p w14:paraId="373E04A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CAMHS</w:t>
            </w:r>
          </w:p>
        </w:tc>
        <w:tc>
          <w:tcPr>
            <w:tcW w:w="0" w:type="auto"/>
            <w:vAlign w:val="center"/>
            <w:hideMark/>
          </w:tcPr>
          <w:p w14:paraId="6144D7F9"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Child and Adolescent Mental Health Services</w:t>
            </w:r>
          </w:p>
        </w:tc>
      </w:tr>
      <w:tr w:rsidR="001004D8" w:rsidRPr="002374EC" w14:paraId="67F8638F" w14:textId="77777777" w:rsidTr="001004D8">
        <w:trPr>
          <w:tblCellSpacing w:w="15" w:type="dxa"/>
        </w:trPr>
        <w:tc>
          <w:tcPr>
            <w:tcW w:w="0" w:type="auto"/>
            <w:vAlign w:val="center"/>
            <w:hideMark/>
          </w:tcPr>
          <w:p w14:paraId="0E826AAA"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CASP</w:t>
            </w:r>
          </w:p>
        </w:tc>
        <w:tc>
          <w:tcPr>
            <w:tcW w:w="0" w:type="auto"/>
            <w:vAlign w:val="center"/>
            <w:hideMark/>
          </w:tcPr>
          <w:p w14:paraId="3C42C12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Critical Appraisal Skills Programme</w:t>
            </w:r>
          </w:p>
        </w:tc>
      </w:tr>
      <w:tr w:rsidR="001004D8" w:rsidRPr="002374EC" w14:paraId="7CEF93DE" w14:textId="77777777" w:rsidTr="001004D8">
        <w:trPr>
          <w:tblCellSpacing w:w="15" w:type="dxa"/>
        </w:trPr>
        <w:tc>
          <w:tcPr>
            <w:tcW w:w="0" w:type="auto"/>
            <w:vAlign w:val="center"/>
            <w:hideMark/>
          </w:tcPr>
          <w:p w14:paraId="3F104ADA"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CQC</w:t>
            </w:r>
          </w:p>
        </w:tc>
        <w:tc>
          <w:tcPr>
            <w:tcW w:w="0" w:type="auto"/>
            <w:vAlign w:val="center"/>
            <w:hideMark/>
          </w:tcPr>
          <w:p w14:paraId="6F14683B"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Care Quality Commission</w:t>
            </w:r>
          </w:p>
        </w:tc>
      </w:tr>
      <w:tr w:rsidR="001004D8" w:rsidRPr="002374EC" w14:paraId="09AE359B" w14:textId="77777777" w:rsidTr="001004D8">
        <w:trPr>
          <w:tblCellSpacing w:w="15" w:type="dxa"/>
        </w:trPr>
        <w:tc>
          <w:tcPr>
            <w:tcW w:w="0" w:type="auto"/>
            <w:vAlign w:val="center"/>
            <w:hideMark/>
          </w:tcPr>
          <w:p w14:paraId="0E08B65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DBS</w:t>
            </w:r>
          </w:p>
        </w:tc>
        <w:tc>
          <w:tcPr>
            <w:tcW w:w="0" w:type="auto"/>
            <w:vAlign w:val="center"/>
            <w:hideMark/>
          </w:tcPr>
          <w:p w14:paraId="7F4809D5"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Disclosure and Barring Service</w:t>
            </w:r>
          </w:p>
        </w:tc>
      </w:tr>
      <w:tr w:rsidR="001004D8" w:rsidRPr="002374EC" w14:paraId="5CDD6807" w14:textId="77777777" w:rsidTr="001004D8">
        <w:trPr>
          <w:tblCellSpacing w:w="15" w:type="dxa"/>
        </w:trPr>
        <w:tc>
          <w:tcPr>
            <w:tcW w:w="0" w:type="auto"/>
            <w:vAlign w:val="center"/>
            <w:hideMark/>
          </w:tcPr>
          <w:p w14:paraId="7B4B2D4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DCMS</w:t>
            </w:r>
          </w:p>
        </w:tc>
        <w:tc>
          <w:tcPr>
            <w:tcW w:w="0" w:type="auto"/>
            <w:vAlign w:val="center"/>
            <w:hideMark/>
          </w:tcPr>
          <w:p w14:paraId="0E15294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Department for Culture, Media and Sport</w:t>
            </w:r>
          </w:p>
        </w:tc>
      </w:tr>
      <w:tr w:rsidR="001004D8" w:rsidRPr="002374EC" w14:paraId="6C8B475C" w14:textId="77777777" w:rsidTr="001004D8">
        <w:trPr>
          <w:tblCellSpacing w:w="15" w:type="dxa"/>
        </w:trPr>
        <w:tc>
          <w:tcPr>
            <w:tcW w:w="0" w:type="auto"/>
            <w:vAlign w:val="center"/>
            <w:hideMark/>
          </w:tcPr>
          <w:p w14:paraId="34ECA937"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DfE</w:t>
            </w:r>
          </w:p>
        </w:tc>
        <w:tc>
          <w:tcPr>
            <w:tcW w:w="0" w:type="auto"/>
            <w:vAlign w:val="center"/>
            <w:hideMark/>
          </w:tcPr>
          <w:p w14:paraId="76246032"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Department for Education</w:t>
            </w:r>
          </w:p>
        </w:tc>
      </w:tr>
      <w:tr w:rsidR="001004D8" w:rsidRPr="002374EC" w14:paraId="11983510" w14:textId="77777777" w:rsidTr="001004D8">
        <w:trPr>
          <w:tblCellSpacing w:w="15" w:type="dxa"/>
        </w:trPr>
        <w:tc>
          <w:tcPr>
            <w:tcW w:w="0" w:type="auto"/>
            <w:vAlign w:val="center"/>
            <w:hideMark/>
          </w:tcPr>
          <w:p w14:paraId="363D9586"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DHSC</w:t>
            </w:r>
          </w:p>
        </w:tc>
        <w:tc>
          <w:tcPr>
            <w:tcW w:w="0" w:type="auto"/>
            <w:vAlign w:val="center"/>
            <w:hideMark/>
          </w:tcPr>
          <w:p w14:paraId="739E0E51"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Department of Health and Social Care</w:t>
            </w:r>
          </w:p>
        </w:tc>
      </w:tr>
      <w:tr w:rsidR="001004D8" w:rsidRPr="002374EC" w14:paraId="3A3CDB28" w14:textId="77777777" w:rsidTr="001004D8">
        <w:trPr>
          <w:tblCellSpacing w:w="15" w:type="dxa"/>
        </w:trPr>
        <w:tc>
          <w:tcPr>
            <w:tcW w:w="0" w:type="auto"/>
            <w:vAlign w:val="center"/>
            <w:hideMark/>
          </w:tcPr>
          <w:p w14:paraId="17384F3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DLUHC</w:t>
            </w:r>
          </w:p>
        </w:tc>
        <w:tc>
          <w:tcPr>
            <w:tcW w:w="0" w:type="auto"/>
            <w:vAlign w:val="center"/>
            <w:hideMark/>
          </w:tcPr>
          <w:p w14:paraId="66432DB1"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Department for Levelling Up, Housing and Communities</w:t>
            </w:r>
          </w:p>
        </w:tc>
      </w:tr>
      <w:tr w:rsidR="001004D8" w:rsidRPr="002374EC" w14:paraId="0C03355D" w14:textId="77777777" w:rsidTr="001004D8">
        <w:trPr>
          <w:tblCellSpacing w:w="15" w:type="dxa"/>
        </w:trPr>
        <w:tc>
          <w:tcPr>
            <w:tcW w:w="0" w:type="auto"/>
            <w:vAlign w:val="center"/>
            <w:hideMark/>
          </w:tcPr>
          <w:p w14:paraId="4BB07109"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DOI</w:t>
            </w:r>
          </w:p>
        </w:tc>
        <w:tc>
          <w:tcPr>
            <w:tcW w:w="0" w:type="auto"/>
            <w:vAlign w:val="center"/>
            <w:hideMark/>
          </w:tcPr>
          <w:p w14:paraId="4AED4880"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Digital Object Identifier</w:t>
            </w:r>
          </w:p>
        </w:tc>
      </w:tr>
      <w:tr w:rsidR="001004D8" w:rsidRPr="002374EC" w14:paraId="58AF22E2" w14:textId="77777777" w:rsidTr="001004D8">
        <w:trPr>
          <w:tblCellSpacing w:w="15" w:type="dxa"/>
        </w:trPr>
        <w:tc>
          <w:tcPr>
            <w:tcW w:w="0" w:type="auto"/>
            <w:vAlign w:val="center"/>
            <w:hideMark/>
          </w:tcPr>
          <w:p w14:paraId="7222E29C"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DPA</w:t>
            </w:r>
          </w:p>
        </w:tc>
        <w:tc>
          <w:tcPr>
            <w:tcW w:w="0" w:type="auto"/>
            <w:vAlign w:val="center"/>
            <w:hideMark/>
          </w:tcPr>
          <w:p w14:paraId="3F5C72DB"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Data Protection Act</w:t>
            </w:r>
          </w:p>
        </w:tc>
      </w:tr>
      <w:tr w:rsidR="001004D8" w:rsidRPr="002374EC" w14:paraId="170ABB18" w14:textId="77777777" w:rsidTr="001004D8">
        <w:trPr>
          <w:tblCellSpacing w:w="15" w:type="dxa"/>
        </w:trPr>
        <w:tc>
          <w:tcPr>
            <w:tcW w:w="0" w:type="auto"/>
            <w:vAlign w:val="center"/>
            <w:hideMark/>
          </w:tcPr>
          <w:p w14:paraId="51DA2472"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DWP</w:t>
            </w:r>
          </w:p>
        </w:tc>
        <w:tc>
          <w:tcPr>
            <w:tcW w:w="0" w:type="auto"/>
            <w:vAlign w:val="center"/>
            <w:hideMark/>
          </w:tcPr>
          <w:p w14:paraId="38B51C4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Department for Work and Pensions</w:t>
            </w:r>
          </w:p>
        </w:tc>
      </w:tr>
      <w:tr w:rsidR="001004D8" w:rsidRPr="002374EC" w14:paraId="06E41B03" w14:textId="77777777" w:rsidTr="001004D8">
        <w:trPr>
          <w:tblCellSpacing w:w="15" w:type="dxa"/>
        </w:trPr>
        <w:tc>
          <w:tcPr>
            <w:tcW w:w="0" w:type="auto"/>
            <w:vAlign w:val="center"/>
            <w:hideMark/>
          </w:tcPr>
          <w:p w14:paraId="11B83F65"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EU</w:t>
            </w:r>
          </w:p>
        </w:tc>
        <w:tc>
          <w:tcPr>
            <w:tcW w:w="0" w:type="auto"/>
            <w:vAlign w:val="center"/>
            <w:hideMark/>
          </w:tcPr>
          <w:p w14:paraId="6464B797"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European Union</w:t>
            </w:r>
          </w:p>
        </w:tc>
      </w:tr>
      <w:tr w:rsidR="001004D8" w:rsidRPr="002374EC" w14:paraId="54BE1D21" w14:textId="77777777" w:rsidTr="001004D8">
        <w:trPr>
          <w:tblCellSpacing w:w="15" w:type="dxa"/>
        </w:trPr>
        <w:tc>
          <w:tcPr>
            <w:tcW w:w="0" w:type="auto"/>
            <w:vAlign w:val="center"/>
            <w:hideMark/>
          </w:tcPr>
          <w:p w14:paraId="77ECFEEE"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GDPR</w:t>
            </w:r>
          </w:p>
        </w:tc>
        <w:tc>
          <w:tcPr>
            <w:tcW w:w="0" w:type="auto"/>
            <w:vAlign w:val="center"/>
            <w:hideMark/>
          </w:tcPr>
          <w:p w14:paraId="59FCDD2E"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General Data Protection Regulation</w:t>
            </w:r>
          </w:p>
        </w:tc>
      </w:tr>
      <w:tr w:rsidR="001004D8" w:rsidRPr="002374EC" w14:paraId="7EDAC3BF" w14:textId="77777777" w:rsidTr="001004D8">
        <w:trPr>
          <w:tblCellSpacing w:w="15" w:type="dxa"/>
        </w:trPr>
        <w:tc>
          <w:tcPr>
            <w:tcW w:w="0" w:type="auto"/>
            <w:vAlign w:val="center"/>
            <w:hideMark/>
          </w:tcPr>
          <w:p w14:paraId="1C7058A7"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GP</w:t>
            </w:r>
          </w:p>
        </w:tc>
        <w:tc>
          <w:tcPr>
            <w:tcW w:w="0" w:type="auto"/>
            <w:vAlign w:val="center"/>
            <w:hideMark/>
          </w:tcPr>
          <w:p w14:paraId="1D05B41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General Practitioner</w:t>
            </w:r>
          </w:p>
        </w:tc>
      </w:tr>
      <w:tr w:rsidR="001004D8" w:rsidRPr="002374EC" w14:paraId="1820615F" w14:textId="77777777" w:rsidTr="001004D8">
        <w:trPr>
          <w:tblCellSpacing w:w="15" w:type="dxa"/>
        </w:trPr>
        <w:tc>
          <w:tcPr>
            <w:tcW w:w="0" w:type="auto"/>
            <w:vAlign w:val="center"/>
            <w:hideMark/>
          </w:tcPr>
          <w:p w14:paraId="29947E15"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HM</w:t>
            </w:r>
          </w:p>
        </w:tc>
        <w:tc>
          <w:tcPr>
            <w:tcW w:w="0" w:type="auto"/>
            <w:vAlign w:val="center"/>
            <w:hideMark/>
          </w:tcPr>
          <w:p w14:paraId="40B5C3AC"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Her Majesty's / His Majesty's</w:t>
            </w:r>
          </w:p>
        </w:tc>
      </w:tr>
      <w:tr w:rsidR="001004D8" w:rsidRPr="002374EC" w14:paraId="23199CD0" w14:textId="77777777" w:rsidTr="001004D8">
        <w:trPr>
          <w:tblCellSpacing w:w="15" w:type="dxa"/>
        </w:trPr>
        <w:tc>
          <w:tcPr>
            <w:tcW w:w="0" w:type="auto"/>
            <w:vAlign w:val="center"/>
            <w:hideMark/>
          </w:tcPr>
          <w:p w14:paraId="2D4442B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IAPT</w:t>
            </w:r>
          </w:p>
        </w:tc>
        <w:tc>
          <w:tcPr>
            <w:tcW w:w="0" w:type="auto"/>
            <w:vAlign w:val="center"/>
            <w:hideMark/>
          </w:tcPr>
          <w:p w14:paraId="2EC0521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Improving Access to Psychological Therapies</w:t>
            </w:r>
          </w:p>
        </w:tc>
      </w:tr>
      <w:tr w:rsidR="001004D8" w:rsidRPr="002374EC" w14:paraId="2B513219" w14:textId="77777777" w:rsidTr="001004D8">
        <w:trPr>
          <w:tblCellSpacing w:w="15" w:type="dxa"/>
        </w:trPr>
        <w:tc>
          <w:tcPr>
            <w:tcW w:w="0" w:type="auto"/>
            <w:vAlign w:val="center"/>
            <w:hideMark/>
          </w:tcPr>
          <w:p w14:paraId="28A19F5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IPS</w:t>
            </w:r>
          </w:p>
        </w:tc>
        <w:tc>
          <w:tcPr>
            <w:tcW w:w="0" w:type="auto"/>
            <w:vAlign w:val="center"/>
            <w:hideMark/>
          </w:tcPr>
          <w:p w14:paraId="5B6ACD42"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Individual Placement and Support</w:t>
            </w:r>
          </w:p>
        </w:tc>
      </w:tr>
      <w:tr w:rsidR="001004D8" w:rsidRPr="002374EC" w14:paraId="4C11D8E8" w14:textId="77777777" w:rsidTr="001004D8">
        <w:trPr>
          <w:tblCellSpacing w:w="15" w:type="dxa"/>
        </w:trPr>
        <w:tc>
          <w:tcPr>
            <w:tcW w:w="0" w:type="auto"/>
            <w:vAlign w:val="center"/>
            <w:hideMark/>
          </w:tcPr>
          <w:p w14:paraId="64FBA9BE"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KESS</w:t>
            </w:r>
          </w:p>
        </w:tc>
        <w:tc>
          <w:tcPr>
            <w:tcW w:w="0" w:type="auto"/>
            <w:vAlign w:val="center"/>
            <w:hideMark/>
          </w:tcPr>
          <w:p w14:paraId="25ABD4DD"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Knowledge Economy Skills Scholarships</w:t>
            </w:r>
          </w:p>
        </w:tc>
      </w:tr>
      <w:tr w:rsidR="001004D8" w:rsidRPr="002374EC" w14:paraId="0581E8E0" w14:textId="77777777" w:rsidTr="001004D8">
        <w:trPr>
          <w:tblCellSpacing w:w="15" w:type="dxa"/>
        </w:trPr>
        <w:tc>
          <w:tcPr>
            <w:tcW w:w="0" w:type="auto"/>
            <w:vAlign w:val="center"/>
            <w:hideMark/>
          </w:tcPr>
          <w:p w14:paraId="51ECCCAA"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NEET</w:t>
            </w:r>
          </w:p>
        </w:tc>
        <w:tc>
          <w:tcPr>
            <w:tcW w:w="0" w:type="auto"/>
            <w:vAlign w:val="center"/>
            <w:hideMark/>
          </w:tcPr>
          <w:p w14:paraId="0474879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Not in Education, Employment, or Training</w:t>
            </w:r>
          </w:p>
        </w:tc>
      </w:tr>
      <w:tr w:rsidR="001004D8" w:rsidRPr="002374EC" w14:paraId="7CF72FAF" w14:textId="77777777" w:rsidTr="001004D8">
        <w:trPr>
          <w:tblCellSpacing w:w="15" w:type="dxa"/>
        </w:trPr>
        <w:tc>
          <w:tcPr>
            <w:tcW w:w="0" w:type="auto"/>
            <w:vAlign w:val="center"/>
            <w:hideMark/>
          </w:tcPr>
          <w:p w14:paraId="63CF7E03"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NHS</w:t>
            </w:r>
          </w:p>
        </w:tc>
        <w:tc>
          <w:tcPr>
            <w:tcW w:w="0" w:type="auto"/>
            <w:vAlign w:val="center"/>
            <w:hideMark/>
          </w:tcPr>
          <w:p w14:paraId="2A22327A"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National Health Service</w:t>
            </w:r>
          </w:p>
        </w:tc>
      </w:tr>
      <w:tr w:rsidR="001004D8" w:rsidRPr="002374EC" w14:paraId="470B7317" w14:textId="77777777" w:rsidTr="001004D8">
        <w:trPr>
          <w:tblCellSpacing w:w="15" w:type="dxa"/>
        </w:trPr>
        <w:tc>
          <w:tcPr>
            <w:tcW w:w="0" w:type="auto"/>
            <w:vAlign w:val="center"/>
            <w:hideMark/>
          </w:tcPr>
          <w:p w14:paraId="31ED43B6"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NICE</w:t>
            </w:r>
          </w:p>
        </w:tc>
        <w:tc>
          <w:tcPr>
            <w:tcW w:w="0" w:type="auto"/>
            <w:vAlign w:val="center"/>
            <w:hideMark/>
          </w:tcPr>
          <w:p w14:paraId="764B6FC3"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National Institute for Health and Care Excellence</w:t>
            </w:r>
          </w:p>
        </w:tc>
      </w:tr>
      <w:tr w:rsidR="001004D8" w:rsidRPr="002374EC" w14:paraId="42291013" w14:textId="77777777" w:rsidTr="001004D8">
        <w:trPr>
          <w:tblCellSpacing w:w="15" w:type="dxa"/>
        </w:trPr>
        <w:tc>
          <w:tcPr>
            <w:tcW w:w="0" w:type="auto"/>
            <w:vAlign w:val="center"/>
            <w:hideMark/>
          </w:tcPr>
          <w:p w14:paraId="1D4B1EE3"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OECD</w:t>
            </w:r>
          </w:p>
        </w:tc>
        <w:tc>
          <w:tcPr>
            <w:tcW w:w="0" w:type="auto"/>
            <w:vAlign w:val="center"/>
            <w:hideMark/>
          </w:tcPr>
          <w:p w14:paraId="65ECA2A9"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Organisation for Economic Co-operation and Development</w:t>
            </w:r>
          </w:p>
        </w:tc>
      </w:tr>
      <w:tr w:rsidR="001004D8" w:rsidRPr="002374EC" w14:paraId="7A4237B2" w14:textId="77777777" w:rsidTr="001004D8">
        <w:trPr>
          <w:tblCellSpacing w:w="15" w:type="dxa"/>
        </w:trPr>
        <w:tc>
          <w:tcPr>
            <w:tcW w:w="0" w:type="auto"/>
            <w:vAlign w:val="center"/>
            <w:hideMark/>
          </w:tcPr>
          <w:p w14:paraId="3C5A8B35"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ONS</w:t>
            </w:r>
          </w:p>
        </w:tc>
        <w:tc>
          <w:tcPr>
            <w:tcW w:w="0" w:type="auto"/>
            <w:vAlign w:val="center"/>
            <w:hideMark/>
          </w:tcPr>
          <w:p w14:paraId="789B561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Office for National Statistics</w:t>
            </w:r>
          </w:p>
        </w:tc>
      </w:tr>
      <w:tr w:rsidR="001004D8" w:rsidRPr="002374EC" w14:paraId="2201C2FC" w14:textId="77777777" w:rsidTr="001004D8">
        <w:trPr>
          <w:tblCellSpacing w:w="15" w:type="dxa"/>
        </w:trPr>
        <w:tc>
          <w:tcPr>
            <w:tcW w:w="0" w:type="auto"/>
            <w:vAlign w:val="center"/>
            <w:hideMark/>
          </w:tcPr>
          <w:p w14:paraId="595FA05F"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PICO</w:t>
            </w:r>
          </w:p>
        </w:tc>
        <w:tc>
          <w:tcPr>
            <w:tcW w:w="0" w:type="auto"/>
            <w:vAlign w:val="center"/>
            <w:hideMark/>
          </w:tcPr>
          <w:p w14:paraId="44984E5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Population, Intervention, Comparison, Outcome</w:t>
            </w:r>
          </w:p>
        </w:tc>
      </w:tr>
      <w:tr w:rsidR="001004D8" w:rsidRPr="002374EC" w14:paraId="199495EC" w14:textId="77777777" w:rsidTr="001004D8">
        <w:trPr>
          <w:tblCellSpacing w:w="15" w:type="dxa"/>
        </w:trPr>
        <w:tc>
          <w:tcPr>
            <w:tcW w:w="0" w:type="auto"/>
            <w:vAlign w:val="center"/>
            <w:hideMark/>
          </w:tcPr>
          <w:p w14:paraId="3F0D023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PRISMA</w:t>
            </w:r>
          </w:p>
        </w:tc>
        <w:tc>
          <w:tcPr>
            <w:tcW w:w="0" w:type="auto"/>
            <w:vAlign w:val="center"/>
            <w:hideMark/>
          </w:tcPr>
          <w:p w14:paraId="711A50A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Preferred Reporting Items for Systematic Reviews and Meta-Analyses</w:t>
            </w:r>
          </w:p>
        </w:tc>
      </w:tr>
      <w:tr w:rsidR="001004D8" w:rsidRPr="002374EC" w14:paraId="4E478CED" w14:textId="77777777" w:rsidTr="001004D8">
        <w:trPr>
          <w:tblCellSpacing w:w="15" w:type="dxa"/>
        </w:trPr>
        <w:tc>
          <w:tcPr>
            <w:tcW w:w="0" w:type="auto"/>
            <w:vAlign w:val="center"/>
            <w:hideMark/>
          </w:tcPr>
          <w:p w14:paraId="74483966"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RCT</w:t>
            </w:r>
          </w:p>
        </w:tc>
        <w:tc>
          <w:tcPr>
            <w:tcW w:w="0" w:type="auto"/>
            <w:vAlign w:val="center"/>
            <w:hideMark/>
          </w:tcPr>
          <w:p w14:paraId="11CF06E0"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Randomised Controlled Trial</w:t>
            </w:r>
          </w:p>
        </w:tc>
      </w:tr>
      <w:tr w:rsidR="001004D8" w:rsidRPr="002374EC" w14:paraId="0CB7D06D" w14:textId="77777777" w:rsidTr="001004D8">
        <w:trPr>
          <w:tblCellSpacing w:w="15" w:type="dxa"/>
        </w:trPr>
        <w:tc>
          <w:tcPr>
            <w:tcW w:w="0" w:type="auto"/>
            <w:vAlign w:val="center"/>
            <w:hideMark/>
          </w:tcPr>
          <w:p w14:paraId="29F639DD"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SR</w:t>
            </w:r>
          </w:p>
        </w:tc>
        <w:tc>
          <w:tcPr>
            <w:tcW w:w="0" w:type="auto"/>
            <w:vAlign w:val="center"/>
            <w:hideMark/>
          </w:tcPr>
          <w:p w14:paraId="66169DFD"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Systematic Review</w:t>
            </w:r>
          </w:p>
        </w:tc>
      </w:tr>
      <w:tr w:rsidR="001004D8" w:rsidRPr="002374EC" w14:paraId="1195954B" w14:textId="77777777" w:rsidTr="001004D8">
        <w:trPr>
          <w:tblCellSpacing w:w="15" w:type="dxa"/>
        </w:trPr>
        <w:tc>
          <w:tcPr>
            <w:tcW w:w="0" w:type="auto"/>
            <w:vAlign w:val="center"/>
            <w:hideMark/>
          </w:tcPr>
          <w:p w14:paraId="02C38D17"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UK</w:t>
            </w:r>
          </w:p>
        </w:tc>
        <w:tc>
          <w:tcPr>
            <w:tcW w:w="0" w:type="auto"/>
            <w:vAlign w:val="center"/>
            <w:hideMark/>
          </w:tcPr>
          <w:p w14:paraId="23085445"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United Kingdom</w:t>
            </w:r>
          </w:p>
        </w:tc>
      </w:tr>
      <w:tr w:rsidR="001004D8" w:rsidRPr="002374EC" w14:paraId="6D4BCAFF" w14:textId="77777777" w:rsidTr="001004D8">
        <w:trPr>
          <w:tblCellSpacing w:w="15" w:type="dxa"/>
        </w:trPr>
        <w:tc>
          <w:tcPr>
            <w:tcW w:w="0" w:type="auto"/>
            <w:vAlign w:val="center"/>
            <w:hideMark/>
          </w:tcPr>
          <w:p w14:paraId="328D0788"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UKRI</w:t>
            </w:r>
          </w:p>
        </w:tc>
        <w:tc>
          <w:tcPr>
            <w:tcW w:w="0" w:type="auto"/>
            <w:vAlign w:val="center"/>
            <w:hideMark/>
          </w:tcPr>
          <w:p w14:paraId="6766C977"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UK Research and Innovation</w:t>
            </w:r>
          </w:p>
        </w:tc>
      </w:tr>
      <w:tr w:rsidR="001004D8" w:rsidRPr="002374EC" w14:paraId="5163ADFF" w14:textId="77777777" w:rsidTr="001004D8">
        <w:trPr>
          <w:tblCellSpacing w:w="15" w:type="dxa"/>
        </w:trPr>
        <w:tc>
          <w:tcPr>
            <w:tcW w:w="0" w:type="auto"/>
            <w:vAlign w:val="center"/>
            <w:hideMark/>
          </w:tcPr>
          <w:p w14:paraId="0FB780A4"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UWTSD</w:t>
            </w:r>
          </w:p>
        </w:tc>
        <w:tc>
          <w:tcPr>
            <w:tcW w:w="0" w:type="auto"/>
            <w:vAlign w:val="center"/>
            <w:hideMark/>
          </w:tcPr>
          <w:p w14:paraId="0DCECB8E"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University of Wales Trinity Saint David</w:t>
            </w:r>
          </w:p>
        </w:tc>
      </w:tr>
      <w:tr w:rsidR="001004D8" w:rsidRPr="002374EC" w14:paraId="5EADED44" w14:textId="77777777" w:rsidTr="001004D8">
        <w:trPr>
          <w:tblCellSpacing w:w="15" w:type="dxa"/>
        </w:trPr>
        <w:tc>
          <w:tcPr>
            <w:tcW w:w="0" w:type="auto"/>
            <w:vAlign w:val="center"/>
            <w:hideMark/>
          </w:tcPr>
          <w:p w14:paraId="7816FE4D" w14:textId="7777777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WHO</w:t>
            </w:r>
          </w:p>
        </w:tc>
        <w:tc>
          <w:tcPr>
            <w:tcW w:w="0" w:type="auto"/>
            <w:vAlign w:val="center"/>
            <w:hideMark/>
          </w:tcPr>
          <w:p w14:paraId="2526DB0B" w14:textId="49D36657" w:rsidR="001004D8" w:rsidRPr="002374EC" w:rsidRDefault="001004D8" w:rsidP="001004D8">
            <w:pPr>
              <w:spacing w:after="0" w:line="240" w:lineRule="auto"/>
              <w:rPr>
                <w:rFonts w:ascii="Arial" w:eastAsia="Times New Roman" w:hAnsi="Arial" w:cs="Arial"/>
                <w:iCs/>
                <w:sz w:val="20"/>
                <w:szCs w:val="20"/>
              </w:rPr>
            </w:pPr>
            <w:r w:rsidRPr="002374EC">
              <w:rPr>
                <w:rFonts w:ascii="Arial" w:eastAsia="Times New Roman" w:hAnsi="Arial" w:cs="Arial"/>
                <w:iCs/>
                <w:sz w:val="20"/>
                <w:szCs w:val="20"/>
              </w:rPr>
              <w:t xml:space="preserve">World Health </w:t>
            </w:r>
            <w:r w:rsidR="00C8080F" w:rsidRPr="002374EC">
              <w:rPr>
                <w:rFonts w:ascii="Arial" w:eastAsia="Times New Roman" w:hAnsi="Arial" w:cs="Arial"/>
                <w:iCs/>
                <w:sz w:val="20"/>
                <w:szCs w:val="20"/>
              </w:rPr>
              <w:t>Organisation</w:t>
            </w:r>
          </w:p>
        </w:tc>
      </w:tr>
    </w:tbl>
    <w:p w14:paraId="0A8DF892" w14:textId="1B6E513B" w:rsidR="009F64C5" w:rsidRPr="002374EC" w:rsidRDefault="009F64C5" w:rsidP="00627837">
      <w:pPr>
        <w:spacing w:after="0" w:line="360" w:lineRule="auto"/>
        <w:rPr>
          <w:rFonts w:ascii="Arial" w:hAnsi="Arial" w:cs="Arial"/>
        </w:rPr>
      </w:pPr>
      <w:r w:rsidRPr="002374EC">
        <w:rPr>
          <w:rFonts w:ascii="Arial" w:eastAsia="Times New Roman" w:hAnsi="Arial" w:cs="Arial"/>
          <w:b/>
          <w:i/>
        </w:rPr>
        <w:t xml:space="preserve"> </w:t>
      </w:r>
      <w:r w:rsidRPr="002374EC">
        <w:rPr>
          <w:rFonts w:ascii="Arial" w:eastAsia="Times New Roman" w:hAnsi="Arial" w:cs="Arial"/>
          <w:b/>
          <w:i/>
        </w:rPr>
        <w:tab/>
        <w:t xml:space="preserve"> </w:t>
      </w:r>
    </w:p>
    <w:p w14:paraId="53439232" w14:textId="7B1F1E39" w:rsidR="009F64C5" w:rsidRPr="002374EC" w:rsidRDefault="000555DE" w:rsidP="002374EC">
      <w:pPr>
        <w:spacing w:after="0" w:line="360" w:lineRule="auto"/>
        <w:rPr>
          <w:rFonts w:ascii="Arial" w:eastAsia="Times New Roman" w:hAnsi="Arial" w:cs="Arial"/>
          <w:b/>
        </w:rPr>
      </w:pPr>
      <w:r w:rsidRPr="002374EC">
        <w:rPr>
          <w:rFonts w:ascii="Arial" w:hAnsi="Arial" w:cs="Arial"/>
        </w:rPr>
        <w:br w:type="page"/>
      </w:r>
    </w:p>
    <w:p w14:paraId="624C71A9" w14:textId="3180CA0B" w:rsidR="009F64C5" w:rsidRPr="002374EC" w:rsidRDefault="00BC67C0" w:rsidP="002374EC">
      <w:pPr>
        <w:pStyle w:val="Heading1"/>
        <w:spacing w:after="160" w:line="360" w:lineRule="auto"/>
        <w:ind w:left="12" w:right="3"/>
        <w:jc w:val="both"/>
        <w:rPr>
          <w:rFonts w:ascii="Arial" w:hAnsi="Arial" w:cs="Arial"/>
          <w:color w:val="auto"/>
          <w:sz w:val="22"/>
        </w:rPr>
      </w:pPr>
      <w:bookmarkStart w:id="5" w:name="_Toc220926169"/>
      <w:r w:rsidRPr="002374EC">
        <w:rPr>
          <w:rFonts w:ascii="Arial" w:hAnsi="Arial" w:cs="Arial"/>
          <w:color w:val="auto"/>
          <w:sz w:val="22"/>
        </w:rPr>
        <w:lastRenderedPageBreak/>
        <w:t xml:space="preserve">Chapter 1: </w:t>
      </w:r>
      <w:r w:rsidR="009F64C5" w:rsidRPr="002374EC">
        <w:rPr>
          <w:rFonts w:ascii="Arial" w:hAnsi="Arial" w:cs="Arial"/>
          <w:color w:val="auto"/>
          <w:sz w:val="22"/>
        </w:rPr>
        <w:t>Introduction</w:t>
      </w:r>
      <w:bookmarkEnd w:id="5"/>
      <w:r w:rsidR="009F64C5" w:rsidRPr="002374EC">
        <w:rPr>
          <w:rFonts w:ascii="Arial" w:hAnsi="Arial" w:cs="Arial"/>
          <w:color w:val="auto"/>
          <w:sz w:val="22"/>
        </w:rPr>
        <w:t xml:space="preserve"> </w:t>
      </w:r>
    </w:p>
    <w:p w14:paraId="6376F0FA" w14:textId="77777777" w:rsidR="00C91A3E" w:rsidRPr="002374EC" w:rsidRDefault="00C91A3E" w:rsidP="002374EC">
      <w:pPr>
        <w:pStyle w:val="Heading2"/>
        <w:spacing w:after="160" w:line="360" w:lineRule="auto"/>
        <w:jc w:val="both"/>
        <w:rPr>
          <w:rFonts w:ascii="Arial" w:hAnsi="Arial" w:cs="Arial"/>
          <w:color w:val="auto"/>
          <w:sz w:val="22"/>
        </w:rPr>
      </w:pPr>
      <w:bookmarkStart w:id="6" w:name="_Toc220926170"/>
      <w:r w:rsidRPr="002374EC">
        <w:rPr>
          <w:rFonts w:ascii="Arial" w:hAnsi="Arial" w:cs="Arial"/>
          <w:color w:val="auto"/>
          <w:sz w:val="22"/>
        </w:rPr>
        <w:t>1.1 Background and Context</w:t>
      </w:r>
      <w:bookmarkEnd w:id="6"/>
    </w:p>
    <w:p w14:paraId="20C2AA43" w14:textId="32EB3C7E" w:rsidR="001A0731" w:rsidRPr="002374EC" w:rsidRDefault="001A0731"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Young adults out of education, employment, or training (NEET) </w:t>
      </w:r>
      <w:r w:rsidR="00627837" w:rsidRPr="002374EC">
        <w:rPr>
          <w:rFonts w:ascii="Arial" w:hAnsi="Arial" w:cs="Arial"/>
          <w:bCs/>
          <w:sz w:val="22"/>
          <w:szCs w:val="22"/>
        </w:rPr>
        <w:t>represent</w:t>
      </w:r>
      <w:r w:rsidRPr="002374EC">
        <w:rPr>
          <w:rFonts w:ascii="Arial" w:hAnsi="Arial" w:cs="Arial"/>
          <w:bCs/>
          <w:sz w:val="22"/>
          <w:szCs w:val="22"/>
        </w:rPr>
        <w:t xml:space="preserve"> a major health concern in the United Kingdom, and 987,000 of the group of 16-24 (13.4% of the age group) are in this state at the end of a week in late 2024 (Office for National Statistics, 2025). The mental health burden in this population is significantly high</w:t>
      </w:r>
      <w:r w:rsidR="00627837" w:rsidRPr="002374EC">
        <w:rPr>
          <w:rFonts w:ascii="Arial" w:hAnsi="Arial" w:cs="Arial"/>
          <w:bCs/>
          <w:sz w:val="22"/>
          <w:szCs w:val="22"/>
        </w:rPr>
        <w:t>,</w:t>
      </w:r>
      <w:r w:rsidRPr="002374EC">
        <w:rPr>
          <w:rFonts w:ascii="Arial" w:hAnsi="Arial" w:cs="Arial"/>
          <w:bCs/>
          <w:sz w:val="22"/>
          <w:szCs w:val="22"/>
        </w:rPr>
        <w:t xml:space="preserve"> as it is estimated at 18.8% according to administrative data (Department for Education, 2025) and 50% according to survey research (The Prince Trust, 2024). There is meta-analysis evidence that NEET status is closely correlated with mental ill-health (OR 1.28), substance use problems (OR 1.43), mood disorders (OR 1.43), anxiety (OR 1.55), and suicidality (OR 2.84), and longitudinal analyses evidence shows that mental health problems predict later NEET status (Gariépy et al., 2022). Mental health problems during childhood and adolescence (ADHD and autism, depression, and psychosis) prove to have robust predictive power of future NEET status within European evidence supporting a </w:t>
      </w:r>
      <w:r w:rsidR="00627837" w:rsidRPr="002374EC">
        <w:rPr>
          <w:rFonts w:ascii="Arial" w:hAnsi="Arial" w:cs="Arial"/>
          <w:bCs/>
          <w:sz w:val="22"/>
          <w:szCs w:val="22"/>
        </w:rPr>
        <w:t>relationship</w:t>
      </w:r>
      <w:r w:rsidRPr="002374EC">
        <w:rPr>
          <w:rFonts w:ascii="Arial" w:hAnsi="Arial" w:cs="Arial"/>
          <w:bCs/>
          <w:sz w:val="22"/>
          <w:szCs w:val="22"/>
        </w:rPr>
        <w:t xml:space="preserve"> in both directions: all adolescent and childhood mental health conditions cause/and result in unemployment and social exclusion (Lindblad et al., 2024).</w:t>
      </w:r>
    </w:p>
    <w:p w14:paraId="18748AFF" w14:textId="73D75A21" w:rsidR="001A0731" w:rsidRPr="002374EC" w:rsidRDefault="001A0731"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Regardless of this high requirement, NEET young adults have significant obstacles to mental health services in the UK National Health Service (NHS). The main option, the NHS Talking Therapies programme (previously called IAPT), which acts as a direct route to the treatment of anxiety and depression, illustrates a significant deprivation-recovery gradient </w:t>
      </w:r>
      <w:r w:rsidR="00627837" w:rsidRPr="002374EC">
        <w:rPr>
          <w:rFonts w:ascii="Arial" w:hAnsi="Arial" w:cs="Arial"/>
          <w:bCs/>
          <w:sz w:val="22"/>
          <w:szCs w:val="22"/>
        </w:rPr>
        <w:t xml:space="preserve">of </w:t>
      </w:r>
      <w:r w:rsidRPr="002374EC">
        <w:rPr>
          <w:rFonts w:ascii="Arial" w:hAnsi="Arial" w:cs="Arial"/>
          <w:bCs/>
          <w:sz w:val="22"/>
          <w:szCs w:val="22"/>
        </w:rPr>
        <w:t>52 in the least deprived regions against 40 in the most deprived areas in which NEET populations are concentrated (NHS Digital, 2024). The wider NHS mental health services are limited in capacity</w:t>
      </w:r>
      <w:r w:rsidR="00627837" w:rsidRPr="002374EC">
        <w:rPr>
          <w:rFonts w:ascii="Arial" w:hAnsi="Arial" w:cs="Arial"/>
          <w:bCs/>
          <w:sz w:val="22"/>
          <w:szCs w:val="22"/>
        </w:rPr>
        <w:t>,</w:t>
      </w:r>
      <w:r w:rsidRPr="002374EC">
        <w:rPr>
          <w:rFonts w:ascii="Arial" w:hAnsi="Arial" w:cs="Arial"/>
          <w:bCs/>
          <w:sz w:val="22"/>
          <w:szCs w:val="22"/>
        </w:rPr>
        <w:t xml:space="preserve"> with vacancy rates in the workforce at 9 </w:t>
      </w:r>
      <w:r w:rsidR="00627837" w:rsidRPr="002374EC">
        <w:rPr>
          <w:rFonts w:ascii="Arial" w:hAnsi="Arial" w:cs="Arial"/>
          <w:bCs/>
          <w:sz w:val="22"/>
          <w:szCs w:val="22"/>
        </w:rPr>
        <w:t>per cent</w:t>
      </w:r>
      <w:r w:rsidRPr="002374EC">
        <w:rPr>
          <w:rFonts w:ascii="Arial" w:hAnsi="Arial" w:cs="Arial"/>
          <w:bCs/>
          <w:sz w:val="22"/>
          <w:szCs w:val="22"/>
        </w:rPr>
        <w:t xml:space="preserve">, 71 </w:t>
      </w:r>
      <w:r w:rsidR="00627837" w:rsidRPr="002374EC">
        <w:rPr>
          <w:rFonts w:ascii="Arial" w:hAnsi="Arial" w:cs="Arial"/>
          <w:bCs/>
          <w:sz w:val="22"/>
          <w:szCs w:val="22"/>
        </w:rPr>
        <w:t>per cent</w:t>
      </w:r>
      <w:r w:rsidRPr="002374EC">
        <w:rPr>
          <w:rFonts w:ascii="Arial" w:hAnsi="Arial" w:cs="Arial"/>
          <w:bCs/>
          <w:sz w:val="22"/>
          <w:szCs w:val="22"/>
        </w:rPr>
        <w:t xml:space="preserve"> of those waiting to receive treatment (waiting longer than six months) saying their mental health had worsened during therapy (Care Quality Commission, 2025). </w:t>
      </w:r>
      <w:r w:rsidR="00AB4019" w:rsidRPr="002374EC">
        <w:rPr>
          <w:rFonts w:ascii="Arial" w:hAnsi="Arial" w:cs="Arial"/>
          <w:bCs/>
          <w:sz w:val="22"/>
          <w:szCs w:val="22"/>
        </w:rPr>
        <w:t>NHS Long Term Plan, in turn, was even greater than 600,000 individuals short in its access expansion pledge, and it is also indicative of the persistent gaps between the policy commitments and the service delivery (Nuffield Trust, 2025; NHS England, 2019). Advantaged populations are disproportionately impacted by such system-level issues, and, most recently, local government expenditure on children, education, and transportation has been demonstrated to result in increasingly negative mental health outcomes among 16-25 year-olds in the most deprived areas in the UK (Brown et al., 2024).</w:t>
      </w:r>
    </w:p>
    <w:p w14:paraId="6D7D3017" w14:textId="0D7CF923" w:rsidR="00C91A3E" w:rsidRPr="002374EC" w:rsidRDefault="001A0731"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According to the social determinants of mental health framework, socioeconomic disadvantage is a determinant of mental health in itself, and children with </w:t>
      </w:r>
      <w:r w:rsidR="00627837" w:rsidRPr="002374EC">
        <w:rPr>
          <w:rFonts w:ascii="Arial" w:hAnsi="Arial" w:cs="Arial"/>
          <w:bCs/>
          <w:sz w:val="22"/>
          <w:szCs w:val="22"/>
        </w:rPr>
        <w:t>disadvantaged</w:t>
      </w:r>
      <w:r w:rsidRPr="002374EC">
        <w:rPr>
          <w:rFonts w:ascii="Arial" w:hAnsi="Arial" w:cs="Arial"/>
          <w:bCs/>
          <w:sz w:val="22"/>
          <w:szCs w:val="22"/>
        </w:rPr>
        <w:t xml:space="preserve"> </w:t>
      </w:r>
      <w:r w:rsidRPr="002374EC">
        <w:rPr>
          <w:rFonts w:ascii="Arial" w:hAnsi="Arial" w:cs="Arial"/>
          <w:bCs/>
          <w:sz w:val="22"/>
          <w:szCs w:val="22"/>
        </w:rPr>
        <w:lastRenderedPageBreak/>
        <w:t>exposure are two to three times more prone to mental disease development (Kirkbride et al., 2024). NEET status is a combination of overlapping deprivation measures such as unemployment, social exclusion, and health disparities, all of which can be both cause and effect in disadvantageous cycles (Marmot et al., 2010, 2020). In the UK, recent evidence records indicate widening health inequalities</w:t>
      </w:r>
      <w:r w:rsidR="00627837" w:rsidRPr="002374EC">
        <w:rPr>
          <w:rFonts w:ascii="Arial" w:hAnsi="Arial" w:cs="Arial"/>
          <w:bCs/>
          <w:sz w:val="22"/>
          <w:szCs w:val="22"/>
        </w:rPr>
        <w:t>,</w:t>
      </w:r>
      <w:r w:rsidRPr="002374EC">
        <w:rPr>
          <w:rFonts w:ascii="Arial" w:hAnsi="Arial" w:cs="Arial"/>
          <w:bCs/>
          <w:sz w:val="22"/>
          <w:szCs w:val="22"/>
        </w:rPr>
        <w:t xml:space="preserve"> and Britain has been termed a poor, sick country, getting sicker (Marmot et al., 2024), when 270,000 young people are not economically active</w:t>
      </w:r>
      <w:r w:rsidR="00627837" w:rsidRPr="002374EC">
        <w:rPr>
          <w:rFonts w:ascii="Arial" w:hAnsi="Arial" w:cs="Arial"/>
          <w:bCs/>
          <w:sz w:val="22"/>
          <w:szCs w:val="22"/>
        </w:rPr>
        <w:t>,</w:t>
      </w:r>
      <w:r w:rsidRPr="002374EC">
        <w:rPr>
          <w:rFonts w:ascii="Arial" w:hAnsi="Arial" w:cs="Arial"/>
          <w:bCs/>
          <w:sz w:val="22"/>
          <w:szCs w:val="22"/>
        </w:rPr>
        <w:t xml:space="preserve"> and this is increasing by 26,000 in a single year (Department for Work and Pensions, 2025). Employment changes and financial stability are increasingly viewed as </w:t>
      </w:r>
      <w:r w:rsidR="00627837" w:rsidRPr="002374EC">
        <w:rPr>
          <w:rFonts w:ascii="Arial" w:hAnsi="Arial" w:cs="Arial"/>
          <w:bCs/>
          <w:sz w:val="22"/>
          <w:szCs w:val="22"/>
        </w:rPr>
        <w:t>policy-determinable</w:t>
      </w:r>
      <w:r w:rsidRPr="002374EC">
        <w:rPr>
          <w:rFonts w:ascii="Arial" w:hAnsi="Arial" w:cs="Arial"/>
          <w:bCs/>
          <w:sz w:val="22"/>
          <w:szCs w:val="22"/>
        </w:rPr>
        <w:t xml:space="preserve"> mental health factors and require intergovernmental responses (Department of Health and Social Care, 2024), but data on how NEET adults particularly encounter barriers to rightful mental health services access are still scattered.</w:t>
      </w:r>
    </w:p>
    <w:p w14:paraId="76AAD345" w14:textId="77777777" w:rsidR="00C91A3E" w:rsidRPr="002374EC" w:rsidRDefault="00C91A3E" w:rsidP="002374EC">
      <w:pPr>
        <w:pStyle w:val="Heading2"/>
        <w:spacing w:after="160" w:line="360" w:lineRule="auto"/>
        <w:jc w:val="both"/>
        <w:rPr>
          <w:rFonts w:ascii="Arial" w:hAnsi="Arial" w:cs="Arial"/>
          <w:color w:val="auto"/>
          <w:sz w:val="22"/>
        </w:rPr>
      </w:pPr>
      <w:bookmarkStart w:id="7" w:name="_Toc220926171"/>
      <w:r w:rsidRPr="002374EC">
        <w:rPr>
          <w:rFonts w:ascii="Arial" w:hAnsi="Arial" w:cs="Arial"/>
          <w:color w:val="auto"/>
          <w:sz w:val="22"/>
        </w:rPr>
        <w:t>1.2 Rationale for the Study</w:t>
      </w:r>
      <w:bookmarkEnd w:id="7"/>
    </w:p>
    <w:p w14:paraId="352A7F9F" w14:textId="452E2F50" w:rsidR="007D6521" w:rsidRPr="002374EC" w:rsidRDefault="007D6521"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Although the overall barriers to mental health service utilisation (Radez et al., 2021; Gulliver et al., 2010) and the mental health outcomes of NEET individuals (Goldman-Mellor et al., 2016) have been studied extensively, there is a notable lack of research looking at the barriers to mental health service utilisation in NEET young adults aged 18-25, particularly in the UK. This knowledge gap is concerning</w:t>
      </w:r>
      <w:r w:rsidR="00627837" w:rsidRPr="002374EC">
        <w:rPr>
          <w:rFonts w:ascii="Arial" w:hAnsi="Arial" w:cs="Arial"/>
          <w:bCs/>
          <w:sz w:val="22"/>
          <w:szCs w:val="22"/>
        </w:rPr>
        <w:t>,</w:t>
      </w:r>
      <w:r w:rsidRPr="002374EC">
        <w:rPr>
          <w:rFonts w:ascii="Arial" w:hAnsi="Arial" w:cs="Arial"/>
          <w:bCs/>
          <w:sz w:val="22"/>
          <w:szCs w:val="22"/>
        </w:rPr>
        <w:t xml:space="preserve"> as NEET populations are exposed to particular structural obstacles that are not experienced by students or employed individuals. Although students can receive mental health services by accessing educational welfare systems and employees by accessing occupational health systems, NEET youths have no such channels and must choose the general population routes that are not designed with their needs in mind. Systematic reviews of barriers to youth mental health highlight individual (such as limited mental health knowledge and desire to do it alone 96% of studies), social (such as stigma and embarrassment 92%), relationship-related (such as trust and confidentiality 68%), and systemic (such as costs, logistics, and availability 58%)-related categories of barriers, with how they specifically apply to NEET populations studied less thoroughly (Radez et al., 2021).</w:t>
      </w:r>
    </w:p>
    <w:p w14:paraId="46262E0F" w14:textId="151D1CE3" w:rsidR="007D6521" w:rsidRPr="002374EC" w:rsidRDefault="000B1420"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The </w:t>
      </w:r>
      <w:r w:rsidR="007D6521" w:rsidRPr="002374EC">
        <w:rPr>
          <w:rFonts w:ascii="Arial" w:hAnsi="Arial" w:cs="Arial"/>
          <w:bCs/>
          <w:sz w:val="22"/>
          <w:szCs w:val="22"/>
        </w:rPr>
        <w:t xml:space="preserve">UK context presents specific relevance to the study of NEET service access barriers. Although the presence of universal healthcare delivery by the NHS theoretically guarantees a fair level of access, continued inequalities indicate that the provision of services is systematically biased against the </w:t>
      </w:r>
      <w:r w:rsidR="00627837" w:rsidRPr="002374EC">
        <w:rPr>
          <w:rFonts w:ascii="Arial" w:hAnsi="Arial" w:cs="Arial"/>
          <w:bCs/>
          <w:sz w:val="22"/>
          <w:szCs w:val="22"/>
        </w:rPr>
        <w:t>neediest, the</w:t>
      </w:r>
      <w:r w:rsidR="007D6521" w:rsidRPr="002374EC">
        <w:rPr>
          <w:rFonts w:ascii="Arial" w:hAnsi="Arial" w:cs="Arial"/>
          <w:bCs/>
          <w:sz w:val="22"/>
          <w:szCs w:val="22"/>
        </w:rPr>
        <w:t xml:space="preserve"> inverse care law</w:t>
      </w:r>
      <w:r w:rsidR="00627837" w:rsidRPr="002374EC">
        <w:rPr>
          <w:rFonts w:ascii="Arial" w:hAnsi="Arial" w:cs="Arial"/>
          <w:bCs/>
          <w:sz w:val="22"/>
          <w:szCs w:val="22"/>
        </w:rPr>
        <w:t>,</w:t>
      </w:r>
      <w:r w:rsidR="007D6521" w:rsidRPr="002374EC">
        <w:rPr>
          <w:rFonts w:ascii="Arial" w:hAnsi="Arial" w:cs="Arial"/>
          <w:bCs/>
          <w:sz w:val="22"/>
          <w:szCs w:val="22"/>
        </w:rPr>
        <w:t xml:space="preserve"> where good medical care is least likely to be provided to those most in need (Tudor Hart, 1971; Marmot et al., 2010). This implicates NEET populations directly</w:t>
      </w:r>
      <w:r w:rsidR="00627837" w:rsidRPr="002374EC">
        <w:rPr>
          <w:rFonts w:ascii="Arial" w:hAnsi="Arial" w:cs="Arial"/>
          <w:bCs/>
          <w:sz w:val="22"/>
          <w:szCs w:val="22"/>
        </w:rPr>
        <w:t>,</w:t>
      </w:r>
      <w:r w:rsidR="007D6521" w:rsidRPr="002374EC">
        <w:rPr>
          <w:rFonts w:ascii="Arial" w:hAnsi="Arial" w:cs="Arial"/>
          <w:bCs/>
          <w:sz w:val="22"/>
          <w:szCs w:val="22"/>
        </w:rPr>
        <w:t xml:space="preserve"> as documented in qualitative research exploring the barriers of access to services among young people living in deprived English </w:t>
      </w:r>
      <w:r w:rsidR="00627837" w:rsidRPr="002374EC">
        <w:rPr>
          <w:rFonts w:ascii="Arial" w:hAnsi="Arial" w:cs="Arial"/>
          <w:bCs/>
          <w:sz w:val="22"/>
          <w:szCs w:val="22"/>
        </w:rPr>
        <w:t>neighbourhoods</w:t>
      </w:r>
      <w:r w:rsidR="007D6521" w:rsidRPr="002374EC">
        <w:rPr>
          <w:rFonts w:ascii="Arial" w:hAnsi="Arial" w:cs="Arial"/>
          <w:bCs/>
          <w:sz w:val="22"/>
          <w:szCs w:val="22"/>
        </w:rPr>
        <w:t xml:space="preserve">; structural barriers encompass waiting times of three or four years, high thresholds where access to services </w:t>
      </w:r>
      <w:r w:rsidR="00627837" w:rsidRPr="002374EC">
        <w:rPr>
          <w:rFonts w:ascii="Arial" w:hAnsi="Arial" w:cs="Arial"/>
          <w:bCs/>
          <w:sz w:val="22"/>
          <w:szCs w:val="22"/>
        </w:rPr>
        <w:t>demands</w:t>
      </w:r>
      <w:r w:rsidR="007D6521" w:rsidRPr="002374EC">
        <w:rPr>
          <w:rFonts w:ascii="Arial" w:hAnsi="Arial" w:cs="Arial"/>
          <w:bCs/>
          <w:sz w:val="22"/>
          <w:szCs w:val="22"/>
        </w:rPr>
        <w:t xml:space="preserve"> crisis-level severity, and how school-focused research excludes </w:t>
      </w:r>
      <w:r w:rsidR="007D6521" w:rsidRPr="002374EC">
        <w:rPr>
          <w:rFonts w:ascii="Arial" w:hAnsi="Arial" w:cs="Arial"/>
          <w:bCs/>
          <w:sz w:val="22"/>
          <w:szCs w:val="22"/>
        </w:rPr>
        <w:lastRenderedPageBreak/>
        <w:t>non-educated individuals (Holding et al., 2022). Anti-stigma interventions demonstrate short-term (d = 0.21)</w:t>
      </w:r>
      <w:r w:rsidR="00627837" w:rsidRPr="002374EC">
        <w:rPr>
          <w:rFonts w:ascii="Arial" w:hAnsi="Arial" w:cs="Arial"/>
          <w:bCs/>
          <w:sz w:val="22"/>
          <w:szCs w:val="22"/>
        </w:rPr>
        <w:t>,</w:t>
      </w:r>
      <w:r w:rsidR="007D6521" w:rsidRPr="002374EC">
        <w:rPr>
          <w:rFonts w:ascii="Arial" w:hAnsi="Arial" w:cs="Arial"/>
          <w:bCs/>
          <w:sz w:val="22"/>
          <w:szCs w:val="22"/>
        </w:rPr>
        <w:t xml:space="preserve"> although non-persistent (at follow-up) impacts, indicating that individual-level attitudinal interventions alone are ineffective unless systemic obstacles are targeted (Song et al., 2023).</w:t>
      </w:r>
    </w:p>
    <w:p w14:paraId="65D9C0CA" w14:textId="6D3EE2E8" w:rsidR="00C91A3E" w:rsidRPr="002374EC" w:rsidRDefault="007D6521"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The societal health implications of enhancing NEET access to mental health services cannot be overstated. Early intervention can prevent delayed mental health degradation, mitigate the scarring implications of youth unemployment on future life events, and lower the social costs of living with NEET status and unmanaged mental illness. Policy relevance spans NHS commissioning, Department of </w:t>
      </w:r>
      <w:r w:rsidR="00627837" w:rsidRPr="002374EC">
        <w:rPr>
          <w:rFonts w:ascii="Arial" w:hAnsi="Arial" w:cs="Arial"/>
          <w:bCs/>
          <w:sz w:val="22"/>
          <w:szCs w:val="22"/>
        </w:rPr>
        <w:t>Work</w:t>
      </w:r>
      <w:r w:rsidRPr="002374EC">
        <w:rPr>
          <w:rFonts w:ascii="Arial" w:hAnsi="Arial" w:cs="Arial"/>
          <w:bCs/>
          <w:sz w:val="22"/>
          <w:szCs w:val="22"/>
        </w:rPr>
        <w:t xml:space="preserve"> and Pensions employment support, local authority youth services, and third sector provision, necessitating </w:t>
      </w:r>
      <w:r w:rsidR="00627837" w:rsidRPr="002374EC">
        <w:rPr>
          <w:rFonts w:ascii="Arial" w:hAnsi="Arial" w:cs="Arial"/>
          <w:bCs/>
          <w:sz w:val="22"/>
          <w:szCs w:val="22"/>
        </w:rPr>
        <w:t>synthesised</w:t>
      </w:r>
      <w:r w:rsidRPr="002374EC">
        <w:rPr>
          <w:rFonts w:ascii="Arial" w:hAnsi="Arial" w:cs="Arial"/>
          <w:bCs/>
          <w:sz w:val="22"/>
          <w:szCs w:val="22"/>
        </w:rPr>
        <w:t xml:space="preserve"> evidence informing specific </w:t>
      </w:r>
      <w:r w:rsidR="00627837" w:rsidRPr="002374EC">
        <w:rPr>
          <w:rFonts w:ascii="Arial" w:hAnsi="Arial" w:cs="Arial"/>
          <w:bCs/>
          <w:sz w:val="22"/>
          <w:szCs w:val="22"/>
        </w:rPr>
        <w:t>interventions</w:t>
      </w:r>
      <w:r w:rsidRPr="002374EC">
        <w:rPr>
          <w:rFonts w:ascii="Arial" w:hAnsi="Arial" w:cs="Arial"/>
          <w:bCs/>
          <w:sz w:val="22"/>
          <w:szCs w:val="22"/>
        </w:rPr>
        <w:t xml:space="preserve"> towards this multiply disadvantaged group. A systematic review process was also required to integrate the disparate evidence base, discern trends across varied research, transcribe the scope of evidence gaps, and produce actionable advice on the basis of empirical research.</w:t>
      </w:r>
    </w:p>
    <w:p w14:paraId="6DC5E942" w14:textId="77777777" w:rsidR="00C91A3E" w:rsidRPr="002374EC" w:rsidRDefault="00C91A3E" w:rsidP="002374EC">
      <w:pPr>
        <w:pStyle w:val="Heading2"/>
        <w:spacing w:after="160" w:line="360" w:lineRule="auto"/>
        <w:jc w:val="both"/>
        <w:rPr>
          <w:rFonts w:ascii="Arial" w:hAnsi="Arial" w:cs="Arial"/>
          <w:color w:val="auto"/>
          <w:sz w:val="22"/>
        </w:rPr>
      </w:pPr>
      <w:bookmarkStart w:id="8" w:name="_Toc220926172"/>
      <w:r w:rsidRPr="002374EC">
        <w:rPr>
          <w:rFonts w:ascii="Arial" w:hAnsi="Arial" w:cs="Arial"/>
          <w:color w:val="auto"/>
          <w:sz w:val="22"/>
        </w:rPr>
        <w:t>1.3 Research Aim and Objectives</w:t>
      </w:r>
      <w:bookmarkEnd w:id="8"/>
    </w:p>
    <w:p w14:paraId="3A3DB86F" w14:textId="77777777" w:rsidR="0015472F" w:rsidRPr="002374EC" w:rsidRDefault="0015472F"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The systematic review was designed to locate, analyse and synthesise evidence about barriers to mental health service use among NEET young adults aged 18-25 in the UK and similar healthcare systems by thoroughly reviewing available existing literature in accordance with PRISMA 2020 (Page et al., 2021).</w:t>
      </w:r>
    </w:p>
    <w:p w14:paraId="7D6052F9" w14:textId="0A7EB6F6" w:rsidR="00C91A3E" w:rsidRPr="002374EC" w:rsidRDefault="00C91A3E"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Specific objectives were:</w:t>
      </w:r>
    </w:p>
    <w:p w14:paraId="735C1AE2" w14:textId="54A35E24" w:rsidR="00C91A3E" w:rsidRPr="002374EC" w:rsidRDefault="00DA5498" w:rsidP="002374EC">
      <w:pPr>
        <w:pStyle w:val="NormalWeb"/>
        <w:numPr>
          <w:ilvl w:val="0"/>
          <w:numId w:val="14"/>
        </w:numPr>
        <w:spacing w:after="160" w:afterAutospacing="0" w:line="360" w:lineRule="auto"/>
        <w:jc w:val="both"/>
        <w:rPr>
          <w:rFonts w:ascii="Arial" w:hAnsi="Arial" w:cs="Arial"/>
          <w:bCs/>
          <w:sz w:val="22"/>
          <w:szCs w:val="22"/>
        </w:rPr>
      </w:pPr>
      <w:r w:rsidRPr="002374EC">
        <w:rPr>
          <w:rFonts w:ascii="Arial" w:hAnsi="Arial" w:cs="Arial"/>
          <w:bCs/>
          <w:sz w:val="22"/>
          <w:szCs w:val="22"/>
        </w:rPr>
        <w:t xml:space="preserve">To methodically determine and classify mental health service barriers as described by NEET young adults </w:t>
      </w:r>
      <w:r w:rsidR="00627837" w:rsidRPr="002374EC">
        <w:rPr>
          <w:rFonts w:ascii="Arial" w:hAnsi="Arial" w:cs="Arial"/>
          <w:bCs/>
          <w:sz w:val="22"/>
          <w:szCs w:val="22"/>
        </w:rPr>
        <w:t>aged</w:t>
      </w:r>
      <w:r w:rsidRPr="002374EC">
        <w:rPr>
          <w:rFonts w:ascii="Arial" w:hAnsi="Arial" w:cs="Arial"/>
          <w:bCs/>
          <w:sz w:val="22"/>
          <w:szCs w:val="22"/>
        </w:rPr>
        <w:t xml:space="preserve"> 18-25 in the UK and similar universal healthcare systems</w:t>
      </w:r>
      <w:r w:rsidR="00C91A3E" w:rsidRPr="002374EC">
        <w:rPr>
          <w:rFonts w:ascii="Arial" w:hAnsi="Arial" w:cs="Arial"/>
          <w:bCs/>
          <w:sz w:val="22"/>
          <w:szCs w:val="22"/>
        </w:rPr>
        <w:t>;</w:t>
      </w:r>
    </w:p>
    <w:p w14:paraId="2F8036D4" w14:textId="2F09D80D" w:rsidR="00C91A3E" w:rsidRPr="002374EC" w:rsidRDefault="00EB11BB" w:rsidP="002374EC">
      <w:pPr>
        <w:pStyle w:val="NormalWeb"/>
        <w:numPr>
          <w:ilvl w:val="0"/>
          <w:numId w:val="15"/>
        </w:numPr>
        <w:spacing w:after="160" w:afterAutospacing="0" w:line="360" w:lineRule="auto"/>
        <w:jc w:val="both"/>
        <w:rPr>
          <w:rFonts w:ascii="Arial" w:hAnsi="Arial" w:cs="Arial"/>
          <w:bCs/>
          <w:sz w:val="22"/>
          <w:szCs w:val="22"/>
        </w:rPr>
      </w:pPr>
      <w:r w:rsidRPr="002374EC">
        <w:rPr>
          <w:rFonts w:ascii="Arial" w:hAnsi="Arial" w:cs="Arial"/>
          <w:bCs/>
          <w:sz w:val="22"/>
          <w:szCs w:val="22"/>
        </w:rPr>
        <w:t>To understand the associations between various types of barriers (structural, attitudinal, social) and mental health service patterns of utilisation among this group</w:t>
      </w:r>
      <w:r w:rsidR="00C91A3E" w:rsidRPr="002374EC">
        <w:rPr>
          <w:rFonts w:ascii="Arial" w:hAnsi="Arial" w:cs="Arial"/>
          <w:bCs/>
          <w:sz w:val="22"/>
          <w:szCs w:val="22"/>
        </w:rPr>
        <w:t>;</w:t>
      </w:r>
    </w:p>
    <w:p w14:paraId="64C43E0D" w14:textId="1E4A824A" w:rsidR="00C91A3E" w:rsidRPr="002374EC" w:rsidRDefault="00FF6A16" w:rsidP="002374EC">
      <w:pPr>
        <w:pStyle w:val="NormalWeb"/>
        <w:numPr>
          <w:ilvl w:val="0"/>
          <w:numId w:val="16"/>
        </w:numPr>
        <w:spacing w:after="160" w:afterAutospacing="0" w:line="360" w:lineRule="auto"/>
        <w:jc w:val="both"/>
        <w:rPr>
          <w:rFonts w:ascii="Arial" w:hAnsi="Arial" w:cs="Arial"/>
          <w:bCs/>
          <w:sz w:val="22"/>
          <w:szCs w:val="22"/>
        </w:rPr>
      </w:pPr>
      <w:r w:rsidRPr="002374EC">
        <w:rPr>
          <w:rFonts w:ascii="Arial" w:hAnsi="Arial" w:cs="Arial"/>
          <w:bCs/>
          <w:sz w:val="22"/>
          <w:szCs w:val="22"/>
        </w:rPr>
        <w:t xml:space="preserve">To combine the evidence on the prevalence and importance of identified barriers in NEET young adults using thematic </w:t>
      </w:r>
      <w:r w:rsidR="00627837" w:rsidRPr="002374EC">
        <w:rPr>
          <w:rFonts w:ascii="Arial" w:hAnsi="Arial" w:cs="Arial"/>
          <w:bCs/>
          <w:sz w:val="22"/>
          <w:szCs w:val="22"/>
        </w:rPr>
        <w:t>synthesis</w:t>
      </w:r>
      <w:r w:rsidRPr="002374EC">
        <w:rPr>
          <w:rFonts w:ascii="Arial" w:hAnsi="Arial" w:cs="Arial"/>
          <w:bCs/>
          <w:sz w:val="22"/>
          <w:szCs w:val="22"/>
        </w:rPr>
        <w:t xml:space="preserve"> methodology (Thomas and Harden, 2008);</w:t>
      </w:r>
    </w:p>
    <w:p w14:paraId="578D6D29" w14:textId="77CCC73E" w:rsidR="00C91A3E" w:rsidRPr="002374EC" w:rsidRDefault="000962EE" w:rsidP="002374EC">
      <w:pPr>
        <w:pStyle w:val="NormalWeb"/>
        <w:numPr>
          <w:ilvl w:val="0"/>
          <w:numId w:val="17"/>
        </w:numPr>
        <w:spacing w:after="160" w:afterAutospacing="0" w:line="360" w:lineRule="auto"/>
        <w:jc w:val="both"/>
        <w:rPr>
          <w:rFonts w:ascii="Arial" w:hAnsi="Arial" w:cs="Arial"/>
          <w:bCs/>
          <w:sz w:val="22"/>
          <w:szCs w:val="22"/>
        </w:rPr>
      </w:pPr>
      <w:r w:rsidRPr="002374EC">
        <w:rPr>
          <w:rFonts w:ascii="Arial" w:hAnsi="Arial" w:cs="Arial"/>
          <w:bCs/>
          <w:sz w:val="22"/>
          <w:szCs w:val="22"/>
        </w:rPr>
        <w:t>To determine the gaps in the current body of evidence and offer suggestions on future research, policy, and practice</w:t>
      </w:r>
      <w:r w:rsidR="00C91A3E" w:rsidRPr="002374EC">
        <w:rPr>
          <w:rFonts w:ascii="Arial" w:hAnsi="Arial" w:cs="Arial"/>
          <w:bCs/>
          <w:sz w:val="22"/>
          <w:szCs w:val="22"/>
        </w:rPr>
        <w:t>.</w:t>
      </w:r>
    </w:p>
    <w:p w14:paraId="1062C5E8" w14:textId="0FFC8912" w:rsidR="00F84D27" w:rsidRPr="002374EC" w:rsidRDefault="00F84D27" w:rsidP="002374EC">
      <w:pPr>
        <w:pStyle w:val="Heading2"/>
        <w:spacing w:after="160" w:line="360" w:lineRule="auto"/>
        <w:jc w:val="both"/>
        <w:rPr>
          <w:rFonts w:ascii="Arial" w:hAnsi="Arial" w:cs="Arial"/>
          <w:color w:val="auto"/>
          <w:sz w:val="22"/>
        </w:rPr>
      </w:pPr>
      <w:bookmarkStart w:id="9" w:name="_Toc220926173"/>
      <w:r w:rsidRPr="002374EC">
        <w:rPr>
          <w:rFonts w:ascii="Arial" w:hAnsi="Arial" w:cs="Arial"/>
          <w:color w:val="auto"/>
          <w:sz w:val="22"/>
        </w:rPr>
        <w:lastRenderedPageBreak/>
        <w:t>1.4 Significance of the Study</w:t>
      </w:r>
      <w:bookmarkEnd w:id="9"/>
    </w:p>
    <w:p w14:paraId="4E1DA8F9" w14:textId="202A5C64" w:rsidR="00F84D27" w:rsidRPr="002374EC" w:rsidRDefault="00F84D27"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This systematic review made a number of contributions to knowledge, practice, and policy. It was the first UK systematic review of NEET status and 18-25 age range specifically in relation to barriers to mental health services, bringing together fragmented evidence from youth mental health, employment and public health disciplines. Theoretically, the review applied ecological frameworks showing the individual, organisational and societal levels at which barriers operate (Bronfenbrenner, 1979), whilst utilising intersectionality lenses uncovering how NEET status intersects with age, gender, ethnicity, and class to develop compounded disadvantage (Crenshaw, 1989, 2012). Critically, the systematic documentation of evidence gaps was itself an important finding</w:t>
      </w:r>
      <w:r w:rsidR="00627837" w:rsidRPr="002374EC">
        <w:rPr>
          <w:rFonts w:ascii="Arial" w:hAnsi="Arial" w:cs="Arial"/>
          <w:sz w:val="22"/>
          <w:szCs w:val="22"/>
        </w:rPr>
        <w:t>,</w:t>
      </w:r>
      <w:r w:rsidRPr="002374EC">
        <w:rPr>
          <w:rFonts w:ascii="Arial" w:hAnsi="Arial" w:cs="Arial"/>
          <w:sz w:val="22"/>
          <w:szCs w:val="22"/>
        </w:rPr>
        <w:t xml:space="preserve"> highlighting the empirical justification for research prioritisation and showing that services are being designed and delivered without adequate evidence base.</w:t>
      </w:r>
    </w:p>
    <w:p w14:paraId="7F8B2E8A" w14:textId="14271D9B" w:rsidR="00F84D27" w:rsidRPr="002374EC" w:rsidRDefault="00F84D27"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Practice implications were to inform service design modifications such as alternative access pathways, outreach strategies and integrated care models to manage the specific circumstances of NEET populations. Policy implications included evidence for policy makers to design targeted NEET interventions, cross-governmental co-ordination to integrate mental health with employment support and monitoring frameworks that disaggregate outcomes by NEET status to identify and address inequities. From a social justice perspective, the topic of health inequalities in vulnerable populations with multiple disadvantages but facing systematic barriers to care that compound existing inequities was explored in this review.</w:t>
      </w:r>
    </w:p>
    <w:p w14:paraId="2B789F3C" w14:textId="5D98B4DD" w:rsidR="00F84D27" w:rsidRPr="002374EC" w:rsidRDefault="00F84D27" w:rsidP="002374EC">
      <w:pPr>
        <w:pStyle w:val="Heading2"/>
        <w:spacing w:after="160" w:line="360" w:lineRule="auto"/>
        <w:jc w:val="both"/>
        <w:rPr>
          <w:rFonts w:ascii="Arial" w:hAnsi="Arial" w:cs="Arial"/>
          <w:color w:val="auto"/>
          <w:sz w:val="22"/>
        </w:rPr>
      </w:pPr>
      <w:bookmarkStart w:id="10" w:name="_Toc220926174"/>
      <w:r w:rsidRPr="002374EC">
        <w:rPr>
          <w:rFonts w:ascii="Arial" w:hAnsi="Arial" w:cs="Arial"/>
          <w:color w:val="auto"/>
          <w:sz w:val="22"/>
        </w:rPr>
        <w:t>1.5 Dissertation Structure</w:t>
      </w:r>
      <w:bookmarkEnd w:id="10"/>
    </w:p>
    <w:p w14:paraId="4781EC1A" w14:textId="56B26947" w:rsidR="00C91A3E" w:rsidRPr="002374EC" w:rsidRDefault="00F84D27"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There were five chapters in this dissertation. Chapter 1 laid down the background, rationale, aims and significance. Chapter 2 reviewed conceptual frameworks and current evidence using </w:t>
      </w:r>
      <w:r w:rsidR="00627837" w:rsidRPr="002374EC">
        <w:rPr>
          <w:rFonts w:ascii="Arial" w:hAnsi="Arial" w:cs="Arial"/>
          <w:sz w:val="22"/>
          <w:szCs w:val="22"/>
        </w:rPr>
        <w:t xml:space="preserve">a </w:t>
      </w:r>
      <w:r w:rsidRPr="002374EC">
        <w:rPr>
          <w:rFonts w:ascii="Arial" w:hAnsi="Arial" w:cs="Arial"/>
          <w:sz w:val="22"/>
          <w:szCs w:val="22"/>
        </w:rPr>
        <w:t>literature review. Chapter 3 detailed the systematic review methodology according to the PRISMA 2020 guidelines that included search strategies, inclusion criteria, quality assessment using the CASP tools and the thematic synthesis approaches. Chapter 4 presented and discussed findings from 11 included studies and identified 14 different barriers, grouped into structural, attitudinal and social types</w:t>
      </w:r>
      <w:r w:rsidR="00627837" w:rsidRPr="002374EC">
        <w:rPr>
          <w:rFonts w:ascii="Arial" w:hAnsi="Arial" w:cs="Arial"/>
          <w:sz w:val="22"/>
          <w:szCs w:val="22"/>
        </w:rPr>
        <w:t>,</w:t>
      </w:r>
      <w:r w:rsidRPr="002374EC">
        <w:rPr>
          <w:rFonts w:ascii="Arial" w:hAnsi="Arial" w:cs="Arial"/>
          <w:sz w:val="22"/>
          <w:szCs w:val="22"/>
        </w:rPr>
        <w:t xml:space="preserve"> whilst documenting the critical evidence gap. </w:t>
      </w:r>
      <w:r w:rsidR="00627837" w:rsidRPr="002374EC">
        <w:rPr>
          <w:rFonts w:ascii="Arial" w:hAnsi="Arial" w:cs="Arial"/>
          <w:sz w:val="22"/>
          <w:szCs w:val="22"/>
        </w:rPr>
        <w:t>Chapter 5 synthesised conclusions,</w:t>
      </w:r>
      <w:r w:rsidRPr="002374EC">
        <w:rPr>
          <w:rFonts w:ascii="Arial" w:hAnsi="Arial" w:cs="Arial"/>
          <w:sz w:val="22"/>
          <w:szCs w:val="22"/>
        </w:rPr>
        <w:t xml:space="preserve"> stated contributions to knowledge and provided recommendations for practice, policy and future research alongside reflecting on the research process.</w:t>
      </w:r>
    </w:p>
    <w:p w14:paraId="6250917C" w14:textId="73491C1D" w:rsidR="00A60579" w:rsidRPr="002374EC" w:rsidRDefault="00A60579" w:rsidP="002374EC">
      <w:pPr>
        <w:pStyle w:val="NormalWeb"/>
        <w:spacing w:after="160" w:afterAutospacing="0" w:line="360" w:lineRule="auto"/>
        <w:jc w:val="both"/>
        <w:rPr>
          <w:rFonts w:ascii="Arial" w:hAnsi="Arial" w:cs="Arial"/>
          <w:sz w:val="22"/>
          <w:szCs w:val="22"/>
        </w:rPr>
      </w:pPr>
    </w:p>
    <w:p w14:paraId="0F28B479" w14:textId="691274EC" w:rsidR="009706D0" w:rsidRPr="002374EC" w:rsidRDefault="009F64C5" w:rsidP="002374EC">
      <w:pPr>
        <w:spacing w:line="360" w:lineRule="auto"/>
        <w:jc w:val="both"/>
        <w:rPr>
          <w:rFonts w:ascii="Arial" w:hAnsi="Arial" w:cs="Arial"/>
        </w:rPr>
      </w:pPr>
      <w:r w:rsidRPr="002374EC">
        <w:rPr>
          <w:rFonts w:ascii="Arial" w:hAnsi="Arial" w:cs="Arial"/>
        </w:rPr>
        <w:t xml:space="preserve"> </w:t>
      </w:r>
      <w:r w:rsidRPr="002374EC">
        <w:rPr>
          <w:rFonts w:ascii="Arial" w:hAnsi="Arial" w:cs="Arial"/>
        </w:rPr>
        <w:tab/>
        <w:t xml:space="preserve"> </w:t>
      </w:r>
    </w:p>
    <w:p w14:paraId="0FABF09F" w14:textId="2CDCDEEF" w:rsidR="009F64C5" w:rsidRPr="002374EC" w:rsidRDefault="008D6BF7" w:rsidP="002374EC">
      <w:pPr>
        <w:pStyle w:val="Heading1"/>
        <w:spacing w:after="160" w:line="360" w:lineRule="auto"/>
        <w:jc w:val="both"/>
        <w:rPr>
          <w:rFonts w:ascii="Arial" w:hAnsi="Arial" w:cs="Arial"/>
          <w:color w:val="auto"/>
          <w:sz w:val="22"/>
        </w:rPr>
      </w:pPr>
      <w:bookmarkStart w:id="11" w:name="_Toc220926175"/>
      <w:r w:rsidRPr="002374EC">
        <w:rPr>
          <w:rFonts w:ascii="Arial" w:hAnsi="Arial" w:cs="Arial"/>
          <w:color w:val="auto"/>
          <w:sz w:val="22"/>
        </w:rPr>
        <w:lastRenderedPageBreak/>
        <w:t>Chapter</w:t>
      </w:r>
      <w:r w:rsidR="00DD7AA5" w:rsidRPr="002374EC">
        <w:rPr>
          <w:rFonts w:ascii="Arial" w:hAnsi="Arial" w:cs="Arial"/>
          <w:color w:val="auto"/>
          <w:sz w:val="22"/>
        </w:rPr>
        <w:t xml:space="preserve"> 2</w:t>
      </w:r>
      <w:r w:rsidRPr="002374EC">
        <w:rPr>
          <w:rFonts w:ascii="Arial" w:hAnsi="Arial" w:cs="Arial"/>
          <w:color w:val="auto"/>
          <w:sz w:val="22"/>
        </w:rPr>
        <w:t xml:space="preserve">: </w:t>
      </w:r>
      <w:r w:rsidR="009F64C5" w:rsidRPr="002374EC">
        <w:rPr>
          <w:rFonts w:ascii="Arial" w:hAnsi="Arial" w:cs="Arial"/>
          <w:color w:val="auto"/>
          <w:sz w:val="22"/>
        </w:rPr>
        <w:t>Literature review/theoretical framework</w:t>
      </w:r>
      <w:bookmarkEnd w:id="11"/>
      <w:r w:rsidR="009F64C5" w:rsidRPr="002374EC">
        <w:rPr>
          <w:rFonts w:ascii="Arial" w:hAnsi="Arial" w:cs="Arial"/>
          <w:color w:val="auto"/>
          <w:sz w:val="22"/>
        </w:rPr>
        <w:t xml:space="preserve"> </w:t>
      </w:r>
    </w:p>
    <w:p w14:paraId="604B7B8C" w14:textId="77777777" w:rsidR="009F1BE1" w:rsidRPr="002374EC" w:rsidRDefault="009F1BE1" w:rsidP="002374EC">
      <w:pPr>
        <w:pStyle w:val="Heading2"/>
        <w:spacing w:after="160" w:line="360" w:lineRule="auto"/>
        <w:jc w:val="both"/>
        <w:rPr>
          <w:rFonts w:ascii="Arial" w:hAnsi="Arial" w:cs="Arial"/>
          <w:color w:val="auto"/>
          <w:sz w:val="22"/>
        </w:rPr>
      </w:pPr>
      <w:bookmarkStart w:id="12" w:name="_Toc220926176"/>
      <w:r w:rsidRPr="002374EC">
        <w:rPr>
          <w:rFonts w:ascii="Arial" w:hAnsi="Arial" w:cs="Arial"/>
          <w:color w:val="auto"/>
          <w:sz w:val="22"/>
        </w:rPr>
        <w:t>2.1 Introduction to Literature Review</w:t>
      </w:r>
      <w:bookmarkEnd w:id="12"/>
    </w:p>
    <w:p w14:paraId="4ACF8858" w14:textId="62D4C30F"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The systematic review is contextualised in this literature review through a consideration of conceptual frameworks, NEET youth evidence, and mental health service barriers in five domains. This chapter, compared with the systematic review (Chapters 3-4), was focused more broadly, including theoretical frameworks, policy documents, and various evidence that was located by a narrative review of PubMed, PsycINFO, grey literature (Care Quality Commission, Office for National Statistics, UK policy documents). The review overviews theoretical frameworks of understanding barrier mechanisms (Section 2.2), defines UK NEET context including demographics and mental healthcare burden (Section 2.3), reviews general evidence of barriers in youth (Section 2.4), and identifies barriers in NEET (Section 2.5), so understanding of barriers at different levels must be interconnected to create effective interventions (Bronfenbrenner, 1979; McLeroy et al., 1988).</w:t>
      </w:r>
    </w:p>
    <w:p w14:paraId="16AE73AF" w14:textId="77777777" w:rsidR="009F1BE1" w:rsidRPr="002374EC" w:rsidRDefault="009F1BE1" w:rsidP="002374EC">
      <w:pPr>
        <w:pStyle w:val="Heading2"/>
        <w:spacing w:after="160" w:line="360" w:lineRule="auto"/>
        <w:jc w:val="both"/>
        <w:rPr>
          <w:rFonts w:ascii="Arial" w:hAnsi="Arial" w:cs="Arial"/>
          <w:color w:val="auto"/>
          <w:sz w:val="22"/>
        </w:rPr>
      </w:pPr>
      <w:bookmarkStart w:id="13" w:name="_Toc220926177"/>
      <w:r w:rsidRPr="002374EC">
        <w:rPr>
          <w:rFonts w:ascii="Arial" w:hAnsi="Arial" w:cs="Arial"/>
          <w:color w:val="auto"/>
          <w:sz w:val="22"/>
        </w:rPr>
        <w:t>2.2 Conceptual Frameworks for Understanding Barriers</w:t>
      </w:r>
      <w:bookmarkEnd w:id="13"/>
    </w:p>
    <w:p w14:paraId="3D98C0A3" w14:textId="77777777" w:rsidR="009F1BE1" w:rsidRPr="002374EC" w:rsidRDefault="009F1BE1" w:rsidP="002374EC">
      <w:pPr>
        <w:pStyle w:val="Heading3"/>
        <w:spacing w:after="160" w:line="360" w:lineRule="auto"/>
        <w:jc w:val="both"/>
        <w:rPr>
          <w:rFonts w:ascii="Arial" w:hAnsi="Arial" w:cs="Arial"/>
          <w:color w:val="auto"/>
          <w:sz w:val="22"/>
        </w:rPr>
      </w:pPr>
      <w:bookmarkStart w:id="14" w:name="_Toc220926178"/>
      <w:r w:rsidRPr="002374EC">
        <w:rPr>
          <w:rFonts w:ascii="Arial" w:hAnsi="Arial" w:cs="Arial"/>
          <w:color w:val="auto"/>
          <w:sz w:val="22"/>
        </w:rPr>
        <w:t>2.2.1 Ecological Model of Health Service Access</w:t>
      </w:r>
      <w:bookmarkEnd w:id="14"/>
    </w:p>
    <w:p w14:paraId="649001B6" w14:textId="135C5021"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Multi-level barrier analysis is given by ecological frameworks. The conceptualisation of the ecological system theory by Bronfenbrenner (1979) saw development in the ecological systems of the environment, and the mesosystem links the microsystem to the microsystem, microsystem to mesosystem, and the mesosystem to macrosystem, and so on, where microsystems on top of the NEET groups comprise the school and workplace microsystems, respectively. The health promotion adaptation described by McLeroy et al. (1988) has five levels, namely, intrapersonal (knowledge, attitudes), interpersonal (social networks, support), organizational (service characteristics), community (resource availability), and public policy (laws, funding). A systematic review of the applications of Bronfenbrenner in mental health, conducted by Eriksson et al. (2018), showed the importance of multi-level intervention, but criticised descriptive trends.</w:t>
      </w:r>
    </w:p>
    <w:p w14:paraId="039E89EC" w14:textId="00C227E3"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According to the Behavioural Model by Andersen (Andersen, 1995; Babitsch et al., 2012), numerous predisposing factors (demographics, beliefs), enabling factors (resources, access), as well as need factors (health status) interact to determine utilisation. The existence of feedback loops such that the experience affects further usage is especially well-suited to NEET youth or young people who have a negative experience that teaches them avoidance. The model differentiates between equitable (need-determined) and inequitable access (social structure-determined), which can be used as the frameworks of analysis for detecting modifiable barriers.</w:t>
      </w:r>
    </w:p>
    <w:p w14:paraId="741DDE4D" w14:textId="77777777" w:rsidR="009F1BE1" w:rsidRPr="002374EC" w:rsidRDefault="009F1BE1" w:rsidP="002374EC">
      <w:pPr>
        <w:pStyle w:val="Heading3"/>
        <w:spacing w:after="160" w:line="360" w:lineRule="auto"/>
        <w:jc w:val="both"/>
        <w:rPr>
          <w:rFonts w:ascii="Arial" w:hAnsi="Arial" w:cs="Arial"/>
          <w:color w:val="auto"/>
          <w:sz w:val="22"/>
        </w:rPr>
      </w:pPr>
      <w:bookmarkStart w:id="15" w:name="_Toc220926179"/>
      <w:r w:rsidRPr="002374EC">
        <w:rPr>
          <w:rFonts w:ascii="Arial" w:hAnsi="Arial" w:cs="Arial"/>
          <w:color w:val="auto"/>
          <w:sz w:val="22"/>
        </w:rPr>
        <w:lastRenderedPageBreak/>
        <w:t>2.2.2 Help-Seeking Behaviour Models</w:t>
      </w:r>
      <w:bookmarkEnd w:id="15"/>
    </w:p>
    <w:p w14:paraId="6E66479C" w14:textId="5AAD5CEA"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The model that Rickwood et al. (2005) came up with identified four phases: the awareness of problems, the expression of need, the availability of sources, and actual help-seeking. Rickwood et al. (2007) found that young men and ethnic minorities were the most reluctant, the facilitators included mental health literacy, emotional competence, trusted relationships and the barriers were negative attitudes, self-reliance and stigma concern. The challenges are unique in each stage: to be recognised, there needs to be literacy; to make a decision, stigma must be considered against advantages; to be selected, one needs to have knowledge; to seek, one needs to overcome practical barriers.</w:t>
      </w:r>
    </w:p>
    <w:p w14:paraId="64D6304B" w14:textId="35208A36"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The structural equation modelling of Vogel et al. (2007) (n= 676) confirmed that perceived public stigma mediates its effect on help-seeking as a mediator through self-stigma and the attitudes of counselling. The effects of public stigma are indirect, by way of internalisation (I am inadequate, needing help), and creation of attitudes and intentions. Pathways may increase with double stigma on mental health and unemployment in NEET populations.</w:t>
      </w:r>
    </w:p>
    <w:p w14:paraId="08079A92" w14:textId="77777777" w:rsidR="009F1BE1" w:rsidRPr="002374EC" w:rsidRDefault="009F1BE1" w:rsidP="002374EC">
      <w:pPr>
        <w:pStyle w:val="Heading3"/>
        <w:spacing w:after="160" w:line="360" w:lineRule="auto"/>
        <w:jc w:val="both"/>
        <w:rPr>
          <w:rFonts w:ascii="Arial" w:hAnsi="Arial" w:cs="Arial"/>
          <w:color w:val="auto"/>
          <w:sz w:val="22"/>
        </w:rPr>
      </w:pPr>
      <w:bookmarkStart w:id="16" w:name="_Toc220926180"/>
      <w:r w:rsidRPr="002374EC">
        <w:rPr>
          <w:rFonts w:ascii="Arial" w:hAnsi="Arial" w:cs="Arial"/>
          <w:color w:val="auto"/>
          <w:sz w:val="22"/>
        </w:rPr>
        <w:t>2.2.3 Structural Versus Attitudinal Barriers</w:t>
      </w:r>
      <w:bookmarkEnd w:id="16"/>
    </w:p>
    <w:p w14:paraId="26C1870B" w14:textId="51DA1EF8"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Obstacles separate the structural (outer system barriers) and attitudinal (inner psychological barriers) barriers. The environmental obstacles include cost, access, and availability, waiting time, geography, transportation, timing, complex referrals, and transitions. The systematic review (144 studies, n=90,189) of Clement et al. (2015) revealed a small-moderate negative effect of stigma (d=-0.27), with young people becoming discouraged in a disproportionately high number. The review by Corrigan et al. (2014) identified three types of stigma: public stigma (stereotypes held by the general population), self-stigma (stigmatised beliefs held by the individual), and structural stigma (discrimination by institutions), and added up to interactive barriers. The attitudinal barriers are that there is insufficient mental health literacy, perceived need, self-reliance preferences, and confidentiality issues.</w:t>
      </w:r>
    </w:p>
    <w:p w14:paraId="696666B8" w14:textId="200EE97B" w:rsidR="009F1BE1" w:rsidRPr="002374EC" w:rsidRDefault="009F1BE1" w:rsidP="002374EC">
      <w:pPr>
        <w:pStyle w:val="Heading3"/>
        <w:spacing w:after="160" w:line="360" w:lineRule="auto"/>
        <w:jc w:val="both"/>
        <w:rPr>
          <w:rFonts w:ascii="Arial" w:hAnsi="Arial" w:cs="Arial"/>
          <w:color w:val="auto"/>
          <w:sz w:val="22"/>
        </w:rPr>
      </w:pPr>
      <w:bookmarkStart w:id="17" w:name="_Toc220926181"/>
      <w:r w:rsidRPr="002374EC">
        <w:rPr>
          <w:rFonts w:ascii="Arial" w:hAnsi="Arial" w:cs="Arial"/>
          <w:color w:val="auto"/>
          <w:sz w:val="22"/>
        </w:rPr>
        <w:t>2.2.4 Intersectionality and Multiple Disadvantages</w:t>
      </w:r>
      <w:bookmarkEnd w:id="17"/>
    </w:p>
    <w:p w14:paraId="6EEE2D98" w14:textId="5A81725F"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Intersectionality theories examine the complexity of the way social identities interrelate to lead to the disadvantage of a specific nature (Crenshaw, 1989; Bowleg, 2012). The NEET status is more of an overlap and a combination with age, socioeconomic status, geography, ethnicity, gender, and disability, which have compound effects on top of an axis of disadvantage. The theory of basic causes of introduction provided by Link and Phelan (2001) explains the socioeconomic status of the basic cause and provision of resources to evade risk, which views structural intervention rather than individual-level intervention as a means to prevent the issue. </w:t>
      </w:r>
      <w:r w:rsidRPr="002374EC">
        <w:rPr>
          <w:rFonts w:ascii="Arial" w:eastAsia="Times New Roman" w:hAnsi="Arial" w:cs="Arial"/>
          <w:bCs/>
        </w:rPr>
        <w:lastRenderedPageBreak/>
        <w:t>The barriers facing NEET youth are unique since they do not involve the institutional access point, and the additional stigma and higher structural constraints.</w:t>
      </w:r>
    </w:p>
    <w:p w14:paraId="4258200C" w14:textId="2791E757"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All these frameworks lead to the conclusion that the barriers impact across different ecological levels (individual attitudes, interpersonal relationships, organisation policies, community resources, society structure), and they would require multi-level interventions (organisational system, professional practice, personal knowledge, and social support) rather than individual-level interventions. To notice NEET-specific manifestations of the theoretical mechanisms, one can count on the empirical research carried out based on the synthesis of evidence on the applicability of general frameworks of obstacles to populations being exposed to institutional marginalisation, multifaceted disadvantages, and superimposing stigma as the conditions of the NEET young adults scenario to access mental healthcare.</w:t>
      </w:r>
    </w:p>
    <w:p w14:paraId="49D241B4" w14:textId="77777777" w:rsidR="009F1BE1" w:rsidRPr="002374EC" w:rsidRDefault="009F1BE1" w:rsidP="002374EC">
      <w:pPr>
        <w:pStyle w:val="Heading2"/>
        <w:spacing w:after="160" w:line="360" w:lineRule="auto"/>
        <w:jc w:val="both"/>
        <w:rPr>
          <w:rFonts w:ascii="Arial" w:hAnsi="Arial" w:cs="Arial"/>
          <w:color w:val="auto"/>
          <w:sz w:val="22"/>
        </w:rPr>
      </w:pPr>
      <w:bookmarkStart w:id="18" w:name="_Toc220926182"/>
      <w:r w:rsidRPr="002374EC">
        <w:rPr>
          <w:rFonts w:ascii="Arial" w:hAnsi="Arial" w:cs="Arial"/>
          <w:color w:val="auto"/>
          <w:sz w:val="22"/>
        </w:rPr>
        <w:t>2.3 Understanding NEET Youth in the UK Context</w:t>
      </w:r>
      <w:bookmarkEnd w:id="18"/>
    </w:p>
    <w:p w14:paraId="222F6BF6" w14:textId="77777777" w:rsidR="009F1BE1" w:rsidRPr="002374EC" w:rsidRDefault="009F1BE1" w:rsidP="002374EC">
      <w:pPr>
        <w:pStyle w:val="Heading3"/>
        <w:spacing w:after="160" w:line="360" w:lineRule="auto"/>
        <w:jc w:val="both"/>
        <w:rPr>
          <w:rFonts w:ascii="Arial" w:hAnsi="Arial" w:cs="Arial"/>
          <w:color w:val="auto"/>
          <w:sz w:val="22"/>
        </w:rPr>
      </w:pPr>
      <w:bookmarkStart w:id="19" w:name="_Toc220926183"/>
      <w:r w:rsidRPr="002374EC">
        <w:rPr>
          <w:rFonts w:ascii="Arial" w:hAnsi="Arial" w:cs="Arial"/>
          <w:color w:val="auto"/>
          <w:sz w:val="22"/>
        </w:rPr>
        <w:t>2.3.1 Defining and Measuring NEET Status</w:t>
      </w:r>
      <w:bookmarkEnd w:id="19"/>
    </w:p>
    <w:p w14:paraId="0846A66F" w14:textId="7BDA6059"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Here, NEET is a definition of young people, which is not defined on the basis of education, employment, or training, which is an administrative category applied in OECD countries with different definitions. According to the Office for National Statistics (2025), in Q4 2024, 392,000 or 13.4 per cent of the young people aged 16-24 (NEET): 987,000 young people aged 16-24 years between 18-24 years, NEET stands at 15.8 per cent: 595,000 are economically inactive, and 392,000 are NEET (seeking work). There is, however, great heterogeneity. Eurofound (2016) suggested such subgroups as short-term unemployed (29.8%), long-term unemployed (22.1%), re-entrants (15.4%), unavailable due to illness/disability (6.8%), unavailable due to family commitments (15.4) and discouraged workers (5.2).</w:t>
      </w:r>
    </w:p>
    <w:p w14:paraId="196BA933" w14:textId="612F9909"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Furlong (2006) condemned NEET as "the ill-thought concept that over-stresses voluntarism that structural determinants are covered by the voluntary/involuntary dichotomy. The policy category and Connexions tracking were developed by the UK policy that implemented NEET via the policy of the Social Exclusion Unit (1999), Bridging the Gap. Maguire (2015) found the issues as the ambiguous definition, poor tracking emerged as an unknown destination and stereotyping conceals diversity. Bynner and Parsons (2002) illustrated scarring on the chance cohort British Birth Cohort 1970 (n=1,623): six-month NEET 16-18 predicted four-times (men) 7-times (women) NEET still at 21 with highly evident psychological effects in women, proving NEET to be a persistent condition with long-term implications.</w:t>
      </w:r>
    </w:p>
    <w:p w14:paraId="5246B7D5" w14:textId="77777777" w:rsidR="009F1BE1" w:rsidRPr="002374EC" w:rsidRDefault="009F1BE1" w:rsidP="002374EC">
      <w:pPr>
        <w:pStyle w:val="Heading3"/>
        <w:spacing w:after="160" w:line="360" w:lineRule="auto"/>
        <w:jc w:val="both"/>
        <w:rPr>
          <w:rFonts w:ascii="Arial" w:hAnsi="Arial" w:cs="Arial"/>
          <w:color w:val="auto"/>
          <w:sz w:val="22"/>
        </w:rPr>
      </w:pPr>
      <w:bookmarkStart w:id="20" w:name="_Toc220926184"/>
      <w:r w:rsidRPr="002374EC">
        <w:rPr>
          <w:rFonts w:ascii="Arial" w:hAnsi="Arial" w:cs="Arial"/>
          <w:color w:val="auto"/>
          <w:sz w:val="22"/>
        </w:rPr>
        <w:t>2.3.2 Mental Health Burden Among NEET Youth</w:t>
      </w:r>
      <w:bookmarkEnd w:id="20"/>
    </w:p>
    <w:p w14:paraId="7E0749F5" w14:textId="37F457E6"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The NEET populations have a high mental health burden. Department for Education (2025) revealed that 18.8% of NEET 16-24 year olds stated mental health as the first condition -2.5 </w:t>
      </w:r>
      <w:r w:rsidRPr="002374EC">
        <w:rPr>
          <w:rFonts w:ascii="Arial" w:eastAsia="Times New Roman" w:hAnsi="Arial" w:cs="Arial"/>
          <w:bCs/>
        </w:rPr>
        <w:lastRenderedPageBreak/>
        <w:t>times higher than 7.7 in 2012. According to Prince (2024), 50 per cent of NEET had some mental problems compared to 40 per cent of non-NEET, and 27 per cent of NEET desired to work but could not do it because of mental health reasons, 32 per cent had mental issues caused by unemployment. The meta-analysis provided by Gariépy et al. (24 studies, 548,862 participants) showed the following relationships: mental ill-health (OR 1.28), substance use (OR 1.43), mood disorders (OR 1.43), anxiety (OR 1.55), and suicidality (OR 2.84).</w:t>
      </w:r>
    </w:p>
    <w:p w14:paraId="78AD2533" w14:textId="2BBCC318"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There are bi-directional relationships. A Swedish study (n=4452) by Låftman et al. (2021) found that mental health problems in ages 14-15 were predictors of NEET in ages 21-22, and that externalising problems were predictors of male NEET, and internalising problems were predictors of female NEET. In their European review (41 studies, 8.9 million) by Lindblad et al. (2024), childhood mental health conditions were found to be predictors of NEET. On the other hand, the meta-analysis (237 cross-sectional, 87 longitudinal studies) by Paul and Moser (2009) revealed moderate effects of unemployment (d=0.51): 34% unemployed and 16% employed had psychological problems, and significant youth effects were high. A 27-year Swedish (n=1,083) cohort age 18-21 years(27 years), 94.3% retention, found by Strandh et al. (2014) that youth unemployment predicts poorer mental health at 21, 30, 42 years, is due to Scandinavian countries being considered sensitive to permanent scarring.</w:t>
      </w:r>
    </w:p>
    <w:p w14:paraId="257916A1" w14:textId="77777777" w:rsidR="009F1BE1" w:rsidRPr="002374EC" w:rsidRDefault="009F1BE1" w:rsidP="002374EC">
      <w:pPr>
        <w:pStyle w:val="Heading3"/>
        <w:spacing w:after="160" w:line="360" w:lineRule="auto"/>
        <w:jc w:val="both"/>
        <w:rPr>
          <w:rFonts w:ascii="Arial" w:hAnsi="Arial" w:cs="Arial"/>
          <w:color w:val="auto"/>
          <w:sz w:val="22"/>
        </w:rPr>
      </w:pPr>
      <w:bookmarkStart w:id="21" w:name="_Toc220926185"/>
      <w:r w:rsidRPr="002374EC">
        <w:rPr>
          <w:rFonts w:ascii="Arial" w:hAnsi="Arial" w:cs="Arial"/>
          <w:color w:val="auto"/>
          <w:sz w:val="22"/>
        </w:rPr>
        <w:t>2.3.3 Social Determinants and Risk Factors</w:t>
      </w:r>
      <w:bookmarkEnd w:id="21"/>
    </w:p>
    <w:p w14:paraId="3165F721" w14:textId="579A548A"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NEET is a status of overlap disadvantage. The reviews of Marmot et al. (2010, 2020, 2024) laid down the frameworks of social determinants, both of which presented steep health gradients and increasing inequalities in Britain, calling the latter a poor, sick country, getting sicker. The review of the World Psychiatry by Kirkbride et al. (2024) has made socioeconomic disadvantage the core determinant: disadvantaged children were two-three times more likely to develop mental health issues, and 28-30% of cases of psychiatric disorders were explained by childhood adverse </w:t>
      </w:r>
      <w:r w:rsidR="00CB53C4" w:rsidRPr="002374EC">
        <w:rPr>
          <w:rFonts w:ascii="Arial" w:eastAsia="Times New Roman" w:hAnsi="Arial" w:cs="Arial"/>
          <w:bCs/>
        </w:rPr>
        <w:t>effects</w:t>
      </w:r>
      <w:r w:rsidRPr="002374EC">
        <w:rPr>
          <w:rFonts w:ascii="Arial" w:eastAsia="Times New Roman" w:hAnsi="Arial" w:cs="Arial"/>
          <w:bCs/>
        </w:rPr>
        <w:t>.</w:t>
      </w:r>
    </w:p>
    <w:p w14:paraId="2FC68242" w14:textId="23035CB1"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The risks associated with NEET include educational disengagement, family conditions (parental unemployment, lone parenthood), bad childhood experiences, and geographical elements (deprived areas, former industrial regions and rural areas). The analysis by Brown et al. (2024) revealed that the local government spending cuts on services to children explained worsening 16-25 mental health in the deprived regions of the UK, with the largest changes in </w:t>
      </w:r>
      <w:r w:rsidR="00CB53C4" w:rsidRPr="002374EC">
        <w:rPr>
          <w:rFonts w:ascii="Arial" w:eastAsia="Times New Roman" w:hAnsi="Arial" w:cs="Arial"/>
          <w:bCs/>
        </w:rPr>
        <w:t xml:space="preserve">the </w:t>
      </w:r>
      <w:r w:rsidRPr="002374EC">
        <w:rPr>
          <w:rFonts w:ascii="Arial" w:eastAsia="Times New Roman" w:hAnsi="Arial" w:cs="Arial"/>
          <w:bCs/>
        </w:rPr>
        <w:t>North East with the largest spending cuts. In their report, Goldman-Mellor et al. (2016) reported a lower number of NEET 18-year-olds who reported having few social connections regardless of their commitment to work, which indicates the deficiency of social capital.</w:t>
      </w:r>
    </w:p>
    <w:p w14:paraId="6D7FEC93" w14:textId="77777777"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lastRenderedPageBreak/>
        <w:t>These social determinants add up as opposed to acting alone, and in the case of poverty, it intersects educational exclusion, family adversity, mental health troubles, and geographic disadvantage, which produces multiplied vulnerability. Assessing NEET as a response to structural inequality and not to individual failure would be crucial in formulating relevant interventions involving the underlying factors like economic precarity, education barriers and community resource shortages on the one hand, and individual deficits in mental health on the other hand.</w:t>
      </w:r>
    </w:p>
    <w:p w14:paraId="5FA3B1FF" w14:textId="77777777" w:rsidR="009F1BE1" w:rsidRPr="002374EC" w:rsidRDefault="009F1BE1" w:rsidP="002374EC">
      <w:pPr>
        <w:pStyle w:val="Heading2"/>
        <w:spacing w:after="160" w:line="360" w:lineRule="auto"/>
        <w:jc w:val="both"/>
        <w:rPr>
          <w:rFonts w:ascii="Arial" w:hAnsi="Arial" w:cs="Arial"/>
          <w:color w:val="auto"/>
          <w:sz w:val="22"/>
        </w:rPr>
      </w:pPr>
      <w:bookmarkStart w:id="22" w:name="_Toc220926186"/>
      <w:r w:rsidRPr="002374EC">
        <w:rPr>
          <w:rFonts w:ascii="Arial" w:hAnsi="Arial" w:cs="Arial"/>
          <w:color w:val="auto"/>
          <w:sz w:val="22"/>
        </w:rPr>
        <w:t>2.4 Barriers to Mental Health Service Utilisation: General Youth Evidence</w:t>
      </w:r>
      <w:bookmarkEnd w:id="22"/>
    </w:p>
    <w:p w14:paraId="25F06160" w14:textId="77777777" w:rsidR="009F1BE1" w:rsidRPr="002374EC" w:rsidRDefault="009F1BE1" w:rsidP="002374EC">
      <w:pPr>
        <w:pStyle w:val="Heading3"/>
        <w:spacing w:after="160" w:line="360" w:lineRule="auto"/>
        <w:jc w:val="both"/>
        <w:rPr>
          <w:rFonts w:ascii="Arial" w:hAnsi="Arial" w:cs="Arial"/>
          <w:color w:val="auto"/>
          <w:sz w:val="22"/>
        </w:rPr>
      </w:pPr>
      <w:bookmarkStart w:id="23" w:name="_Toc220926187"/>
      <w:r w:rsidRPr="002374EC">
        <w:rPr>
          <w:rFonts w:ascii="Arial" w:hAnsi="Arial" w:cs="Arial"/>
          <w:color w:val="auto"/>
          <w:sz w:val="22"/>
        </w:rPr>
        <w:t>2.4.1 Structural Barriers</w:t>
      </w:r>
      <w:bookmarkEnd w:id="23"/>
    </w:p>
    <w:p w14:paraId="11D45C45" w14:textId="6D122DDE"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The structural barriers refer to </w:t>
      </w:r>
      <w:r w:rsidR="00CB53C4" w:rsidRPr="002374EC">
        <w:rPr>
          <w:rFonts w:ascii="Arial" w:eastAsia="Times New Roman" w:hAnsi="Arial" w:cs="Arial"/>
          <w:bCs/>
        </w:rPr>
        <w:t>system-level</w:t>
      </w:r>
      <w:r w:rsidRPr="002374EC">
        <w:rPr>
          <w:rFonts w:ascii="Arial" w:eastAsia="Times New Roman" w:hAnsi="Arial" w:cs="Arial"/>
          <w:bCs/>
        </w:rPr>
        <w:t xml:space="preserve"> barriers irrespective of individual attitudes. Availability barriers are given by the NHS capacity constraints: According to </w:t>
      </w:r>
      <w:r w:rsidR="00CB53C4" w:rsidRPr="002374EC">
        <w:rPr>
          <w:rFonts w:ascii="Arial" w:eastAsia="Times New Roman" w:hAnsi="Arial" w:cs="Arial"/>
          <w:bCs/>
        </w:rPr>
        <w:t xml:space="preserve">the </w:t>
      </w:r>
      <w:r w:rsidRPr="002374EC">
        <w:rPr>
          <w:rFonts w:ascii="Arial" w:eastAsia="Times New Roman" w:hAnsi="Arial" w:cs="Arial"/>
          <w:bCs/>
        </w:rPr>
        <w:t>Care Quality Commission (2025), 453,930 average monthly referrals (15% higher than the one in 2022/23), 9% workforce vacancies, and 71% wait time of more than 6 months in total</w:t>
      </w:r>
      <w:r w:rsidR="00CB53C4" w:rsidRPr="002374EC">
        <w:rPr>
          <w:rFonts w:ascii="Arial" w:eastAsia="Times New Roman" w:hAnsi="Arial" w:cs="Arial"/>
          <w:bCs/>
        </w:rPr>
        <w:t>,</w:t>
      </w:r>
      <w:r w:rsidRPr="002374EC">
        <w:rPr>
          <w:rFonts w:ascii="Arial" w:eastAsia="Times New Roman" w:hAnsi="Arial" w:cs="Arial"/>
          <w:bCs/>
        </w:rPr>
        <w:t xml:space="preserve"> previous worsened mental health were reported. NHS Talking Therapies show </w:t>
      </w:r>
      <w:r w:rsidR="00CB53C4" w:rsidRPr="002374EC">
        <w:rPr>
          <w:rFonts w:ascii="Arial" w:eastAsia="Times New Roman" w:hAnsi="Arial" w:cs="Arial"/>
          <w:bCs/>
        </w:rPr>
        <w:t xml:space="preserve">a </w:t>
      </w:r>
      <w:r w:rsidRPr="002374EC">
        <w:rPr>
          <w:rFonts w:ascii="Arial" w:eastAsia="Times New Roman" w:hAnsi="Arial" w:cs="Arial"/>
          <w:bCs/>
        </w:rPr>
        <w:t>deprivation-recovery gradient</w:t>
      </w:r>
      <w:r w:rsidR="00CB53C4" w:rsidRPr="002374EC">
        <w:rPr>
          <w:rFonts w:ascii="Arial" w:eastAsia="Times New Roman" w:hAnsi="Arial" w:cs="Arial"/>
          <w:bCs/>
        </w:rPr>
        <w:t>,</w:t>
      </w:r>
      <w:r w:rsidRPr="002374EC">
        <w:rPr>
          <w:rFonts w:ascii="Arial" w:eastAsia="Times New Roman" w:hAnsi="Arial" w:cs="Arial"/>
          <w:bCs/>
        </w:rPr>
        <w:t xml:space="preserve"> </w:t>
      </w:r>
      <w:r w:rsidR="00CB53C4" w:rsidRPr="002374EC">
        <w:rPr>
          <w:rFonts w:ascii="Arial" w:eastAsia="Times New Roman" w:hAnsi="Arial" w:cs="Arial"/>
          <w:bCs/>
        </w:rPr>
        <w:t xml:space="preserve">with </w:t>
      </w:r>
      <w:r w:rsidRPr="002374EC">
        <w:rPr>
          <w:rFonts w:ascii="Arial" w:eastAsia="Times New Roman" w:hAnsi="Arial" w:cs="Arial"/>
          <w:bCs/>
        </w:rPr>
        <w:t xml:space="preserve">recovery 52% less extensive working in </w:t>
      </w:r>
      <w:r w:rsidR="00CB53C4" w:rsidRPr="002374EC">
        <w:rPr>
          <w:rFonts w:ascii="Arial" w:eastAsia="Times New Roman" w:hAnsi="Arial" w:cs="Arial"/>
          <w:bCs/>
        </w:rPr>
        <w:t xml:space="preserve">the </w:t>
      </w:r>
      <w:r w:rsidRPr="002374EC">
        <w:rPr>
          <w:rFonts w:ascii="Arial" w:eastAsia="Times New Roman" w:hAnsi="Arial" w:cs="Arial"/>
          <w:bCs/>
        </w:rPr>
        <w:t xml:space="preserve">least deprived and 40% most commonly in areas of NEET </w:t>
      </w:r>
      <w:r w:rsidR="00CB53C4" w:rsidRPr="002374EC">
        <w:rPr>
          <w:rFonts w:ascii="Arial" w:eastAsia="Times New Roman" w:hAnsi="Arial" w:cs="Arial"/>
          <w:bCs/>
        </w:rPr>
        <w:t>concentration</w:t>
      </w:r>
      <w:r w:rsidRPr="002374EC">
        <w:rPr>
          <w:rFonts w:ascii="Arial" w:eastAsia="Times New Roman" w:hAnsi="Arial" w:cs="Arial"/>
          <w:bCs/>
        </w:rPr>
        <w:t xml:space="preserve"> ( NHS Digital, 2024), and failing to meet targets of </w:t>
      </w:r>
      <w:r w:rsidR="00CB53C4" w:rsidRPr="002374EC">
        <w:rPr>
          <w:rFonts w:ascii="Arial" w:eastAsia="Times New Roman" w:hAnsi="Arial" w:cs="Arial"/>
          <w:bCs/>
        </w:rPr>
        <w:t xml:space="preserve">the </w:t>
      </w:r>
      <w:r w:rsidRPr="002374EC">
        <w:rPr>
          <w:rFonts w:ascii="Arial" w:eastAsia="Times New Roman" w:hAnsi="Arial" w:cs="Arial"/>
          <w:bCs/>
        </w:rPr>
        <w:t>NHS Long Term Plan by 600,000 people ( Nuffield Trust, 2025).</w:t>
      </w:r>
    </w:p>
    <w:p w14:paraId="1AE485FB" w14:textId="57E5DD4B"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Particular barriers are formed by the changes that happen with age. A UK TRACK study by Singh et al. (2010) reported poor CAMHS-to-AMHS transition largely due to poor planning, poor execution, poor experience, and less than 5 </w:t>
      </w:r>
      <w:r w:rsidR="00CB53C4" w:rsidRPr="002374EC">
        <w:rPr>
          <w:rFonts w:ascii="Arial" w:eastAsia="Times New Roman" w:hAnsi="Arial" w:cs="Arial"/>
          <w:bCs/>
        </w:rPr>
        <w:t>per cent</w:t>
      </w:r>
      <w:r w:rsidRPr="002374EC">
        <w:rPr>
          <w:rFonts w:ascii="Arial" w:eastAsia="Times New Roman" w:hAnsi="Arial" w:cs="Arial"/>
          <w:bCs/>
        </w:rPr>
        <w:t xml:space="preserve"> had optimal care. Age 18 patients who had neurodevelopmental and emotional </w:t>
      </w:r>
      <w:r w:rsidR="00CB53C4" w:rsidRPr="002374EC">
        <w:rPr>
          <w:rFonts w:ascii="Arial" w:eastAsia="Times New Roman" w:hAnsi="Arial" w:cs="Arial"/>
          <w:bCs/>
        </w:rPr>
        <w:t>disorders</w:t>
      </w:r>
      <w:r w:rsidRPr="002374EC">
        <w:rPr>
          <w:rFonts w:ascii="Arial" w:eastAsia="Times New Roman" w:hAnsi="Arial" w:cs="Arial"/>
          <w:bCs/>
        </w:rPr>
        <w:t xml:space="preserve"> had </w:t>
      </w:r>
      <w:r w:rsidR="00CB53C4" w:rsidRPr="002374EC">
        <w:rPr>
          <w:rFonts w:ascii="Arial" w:eastAsia="Times New Roman" w:hAnsi="Arial" w:cs="Arial"/>
          <w:bCs/>
        </w:rPr>
        <w:t>a</w:t>
      </w:r>
      <w:r w:rsidRPr="002374EC">
        <w:rPr>
          <w:rFonts w:ascii="Arial" w:eastAsia="Times New Roman" w:hAnsi="Arial" w:cs="Arial"/>
          <w:bCs/>
        </w:rPr>
        <w:t xml:space="preserve"> risk of falling through the openings. A qualitative study (n=42, ages 13-21, three deprived areas) conducted by Holding et al. (2022) reported high CAMHS thresholds with the bold severity of crisis, a three-to-four year waiting period, and only </w:t>
      </w:r>
      <w:r w:rsidR="00CB53C4" w:rsidRPr="002374EC">
        <w:rPr>
          <w:rFonts w:ascii="Arial" w:eastAsia="Times New Roman" w:hAnsi="Arial" w:cs="Arial"/>
          <w:bCs/>
        </w:rPr>
        <w:t>perceived</w:t>
      </w:r>
      <w:r w:rsidRPr="002374EC">
        <w:rPr>
          <w:rFonts w:ascii="Arial" w:eastAsia="Times New Roman" w:hAnsi="Arial" w:cs="Arial"/>
          <w:bCs/>
        </w:rPr>
        <w:t xml:space="preserve"> as </w:t>
      </w:r>
      <w:r w:rsidR="00CB53C4" w:rsidRPr="002374EC">
        <w:rPr>
          <w:rFonts w:ascii="Arial" w:eastAsia="Times New Roman" w:hAnsi="Arial" w:cs="Arial"/>
          <w:bCs/>
        </w:rPr>
        <w:t xml:space="preserve">a </w:t>
      </w:r>
      <w:r w:rsidRPr="002374EC">
        <w:rPr>
          <w:rFonts w:ascii="Arial" w:eastAsia="Times New Roman" w:hAnsi="Arial" w:cs="Arial"/>
          <w:bCs/>
        </w:rPr>
        <w:t>crisis point</w:t>
      </w:r>
      <w:r w:rsidR="00CB53C4" w:rsidRPr="002374EC">
        <w:rPr>
          <w:rFonts w:ascii="Arial" w:eastAsia="Times New Roman" w:hAnsi="Arial" w:cs="Arial"/>
          <w:bCs/>
        </w:rPr>
        <w:t>,</w:t>
      </w:r>
      <w:r w:rsidRPr="002374EC">
        <w:rPr>
          <w:rFonts w:ascii="Arial" w:eastAsia="Times New Roman" w:hAnsi="Arial" w:cs="Arial"/>
          <w:bCs/>
        </w:rPr>
        <w:t xml:space="preserve"> accessed help.</w:t>
      </w:r>
    </w:p>
    <w:p w14:paraId="4BF4A987" w14:textId="62E66530" w:rsidR="009F1BE1" w:rsidRPr="002374EC" w:rsidRDefault="00CB53C4" w:rsidP="002374EC">
      <w:pPr>
        <w:spacing w:line="360" w:lineRule="auto"/>
        <w:jc w:val="both"/>
        <w:rPr>
          <w:rFonts w:ascii="Arial" w:eastAsia="Times New Roman" w:hAnsi="Arial" w:cs="Arial"/>
          <w:bCs/>
        </w:rPr>
      </w:pPr>
      <w:r w:rsidRPr="002374EC">
        <w:rPr>
          <w:rFonts w:ascii="Arial" w:eastAsia="Times New Roman" w:hAnsi="Arial" w:cs="Arial"/>
          <w:bCs/>
        </w:rPr>
        <w:t>The complexity</w:t>
      </w:r>
      <w:r w:rsidR="009F1BE1" w:rsidRPr="002374EC">
        <w:rPr>
          <w:rFonts w:ascii="Arial" w:eastAsia="Times New Roman" w:hAnsi="Arial" w:cs="Arial"/>
          <w:bCs/>
        </w:rPr>
        <w:t xml:space="preserve"> of system navigation is also another barrier. A UK survey (n=203, 18-25) reported by Salaheddin and Mason (2016) identified that 68% were </w:t>
      </w:r>
      <w:r w:rsidRPr="002374EC">
        <w:rPr>
          <w:rFonts w:ascii="Arial" w:eastAsia="Times New Roman" w:hAnsi="Arial" w:cs="Arial"/>
          <w:bCs/>
        </w:rPr>
        <w:t>unaware</w:t>
      </w:r>
      <w:r w:rsidR="009F1BE1" w:rsidRPr="002374EC">
        <w:rPr>
          <w:rFonts w:ascii="Arial" w:eastAsia="Times New Roman" w:hAnsi="Arial" w:cs="Arial"/>
          <w:bCs/>
        </w:rPr>
        <w:t xml:space="preserve"> of the place to obtain assistance despite being very distressed. The presence of GP gatekeeping puts a barrier </w:t>
      </w:r>
      <w:r w:rsidRPr="002374EC">
        <w:rPr>
          <w:rFonts w:ascii="Arial" w:eastAsia="Times New Roman" w:hAnsi="Arial" w:cs="Arial"/>
          <w:bCs/>
        </w:rPr>
        <w:t>to</w:t>
      </w:r>
      <w:r w:rsidR="009F1BE1" w:rsidRPr="002374EC">
        <w:rPr>
          <w:rFonts w:ascii="Arial" w:eastAsia="Times New Roman" w:hAnsi="Arial" w:cs="Arial"/>
          <w:bCs/>
        </w:rPr>
        <w:t xml:space="preserve"> accessing healthcare by youths who are either not at ease talking about mental health or have no registration. The access is further worsened by geographic disparities, with rural/deprived areas having worse provision. Although </w:t>
      </w:r>
      <w:r w:rsidRPr="002374EC">
        <w:rPr>
          <w:rFonts w:ascii="Arial" w:eastAsia="Times New Roman" w:hAnsi="Arial" w:cs="Arial"/>
          <w:bCs/>
        </w:rPr>
        <w:t xml:space="preserve">the </w:t>
      </w:r>
      <w:r w:rsidR="009F1BE1" w:rsidRPr="002374EC">
        <w:rPr>
          <w:rFonts w:ascii="Arial" w:eastAsia="Times New Roman" w:hAnsi="Arial" w:cs="Arial"/>
          <w:bCs/>
        </w:rPr>
        <w:t xml:space="preserve">NHS is free, 67% of those interviewed mentioned costs as an obstacle (Salaheddin and Mason, 2016), a manifestation of transport, childcare, </w:t>
      </w:r>
      <w:r w:rsidRPr="002374EC">
        <w:rPr>
          <w:rFonts w:ascii="Arial" w:eastAsia="Times New Roman" w:hAnsi="Arial" w:cs="Arial"/>
          <w:bCs/>
        </w:rPr>
        <w:t xml:space="preserve">and </w:t>
      </w:r>
      <w:r w:rsidR="009F1BE1" w:rsidRPr="002374EC">
        <w:rPr>
          <w:rFonts w:ascii="Arial" w:eastAsia="Times New Roman" w:hAnsi="Arial" w:cs="Arial"/>
          <w:bCs/>
        </w:rPr>
        <w:t>opportunity costs.</w:t>
      </w:r>
    </w:p>
    <w:p w14:paraId="0418747E" w14:textId="77777777" w:rsidR="009F1BE1" w:rsidRPr="002374EC" w:rsidRDefault="009F1BE1" w:rsidP="002374EC">
      <w:pPr>
        <w:pStyle w:val="Heading3"/>
        <w:spacing w:after="160" w:line="360" w:lineRule="auto"/>
        <w:jc w:val="both"/>
        <w:rPr>
          <w:rFonts w:ascii="Arial" w:hAnsi="Arial" w:cs="Arial"/>
          <w:color w:val="auto"/>
          <w:sz w:val="22"/>
        </w:rPr>
      </w:pPr>
      <w:bookmarkStart w:id="24" w:name="_Toc220926188"/>
      <w:r w:rsidRPr="002374EC">
        <w:rPr>
          <w:rFonts w:ascii="Arial" w:hAnsi="Arial" w:cs="Arial"/>
          <w:color w:val="auto"/>
          <w:sz w:val="22"/>
        </w:rPr>
        <w:lastRenderedPageBreak/>
        <w:t>2.4.2 Attitudinal and Psychological Barriers</w:t>
      </w:r>
      <w:bookmarkEnd w:id="24"/>
    </w:p>
    <w:p w14:paraId="3939AE16" w14:textId="6F235AB8" w:rsidR="009F1BE1" w:rsidRPr="002374EC" w:rsidRDefault="00CB53C4" w:rsidP="002374EC">
      <w:pPr>
        <w:spacing w:line="360" w:lineRule="auto"/>
        <w:jc w:val="both"/>
        <w:rPr>
          <w:rFonts w:ascii="Arial" w:eastAsia="Times New Roman" w:hAnsi="Arial" w:cs="Arial"/>
          <w:bCs/>
        </w:rPr>
      </w:pPr>
      <w:r w:rsidRPr="002374EC">
        <w:rPr>
          <w:rFonts w:ascii="Arial" w:eastAsia="Times New Roman" w:hAnsi="Arial" w:cs="Arial"/>
          <w:bCs/>
        </w:rPr>
        <w:t>The most</w:t>
      </w:r>
      <w:r w:rsidR="009F1BE1" w:rsidRPr="002374EC">
        <w:rPr>
          <w:rFonts w:ascii="Arial" w:eastAsia="Times New Roman" w:hAnsi="Arial" w:cs="Arial"/>
          <w:bCs/>
        </w:rPr>
        <w:t xml:space="preserve"> consistent attitudinal barrier is stigma. Salaheddin and Mason (2016) identified 81% who supported stigma as </w:t>
      </w:r>
      <w:r w:rsidRPr="002374EC">
        <w:rPr>
          <w:rFonts w:ascii="Arial" w:eastAsia="Times New Roman" w:hAnsi="Arial" w:cs="Arial"/>
          <w:bCs/>
        </w:rPr>
        <w:t xml:space="preserve">a </w:t>
      </w:r>
      <w:r w:rsidR="009F1BE1" w:rsidRPr="002374EC">
        <w:rPr>
          <w:rFonts w:ascii="Arial" w:eastAsia="Times New Roman" w:hAnsi="Arial" w:cs="Arial"/>
          <w:bCs/>
        </w:rPr>
        <w:t xml:space="preserve">hindrance, fear of judgment, </w:t>
      </w:r>
      <w:r w:rsidRPr="002374EC">
        <w:rPr>
          <w:rFonts w:ascii="Arial" w:eastAsia="Times New Roman" w:hAnsi="Arial" w:cs="Arial"/>
          <w:bCs/>
        </w:rPr>
        <w:t xml:space="preserve">and </w:t>
      </w:r>
      <w:r w:rsidR="009F1BE1" w:rsidRPr="002374EC">
        <w:rPr>
          <w:rFonts w:ascii="Arial" w:eastAsia="Times New Roman" w:hAnsi="Arial" w:cs="Arial"/>
          <w:bCs/>
        </w:rPr>
        <w:t xml:space="preserve">consequences of disclosure. The meta-analysis of Song et al. (2023) (22 RCTs) revealed that small short-term anti-stigma benefits (d=0.21, p&lt;0.001), which were not followed </w:t>
      </w:r>
      <w:r w:rsidRPr="002374EC">
        <w:rPr>
          <w:rFonts w:ascii="Arial" w:eastAsia="Times New Roman" w:hAnsi="Arial" w:cs="Arial"/>
          <w:bCs/>
        </w:rPr>
        <w:t xml:space="preserve">up </w:t>
      </w:r>
      <w:r w:rsidR="009F1BE1" w:rsidRPr="002374EC">
        <w:rPr>
          <w:rFonts w:ascii="Arial" w:eastAsia="Times New Roman" w:hAnsi="Arial" w:cs="Arial"/>
          <w:bCs/>
        </w:rPr>
        <w:t xml:space="preserve">at the follow-up, were not statistically significant with individual interventions only. This </w:t>
      </w:r>
      <w:r w:rsidRPr="002374EC">
        <w:rPr>
          <w:rFonts w:ascii="Arial" w:eastAsia="Times New Roman" w:hAnsi="Arial" w:cs="Arial"/>
          <w:bCs/>
        </w:rPr>
        <w:t>modelling</w:t>
      </w:r>
      <w:r w:rsidR="009F1BE1" w:rsidRPr="002374EC">
        <w:rPr>
          <w:rFonts w:ascii="Arial" w:eastAsia="Times New Roman" w:hAnsi="Arial" w:cs="Arial"/>
          <w:bCs/>
        </w:rPr>
        <w:t xml:space="preserve"> showed that perceived public stigma had an effect on help-seeking via </w:t>
      </w:r>
      <w:r w:rsidRPr="002374EC">
        <w:rPr>
          <w:rFonts w:ascii="Arial" w:eastAsia="Times New Roman" w:hAnsi="Arial" w:cs="Arial"/>
          <w:bCs/>
        </w:rPr>
        <w:t>self-stigma</w:t>
      </w:r>
      <w:r w:rsidR="009F1BE1" w:rsidRPr="002374EC">
        <w:rPr>
          <w:rFonts w:ascii="Arial" w:eastAsia="Times New Roman" w:hAnsi="Arial" w:cs="Arial"/>
          <w:bCs/>
        </w:rPr>
        <w:t xml:space="preserve"> and </w:t>
      </w:r>
      <w:r w:rsidRPr="002374EC">
        <w:rPr>
          <w:rFonts w:ascii="Arial" w:eastAsia="Times New Roman" w:hAnsi="Arial" w:cs="Arial"/>
          <w:bCs/>
        </w:rPr>
        <w:t>counselling</w:t>
      </w:r>
      <w:r w:rsidR="009F1BE1" w:rsidRPr="002374EC">
        <w:rPr>
          <w:rFonts w:ascii="Arial" w:eastAsia="Times New Roman" w:hAnsi="Arial" w:cs="Arial"/>
          <w:bCs/>
        </w:rPr>
        <w:t xml:space="preserve"> attitudes</w:t>
      </w:r>
      <w:r w:rsidRPr="002374EC">
        <w:rPr>
          <w:rFonts w:ascii="Arial" w:eastAsia="Times New Roman" w:hAnsi="Arial" w:cs="Arial"/>
          <w:bCs/>
        </w:rPr>
        <w:t>,</w:t>
      </w:r>
      <w:r w:rsidR="009F1BE1" w:rsidRPr="002374EC">
        <w:rPr>
          <w:rFonts w:ascii="Arial" w:eastAsia="Times New Roman" w:hAnsi="Arial" w:cs="Arial"/>
          <w:bCs/>
        </w:rPr>
        <w:t xml:space="preserve"> as illustrated by Vogel et al. (2007) </w:t>
      </w:r>
      <w:r w:rsidRPr="002374EC">
        <w:rPr>
          <w:rFonts w:ascii="Arial" w:eastAsia="Times New Roman" w:hAnsi="Arial" w:cs="Arial"/>
          <w:bCs/>
        </w:rPr>
        <w:t>who</w:t>
      </w:r>
      <w:r w:rsidR="009F1BE1" w:rsidRPr="002374EC">
        <w:rPr>
          <w:rFonts w:ascii="Arial" w:eastAsia="Times New Roman" w:hAnsi="Arial" w:cs="Arial"/>
          <w:bCs/>
        </w:rPr>
        <w:t xml:space="preserve"> established </w:t>
      </w:r>
      <w:r w:rsidRPr="002374EC">
        <w:rPr>
          <w:rFonts w:ascii="Arial" w:eastAsia="Times New Roman" w:hAnsi="Arial" w:cs="Arial"/>
          <w:bCs/>
        </w:rPr>
        <w:t>internalisation</w:t>
      </w:r>
      <w:r w:rsidR="009F1BE1" w:rsidRPr="002374EC">
        <w:rPr>
          <w:rFonts w:ascii="Arial" w:eastAsia="Times New Roman" w:hAnsi="Arial" w:cs="Arial"/>
          <w:bCs/>
        </w:rPr>
        <w:t xml:space="preserve"> mechanisms of anticipated judgment.</w:t>
      </w:r>
    </w:p>
    <w:p w14:paraId="74D85130" w14:textId="35D1940F"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The lack of mental health literacy obstructs various help-seeking processes. The definition of Jorm (2012) included pre-disaster knowledge of prevention, the knowledge of disorder identification, knowledge of help-seeking, knowledge of self-help strategies, and first aid. The analysis of Kelly et al. (2007) contended that good literacy supports early intervention in community campaigns, youth initiatives, school programs, </w:t>
      </w:r>
      <w:r w:rsidR="00CB53C4" w:rsidRPr="002374EC">
        <w:rPr>
          <w:rFonts w:ascii="Arial" w:eastAsia="Times New Roman" w:hAnsi="Arial" w:cs="Arial"/>
          <w:bCs/>
        </w:rPr>
        <w:t xml:space="preserve">and </w:t>
      </w:r>
      <w:r w:rsidRPr="002374EC">
        <w:rPr>
          <w:rFonts w:ascii="Arial" w:eastAsia="Times New Roman" w:hAnsi="Arial" w:cs="Arial"/>
          <w:bCs/>
        </w:rPr>
        <w:t>crisis training. Nevertheless, literacy does not become sufficient in the presence of attitudinal barriers.</w:t>
      </w:r>
    </w:p>
    <w:p w14:paraId="29AF9E6B" w14:textId="0F5C030E"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Self-reliance preference is a form of cultural/personal </w:t>
      </w:r>
      <w:r w:rsidR="00CB53C4" w:rsidRPr="002374EC">
        <w:rPr>
          <w:rFonts w:ascii="Arial" w:eastAsia="Times New Roman" w:hAnsi="Arial" w:cs="Arial"/>
          <w:bCs/>
        </w:rPr>
        <w:t>barrier</w:t>
      </w:r>
      <w:r w:rsidRPr="002374EC">
        <w:rPr>
          <w:rFonts w:ascii="Arial" w:eastAsia="Times New Roman" w:hAnsi="Arial" w:cs="Arial"/>
          <w:bCs/>
        </w:rPr>
        <w:t xml:space="preserve">. Salah and Mason (2016) described how 84 </w:t>
      </w:r>
      <w:r w:rsidR="00CB53C4" w:rsidRPr="002374EC">
        <w:rPr>
          <w:rFonts w:ascii="Arial" w:eastAsia="Times New Roman" w:hAnsi="Arial" w:cs="Arial"/>
          <w:bCs/>
        </w:rPr>
        <w:t>per cent</w:t>
      </w:r>
      <w:r w:rsidRPr="002374EC">
        <w:rPr>
          <w:rFonts w:ascii="Arial" w:eastAsia="Times New Roman" w:hAnsi="Arial" w:cs="Arial"/>
          <w:bCs/>
        </w:rPr>
        <w:t xml:space="preserve"> do not like to discuss </w:t>
      </w:r>
      <w:r w:rsidR="00CB53C4" w:rsidRPr="002374EC">
        <w:rPr>
          <w:rFonts w:ascii="Arial" w:eastAsia="Times New Roman" w:hAnsi="Arial" w:cs="Arial"/>
          <w:bCs/>
        </w:rPr>
        <w:t>their</w:t>
      </w:r>
      <w:r w:rsidRPr="002374EC">
        <w:rPr>
          <w:rFonts w:ascii="Arial" w:eastAsia="Times New Roman" w:hAnsi="Arial" w:cs="Arial"/>
          <w:bCs/>
        </w:rPr>
        <w:t xml:space="preserve"> feelings, 85 </w:t>
      </w:r>
      <w:r w:rsidR="00CB53C4" w:rsidRPr="002374EC">
        <w:rPr>
          <w:rFonts w:ascii="Arial" w:eastAsia="Times New Roman" w:hAnsi="Arial" w:cs="Arial"/>
          <w:bCs/>
        </w:rPr>
        <w:t>per cent</w:t>
      </w:r>
      <w:r w:rsidRPr="002374EC">
        <w:rPr>
          <w:rFonts w:ascii="Arial" w:eastAsia="Times New Roman" w:hAnsi="Arial" w:cs="Arial"/>
          <w:bCs/>
        </w:rPr>
        <w:t xml:space="preserve"> would rather act on their own, which is not feminine, developmental focus on autonomy, or bad experiences in the past. Symptom </w:t>
      </w:r>
      <w:r w:rsidR="00CB53C4" w:rsidRPr="002374EC">
        <w:rPr>
          <w:rFonts w:ascii="Arial" w:eastAsia="Times New Roman" w:hAnsi="Arial" w:cs="Arial"/>
          <w:bCs/>
        </w:rPr>
        <w:t>minimisation</w:t>
      </w:r>
      <w:r w:rsidRPr="002374EC">
        <w:rPr>
          <w:rFonts w:ascii="Arial" w:eastAsia="Times New Roman" w:hAnsi="Arial" w:cs="Arial"/>
          <w:bCs/>
        </w:rPr>
        <w:t xml:space="preserve"> leads to low perceived need</w:t>
      </w:r>
      <w:r w:rsidR="00CB53C4" w:rsidRPr="002374EC">
        <w:rPr>
          <w:rFonts w:ascii="Arial" w:eastAsia="Times New Roman" w:hAnsi="Arial" w:cs="Arial"/>
          <w:bCs/>
        </w:rPr>
        <w:t>,</w:t>
      </w:r>
      <w:r w:rsidRPr="002374EC">
        <w:rPr>
          <w:rFonts w:ascii="Arial" w:eastAsia="Times New Roman" w:hAnsi="Arial" w:cs="Arial"/>
          <w:bCs/>
        </w:rPr>
        <w:t xml:space="preserve"> which is yet another barrier. The UK qualitative study (n=23: 16-24 years old) by Biddle et al. (2007) developed </w:t>
      </w:r>
      <w:r w:rsidR="00CB53C4" w:rsidRPr="002374EC">
        <w:rPr>
          <w:rFonts w:ascii="Arial" w:eastAsia="Times New Roman" w:hAnsi="Arial" w:cs="Arial"/>
          <w:bCs/>
        </w:rPr>
        <w:t>a</w:t>
      </w:r>
      <w:r w:rsidRPr="002374EC">
        <w:rPr>
          <w:rFonts w:ascii="Arial" w:eastAsia="Times New Roman" w:hAnsi="Arial" w:cs="Arial"/>
          <w:bCs/>
        </w:rPr>
        <w:t xml:space="preserve"> model, Cycle of Avoidance, elucidating the delay through </w:t>
      </w:r>
      <w:r w:rsidR="00CB53C4" w:rsidRPr="002374EC">
        <w:rPr>
          <w:rFonts w:ascii="Arial" w:eastAsia="Times New Roman" w:hAnsi="Arial" w:cs="Arial"/>
          <w:bCs/>
        </w:rPr>
        <w:t>normalising</w:t>
      </w:r>
      <w:r w:rsidRPr="002374EC">
        <w:rPr>
          <w:rFonts w:ascii="Arial" w:eastAsia="Times New Roman" w:hAnsi="Arial" w:cs="Arial"/>
          <w:bCs/>
        </w:rPr>
        <w:t xml:space="preserve"> symptoms, suggesting alternative explanations, accommodating severity and pushing thresholds between normal and real distress.</w:t>
      </w:r>
    </w:p>
    <w:p w14:paraId="515D2BA3" w14:textId="18421DE4"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Consequence issues discourage help-seeking in the face of identified need. In the study by Salaheddin and Mason (2016), the percentage of concerned negative job/education effect was found to be 77%, and such issues as confidentiality, </w:t>
      </w:r>
      <w:r w:rsidR="00CB53C4" w:rsidRPr="002374EC">
        <w:rPr>
          <w:rFonts w:ascii="Arial" w:eastAsia="Times New Roman" w:hAnsi="Arial" w:cs="Arial"/>
          <w:bCs/>
        </w:rPr>
        <w:t>hospitalisation</w:t>
      </w:r>
      <w:r w:rsidRPr="002374EC">
        <w:rPr>
          <w:rFonts w:ascii="Arial" w:eastAsia="Times New Roman" w:hAnsi="Arial" w:cs="Arial"/>
          <w:bCs/>
        </w:rPr>
        <w:t>/medication fears, and expected family/peer reactions turned out to be barriers. These are realistic discrimination appraisals and not misperceptions only.</w:t>
      </w:r>
    </w:p>
    <w:p w14:paraId="7E5FF1F7" w14:textId="77777777" w:rsidR="009F1BE1" w:rsidRPr="002374EC" w:rsidRDefault="009F1BE1" w:rsidP="002374EC">
      <w:pPr>
        <w:spacing w:line="360" w:lineRule="auto"/>
        <w:jc w:val="both"/>
        <w:rPr>
          <w:rFonts w:ascii="Arial" w:eastAsia="Times New Roman" w:hAnsi="Arial" w:cs="Arial"/>
          <w:b/>
          <w:bCs/>
        </w:rPr>
      </w:pPr>
      <w:r w:rsidRPr="002374EC">
        <w:rPr>
          <w:rFonts w:ascii="Arial" w:eastAsia="Times New Roman" w:hAnsi="Arial" w:cs="Arial"/>
          <w:b/>
          <w:bCs/>
        </w:rPr>
        <w:t>2.4.3 Social and Interpersonal Barriers</w:t>
      </w:r>
    </w:p>
    <w:p w14:paraId="41D28432" w14:textId="384B2B79"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The factors that have an impact on help-seeking include social/interpersonal factors. A systematic review of relationship factors (trust, confidentiality, rapport) </w:t>
      </w:r>
      <w:r w:rsidR="00CB53C4" w:rsidRPr="002374EC">
        <w:rPr>
          <w:rFonts w:ascii="Arial" w:eastAsia="Times New Roman" w:hAnsi="Arial" w:cs="Arial"/>
          <w:bCs/>
        </w:rPr>
        <w:t>reveals</w:t>
      </w:r>
      <w:r w:rsidRPr="002374EC">
        <w:rPr>
          <w:rFonts w:ascii="Arial" w:eastAsia="Times New Roman" w:hAnsi="Arial" w:cs="Arial"/>
          <w:bCs/>
        </w:rPr>
        <w:t xml:space="preserve"> that relationship factors are being reported by 68% of mid-to-younger age studies (53 studies by Radez et al., 2021). Absence of </w:t>
      </w:r>
      <w:r w:rsidR="00CB53C4" w:rsidRPr="002374EC">
        <w:rPr>
          <w:rFonts w:ascii="Arial" w:eastAsia="Times New Roman" w:hAnsi="Arial" w:cs="Arial"/>
          <w:bCs/>
        </w:rPr>
        <w:t xml:space="preserve">a </w:t>
      </w:r>
      <w:r w:rsidRPr="002374EC">
        <w:rPr>
          <w:rFonts w:ascii="Arial" w:eastAsia="Times New Roman" w:hAnsi="Arial" w:cs="Arial"/>
          <w:bCs/>
        </w:rPr>
        <w:t xml:space="preserve">trusted relationship, encouragement, </w:t>
      </w:r>
      <w:r w:rsidR="00CB53C4" w:rsidRPr="002374EC">
        <w:rPr>
          <w:rFonts w:ascii="Arial" w:eastAsia="Times New Roman" w:hAnsi="Arial" w:cs="Arial"/>
          <w:bCs/>
        </w:rPr>
        <w:t xml:space="preserve">and </w:t>
      </w:r>
      <w:r w:rsidRPr="002374EC">
        <w:rPr>
          <w:rFonts w:ascii="Arial" w:eastAsia="Times New Roman" w:hAnsi="Arial" w:cs="Arial"/>
          <w:bCs/>
        </w:rPr>
        <w:t xml:space="preserve">fear of disclosure are </w:t>
      </w:r>
      <w:r w:rsidR="00CB53C4" w:rsidRPr="002374EC">
        <w:rPr>
          <w:rFonts w:ascii="Arial" w:eastAsia="Times New Roman" w:hAnsi="Arial" w:cs="Arial"/>
          <w:bCs/>
        </w:rPr>
        <w:t>interpersonal</w:t>
      </w:r>
      <w:r w:rsidRPr="002374EC">
        <w:rPr>
          <w:rFonts w:ascii="Arial" w:eastAsia="Times New Roman" w:hAnsi="Arial" w:cs="Arial"/>
          <w:bCs/>
        </w:rPr>
        <w:t xml:space="preserve"> barriers. The systematic review by Plaistow et al. (2014) of 13,605 (625 with CAMHS experience) revealed that stigma, lack of information, </w:t>
      </w:r>
      <w:r w:rsidR="00CB53C4" w:rsidRPr="002374EC">
        <w:rPr>
          <w:rFonts w:ascii="Arial" w:eastAsia="Times New Roman" w:hAnsi="Arial" w:cs="Arial"/>
          <w:bCs/>
        </w:rPr>
        <w:t>medicalisation</w:t>
      </w:r>
      <w:r w:rsidRPr="002374EC">
        <w:rPr>
          <w:rFonts w:ascii="Arial" w:eastAsia="Times New Roman" w:hAnsi="Arial" w:cs="Arial"/>
          <w:bCs/>
        </w:rPr>
        <w:t xml:space="preserve">, continuity </w:t>
      </w:r>
      <w:r w:rsidRPr="002374EC">
        <w:rPr>
          <w:rFonts w:ascii="Arial" w:eastAsia="Times New Roman" w:hAnsi="Arial" w:cs="Arial"/>
          <w:bCs/>
        </w:rPr>
        <w:lastRenderedPageBreak/>
        <w:t xml:space="preserve">absence, minority ethnic </w:t>
      </w:r>
      <w:r w:rsidR="00CB53C4" w:rsidRPr="002374EC">
        <w:rPr>
          <w:rFonts w:ascii="Arial" w:eastAsia="Times New Roman" w:hAnsi="Arial" w:cs="Arial"/>
          <w:bCs/>
        </w:rPr>
        <w:t>groups</w:t>
      </w:r>
      <w:r w:rsidRPr="002374EC">
        <w:rPr>
          <w:rFonts w:ascii="Arial" w:eastAsia="Times New Roman" w:hAnsi="Arial" w:cs="Arial"/>
          <w:bCs/>
        </w:rPr>
        <w:t xml:space="preserve">, and disengaged populations, which </w:t>
      </w:r>
      <w:r w:rsidR="00CB53C4" w:rsidRPr="002374EC">
        <w:rPr>
          <w:rFonts w:ascii="Arial" w:eastAsia="Times New Roman" w:hAnsi="Arial" w:cs="Arial"/>
          <w:bCs/>
        </w:rPr>
        <w:t>are</w:t>
      </w:r>
      <w:r w:rsidRPr="002374EC">
        <w:rPr>
          <w:rFonts w:ascii="Arial" w:eastAsia="Times New Roman" w:hAnsi="Arial" w:cs="Arial"/>
          <w:bCs/>
        </w:rPr>
        <w:t xml:space="preserve"> also relevant to NEET, are not actively sought.</w:t>
      </w:r>
    </w:p>
    <w:p w14:paraId="4426488E" w14:textId="44EE39E6"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Adverse past experiences produce learned avoidance </w:t>
      </w:r>
      <w:r w:rsidR="00CB53C4" w:rsidRPr="002374EC">
        <w:rPr>
          <w:rFonts w:ascii="Arial" w:eastAsia="Times New Roman" w:hAnsi="Arial" w:cs="Arial"/>
          <w:bCs/>
        </w:rPr>
        <w:t>of</w:t>
      </w:r>
      <w:r w:rsidRPr="002374EC">
        <w:rPr>
          <w:rFonts w:ascii="Arial" w:eastAsia="Times New Roman" w:hAnsi="Arial" w:cs="Arial"/>
          <w:bCs/>
        </w:rPr>
        <w:t xml:space="preserve"> help-seeking in the future. Unhelpful services, yielding low expectations, were expressed by youths as dismissive treatment, waiting long lines, abrupt discharge, etc. Holding et al. (2022) ascertained that the youngsters </w:t>
      </w:r>
      <w:r w:rsidR="00CB53C4" w:rsidRPr="002374EC">
        <w:rPr>
          <w:rFonts w:ascii="Arial" w:eastAsia="Times New Roman" w:hAnsi="Arial" w:cs="Arial"/>
          <w:bCs/>
        </w:rPr>
        <w:t>favoured</w:t>
      </w:r>
      <w:r w:rsidRPr="002374EC">
        <w:rPr>
          <w:rFonts w:ascii="Arial" w:eastAsia="Times New Roman" w:hAnsi="Arial" w:cs="Arial"/>
          <w:bCs/>
        </w:rPr>
        <w:t xml:space="preserve"> the friendship of youth workers as opposed to clinical, which implies relationship-based non-clinical ways are more welcome among low-trust groups. Small groups enhance the issue of confidentiality because they have the fear being identified or their information being leaked out.</w:t>
      </w:r>
    </w:p>
    <w:p w14:paraId="0BBA59FD" w14:textId="73DBE039"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These universal youth barriers act in synergy at several levels: structural factors constrain access and availability of the services; attitudinal barriers such as stigma, lack of literacy and preference to self-reliance limit the intentions to seek help; social factors such as lack of social support and negative experiences combine the effects of individual and structural ones. Radez et al. (2021) found individual factors in 96% of the studies, social factors in 92, relationship factors in 68, and systemic factors in 58 of the studies that showed </w:t>
      </w:r>
      <w:r w:rsidR="00CB53C4" w:rsidRPr="002374EC">
        <w:rPr>
          <w:rFonts w:ascii="Arial" w:eastAsia="Times New Roman" w:hAnsi="Arial" w:cs="Arial"/>
          <w:bCs/>
        </w:rPr>
        <w:t xml:space="preserve">the </w:t>
      </w:r>
      <w:r w:rsidRPr="002374EC">
        <w:rPr>
          <w:rFonts w:ascii="Arial" w:eastAsia="Times New Roman" w:hAnsi="Arial" w:cs="Arial"/>
          <w:bCs/>
        </w:rPr>
        <w:t>universality of barriers across domains. Nevertheless, the specific ways these general youth barriers manifest among NEET populations with no institutional access grounds and experiencing other forms of disadvantage necessitate specific investigation (not to be exhausted to interpolating the results of such investigations with general youth samples) of how these groups of LANs intersect with the situation faced by NEET populations concerning their desire to access mental health services in systems initially developed targeting student and employed youths.</w:t>
      </w:r>
    </w:p>
    <w:p w14:paraId="071AEFB1" w14:textId="77777777" w:rsidR="009F1BE1" w:rsidRPr="002374EC" w:rsidRDefault="009F1BE1" w:rsidP="002374EC">
      <w:pPr>
        <w:pStyle w:val="Heading2"/>
        <w:spacing w:after="160" w:line="360" w:lineRule="auto"/>
        <w:jc w:val="both"/>
        <w:rPr>
          <w:rFonts w:ascii="Arial" w:hAnsi="Arial" w:cs="Arial"/>
          <w:color w:val="auto"/>
          <w:sz w:val="22"/>
        </w:rPr>
      </w:pPr>
      <w:bookmarkStart w:id="25" w:name="_Toc220926189"/>
      <w:r w:rsidRPr="002374EC">
        <w:rPr>
          <w:rFonts w:ascii="Arial" w:hAnsi="Arial" w:cs="Arial"/>
          <w:color w:val="auto"/>
          <w:sz w:val="22"/>
        </w:rPr>
        <w:t>2.5 NEET-Specific Barriers: Emerging Evidence</w:t>
      </w:r>
      <w:bookmarkEnd w:id="25"/>
    </w:p>
    <w:p w14:paraId="2F6A164B" w14:textId="77777777" w:rsidR="009F1BE1" w:rsidRPr="002374EC" w:rsidRDefault="009F1BE1" w:rsidP="002374EC">
      <w:pPr>
        <w:pStyle w:val="Heading3"/>
        <w:spacing w:after="160" w:line="360" w:lineRule="auto"/>
        <w:jc w:val="both"/>
        <w:rPr>
          <w:rFonts w:ascii="Arial" w:hAnsi="Arial" w:cs="Arial"/>
          <w:color w:val="auto"/>
          <w:sz w:val="22"/>
        </w:rPr>
      </w:pPr>
      <w:bookmarkStart w:id="26" w:name="_Toc220926190"/>
      <w:r w:rsidRPr="002374EC">
        <w:rPr>
          <w:rFonts w:ascii="Arial" w:hAnsi="Arial" w:cs="Arial"/>
          <w:color w:val="auto"/>
          <w:sz w:val="22"/>
        </w:rPr>
        <w:t>2.5.1 Lack of Institutional Access Points</w:t>
      </w:r>
      <w:bookmarkEnd w:id="26"/>
    </w:p>
    <w:p w14:paraId="13E60F8B" w14:textId="78328915"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NEET youths have a particular structural disadvantage in the form of institutional exclusion in a systematic manner. The support is accessed by the students by way of school </w:t>
      </w:r>
      <w:r w:rsidR="00CB53C4" w:rsidRPr="002374EC">
        <w:rPr>
          <w:rFonts w:ascii="Arial" w:eastAsia="Times New Roman" w:hAnsi="Arial" w:cs="Arial"/>
          <w:bCs/>
        </w:rPr>
        <w:t>counselling</w:t>
      </w:r>
      <w:r w:rsidRPr="002374EC">
        <w:rPr>
          <w:rFonts w:ascii="Arial" w:eastAsia="Times New Roman" w:hAnsi="Arial" w:cs="Arial"/>
          <w:bCs/>
        </w:rPr>
        <w:t xml:space="preserve">, student wellbeing teams and embedded educational services. Workers obtain occupational health, </w:t>
      </w:r>
      <w:r w:rsidR="00CB53C4" w:rsidRPr="002374EC">
        <w:rPr>
          <w:rFonts w:ascii="Arial" w:eastAsia="Times New Roman" w:hAnsi="Arial" w:cs="Arial"/>
          <w:bCs/>
        </w:rPr>
        <w:t xml:space="preserve">a </w:t>
      </w:r>
      <w:r w:rsidRPr="002374EC">
        <w:rPr>
          <w:rFonts w:ascii="Arial" w:eastAsia="Times New Roman" w:hAnsi="Arial" w:cs="Arial"/>
          <w:bCs/>
        </w:rPr>
        <w:t xml:space="preserve">worker assistance program, </w:t>
      </w:r>
      <w:r w:rsidR="00CB53C4" w:rsidRPr="002374EC">
        <w:rPr>
          <w:rFonts w:ascii="Arial" w:eastAsia="Times New Roman" w:hAnsi="Arial" w:cs="Arial"/>
          <w:bCs/>
        </w:rPr>
        <w:t xml:space="preserve">and </w:t>
      </w:r>
      <w:r w:rsidRPr="002374EC">
        <w:rPr>
          <w:rFonts w:ascii="Arial" w:eastAsia="Times New Roman" w:hAnsi="Arial" w:cs="Arial"/>
          <w:bCs/>
        </w:rPr>
        <w:t xml:space="preserve">work wellness. There are no inbuilt access points in NEET youth, and their direction is self-motivated instead of general pathways created without factoring in their conditions. Such institutional marginality demands increased health literacy, better self-advocacy, </w:t>
      </w:r>
      <w:r w:rsidR="00CB53C4" w:rsidRPr="002374EC">
        <w:rPr>
          <w:rFonts w:ascii="Arial" w:eastAsia="Times New Roman" w:hAnsi="Arial" w:cs="Arial"/>
          <w:bCs/>
        </w:rPr>
        <w:t xml:space="preserve">and </w:t>
      </w:r>
      <w:r w:rsidRPr="002374EC">
        <w:rPr>
          <w:rFonts w:ascii="Arial" w:eastAsia="Times New Roman" w:hAnsi="Arial" w:cs="Arial"/>
          <w:bCs/>
        </w:rPr>
        <w:t>more determined and sustained help-seeking</w:t>
      </w:r>
      <w:r w:rsidR="00CB53C4" w:rsidRPr="002374EC">
        <w:rPr>
          <w:rFonts w:ascii="Arial" w:eastAsia="Times New Roman" w:hAnsi="Arial" w:cs="Arial"/>
          <w:bCs/>
        </w:rPr>
        <w:t>,</w:t>
      </w:r>
      <w:r w:rsidRPr="002374EC">
        <w:rPr>
          <w:rFonts w:ascii="Arial" w:eastAsia="Times New Roman" w:hAnsi="Arial" w:cs="Arial"/>
          <w:bCs/>
        </w:rPr>
        <w:t xml:space="preserve"> especially among groups who face wider barriers in different fields.</w:t>
      </w:r>
    </w:p>
    <w:p w14:paraId="7BEF083B" w14:textId="6AB29A8C"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General practitioner surgeries are the major NEET access options, but GP activity is not an easy task. NEET young people might be devoid of addresses that work out registration, may lead lives that are </w:t>
      </w:r>
      <w:r w:rsidR="00CB53C4" w:rsidRPr="002374EC">
        <w:rPr>
          <w:rFonts w:ascii="Arial" w:eastAsia="Times New Roman" w:hAnsi="Arial" w:cs="Arial"/>
          <w:bCs/>
        </w:rPr>
        <w:t>disorganised</w:t>
      </w:r>
      <w:r w:rsidRPr="002374EC">
        <w:rPr>
          <w:rFonts w:ascii="Arial" w:eastAsia="Times New Roman" w:hAnsi="Arial" w:cs="Arial"/>
          <w:bCs/>
        </w:rPr>
        <w:t xml:space="preserve"> and thus cannot attend school, may </w:t>
      </w:r>
      <w:r w:rsidR="00CB53C4" w:rsidRPr="002374EC">
        <w:rPr>
          <w:rFonts w:ascii="Arial" w:eastAsia="Times New Roman" w:hAnsi="Arial" w:cs="Arial"/>
          <w:bCs/>
        </w:rPr>
        <w:t>prioritise</w:t>
      </w:r>
      <w:r w:rsidRPr="002374EC">
        <w:rPr>
          <w:rFonts w:ascii="Arial" w:eastAsia="Times New Roman" w:hAnsi="Arial" w:cs="Arial"/>
          <w:bCs/>
        </w:rPr>
        <w:t xml:space="preserve"> survival over </w:t>
      </w:r>
      <w:r w:rsidRPr="002374EC">
        <w:rPr>
          <w:rFonts w:ascii="Arial" w:eastAsia="Times New Roman" w:hAnsi="Arial" w:cs="Arial"/>
          <w:bCs/>
        </w:rPr>
        <w:lastRenderedPageBreak/>
        <w:t>health</w:t>
      </w:r>
      <w:r w:rsidR="00CB53C4" w:rsidRPr="002374EC">
        <w:rPr>
          <w:rFonts w:ascii="Arial" w:eastAsia="Times New Roman" w:hAnsi="Arial" w:cs="Arial"/>
          <w:bCs/>
        </w:rPr>
        <w:t>,</w:t>
      </w:r>
      <w:r w:rsidRPr="002374EC">
        <w:rPr>
          <w:rFonts w:ascii="Arial" w:eastAsia="Times New Roman" w:hAnsi="Arial" w:cs="Arial"/>
          <w:bCs/>
        </w:rPr>
        <w:t xml:space="preserve"> including maintenance, </w:t>
      </w:r>
      <w:r w:rsidR="00CB53C4" w:rsidRPr="002374EC">
        <w:rPr>
          <w:rFonts w:ascii="Arial" w:eastAsia="Times New Roman" w:hAnsi="Arial" w:cs="Arial"/>
          <w:bCs/>
        </w:rPr>
        <w:t xml:space="preserve">and </w:t>
      </w:r>
      <w:r w:rsidRPr="002374EC">
        <w:rPr>
          <w:rFonts w:ascii="Arial" w:eastAsia="Times New Roman" w:hAnsi="Arial" w:cs="Arial"/>
          <w:bCs/>
        </w:rPr>
        <w:t xml:space="preserve">may not </w:t>
      </w:r>
      <w:r w:rsidR="00CB53C4" w:rsidRPr="002374EC">
        <w:rPr>
          <w:rFonts w:ascii="Arial" w:eastAsia="Times New Roman" w:hAnsi="Arial" w:cs="Arial"/>
          <w:bCs/>
        </w:rPr>
        <w:t xml:space="preserve">be </w:t>
      </w:r>
      <w:r w:rsidRPr="002374EC">
        <w:rPr>
          <w:rFonts w:ascii="Arial" w:eastAsia="Times New Roman" w:hAnsi="Arial" w:cs="Arial"/>
          <w:bCs/>
        </w:rPr>
        <w:t>comfortable with mental health discussions unless they know the people. Theoretically</w:t>
      </w:r>
      <w:r w:rsidR="00CB53C4" w:rsidRPr="002374EC">
        <w:rPr>
          <w:rFonts w:ascii="Arial" w:eastAsia="Times New Roman" w:hAnsi="Arial" w:cs="Arial"/>
          <w:bCs/>
        </w:rPr>
        <w:t>,</w:t>
      </w:r>
      <w:r w:rsidRPr="002374EC">
        <w:rPr>
          <w:rFonts w:ascii="Arial" w:eastAsia="Times New Roman" w:hAnsi="Arial" w:cs="Arial"/>
          <w:bCs/>
        </w:rPr>
        <w:t xml:space="preserve"> self-referral to NHS Talking Therapies ensures the circumvention of GP-gating but assumes that one </w:t>
      </w:r>
      <w:r w:rsidR="00CB53C4" w:rsidRPr="002374EC">
        <w:rPr>
          <w:rFonts w:ascii="Arial" w:eastAsia="Times New Roman" w:hAnsi="Arial" w:cs="Arial"/>
          <w:bCs/>
        </w:rPr>
        <w:t>knows about</w:t>
      </w:r>
      <w:r w:rsidRPr="002374EC">
        <w:rPr>
          <w:rFonts w:ascii="Arial" w:eastAsia="Times New Roman" w:hAnsi="Arial" w:cs="Arial"/>
          <w:bCs/>
        </w:rPr>
        <w:t xml:space="preserve"> the services, confidence in their system navigation skills, and articulation of need, which NEET youth do not have.</w:t>
      </w:r>
    </w:p>
    <w:p w14:paraId="1C1BBD3E" w14:textId="77777777" w:rsidR="009F1BE1" w:rsidRPr="002374EC" w:rsidRDefault="009F1BE1" w:rsidP="002374EC">
      <w:pPr>
        <w:pStyle w:val="Heading3"/>
        <w:spacing w:after="160" w:line="360" w:lineRule="auto"/>
        <w:jc w:val="both"/>
        <w:rPr>
          <w:rFonts w:ascii="Arial" w:hAnsi="Arial" w:cs="Arial"/>
          <w:color w:val="auto"/>
          <w:sz w:val="22"/>
        </w:rPr>
      </w:pPr>
      <w:bookmarkStart w:id="27" w:name="_Toc220926191"/>
      <w:r w:rsidRPr="002374EC">
        <w:rPr>
          <w:rFonts w:ascii="Arial" w:hAnsi="Arial" w:cs="Arial"/>
          <w:color w:val="auto"/>
          <w:sz w:val="22"/>
        </w:rPr>
        <w:t>2.5.2 Intersection of Multiple Disadvantages</w:t>
      </w:r>
      <w:bookmarkEnd w:id="27"/>
    </w:p>
    <w:p w14:paraId="6F37A619" w14:textId="7106A9F9"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The NEET status adds to the already present disadvantages that form overlapping barriers. Finance is an obstacle to transport, internet/phone access, and childcare</w:t>
      </w:r>
      <w:r w:rsidR="00CB53C4" w:rsidRPr="002374EC">
        <w:rPr>
          <w:rFonts w:ascii="Arial" w:eastAsia="Times New Roman" w:hAnsi="Arial" w:cs="Arial"/>
          <w:bCs/>
        </w:rPr>
        <w:t>,</w:t>
      </w:r>
      <w:r w:rsidRPr="002374EC">
        <w:rPr>
          <w:rFonts w:ascii="Arial" w:eastAsia="Times New Roman" w:hAnsi="Arial" w:cs="Arial"/>
          <w:bCs/>
        </w:rPr>
        <w:t xml:space="preserve"> so </w:t>
      </w:r>
      <w:r w:rsidR="00CB53C4" w:rsidRPr="002374EC">
        <w:rPr>
          <w:rFonts w:ascii="Arial" w:eastAsia="Times New Roman" w:hAnsi="Arial" w:cs="Arial"/>
          <w:bCs/>
        </w:rPr>
        <w:t>our</w:t>
      </w:r>
      <w:r w:rsidRPr="002374EC">
        <w:rPr>
          <w:rFonts w:ascii="Arial" w:eastAsia="Times New Roman" w:hAnsi="Arial" w:cs="Arial"/>
          <w:bCs/>
        </w:rPr>
        <w:t xml:space="preserve"> attendance can be possible. In a study by Buckman et al. (2023) (n=20,293, ages 18-24, NHS IAPT), NEET (22.7%) had 31% more likely </w:t>
      </w:r>
      <w:r w:rsidR="00CB53C4" w:rsidRPr="002374EC">
        <w:rPr>
          <w:rFonts w:ascii="Arial" w:eastAsia="Times New Roman" w:hAnsi="Arial" w:cs="Arial"/>
          <w:bCs/>
        </w:rPr>
        <w:t>to fail</w:t>
      </w:r>
      <w:r w:rsidRPr="002374EC">
        <w:rPr>
          <w:rFonts w:ascii="Arial" w:eastAsia="Times New Roman" w:hAnsi="Arial" w:cs="Arial"/>
          <w:bCs/>
        </w:rPr>
        <w:t xml:space="preserve"> to attend (compared to similarly-severe patients) and dropped out later in the process (OR=1.31, p&lt;0.001), which they assessed as activated by practical barriers that interrupted communication. Geographic </w:t>
      </w:r>
      <w:r w:rsidR="00CB53C4" w:rsidRPr="002374EC">
        <w:rPr>
          <w:rFonts w:ascii="Arial" w:eastAsia="Times New Roman" w:hAnsi="Arial" w:cs="Arial"/>
          <w:bCs/>
        </w:rPr>
        <w:t>marginalisation</w:t>
      </w:r>
      <w:r w:rsidRPr="002374EC">
        <w:rPr>
          <w:rFonts w:ascii="Arial" w:eastAsia="Times New Roman" w:hAnsi="Arial" w:cs="Arial"/>
          <w:bCs/>
        </w:rPr>
        <w:t xml:space="preserve"> of unimproved locales with most starving provoking increases ineptitude: A systematic mapping review (152 UK studies, 2014-2022) by Lowther-Payne et al. (2023) discovered lower referral rates in deprived areas</w:t>
      </w:r>
      <w:r w:rsidR="00CB53C4" w:rsidRPr="002374EC">
        <w:rPr>
          <w:rFonts w:ascii="Arial" w:eastAsia="Times New Roman" w:hAnsi="Arial" w:cs="Arial"/>
          <w:bCs/>
        </w:rPr>
        <w:t>,</w:t>
      </w:r>
      <w:r w:rsidRPr="002374EC">
        <w:rPr>
          <w:rFonts w:ascii="Arial" w:eastAsia="Times New Roman" w:hAnsi="Arial" w:cs="Arial"/>
          <w:bCs/>
        </w:rPr>
        <w:t xml:space="preserve"> whilst </w:t>
      </w:r>
      <w:r w:rsidR="00CB53C4" w:rsidRPr="002374EC">
        <w:rPr>
          <w:rFonts w:ascii="Arial" w:eastAsia="Times New Roman" w:hAnsi="Arial" w:cs="Arial"/>
          <w:bCs/>
        </w:rPr>
        <w:t xml:space="preserve">the </w:t>
      </w:r>
      <w:r w:rsidRPr="002374EC">
        <w:rPr>
          <w:rFonts w:ascii="Arial" w:eastAsia="Times New Roman" w:hAnsi="Arial" w:cs="Arial"/>
          <w:bCs/>
        </w:rPr>
        <w:t xml:space="preserve">unemployed indicated high crisis contact, which indicates reverse binding care law whereby </w:t>
      </w:r>
      <w:r w:rsidR="00CB53C4" w:rsidRPr="002374EC">
        <w:rPr>
          <w:rFonts w:ascii="Arial" w:eastAsia="Times New Roman" w:hAnsi="Arial" w:cs="Arial"/>
          <w:bCs/>
        </w:rPr>
        <w:t xml:space="preserve">the </w:t>
      </w:r>
      <w:r w:rsidRPr="002374EC">
        <w:rPr>
          <w:rFonts w:ascii="Arial" w:eastAsia="Times New Roman" w:hAnsi="Arial" w:cs="Arial"/>
          <w:bCs/>
        </w:rPr>
        <w:t>greatest necessity experienced most hindrances on preventive care.</w:t>
      </w:r>
    </w:p>
    <w:p w14:paraId="44EBFE39" w14:textId="2506E689"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Unstable lives and conflicting pressing needs (housing instability, food insecurity, claims to benefits, job applications) lead to an unjust diminishing of the importance of mental health treatment despite severe distress levels. Low levels of digital literacy influence access to online services </w:t>
      </w:r>
      <w:r w:rsidR="00CB53C4" w:rsidRPr="002374EC">
        <w:rPr>
          <w:rFonts w:ascii="Arial" w:eastAsia="Times New Roman" w:hAnsi="Arial" w:cs="Arial"/>
          <w:bCs/>
        </w:rPr>
        <w:t xml:space="preserve">that </w:t>
      </w:r>
      <w:r w:rsidRPr="002374EC">
        <w:rPr>
          <w:rFonts w:ascii="Arial" w:eastAsia="Times New Roman" w:hAnsi="Arial" w:cs="Arial"/>
          <w:bCs/>
        </w:rPr>
        <w:t>focus on digital transformation. The qualitative co-design with NEET young women by Berry et al. (2024) found unstable housing, frequent relocations that do not allow development of sustained relations, but poverty as an insurmountable obstacle as transport costs.</w:t>
      </w:r>
    </w:p>
    <w:p w14:paraId="2C84B556" w14:textId="77777777" w:rsidR="009F1BE1" w:rsidRPr="002374EC" w:rsidRDefault="009F1BE1" w:rsidP="002374EC">
      <w:pPr>
        <w:pStyle w:val="Heading3"/>
        <w:spacing w:after="160" w:line="360" w:lineRule="auto"/>
        <w:jc w:val="both"/>
        <w:rPr>
          <w:rFonts w:ascii="Arial" w:hAnsi="Arial" w:cs="Arial"/>
          <w:color w:val="auto"/>
          <w:sz w:val="22"/>
        </w:rPr>
      </w:pPr>
      <w:bookmarkStart w:id="28" w:name="_Toc220926192"/>
      <w:r w:rsidRPr="002374EC">
        <w:rPr>
          <w:rFonts w:ascii="Arial" w:hAnsi="Arial" w:cs="Arial"/>
          <w:color w:val="auto"/>
          <w:sz w:val="22"/>
        </w:rPr>
        <w:t>2.5.3 Anticipated Discrimination and Low Expectations</w:t>
      </w:r>
      <w:bookmarkEnd w:id="28"/>
    </w:p>
    <w:p w14:paraId="7A2D7BE8" w14:textId="19E8889B"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NEET young adults expect judgment on the status of unemployment when receiving services, which puts them in disclosure reluctance. There is intersectional stigma of mental health and unemployment that produces a doubled shame: fears of mental health assistance </w:t>
      </w:r>
      <w:r w:rsidR="00CB53C4" w:rsidRPr="002374EC">
        <w:rPr>
          <w:rFonts w:ascii="Arial" w:eastAsia="Times New Roman" w:hAnsi="Arial" w:cs="Arial"/>
          <w:bCs/>
        </w:rPr>
        <w:t>bring</w:t>
      </w:r>
      <w:r w:rsidRPr="002374EC">
        <w:rPr>
          <w:rFonts w:ascii="Arial" w:eastAsia="Times New Roman" w:hAnsi="Arial" w:cs="Arial"/>
          <w:bCs/>
        </w:rPr>
        <w:t xml:space="preserve"> forth unemployment status; anxieties about unemployment </w:t>
      </w:r>
      <w:r w:rsidR="00CB53C4" w:rsidRPr="002374EC">
        <w:rPr>
          <w:rFonts w:ascii="Arial" w:eastAsia="Times New Roman" w:hAnsi="Arial" w:cs="Arial"/>
          <w:bCs/>
        </w:rPr>
        <w:t>bring</w:t>
      </w:r>
      <w:r w:rsidRPr="002374EC">
        <w:rPr>
          <w:rFonts w:ascii="Arial" w:eastAsia="Times New Roman" w:hAnsi="Arial" w:cs="Arial"/>
          <w:bCs/>
        </w:rPr>
        <w:t xml:space="preserve"> forth fears of being judged on motivation, ability, </w:t>
      </w:r>
      <w:r w:rsidR="00CB53C4" w:rsidRPr="002374EC">
        <w:rPr>
          <w:rFonts w:ascii="Arial" w:eastAsia="Times New Roman" w:hAnsi="Arial" w:cs="Arial"/>
          <w:bCs/>
        </w:rPr>
        <w:t xml:space="preserve">and </w:t>
      </w:r>
      <w:r w:rsidRPr="002374EC">
        <w:rPr>
          <w:rFonts w:ascii="Arial" w:eastAsia="Times New Roman" w:hAnsi="Arial" w:cs="Arial"/>
          <w:bCs/>
        </w:rPr>
        <w:t xml:space="preserve">failures. Cultural/class barriers due to the services perceived as not intended </w:t>
      </w:r>
      <w:r w:rsidR="00CB53C4" w:rsidRPr="002374EC">
        <w:rPr>
          <w:rFonts w:ascii="Arial" w:eastAsia="Times New Roman" w:hAnsi="Arial" w:cs="Arial"/>
          <w:bCs/>
        </w:rPr>
        <w:t>for</w:t>
      </w:r>
      <w:r w:rsidRPr="002374EC">
        <w:rPr>
          <w:rFonts w:ascii="Arial" w:eastAsia="Times New Roman" w:hAnsi="Arial" w:cs="Arial"/>
          <w:bCs/>
        </w:rPr>
        <w:t xml:space="preserve"> them are there, and norms of the middle classes concerning scheduling appointments, verbal expressiveness, </w:t>
      </w:r>
      <w:r w:rsidR="00CB53C4" w:rsidRPr="002374EC">
        <w:rPr>
          <w:rFonts w:ascii="Arial" w:eastAsia="Times New Roman" w:hAnsi="Arial" w:cs="Arial"/>
          <w:bCs/>
        </w:rPr>
        <w:t xml:space="preserve">and </w:t>
      </w:r>
      <w:r w:rsidRPr="002374EC">
        <w:rPr>
          <w:rFonts w:ascii="Arial" w:eastAsia="Times New Roman" w:hAnsi="Arial" w:cs="Arial"/>
          <w:bCs/>
        </w:rPr>
        <w:t>a sense of psychological mindedness, make working-class NEET young people feel like strangers to such a lifestyle.</w:t>
      </w:r>
    </w:p>
    <w:p w14:paraId="3DF7610D" w14:textId="6F097B54"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Unrealistic expectations of low service quality/relevance/helpfulness are based on dismissal, </w:t>
      </w:r>
      <w:r w:rsidR="00CB53C4" w:rsidRPr="002374EC">
        <w:rPr>
          <w:rFonts w:ascii="Arial" w:eastAsia="Times New Roman" w:hAnsi="Arial" w:cs="Arial"/>
          <w:bCs/>
        </w:rPr>
        <w:t>marginalisation</w:t>
      </w:r>
      <w:r w:rsidRPr="002374EC">
        <w:rPr>
          <w:rFonts w:ascii="Arial" w:eastAsia="Times New Roman" w:hAnsi="Arial" w:cs="Arial"/>
          <w:bCs/>
        </w:rPr>
        <w:t xml:space="preserve">, </w:t>
      </w:r>
      <w:r w:rsidR="00CB53C4" w:rsidRPr="002374EC">
        <w:rPr>
          <w:rFonts w:ascii="Arial" w:eastAsia="Times New Roman" w:hAnsi="Arial" w:cs="Arial"/>
          <w:bCs/>
        </w:rPr>
        <w:t xml:space="preserve">and </w:t>
      </w:r>
      <w:r w:rsidRPr="002374EC">
        <w:rPr>
          <w:rFonts w:ascii="Arial" w:eastAsia="Times New Roman" w:hAnsi="Arial" w:cs="Arial"/>
          <w:bCs/>
        </w:rPr>
        <w:t xml:space="preserve">inefficiencies of previous contacts. A first-episode psychosis study by Iyer </w:t>
      </w:r>
      <w:r w:rsidRPr="002374EC">
        <w:rPr>
          <w:rFonts w:ascii="Arial" w:eastAsia="Times New Roman" w:hAnsi="Arial" w:cs="Arial"/>
          <w:bCs/>
        </w:rPr>
        <w:lastRenderedPageBreak/>
        <w:t>et al. (2018) in Canada found no significant difference in NEET approval of assistance seeking compared to non-NEET (5.12 vs 4.36, p=0.032)</w:t>
      </w:r>
      <w:r w:rsidR="00CB53C4" w:rsidRPr="002374EC">
        <w:rPr>
          <w:rFonts w:ascii="Arial" w:eastAsia="Times New Roman" w:hAnsi="Arial" w:cs="Arial"/>
          <w:bCs/>
        </w:rPr>
        <w:t>,</w:t>
      </w:r>
      <w:r w:rsidRPr="002374EC">
        <w:rPr>
          <w:rFonts w:ascii="Arial" w:eastAsia="Times New Roman" w:hAnsi="Arial" w:cs="Arial"/>
          <w:bCs/>
        </w:rPr>
        <w:t xml:space="preserve"> but a significant increase in the untreated duration of NEET (23 vs 21) and demonstrates failures in systems to identify and respond accordingly to active help-seeking. It is a systemic barrier with poorly recognized professionality and not merely a personal hesitation.</w:t>
      </w:r>
    </w:p>
    <w:p w14:paraId="56530D9B" w14:textId="59465A44"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These NEET barriers are unique to this group compared to general youth samples due to institutional exclusion that poses special access barriers, combined </w:t>
      </w:r>
      <w:r w:rsidR="00CB53C4" w:rsidRPr="002374EC">
        <w:rPr>
          <w:rFonts w:ascii="Arial" w:eastAsia="Times New Roman" w:hAnsi="Arial" w:cs="Arial"/>
          <w:bCs/>
        </w:rPr>
        <w:t xml:space="preserve">with </w:t>
      </w:r>
      <w:r w:rsidRPr="002374EC">
        <w:rPr>
          <w:rFonts w:ascii="Arial" w:eastAsia="Times New Roman" w:hAnsi="Arial" w:cs="Arial"/>
          <w:bCs/>
        </w:rPr>
        <w:t xml:space="preserve">disadvantages that increase practical constraints, and even expected discrimination that presumes realistic judgments about the </w:t>
      </w:r>
      <w:r w:rsidR="00CB53C4" w:rsidRPr="002374EC">
        <w:rPr>
          <w:rFonts w:ascii="Arial" w:eastAsia="Times New Roman" w:hAnsi="Arial" w:cs="Arial"/>
          <w:bCs/>
        </w:rPr>
        <w:t>service</w:t>
      </w:r>
      <w:r w:rsidRPr="002374EC">
        <w:rPr>
          <w:rFonts w:ascii="Arial" w:eastAsia="Times New Roman" w:hAnsi="Arial" w:cs="Arial"/>
          <w:bCs/>
        </w:rPr>
        <w:t xml:space="preserve"> cultures that are not tailored to their </w:t>
      </w:r>
      <w:r w:rsidR="00CB53C4" w:rsidRPr="002374EC">
        <w:rPr>
          <w:rFonts w:ascii="Arial" w:eastAsia="Times New Roman" w:hAnsi="Arial" w:cs="Arial"/>
          <w:bCs/>
        </w:rPr>
        <w:t>needs</w:t>
      </w:r>
      <w:r w:rsidRPr="002374EC">
        <w:rPr>
          <w:rFonts w:ascii="Arial" w:eastAsia="Times New Roman" w:hAnsi="Arial" w:cs="Arial"/>
          <w:bCs/>
        </w:rPr>
        <w:t xml:space="preserve">. To determine the particular mechanisms in place, it is necessary to conduct research focusing explicitly on NEET populations and not to infer about the NEET surveys based on the rest of the youth evidence or just consider NEET as </w:t>
      </w:r>
      <w:r w:rsidR="00CB53C4" w:rsidRPr="002374EC">
        <w:rPr>
          <w:rFonts w:ascii="Arial" w:eastAsia="Times New Roman" w:hAnsi="Arial" w:cs="Arial"/>
          <w:bCs/>
        </w:rPr>
        <w:t xml:space="preserve">a </w:t>
      </w:r>
      <w:r w:rsidRPr="002374EC">
        <w:rPr>
          <w:rFonts w:ascii="Arial" w:eastAsia="Times New Roman" w:hAnsi="Arial" w:cs="Arial"/>
          <w:bCs/>
        </w:rPr>
        <w:t>demographic variable when conducting the study of the population.</w:t>
      </w:r>
    </w:p>
    <w:p w14:paraId="4B3DE400" w14:textId="77777777" w:rsidR="009F1BE1" w:rsidRPr="002374EC" w:rsidRDefault="009F1BE1" w:rsidP="002374EC">
      <w:pPr>
        <w:pStyle w:val="Heading2"/>
        <w:spacing w:after="160" w:line="360" w:lineRule="auto"/>
        <w:jc w:val="both"/>
        <w:rPr>
          <w:rFonts w:ascii="Arial" w:hAnsi="Arial" w:cs="Arial"/>
          <w:color w:val="auto"/>
          <w:sz w:val="22"/>
        </w:rPr>
      </w:pPr>
      <w:bookmarkStart w:id="29" w:name="_Toc220926193"/>
      <w:r w:rsidRPr="002374EC">
        <w:rPr>
          <w:rFonts w:ascii="Arial" w:hAnsi="Arial" w:cs="Arial"/>
          <w:color w:val="auto"/>
          <w:sz w:val="22"/>
        </w:rPr>
        <w:t>2.6 UK Policy and Service Landscape</w:t>
      </w:r>
      <w:bookmarkEnd w:id="29"/>
    </w:p>
    <w:p w14:paraId="2060B509" w14:textId="77777777" w:rsidR="009F1BE1" w:rsidRPr="002374EC" w:rsidRDefault="009F1BE1" w:rsidP="002374EC">
      <w:pPr>
        <w:pStyle w:val="Heading3"/>
        <w:spacing w:after="160" w:line="360" w:lineRule="auto"/>
        <w:jc w:val="both"/>
        <w:rPr>
          <w:rFonts w:ascii="Arial" w:hAnsi="Arial" w:cs="Arial"/>
          <w:color w:val="auto"/>
          <w:sz w:val="22"/>
        </w:rPr>
      </w:pPr>
      <w:bookmarkStart w:id="30" w:name="_Toc220926194"/>
      <w:r w:rsidRPr="002374EC">
        <w:rPr>
          <w:rFonts w:ascii="Arial" w:hAnsi="Arial" w:cs="Arial"/>
          <w:color w:val="auto"/>
          <w:sz w:val="22"/>
        </w:rPr>
        <w:t>2.6.1 NHS Mental Health Services for Young Adults</w:t>
      </w:r>
      <w:bookmarkEnd w:id="30"/>
    </w:p>
    <w:p w14:paraId="390DD65D" w14:textId="39056EA0"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NHS services consist of different levels </w:t>
      </w:r>
      <w:r w:rsidR="00CB53C4" w:rsidRPr="002374EC">
        <w:rPr>
          <w:rFonts w:ascii="Arial" w:eastAsia="Times New Roman" w:hAnsi="Arial" w:cs="Arial"/>
          <w:bCs/>
        </w:rPr>
        <w:t>with</w:t>
      </w:r>
      <w:r w:rsidRPr="002374EC">
        <w:rPr>
          <w:rFonts w:ascii="Arial" w:eastAsia="Times New Roman" w:hAnsi="Arial" w:cs="Arial"/>
          <w:bCs/>
        </w:rPr>
        <w:t xml:space="preserve"> different access. NHS Talking Therapies offers self-based / GP-referral, guided self-help and low-intensity CBT in the field of anxiety/depression. The systematic review by Wakefield et al. (2021) (n=60 studies) has large IAPT effect sizes: depression (d=0.87), anxiety (d=0.88). The evaluation of Gyani et al. (2013) revealed that predictors of recovery comprise NICE compliance</w:t>
      </w:r>
      <w:r w:rsidR="00CB53C4" w:rsidRPr="002374EC">
        <w:rPr>
          <w:rFonts w:ascii="Arial" w:eastAsia="Times New Roman" w:hAnsi="Arial" w:cs="Arial"/>
          <w:bCs/>
        </w:rPr>
        <w:t xml:space="preserve"> and</w:t>
      </w:r>
      <w:r w:rsidRPr="002374EC">
        <w:rPr>
          <w:rFonts w:ascii="Arial" w:eastAsia="Times New Roman" w:hAnsi="Arial" w:cs="Arial"/>
          <w:bCs/>
        </w:rPr>
        <w:t xml:space="preserve"> level of treatment. Nevertheless, the deprivation gradients are based on inequitable results (NHS Digital, 2024)</w:t>
      </w:r>
      <w:r w:rsidR="00CB53C4" w:rsidRPr="002374EC">
        <w:rPr>
          <w:rFonts w:ascii="Arial" w:eastAsia="Times New Roman" w:hAnsi="Arial" w:cs="Arial"/>
          <w:bCs/>
        </w:rPr>
        <w:t xml:space="preserve"> and</w:t>
      </w:r>
      <w:r w:rsidRPr="002374EC">
        <w:rPr>
          <w:rFonts w:ascii="Arial" w:eastAsia="Times New Roman" w:hAnsi="Arial" w:cs="Arial"/>
          <w:bCs/>
        </w:rPr>
        <w:t xml:space="preserve"> unfulfilled targets (Nuffield Trust, 2025).</w:t>
      </w:r>
    </w:p>
    <w:p w14:paraId="62E57B2F" w14:textId="7F880044"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Secondary services such as Community Mental Health Teams offer specialist severe/enduring illness assessment/treatment</w:t>
      </w:r>
      <w:r w:rsidR="00CB53C4" w:rsidRPr="002374EC">
        <w:rPr>
          <w:rFonts w:ascii="Arial" w:eastAsia="Times New Roman" w:hAnsi="Arial" w:cs="Arial"/>
          <w:bCs/>
        </w:rPr>
        <w:t>,</w:t>
      </w:r>
      <w:r w:rsidRPr="002374EC">
        <w:rPr>
          <w:rFonts w:ascii="Arial" w:eastAsia="Times New Roman" w:hAnsi="Arial" w:cs="Arial"/>
          <w:bCs/>
        </w:rPr>
        <w:t xml:space="preserve"> but not moderate problems. There is short-term intensive support on the crisis services, but the NEET housing instability and the lack of </w:t>
      </w:r>
      <w:r w:rsidR="00CB53C4" w:rsidRPr="002374EC">
        <w:rPr>
          <w:rFonts w:ascii="Arial" w:eastAsia="Times New Roman" w:hAnsi="Arial" w:cs="Arial"/>
          <w:bCs/>
        </w:rPr>
        <w:t xml:space="preserve">a </w:t>
      </w:r>
      <w:r w:rsidRPr="002374EC">
        <w:rPr>
          <w:rFonts w:ascii="Arial" w:eastAsia="Times New Roman" w:hAnsi="Arial" w:cs="Arial"/>
          <w:bCs/>
        </w:rPr>
        <w:t xml:space="preserve">support network restrict the possibility of providing home treatment. Third sector (Mind, Rethink, YoungMinds) offers </w:t>
      </w:r>
      <w:r w:rsidR="00CB53C4" w:rsidRPr="002374EC">
        <w:rPr>
          <w:rFonts w:ascii="Arial" w:eastAsia="Times New Roman" w:hAnsi="Arial" w:cs="Arial"/>
          <w:bCs/>
        </w:rPr>
        <w:t>counselling</w:t>
      </w:r>
      <w:r w:rsidRPr="002374EC">
        <w:rPr>
          <w:rFonts w:ascii="Arial" w:eastAsia="Times New Roman" w:hAnsi="Arial" w:cs="Arial"/>
          <w:bCs/>
        </w:rPr>
        <w:t xml:space="preserve">, peer support, </w:t>
      </w:r>
      <w:r w:rsidR="00CB53C4" w:rsidRPr="002374EC">
        <w:rPr>
          <w:rFonts w:ascii="Arial" w:eastAsia="Times New Roman" w:hAnsi="Arial" w:cs="Arial"/>
          <w:bCs/>
        </w:rPr>
        <w:t xml:space="preserve">and </w:t>
      </w:r>
      <w:r w:rsidRPr="002374EC">
        <w:rPr>
          <w:rFonts w:ascii="Arial" w:eastAsia="Times New Roman" w:hAnsi="Arial" w:cs="Arial"/>
          <w:bCs/>
        </w:rPr>
        <w:t xml:space="preserve">advocacy, which is often easier to access than statutory services, particularly by </w:t>
      </w:r>
      <w:r w:rsidR="00CB53C4" w:rsidRPr="002374EC">
        <w:rPr>
          <w:rFonts w:ascii="Arial" w:eastAsia="Times New Roman" w:hAnsi="Arial" w:cs="Arial"/>
          <w:bCs/>
        </w:rPr>
        <w:t>marginalised</w:t>
      </w:r>
      <w:r w:rsidRPr="002374EC">
        <w:rPr>
          <w:rFonts w:ascii="Arial" w:eastAsia="Times New Roman" w:hAnsi="Arial" w:cs="Arial"/>
          <w:bCs/>
        </w:rPr>
        <w:t xml:space="preserve"> groups. The transition of CAMHS to AMHS at the age of 18 has a specific vulnerability (Singh et al., 2010).</w:t>
      </w:r>
    </w:p>
    <w:p w14:paraId="18B3AC45" w14:textId="77777777" w:rsidR="009F1BE1" w:rsidRPr="002374EC" w:rsidRDefault="009F1BE1" w:rsidP="002374EC">
      <w:pPr>
        <w:pStyle w:val="Heading3"/>
        <w:spacing w:after="160" w:line="360" w:lineRule="auto"/>
        <w:jc w:val="both"/>
        <w:rPr>
          <w:rFonts w:ascii="Arial" w:hAnsi="Arial" w:cs="Arial"/>
          <w:color w:val="auto"/>
          <w:sz w:val="22"/>
        </w:rPr>
      </w:pPr>
      <w:bookmarkStart w:id="31" w:name="_Toc220926195"/>
      <w:r w:rsidRPr="002374EC">
        <w:rPr>
          <w:rFonts w:ascii="Arial" w:hAnsi="Arial" w:cs="Arial"/>
          <w:color w:val="auto"/>
          <w:sz w:val="22"/>
        </w:rPr>
        <w:t>2.6.2 Policy Initiatives and Integration</w:t>
      </w:r>
      <w:bookmarkEnd w:id="31"/>
    </w:p>
    <w:p w14:paraId="3FE47FA6" w14:textId="1C9E293D"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Mental health is becoming an important part of the UK employment policy as it identifies it both as </w:t>
      </w:r>
      <w:r w:rsidR="00CB53C4" w:rsidRPr="002374EC">
        <w:rPr>
          <w:rFonts w:ascii="Arial" w:eastAsia="Times New Roman" w:hAnsi="Arial" w:cs="Arial"/>
          <w:bCs/>
        </w:rPr>
        <w:t xml:space="preserve">an </w:t>
      </w:r>
      <w:r w:rsidRPr="002374EC">
        <w:rPr>
          <w:rFonts w:ascii="Arial" w:eastAsia="Times New Roman" w:hAnsi="Arial" w:cs="Arial"/>
          <w:bCs/>
        </w:rPr>
        <w:t xml:space="preserve">effect and </w:t>
      </w:r>
      <w:r w:rsidR="00CB53C4" w:rsidRPr="002374EC">
        <w:rPr>
          <w:rFonts w:ascii="Arial" w:eastAsia="Times New Roman" w:hAnsi="Arial" w:cs="Arial"/>
          <w:bCs/>
        </w:rPr>
        <w:t xml:space="preserve">a </w:t>
      </w:r>
      <w:r w:rsidRPr="002374EC">
        <w:rPr>
          <w:rFonts w:ascii="Arial" w:eastAsia="Times New Roman" w:hAnsi="Arial" w:cs="Arial"/>
          <w:bCs/>
        </w:rPr>
        <w:t xml:space="preserve">cause of worklessness. The Pathways to Work (2025) report by </w:t>
      </w:r>
      <w:r w:rsidR="00CB53C4" w:rsidRPr="002374EC">
        <w:rPr>
          <w:rFonts w:ascii="Arial" w:eastAsia="Times New Roman" w:hAnsi="Arial" w:cs="Arial"/>
          <w:bCs/>
        </w:rPr>
        <w:t xml:space="preserve">the </w:t>
      </w:r>
      <w:r w:rsidRPr="002374EC">
        <w:rPr>
          <w:rFonts w:ascii="Arial" w:eastAsia="Times New Roman" w:hAnsi="Arial" w:cs="Arial"/>
          <w:bCs/>
        </w:rPr>
        <w:t xml:space="preserve">Department for Work and Pensions recorded the </w:t>
      </w:r>
      <w:r w:rsidR="00CB53C4" w:rsidRPr="002374EC">
        <w:rPr>
          <w:rFonts w:ascii="Arial" w:eastAsia="Times New Roman" w:hAnsi="Arial" w:cs="Arial"/>
          <w:bCs/>
        </w:rPr>
        <w:t>economic</w:t>
      </w:r>
      <w:r w:rsidRPr="002374EC">
        <w:rPr>
          <w:rFonts w:ascii="Arial" w:eastAsia="Times New Roman" w:hAnsi="Arial" w:cs="Arial"/>
          <w:bCs/>
        </w:rPr>
        <w:t xml:space="preserve"> inactivity of 270,000 youth because of mental health (26% increment), suggesting the integration of work pathways of </w:t>
      </w:r>
      <w:r w:rsidRPr="002374EC">
        <w:rPr>
          <w:rFonts w:ascii="Arial" w:eastAsia="Times New Roman" w:hAnsi="Arial" w:cs="Arial"/>
          <w:bCs/>
        </w:rPr>
        <w:lastRenderedPageBreak/>
        <w:t xml:space="preserve">WorkWell, Individual Placement Support, and connect to work. The UK RCT by Burns et al. (2015) reported 41-46% employment rates at 18 months, which </w:t>
      </w:r>
      <w:r w:rsidR="00CB53C4" w:rsidRPr="002374EC">
        <w:rPr>
          <w:rFonts w:ascii="Arial" w:eastAsia="Times New Roman" w:hAnsi="Arial" w:cs="Arial"/>
          <w:bCs/>
        </w:rPr>
        <w:t>supports</w:t>
      </w:r>
      <w:r w:rsidRPr="002374EC">
        <w:rPr>
          <w:rFonts w:ascii="Arial" w:eastAsia="Times New Roman" w:hAnsi="Arial" w:cs="Arial"/>
          <w:bCs/>
        </w:rPr>
        <w:t xml:space="preserve"> employment practicability. A two-year trial conducted by </w:t>
      </w:r>
      <w:r w:rsidR="002609F9" w:rsidRPr="002374EC">
        <w:rPr>
          <w:rFonts w:ascii="Arial" w:hAnsi="Arial" w:cs="Arial"/>
        </w:rPr>
        <w:t xml:space="preserve">Howard </w:t>
      </w:r>
      <w:r w:rsidRPr="002374EC">
        <w:rPr>
          <w:rFonts w:ascii="Arial" w:eastAsia="Times New Roman" w:hAnsi="Arial" w:cs="Arial"/>
          <w:bCs/>
        </w:rPr>
        <w:t>et al. (201</w:t>
      </w:r>
      <w:r w:rsidR="002609F9" w:rsidRPr="002374EC">
        <w:rPr>
          <w:rFonts w:ascii="Arial" w:eastAsia="Times New Roman" w:hAnsi="Arial" w:cs="Arial"/>
          <w:bCs/>
        </w:rPr>
        <w:t>0</w:t>
      </w:r>
      <w:r w:rsidRPr="002374EC">
        <w:rPr>
          <w:rFonts w:ascii="Arial" w:eastAsia="Times New Roman" w:hAnsi="Arial" w:cs="Arial"/>
          <w:bCs/>
        </w:rPr>
        <w:t>) revealed the employment gains (22% vs 11%, p&lt;0.05) but suggested implementation issues: There is no mental health-employment service integration, benefit sanction disincentives.</w:t>
      </w:r>
    </w:p>
    <w:p w14:paraId="3C01E011" w14:textId="3A75FC32"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In the cross-governmental framework of </w:t>
      </w:r>
      <w:r w:rsidR="00CB53C4" w:rsidRPr="002374EC">
        <w:rPr>
          <w:rFonts w:ascii="Arial" w:eastAsia="Times New Roman" w:hAnsi="Arial" w:cs="Arial"/>
          <w:bCs/>
        </w:rPr>
        <w:t xml:space="preserve">the </w:t>
      </w:r>
      <w:r w:rsidRPr="002374EC">
        <w:rPr>
          <w:rFonts w:ascii="Arial" w:eastAsia="Times New Roman" w:hAnsi="Arial" w:cs="Arial"/>
          <w:bCs/>
        </w:rPr>
        <w:t xml:space="preserve">Department of Health and Social Care (2024), the transitions to employment were reported as determinants at the community level, which record DWP Youth Offer ( Youth Hubs, Youth Employability Coaches). However, the integration is still sporadic, and mental health and employment support </w:t>
      </w:r>
      <w:r w:rsidR="00CB53C4" w:rsidRPr="002374EC">
        <w:rPr>
          <w:rFonts w:ascii="Arial" w:eastAsia="Times New Roman" w:hAnsi="Arial" w:cs="Arial"/>
          <w:bCs/>
        </w:rPr>
        <w:t>operate</w:t>
      </w:r>
      <w:r w:rsidRPr="002374EC">
        <w:rPr>
          <w:rFonts w:ascii="Arial" w:eastAsia="Times New Roman" w:hAnsi="Arial" w:cs="Arial"/>
          <w:bCs/>
        </w:rPr>
        <w:t xml:space="preserve"> in silos even though it has been acknowledged to be interdependent. The promises of </w:t>
      </w:r>
      <w:r w:rsidR="00CB53C4" w:rsidRPr="002374EC">
        <w:rPr>
          <w:rFonts w:ascii="Arial" w:eastAsia="Times New Roman" w:hAnsi="Arial" w:cs="Arial"/>
          <w:bCs/>
        </w:rPr>
        <w:t xml:space="preserve">the </w:t>
      </w:r>
      <w:r w:rsidRPr="002374EC">
        <w:rPr>
          <w:rFonts w:ascii="Arial" w:eastAsia="Times New Roman" w:hAnsi="Arial" w:cs="Arial"/>
          <w:bCs/>
        </w:rPr>
        <w:t xml:space="preserve">NHS Long Term Plan (NHS England, 2019) contain </w:t>
      </w:r>
      <w:r w:rsidR="00CB53C4" w:rsidRPr="002374EC">
        <w:rPr>
          <w:rFonts w:ascii="Arial" w:eastAsia="Times New Roman" w:hAnsi="Arial" w:cs="Arial"/>
          <w:bCs/>
        </w:rPr>
        <w:t>NEET-centred</w:t>
      </w:r>
      <w:r w:rsidRPr="002374EC">
        <w:rPr>
          <w:rFonts w:ascii="Arial" w:eastAsia="Times New Roman" w:hAnsi="Arial" w:cs="Arial"/>
          <w:bCs/>
        </w:rPr>
        <w:t xml:space="preserve"> commissioning opportunities, but implementation progress is slow (The King's Fund, 2024).</w:t>
      </w:r>
    </w:p>
    <w:p w14:paraId="2EFDC112" w14:textId="77777777"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This discontinuous landscape illustrates that policy acknowledges mental health-employment interdependence, and it is not structurally integrated, which leaves the coordination gaps that are especially difficult with NEET populations in need of simultaneous mental health care and employment assistance.</w:t>
      </w:r>
    </w:p>
    <w:p w14:paraId="57E4A1A9" w14:textId="77777777" w:rsidR="009F1BE1" w:rsidRPr="002374EC" w:rsidRDefault="009F1BE1" w:rsidP="002374EC">
      <w:pPr>
        <w:pStyle w:val="Heading2"/>
        <w:spacing w:after="160" w:line="360" w:lineRule="auto"/>
        <w:jc w:val="both"/>
        <w:rPr>
          <w:rFonts w:ascii="Arial" w:hAnsi="Arial" w:cs="Arial"/>
          <w:color w:val="auto"/>
          <w:sz w:val="22"/>
        </w:rPr>
      </w:pPr>
      <w:bookmarkStart w:id="32" w:name="_Toc220926196"/>
      <w:r w:rsidRPr="002374EC">
        <w:rPr>
          <w:rFonts w:ascii="Arial" w:hAnsi="Arial" w:cs="Arial"/>
          <w:color w:val="auto"/>
          <w:sz w:val="22"/>
        </w:rPr>
        <w:t>2.7 Synthesis and Research Gap Identification</w:t>
      </w:r>
      <w:bookmarkEnd w:id="32"/>
    </w:p>
    <w:p w14:paraId="791AAD3A" w14:textId="20E048FA"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The available evidence confirms that general youth populations are exposed to significant structural (availability, accessibility, waiting times, complexity), attitudinal (stigma, lack of literacy, self-reliance) and social (support lack, confidentiality concerns, negative experiences) barriers (Radez et al., 2021; Gulliver et al., 2010; Clement et al., 2015). There is </w:t>
      </w:r>
      <w:r w:rsidR="00CB53C4" w:rsidRPr="002374EC">
        <w:rPr>
          <w:rFonts w:ascii="Arial" w:eastAsia="Times New Roman" w:hAnsi="Arial" w:cs="Arial"/>
          <w:bCs/>
        </w:rPr>
        <w:t xml:space="preserve">a </w:t>
      </w:r>
      <w:r w:rsidRPr="002374EC">
        <w:rPr>
          <w:rFonts w:ascii="Arial" w:eastAsia="Times New Roman" w:hAnsi="Arial" w:cs="Arial"/>
          <w:bCs/>
        </w:rPr>
        <w:t xml:space="preserve">high mental health burden among NEET populations that shows both upward and downward relationships wherein mental health issues predict NEET status and unemployment increases mental health continue to deteriorate (Gariépy et al., 2022; Lindblad et al., 2024; Paul and Moser, 2009; Strandh et al., 2014). NEET young people are in overlapping disadvantages such as poverty, social exclusion, the lack of social capital, </w:t>
      </w:r>
      <w:r w:rsidR="00CB53C4" w:rsidRPr="002374EC">
        <w:rPr>
          <w:rFonts w:ascii="Arial" w:eastAsia="Times New Roman" w:hAnsi="Arial" w:cs="Arial"/>
          <w:bCs/>
        </w:rPr>
        <w:t xml:space="preserve">and </w:t>
      </w:r>
      <w:r w:rsidRPr="002374EC">
        <w:rPr>
          <w:rFonts w:ascii="Arial" w:eastAsia="Times New Roman" w:hAnsi="Arial" w:cs="Arial"/>
          <w:bCs/>
        </w:rPr>
        <w:t>geographic isolation (Marmot et al., 2010, 2020; Kirkbride et al., 2024).</w:t>
      </w:r>
    </w:p>
    <w:p w14:paraId="0F748C4D" w14:textId="606BDEA2"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t xml:space="preserve">Nevertheless, there is little </w:t>
      </w:r>
      <w:r w:rsidR="00CB53C4" w:rsidRPr="002374EC">
        <w:rPr>
          <w:rFonts w:ascii="Arial" w:eastAsia="Times New Roman" w:hAnsi="Arial" w:cs="Arial"/>
          <w:bCs/>
        </w:rPr>
        <w:t>research</w:t>
      </w:r>
      <w:r w:rsidRPr="002374EC">
        <w:rPr>
          <w:rFonts w:ascii="Arial" w:eastAsia="Times New Roman" w:hAnsi="Arial" w:cs="Arial"/>
          <w:bCs/>
        </w:rPr>
        <w:t xml:space="preserve"> that specifically looks at the obstacles to mental health service </w:t>
      </w:r>
      <w:r w:rsidR="00CB53C4" w:rsidRPr="002374EC">
        <w:rPr>
          <w:rFonts w:ascii="Arial" w:eastAsia="Times New Roman" w:hAnsi="Arial" w:cs="Arial"/>
          <w:bCs/>
        </w:rPr>
        <w:t>uptake</w:t>
      </w:r>
      <w:r w:rsidRPr="002374EC">
        <w:rPr>
          <w:rFonts w:ascii="Arial" w:eastAsia="Times New Roman" w:hAnsi="Arial" w:cs="Arial"/>
          <w:bCs/>
        </w:rPr>
        <w:t xml:space="preserve"> among NEET young adults aged between 18</w:t>
      </w:r>
      <w:r w:rsidR="00CB53C4" w:rsidRPr="002374EC">
        <w:rPr>
          <w:rFonts w:ascii="Arial" w:eastAsia="Times New Roman" w:hAnsi="Arial" w:cs="Arial"/>
          <w:bCs/>
        </w:rPr>
        <w:t xml:space="preserve"> and </w:t>
      </w:r>
      <w:r w:rsidRPr="002374EC">
        <w:rPr>
          <w:rFonts w:ascii="Arial" w:eastAsia="Times New Roman" w:hAnsi="Arial" w:cs="Arial"/>
          <w:bCs/>
        </w:rPr>
        <w:t xml:space="preserve">25 in the UK settings. The current findings are based on the general population of the youth with the NEET as the demographic, and studies which concentrated on NEET populations, but did not focus on service access. There is </w:t>
      </w:r>
      <w:r w:rsidR="00CB53C4" w:rsidRPr="002374EC">
        <w:rPr>
          <w:rFonts w:ascii="Arial" w:eastAsia="Times New Roman" w:hAnsi="Arial" w:cs="Arial"/>
          <w:bCs/>
        </w:rPr>
        <w:t xml:space="preserve">a </w:t>
      </w:r>
      <w:r w:rsidRPr="002374EC">
        <w:rPr>
          <w:rFonts w:ascii="Arial" w:eastAsia="Times New Roman" w:hAnsi="Arial" w:cs="Arial"/>
          <w:bCs/>
        </w:rPr>
        <w:t xml:space="preserve">lack of literature on the NEET status, young adult age, and barriers to mental health services despite policy acclaim of NEET as </w:t>
      </w:r>
      <w:r w:rsidR="00CB53C4" w:rsidRPr="002374EC">
        <w:rPr>
          <w:rFonts w:ascii="Arial" w:eastAsia="Times New Roman" w:hAnsi="Arial" w:cs="Arial"/>
          <w:bCs/>
        </w:rPr>
        <w:t xml:space="preserve">a </w:t>
      </w:r>
      <w:r w:rsidRPr="002374EC">
        <w:rPr>
          <w:rFonts w:ascii="Arial" w:eastAsia="Times New Roman" w:hAnsi="Arial" w:cs="Arial"/>
          <w:bCs/>
        </w:rPr>
        <w:t>vulnerable population.</w:t>
      </w:r>
    </w:p>
    <w:p w14:paraId="05370DC3" w14:textId="38E20AF6" w:rsidR="009F1BE1" w:rsidRPr="002374EC" w:rsidRDefault="009F1BE1" w:rsidP="002374EC">
      <w:pPr>
        <w:spacing w:line="360" w:lineRule="auto"/>
        <w:jc w:val="both"/>
        <w:rPr>
          <w:rFonts w:ascii="Arial" w:eastAsia="Times New Roman" w:hAnsi="Arial" w:cs="Arial"/>
          <w:bCs/>
        </w:rPr>
      </w:pPr>
      <w:r w:rsidRPr="002374EC">
        <w:rPr>
          <w:rFonts w:ascii="Arial" w:eastAsia="Times New Roman" w:hAnsi="Arial" w:cs="Arial"/>
          <w:bCs/>
        </w:rPr>
        <w:lastRenderedPageBreak/>
        <w:t xml:space="preserve">This systematic review fills this gap by </w:t>
      </w:r>
      <w:r w:rsidR="00CB53C4" w:rsidRPr="002374EC">
        <w:rPr>
          <w:rFonts w:ascii="Arial" w:eastAsia="Times New Roman" w:hAnsi="Arial" w:cs="Arial"/>
          <w:bCs/>
        </w:rPr>
        <w:t>synthesising</w:t>
      </w:r>
      <w:r w:rsidRPr="002374EC">
        <w:rPr>
          <w:rFonts w:ascii="Arial" w:eastAsia="Times New Roman" w:hAnsi="Arial" w:cs="Arial"/>
          <w:bCs/>
        </w:rPr>
        <w:t xml:space="preserve"> the evidence on this topic in a comprehensive way, namely, by specifically investigating barriers to NEET young adults (18-25) accessing mental health services in the UK and other similar systems. The review determines trends, classifies obstacles, evaluates the quality of the evidence, </w:t>
      </w:r>
      <w:r w:rsidR="00CB53C4" w:rsidRPr="002374EC">
        <w:rPr>
          <w:rFonts w:ascii="Arial" w:eastAsia="Times New Roman" w:hAnsi="Arial" w:cs="Arial"/>
          <w:bCs/>
        </w:rPr>
        <w:t xml:space="preserve">and </w:t>
      </w:r>
      <w:r w:rsidRPr="002374EC">
        <w:rPr>
          <w:rFonts w:ascii="Arial" w:eastAsia="Times New Roman" w:hAnsi="Arial" w:cs="Arial"/>
          <w:bCs/>
        </w:rPr>
        <w:t xml:space="preserve">identifies the gaps </w:t>
      </w:r>
      <w:r w:rsidR="00CB53C4" w:rsidRPr="002374EC">
        <w:rPr>
          <w:rFonts w:ascii="Arial" w:eastAsia="Times New Roman" w:hAnsi="Arial" w:cs="Arial"/>
          <w:bCs/>
        </w:rPr>
        <w:t>more systematically</w:t>
      </w:r>
      <w:r w:rsidRPr="002374EC">
        <w:rPr>
          <w:rFonts w:ascii="Arial" w:eastAsia="Times New Roman" w:hAnsi="Arial" w:cs="Arial"/>
          <w:bCs/>
        </w:rPr>
        <w:t>. Results guide service design, commissioning, policy</w:t>
      </w:r>
      <w:r w:rsidR="00CB53C4" w:rsidRPr="002374EC">
        <w:rPr>
          <w:rFonts w:ascii="Arial" w:eastAsia="Times New Roman" w:hAnsi="Arial" w:cs="Arial"/>
          <w:bCs/>
        </w:rPr>
        <w:t>,</w:t>
      </w:r>
      <w:r w:rsidRPr="002374EC">
        <w:rPr>
          <w:rFonts w:ascii="Arial" w:eastAsia="Times New Roman" w:hAnsi="Arial" w:cs="Arial"/>
          <w:bCs/>
        </w:rPr>
        <w:t xml:space="preserve"> choosing how to make design, by finding partly decipherable modifiable inhibitors, differentiating NEET-related barriers and general youth barriers, and </w:t>
      </w:r>
      <w:r w:rsidR="00CB53C4" w:rsidRPr="002374EC">
        <w:rPr>
          <w:rFonts w:ascii="Arial" w:eastAsia="Times New Roman" w:hAnsi="Arial" w:cs="Arial"/>
          <w:bCs/>
        </w:rPr>
        <w:t>offering</w:t>
      </w:r>
      <w:r w:rsidRPr="002374EC">
        <w:rPr>
          <w:rFonts w:ascii="Arial" w:eastAsia="Times New Roman" w:hAnsi="Arial" w:cs="Arial"/>
          <w:bCs/>
        </w:rPr>
        <w:t xml:space="preserve"> evidence of proportionate universalism (Marmot et al., 2010).</w:t>
      </w:r>
    </w:p>
    <w:p w14:paraId="2C17B6A0" w14:textId="77777777" w:rsidR="009F1BE1" w:rsidRPr="002374EC" w:rsidRDefault="009F1BE1" w:rsidP="002374EC">
      <w:pPr>
        <w:pStyle w:val="Heading2"/>
        <w:spacing w:after="160" w:line="360" w:lineRule="auto"/>
        <w:jc w:val="both"/>
        <w:rPr>
          <w:rFonts w:ascii="Arial" w:hAnsi="Arial" w:cs="Arial"/>
          <w:color w:val="auto"/>
          <w:sz w:val="22"/>
        </w:rPr>
      </w:pPr>
      <w:bookmarkStart w:id="33" w:name="_Toc220926197"/>
      <w:r w:rsidRPr="002374EC">
        <w:rPr>
          <w:rFonts w:ascii="Arial" w:hAnsi="Arial" w:cs="Arial"/>
          <w:color w:val="auto"/>
          <w:sz w:val="22"/>
        </w:rPr>
        <w:t>2.8 Chapter Summary</w:t>
      </w:r>
      <w:bookmarkEnd w:id="33"/>
    </w:p>
    <w:p w14:paraId="74DB08B7" w14:textId="39574972" w:rsidR="001004D8" w:rsidRPr="002374EC" w:rsidRDefault="009F1BE1" w:rsidP="002374EC">
      <w:pPr>
        <w:spacing w:line="360" w:lineRule="auto"/>
        <w:jc w:val="both"/>
        <w:rPr>
          <w:rFonts w:ascii="Arial" w:hAnsi="Arial" w:cs="Arial"/>
        </w:rPr>
      </w:pPr>
      <w:r w:rsidRPr="002374EC">
        <w:rPr>
          <w:rFonts w:ascii="Arial" w:eastAsia="Times New Roman" w:hAnsi="Arial" w:cs="Arial"/>
          <w:bCs/>
        </w:rPr>
        <w:t>This review put into place conceptual frameworks such as ecological models, help-seeking theories</w:t>
      </w:r>
      <w:r w:rsidR="00CB53C4" w:rsidRPr="002374EC">
        <w:rPr>
          <w:rFonts w:ascii="Arial" w:eastAsia="Times New Roman" w:hAnsi="Arial" w:cs="Arial"/>
          <w:bCs/>
        </w:rPr>
        <w:t>,</w:t>
      </w:r>
      <w:r w:rsidRPr="002374EC">
        <w:rPr>
          <w:rFonts w:ascii="Arial" w:eastAsia="Times New Roman" w:hAnsi="Arial" w:cs="Arial"/>
          <w:bCs/>
        </w:rPr>
        <w:t xml:space="preserve"> </w:t>
      </w:r>
      <w:r w:rsidR="00CB53C4" w:rsidRPr="002374EC">
        <w:rPr>
          <w:rFonts w:ascii="Arial" w:eastAsia="Times New Roman" w:hAnsi="Arial" w:cs="Arial"/>
          <w:bCs/>
        </w:rPr>
        <w:t>and</w:t>
      </w:r>
      <w:r w:rsidRPr="002374EC">
        <w:rPr>
          <w:rFonts w:ascii="Arial" w:eastAsia="Times New Roman" w:hAnsi="Arial" w:cs="Arial"/>
          <w:bCs/>
        </w:rPr>
        <w:t xml:space="preserve"> intersectionality perspectives. The NEET young people have a high burden on mental health in the sense of bilateral relationships with social determinants of compounded disadvantage. Structural, attitudinal, </w:t>
      </w:r>
      <w:r w:rsidR="00CB53C4" w:rsidRPr="002374EC">
        <w:rPr>
          <w:rFonts w:ascii="Arial" w:eastAsia="Times New Roman" w:hAnsi="Arial" w:cs="Arial"/>
          <w:bCs/>
        </w:rPr>
        <w:t xml:space="preserve">and </w:t>
      </w:r>
      <w:r w:rsidRPr="002374EC">
        <w:rPr>
          <w:rFonts w:ascii="Arial" w:eastAsia="Times New Roman" w:hAnsi="Arial" w:cs="Arial"/>
          <w:bCs/>
        </w:rPr>
        <w:t xml:space="preserve">social barriers are captured in general youth evidence; institutional exclusion, intersecting disadvantages and anticipated discrimination are found in NEET-specific evidence. The UK policy demonstrates the lack of capacity and integration. The intersection of critical gaps in NEET-young adult-mental health barriers supports </w:t>
      </w:r>
      <w:r w:rsidR="00CB53C4" w:rsidRPr="002374EC">
        <w:rPr>
          <w:rFonts w:ascii="Arial" w:eastAsia="Times New Roman" w:hAnsi="Arial" w:cs="Arial"/>
          <w:bCs/>
        </w:rPr>
        <w:t xml:space="preserve">a </w:t>
      </w:r>
      <w:r w:rsidRPr="002374EC">
        <w:rPr>
          <w:rFonts w:ascii="Arial" w:eastAsia="Times New Roman" w:hAnsi="Arial" w:cs="Arial"/>
          <w:bCs/>
        </w:rPr>
        <w:t xml:space="preserve">systematic review. Methodology is described in </w:t>
      </w:r>
      <w:r w:rsidR="00CB53C4" w:rsidRPr="002374EC">
        <w:rPr>
          <w:rFonts w:ascii="Arial" w:eastAsia="Times New Roman" w:hAnsi="Arial" w:cs="Arial"/>
          <w:bCs/>
        </w:rPr>
        <w:t>Chapter</w:t>
      </w:r>
      <w:r w:rsidRPr="002374EC">
        <w:rPr>
          <w:rFonts w:ascii="Arial" w:eastAsia="Times New Roman" w:hAnsi="Arial" w:cs="Arial"/>
          <w:bCs/>
        </w:rPr>
        <w:t xml:space="preserve"> 3. </w:t>
      </w:r>
    </w:p>
    <w:p w14:paraId="4C5FFF9D" w14:textId="77777777" w:rsidR="009706D0" w:rsidRPr="002374EC" w:rsidRDefault="009706D0" w:rsidP="002374EC">
      <w:pPr>
        <w:spacing w:line="360" w:lineRule="auto"/>
        <w:jc w:val="both"/>
        <w:rPr>
          <w:rFonts w:ascii="Arial" w:eastAsia="Times New Roman" w:hAnsi="Arial" w:cs="Arial"/>
          <w:b/>
        </w:rPr>
      </w:pPr>
      <w:r w:rsidRPr="002374EC">
        <w:rPr>
          <w:rFonts w:ascii="Arial" w:hAnsi="Arial" w:cs="Arial"/>
        </w:rPr>
        <w:br w:type="page"/>
      </w:r>
    </w:p>
    <w:p w14:paraId="313B54D8" w14:textId="3DD3F7FB" w:rsidR="009F64C5" w:rsidRPr="002374EC" w:rsidRDefault="00DD7AA5" w:rsidP="002374EC">
      <w:pPr>
        <w:pStyle w:val="Heading1"/>
        <w:spacing w:after="160" w:line="360" w:lineRule="auto"/>
        <w:jc w:val="both"/>
        <w:rPr>
          <w:rFonts w:ascii="Arial" w:hAnsi="Arial" w:cs="Arial"/>
          <w:color w:val="auto"/>
          <w:sz w:val="22"/>
        </w:rPr>
      </w:pPr>
      <w:bookmarkStart w:id="34" w:name="_Toc220926198"/>
      <w:r w:rsidRPr="002374EC">
        <w:rPr>
          <w:rFonts w:ascii="Arial" w:hAnsi="Arial" w:cs="Arial"/>
          <w:color w:val="auto"/>
          <w:sz w:val="22"/>
        </w:rPr>
        <w:lastRenderedPageBreak/>
        <w:t xml:space="preserve">Chapter 3: </w:t>
      </w:r>
      <w:r w:rsidR="009F64C5" w:rsidRPr="002374EC">
        <w:rPr>
          <w:rFonts w:ascii="Arial" w:hAnsi="Arial" w:cs="Arial"/>
          <w:color w:val="auto"/>
          <w:sz w:val="22"/>
        </w:rPr>
        <w:t>Research Methodology</w:t>
      </w:r>
      <w:bookmarkEnd w:id="34"/>
      <w:r w:rsidR="009F64C5" w:rsidRPr="002374EC">
        <w:rPr>
          <w:rFonts w:ascii="Arial" w:hAnsi="Arial" w:cs="Arial"/>
          <w:color w:val="auto"/>
          <w:sz w:val="22"/>
        </w:rPr>
        <w:t xml:space="preserve"> </w:t>
      </w:r>
    </w:p>
    <w:p w14:paraId="14DB0677" w14:textId="77777777" w:rsidR="00540BA8" w:rsidRPr="002374EC" w:rsidRDefault="00540BA8" w:rsidP="002374EC">
      <w:pPr>
        <w:pStyle w:val="Heading2"/>
        <w:spacing w:after="160" w:line="360" w:lineRule="auto"/>
        <w:jc w:val="both"/>
        <w:rPr>
          <w:rFonts w:ascii="Arial" w:hAnsi="Arial" w:cs="Arial"/>
          <w:color w:val="auto"/>
          <w:sz w:val="22"/>
        </w:rPr>
      </w:pPr>
      <w:bookmarkStart w:id="35" w:name="_Toc220926199"/>
      <w:r w:rsidRPr="002374EC">
        <w:rPr>
          <w:rFonts w:ascii="Arial" w:hAnsi="Arial" w:cs="Arial"/>
          <w:color w:val="auto"/>
          <w:sz w:val="22"/>
        </w:rPr>
        <w:t>3.1 Introduction</w:t>
      </w:r>
      <w:bookmarkEnd w:id="35"/>
    </w:p>
    <w:p w14:paraId="3193CEFC" w14:textId="292DA071" w:rsidR="00540BA8" w:rsidRPr="002374EC" w:rsidRDefault="001B31CA"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This chapter gives an account of the systematic review methodology adopted to locate and synthesize evidences that can give </w:t>
      </w:r>
      <w:r w:rsidR="00350C7C" w:rsidRPr="002374EC">
        <w:rPr>
          <w:rFonts w:ascii="Arial" w:hAnsi="Arial" w:cs="Arial"/>
          <w:bCs/>
          <w:sz w:val="22"/>
          <w:szCs w:val="22"/>
        </w:rPr>
        <w:t>rise</w:t>
      </w:r>
      <w:r w:rsidRPr="002374EC">
        <w:rPr>
          <w:rFonts w:ascii="Arial" w:hAnsi="Arial" w:cs="Arial"/>
          <w:bCs/>
          <w:sz w:val="22"/>
          <w:szCs w:val="22"/>
        </w:rPr>
        <w:t xml:space="preserve"> to the research question: what are the barriers to mental health service utilisation by young adults aged 18-25 who are not in education, employment, or training (NEET) in the UK? To conduct the systematic review, the most rigorous type of review was chosen (Booth et al., 2016). The systematic review followed the Preferred Reporting Items of Systematic Reviews and </w:t>
      </w:r>
      <w:r w:rsidR="00350C7C" w:rsidRPr="002374EC">
        <w:rPr>
          <w:rFonts w:ascii="Arial" w:hAnsi="Arial" w:cs="Arial"/>
          <w:bCs/>
          <w:sz w:val="22"/>
          <w:szCs w:val="22"/>
        </w:rPr>
        <w:t>Meta-analyses</w:t>
      </w:r>
      <w:r w:rsidRPr="002374EC">
        <w:rPr>
          <w:rFonts w:ascii="Arial" w:hAnsi="Arial" w:cs="Arial"/>
          <w:bCs/>
          <w:sz w:val="22"/>
          <w:szCs w:val="22"/>
        </w:rPr>
        <w:t xml:space="preserve"> (PRISMA 2020) to make the methodology, as well as reproducibility and comprehensiveness, transparent (Page et al., 2021). </w:t>
      </w:r>
      <w:r w:rsidR="00350C7C" w:rsidRPr="002374EC">
        <w:rPr>
          <w:rFonts w:ascii="Arial" w:hAnsi="Arial" w:cs="Arial"/>
          <w:bCs/>
          <w:sz w:val="22"/>
          <w:szCs w:val="22"/>
        </w:rPr>
        <w:t>The entire</w:t>
      </w:r>
      <w:r w:rsidRPr="002374EC">
        <w:rPr>
          <w:rFonts w:ascii="Arial" w:hAnsi="Arial" w:cs="Arial"/>
          <w:bCs/>
          <w:sz w:val="22"/>
          <w:szCs w:val="22"/>
        </w:rPr>
        <w:t xml:space="preserve"> process of the review was done by a single researcher and in a rigorous way to reduce the bias to the highest possible</w:t>
      </w:r>
      <w:r w:rsidR="00350C7C" w:rsidRPr="002374EC">
        <w:rPr>
          <w:rFonts w:ascii="Arial" w:hAnsi="Arial" w:cs="Arial"/>
          <w:bCs/>
          <w:sz w:val="22"/>
          <w:szCs w:val="22"/>
        </w:rPr>
        <w:t xml:space="preserve"> extent</w:t>
      </w:r>
      <w:r w:rsidRPr="002374EC">
        <w:rPr>
          <w:rFonts w:ascii="Arial" w:hAnsi="Arial" w:cs="Arial"/>
          <w:bCs/>
          <w:sz w:val="22"/>
          <w:szCs w:val="22"/>
        </w:rPr>
        <w:t>. The chapter presents the philosophical background, search process, eligibility criteria, selection process, quality assessment, data extraction, how the data will be synthesized and finally some ethical considerations that the systematic review will be based on.</w:t>
      </w:r>
    </w:p>
    <w:p w14:paraId="0E786587" w14:textId="77777777" w:rsidR="00540BA8" w:rsidRPr="002374EC" w:rsidRDefault="00540BA8" w:rsidP="002374EC">
      <w:pPr>
        <w:pStyle w:val="Heading2"/>
        <w:spacing w:after="160" w:line="360" w:lineRule="auto"/>
        <w:jc w:val="both"/>
        <w:rPr>
          <w:rFonts w:ascii="Arial" w:hAnsi="Arial" w:cs="Arial"/>
          <w:color w:val="auto"/>
          <w:sz w:val="22"/>
        </w:rPr>
      </w:pPr>
      <w:bookmarkStart w:id="36" w:name="_Toc220926200"/>
      <w:r w:rsidRPr="002374EC">
        <w:rPr>
          <w:rFonts w:ascii="Arial" w:hAnsi="Arial" w:cs="Arial"/>
          <w:color w:val="auto"/>
          <w:sz w:val="22"/>
        </w:rPr>
        <w:t>3.2 Research Design and Philosophical Position</w:t>
      </w:r>
      <w:bookmarkEnd w:id="36"/>
    </w:p>
    <w:p w14:paraId="2B724C4C" w14:textId="22E84BA3" w:rsidR="00D85C24" w:rsidRPr="002374EC" w:rsidRDefault="00D85C24" w:rsidP="002374EC">
      <w:pPr>
        <w:pStyle w:val="Heading3"/>
        <w:spacing w:after="160" w:line="360" w:lineRule="auto"/>
        <w:jc w:val="both"/>
        <w:rPr>
          <w:rFonts w:ascii="Arial" w:hAnsi="Arial" w:cs="Arial"/>
          <w:color w:val="auto"/>
          <w:sz w:val="22"/>
        </w:rPr>
      </w:pPr>
      <w:bookmarkStart w:id="37" w:name="_Toc220926201"/>
      <w:r w:rsidRPr="002374EC">
        <w:rPr>
          <w:rFonts w:ascii="Arial" w:hAnsi="Arial" w:cs="Arial"/>
          <w:color w:val="auto"/>
          <w:sz w:val="22"/>
        </w:rPr>
        <w:t>3.2.1 Systematic Review Design</w:t>
      </w:r>
      <w:bookmarkEnd w:id="37"/>
    </w:p>
    <w:p w14:paraId="26191338" w14:textId="2B031680" w:rsidR="00350C7C" w:rsidRPr="002374EC" w:rsidRDefault="00D85C24"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Systematic reviews constitute a methodical, transparent method of synthesising research evidence, in distinction to a narrative review, in which explicit, reproducible techniques are implemented with the point of reducing bias (Higgins et al., 2024). This methodology was suitable to tackle the aim of the research because it allowed for comprehensive identification of all relevant studies, the critical appraisal of the quality of studies, and structured synthesis of findings across heterogeneous study designs and contexts (Booth et al., 2016). Systematic reviews are becoming recognised as important in social sciences and public health research</w:t>
      </w:r>
      <w:r w:rsidR="00350C7C" w:rsidRPr="002374EC">
        <w:rPr>
          <w:rFonts w:ascii="Arial" w:hAnsi="Arial" w:cs="Arial"/>
          <w:sz w:val="22"/>
          <w:szCs w:val="22"/>
        </w:rPr>
        <w:t>,</w:t>
      </w:r>
      <w:r w:rsidRPr="002374EC">
        <w:rPr>
          <w:rFonts w:ascii="Arial" w:hAnsi="Arial" w:cs="Arial"/>
          <w:sz w:val="22"/>
          <w:szCs w:val="22"/>
        </w:rPr>
        <w:t xml:space="preserve"> where evidence can be fractured over numerous disciplines and methodological perspectives (Petticrew and Roberts, 2006). The presented systematic approach had the benefits of being comprehensive, transparent and reproducible, whilst holding the downsides of selection bias due to a pre-defined criteria and systematic procedures (Aromataris et al., 2024).</w:t>
      </w:r>
    </w:p>
    <w:p w14:paraId="7C6BA65C" w14:textId="77777777" w:rsidR="00350C7C" w:rsidRPr="002374EC" w:rsidRDefault="00350C7C" w:rsidP="002374EC">
      <w:pPr>
        <w:pStyle w:val="Heading3"/>
        <w:spacing w:after="160" w:line="360" w:lineRule="auto"/>
        <w:jc w:val="both"/>
        <w:rPr>
          <w:rFonts w:ascii="Arial" w:hAnsi="Arial" w:cs="Arial"/>
          <w:color w:val="auto"/>
          <w:sz w:val="22"/>
        </w:rPr>
      </w:pPr>
    </w:p>
    <w:p w14:paraId="1886F8D7" w14:textId="062CB6C0" w:rsidR="00D85C24" w:rsidRPr="002374EC" w:rsidRDefault="00D85C24" w:rsidP="002374EC">
      <w:pPr>
        <w:pStyle w:val="Heading3"/>
        <w:spacing w:after="160" w:line="360" w:lineRule="auto"/>
        <w:jc w:val="both"/>
        <w:rPr>
          <w:rFonts w:ascii="Arial" w:hAnsi="Arial" w:cs="Arial"/>
          <w:color w:val="auto"/>
          <w:sz w:val="22"/>
        </w:rPr>
      </w:pPr>
      <w:bookmarkStart w:id="38" w:name="_Toc220926202"/>
      <w:r w:rsidRPr="002374EC">
        <w:rPr>
          <w:rFonts w:ascii="Arial" w:hAnsi="Arial" w:cs="Arial"/>
          <w:color w:val="auto"/>
          <w:sz w:val="22"/>
        </w:rPr>
        <w:t>3.2.2 Philosophical Fundamentals</w:t>
      </w:r>
      <w:bookmarkEnd w:id="38"/>
    </w:p>
    <w:p w14:paraId="02BBB456" w14:textId="6BCD7A91" w:rsidR="00540BA8" w:rsidRPr="002374EC" w:rsidRDefault="00D85C24"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This systematic review was carried out in the context of a post-positivist paradigm</w:t>
      </w:r>
      <w:r w:rsidR="00350C7C" w:rsidRPr="002374EC">
        <w:rPr>
          <w:rFonts w:ascii="Arial" w:hAnsi="Arial" w:cs="Arial"/>
          <w:sz w:val="22"/>
          <w:szCs w:val="22"/>
        </w:rPr>
        <w:t>,</w:t>
      </w:r>
      <w:r w:rsidRPr="002374EC">
        <w:rPr>
          <w:rFonts w:ascii="Arial" w:hAnsi="Arial" w:cs="Arial"/>
          <w:sz w:val="22"/>
          <w:szCs w:val="22"/>
        </w:rPr>
        <w:t xml:space="preserve"> which accepts that whilst barriers to access to mental health services may exist objectively and can be measured, the meaning and interpretation of all these barriers are individually constructed </w:t>
      </w:r>
      <w:r w:rsidRPr="002374EC">
        <w:rPr>
          <w:rFonts w:ascii="Arial" w:hAnsi="Arial" w:cs="Arial"/>
          <w:sz w:val="22"/>
          <w:szCs w:val="22"/>
        </w:rPr>
        <w:lastRenderedPageBreak/>
        <w:t xml:space="preserve">and context-related (Lincoln and Guba, 1985; Creswell and Poth, 2018). This philosophical position acknowledges that barriers such as waiting times or geographical access are empirically observable phenomena, but the meaning and impact of such barriers </w:t>
      </w:r>
      <w:r w:rsidR="00350C7C" w:rsidRPr="002374EC">
        <w:rPr>
          <w:rFonts w:ascii="Arial" w:hAnsi="Arial" w:cs="Arial"/>
          <w:sz w:val="22"/>
          <w:szCs w:val="22"/>
        </w:rPr>
        <w:t>are</w:t>
      </w:r>
      <w:r w:rsidRPr="002374EC">
        <w:rPr>
          <w:rFonts w:ascii="Arial" w:hAnsi="Arial" w:cs="Arial"/>
          <w:sz w:val="22"/>
          <w:szCs w:val="22"/>
        </w:rPr>
        <w:t xml:space="preserve"> social, cultural and individual. Consequently, qualitative studies aimed at exploring lived experiences as well as quantitative studies measuring the prevalence were considered to be valuable and complementary sources of evidence. The interpretive synthesis approach adopted in this review reflects this ontological stance</w:t>
      </w:r>
      <w:r w:rsidR="00350C7C" w:rsidRPr="002374EC">
        <w:rPr>
          <w:rFonts w:ascii="Arial" w:hAnsi="Arial" w:cs="Arial"/>
          <w:sz w:val="22"/>
          <w:szCs w:val="22"/>
        </w:rPr>
        <w:t>,</w:t>
      </w:r>
      <w:r w:rsidRPr="002374EC">
        <w:rPr>
          <w:rFonts w:ascii="Arial" w:hAnsi="Arial" w:cs="Arial"/>
          <w:sz w:val="22"/>
          <w:szCs w:val="22"/>
        </w:rPr>
        <w:t xml:space="preserve"> where an attempt is made not only to understand what the barriers are but also how they are experienced and conceptualised by NEET young adults (Thomas and Harden, 2008).</w:t>
      </w:r>
    </w:p>
    <w:p w14:paraId="760201D5" w14:textId="77777777" w:rsidR="00540BA8" w:rsidRPr="002374EC" w:rsidRDefault="00540BA8" w:rsidP="002374EC">
      <w:pPr>
        <w:pStyle w:val="Heading2"/>
        <w:spacing w:after="160" w:line="360" w:lineRule="auto"/>
        <w:jc w:val="both"/>
        <w:rPr>
          <w:rFonts w:ascii="Arial" w:hAnsi="Arial" w:cs="Arial"/>
          <w:color w:val="auto"/>
          <w:sz w:val="22"/>
        </w:rPr>
      </w:pPr>
      <w:bookmarkStart w:id="39" w:name="_Toc220926203"/>
      <w:r w:rsidRPr="002374EC">
        <w:rPr>
          <w:rFonts w:ascii="Arial" w:hAnsi="Arial" w:cs="Arial"/>
          <w:color w:val="auto"/>
          <w:sz w:val="22"/>
        </w:rPr>
        <w:t>3.3 Systematic Review Protocol</w:t>
      </w:r>
      <w:bookmarkEnd w:id="39"/>
    </w:p>
    <w:p w14:paraId="460D4A3B" w14:textId="3EC341B9" w:rsidR="00540BA8" w:rsidRPr="002374EC" w:rsidRDefault="00CB21F0"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Before the review, a protocol was created whereby a priori definitions of the research question, inclusion and exclusion criteria, search strategy, quality assessment methods and data extraction procedures, and finally synthesis approaches were established (Moher et al., 2015). This was submitted as ethics and approved by the University of Wales Trinity Saint David Research Ethics Committee in October 2025. Prior definition of procedures </w:t>
      </w:r>
      <w:r w:rsidR="00350C7C" w:rsidRPr="002374EC">
        <w:rPr>
          <w:rFonts w:ascii="Arial" w:hAnsi="Arial" w:cs="Arial"/>
          <w:bCs/>
          <w:sz w:val="22"/>
          <w:szCs w:val="22"/>
        </w:rPr>
        <w:t>before</w:t>
      </w:r>
      <w:r w:rsidRPr="002374EC">
        <w:rPr>
          <w:rFonts w:ascii="Arial" w:hAnsi="Arial" w:cs="Arial"/>
          <w:bCs/>
          <w:sz w:val="22"/>
          <w:szCs w:val="22"/>
        </w:rPr>
        <w:t xml:space="preserve"> data gathering is a pillar of systematic review research, which reduces </w:t>
      </w:r>
      <w:r w:rsidR="00350C7C" w:rsidRPr="002374EC">
        <w:rPr>
          <w:rFonts w:ascii="Arial" w:hAnsi="Arial" w:cs="Arial"/>
          <w:bCs/>
          <w:sz w:val="22"/>
          <w:szCs w:val="22"/>
        </w:rPr>
        <w:t xml:space="preserve">the </w:t>
      </w:r>
      <w:r w:rsidRPr="002374EC">
        <w:rPr>
          <w:rFonts w:ascii="Arial" w:hAnsi="Arial" w:cs="Arial"/>
          <w:bCs/>
          <w:sz w:val="22"/>
          <w:szCs w:val="22"/>
        </w:rPr>
        <w:t>chances of coming up with post-hoc judgments that may</w:t>
      </w:r>
      <w:r w:rsidR="00350C7C" w:rsidRPr="002374EC">
        <w:rPr>
          <w:rFonts w:ascii="Arial" w:hAnsi="Arial" w:cs="Arial"/>
          <w:bCs/>
          <w:sz w:val="22"/>
          <w:szCs w:val="22"/>
        </w:rPr>
        <w:t>,</w:t>
      </w:r>
      <w:r w:rsidRPr="002374EC">
        <w:rPr>
          <w:rFonts w:ascii="Arial" w:hAnsi="Arial" w:cs="Arial"/>
          <w:bCs/>
          <w:sz w:val="22"/>
          <w:szCs w:val="22"/>
        </w:rPr>
        <w:t xml:space="preserve"> in turn</w:t>
      </w:r>
      <w:r w:rsidR="00350C7C" w:rsidRPr="002374EC">
        <w:rPr>
          <w:rFonts w:ascii="Arial" w:hAnsi="Arial" w:cs="Arial"/>
          <w:bCs/>
          <w:sz w:val="22"/>
          <w:szCs w:val="22"/>
        </w:rPr>
        <w:t>,</w:t>
      </w:r>
      <w:r w:rsidRPr="002374EC">
        <w:rPr>
          <w:rFonts w:ascii="Arial" w:hAnsi="Arial" w:cs="Arial"/>
          <w:bCs/>
          <w:sz w:val="22"/>
          <w:szCs w:val="22"/>
        </w:rPr>
        <w:t xml:space="preserve"> lead to bias (Higgins et al., 2024). Transparency throughout </w:t>
      </w:r>
      <w:r w:rsidR="00350C7C" w:rsidRPr="002374EC">
        <w:rPr>
          <w:rFonts w:ascii="Arial" w:hAnsi="Arial" w:cs="Arial"/>
          <w:bCs/>
          <w:sz w:val="22"/>
          <w:szCs w:val="22"/>
        </w:rPr>
        <w:t xml:space="preserve">the </w:t>
      </w:r>
      <w:r w:rsidRPr="002374EC">
        <w:rPr>
          <w:rFonts w:ascii="Arial" w:hAnsi="Arial" w:cs="Arial"/>
          <w:bCs/>
          <w:sz w:val="22"/>
          <w:szCs w:val="22"/>
        </w:rPr>
        <w:t>review process allowed recording all the decisions and any needed protocol changes in an audit trail of methodological decisions.</w:t>
      </w:r>
    </w:p>
    <w:p w14:paraId="06E5A1F6" w14:textId="77777777" w:rsidR="00540BA8" w:rsidRPr="002374EC" w:rsidRDefault="00540BA8" w:rsidP="002374EC">
      <w:pPr>
        <w:pStyle w:val="Heading2"/>
        <w:spacing w:after="160" w:line="360" w:lineRule="auto"/>
        <w:jc w:val="both"/>
        <w:rPr>
          <w:rFonts w:ascii="Arial" w:hAnsi="Arial" w:cs="Arial"/>
          <w:color w:val="auto"/>
          <w:sz w:val="22"/>
        </w:rPr>
      </w:pPr>
      <w:bookmarkStart w:id="40" w:name="_Toc220926204"/>
      <w:r w:rsidRPr="002374EC">
        <w:rPr>
          <w:rFonts w:ascii="Arial" w:hAnsi="Arial" w:cs="Arial"/>
          <w:color w:val="auto"/>
          <w:sz w:val="22"/>
        </w:rPr>
        <w:t>3.4 Search Strategy</w:t>
      </w:r>
      <w:bookmarkEnd w:id="40"/>
    </w:p>
    <w:p w14:paraId="719FC54D" w14:textId="429DFDF0" w:rsidR="009937E1" w:rsidRPr="002374EC" w:rsidRDefault="009937E1" w:rsidP="002374EC">
      <w:pPr>
        <w:pStyle w:val="Heading3"/>
        <w:spacing w:after="160" w:line="360" w:lineRule="auto"/>
        <w:jc w:val="both"/>
        <w:rPr>
          <w:rFonts w:ascii="Arial" w:hAnsi="Arial" w:cs="Arial"/>
          <w:color w:val="auto"/>
          <w:sz w:val="22"/>
        </w:rPr>
      </w:pPr>
      <w:bookmarkStart w:id="41" w:name="_Toc220926205"/>
      <w:r w:rsidRPr="002374EC">
        <w:rPr>
          <w:rFonts w:ascii="Arial" w:hAnsi="Arial" w:cs="Arial"/>
          <w:color w:val="auto"/>
          <w:sz w:val="22"/>
        </w:rPr>
        <w:t>3.4.1 Information Sources</w:t>
      </w:r>
      <w:bookmarkEnd w:id="41"/>
    </w:p>
    <w:p w14:paraId="19610021" w14:textId="6B5273D5" w:rsidR="009937E1" w:rsidRPr="002374EC" w:rsidRDefault="009937E1"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Systematic search involved two large electronic databases in October 2025 and included publications published in the last 15 years (20152025). Primary database was chosen as MEDLINE (accessed through PubMed), which is a wide-ranged data with biomedical and health services research (Bramer et al., 2017). It was chosen as an additional database because PsycINFO (accessed through EBSCOhost) has a narrower range of literature specific to psychology and mental health (Frandsen et al., 2020). The period selected to demonstrate recent evidence of the current state of </w:t>
      </w:r>
      <w:r w:rsidR="00350C7C" w:rsidRPr="002374EC">
        <w:rPr>
          <w:rFonts w:ascii="Arial" w:hAnsi="Arial" w:cs="Arial"/>
          <w:sz w:val="22"/>
          <w:szCs w:val="22"/>
        </w:rPr>
        <w:t xml:space="preserve">the </w:t>
      </w:r>
      <w:r w:rsidRPr="002374EC">
        <w:rPr>
          <w:rFonts w:ascii="Arial" w:hAnsi="Arial" w:cs="Arial"/>
          <w:sz w:val="22"/>
          <w:szCs w:val="22"/>
        </w:rPr>
        <w:t>mental health service framework and NEET population distribution (2015-2025) is 10 years in length (2015-2025).</w:t>
      </w:r>
    </w:p>
    <w:p w14:paraId="1A70896C" w14:textId="3E8E4D7C" w:rsidR="009937E1" w:rsidRPr="002374EC" w:rsidRDefault="009937E1" w:rsidP="002374EC">
      <w:pPr>
        <w:pStyle w:val="NormalWeb"/>
        <w:spacing w:after="160" w:afterAutospacing="0" w:line="360" w:lineRule="auto"/>
        <w:jc w:val="both"/>
        <w:rPr>
          <w:rFonts w:ascii="Arial" w:hAnsi="Arial" w:cs="Arial"/>
          <w:b/>
          <w:bCs/>
          <w:sz w:val="22"/>
          <w:szCs w:val="22"/>
        </w:rPr>
      </w:pPr>
      <w:r w:rsidRPr="002374EC">
        <w:rPr>
          <w:rFonts w:ascii="Arial" w:hAnsi="Arial" w:cs="Arial"/>
          <w:sz w:val="22"/>
          <w:szCs w:val="22"/>
        </w:rPr>
        <w:t xml:space="preserve">There was also consultation of grey literature sources, including: UK government reports (Office for National Statistics, Department of Health and Social Care), reports on the Care Quality Commission, publications of third sector organizations (Mind, </w:t>
      </w:r>
      <w:r w:rsidR="00350C7C" w:rsidRPr="002374EC">
        <w:rPr>
          <w:rFonts w:ascii="Arial" w:hAnsi="Arial" w:cs="Arial"/>
          <w:sz w:val="22"/>
          <w:szCs w:val="22"/>
        </w:rPr>
        <w:t>Young Minds</w:t>
      </w:r>
      <w:r w:rsidRPr="002374EC">
        <w:rPr>
          <w:rFonts w:ascii="Arial" w:hAnsi="Arial" w:cs="Arial"/>
          <w:sz w:val="22"/>
          <w:szCs w:val="22"/>
        </w:rPr>
        <w:t xml:space="preserve">, Youth Futures Foundation), and policy guidelines (NHS England, National Institute of Health and </w:t>
      </w:r>
      <w:r w:rsidRPr="002374EC">
        <w:rPr>
          <w:rFonts w:ascii="Arial" w:hAnsi="Arial" w:cs="Arial"/>
          <w:sz w:val="22"/>
          <w:szCs w:val="22"/>
        </w:rPr>
        <w:lastRenderedPageBreak/>
        <w:t>Care Excellence guidelines). Nonetheless, these sources provided contextual data as opposed to primary research within the inclusion criteria. All the included studies were hand-searched to retrieve any other eligible studies not identified through database searches (Godin et al., 2015).</w:t>
      </w:r>
    </w:p>
    <w:p w14:paraId="4C7385A2" w14:textId="557786F1" w:rsidR="009937E1" w:rsidRPr="002374EC" w:rsidRDefault="009937E1" w:rsidP="002374EC">
      <w:pPr>
        <w:pStyle w:val="Heading3"/>
        <w:spacing w:after="160" w:line="360" w:lineRule="auto"/>
        <w:jc w:val="both"/>
        <w:rPr>
          <w:rFonts w:ascii="Arial" w:hAnsi="Arial" w:cs="Arial"/>
          <w:color w:val="auto"/>
          <w:sz w:val="22"/>
        </w:rPr>
      </w:pPr>
      <w:bookmarkStart w:id="42" w:name="_Toc220926206"/>
      <w:r w:rsidRPr="002374EC">
        <w:rPr>
          <w:rFonts w:ascii="Arial" w:hAnsi="Arial" w:cs="Arial"/>
          <w:color w:val="auto"/>
          <w:sz w:val="22"/>
        </w:rPr>
        <w:t>3.4.2 Search Terms and Strategy</w:t>
      </w:r>
      <w:bookmarkEnd w:id="42"/>
    </w:p>
    <w:p w14:paraId="25EBEE79" w14:textId="5CED4936" w:rsidR="00540BA8" w:rsidRPr="002374EC" w:rsidRDefault="009937E1"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Search terms were created and refined with the use of iteration, arranged into four thematic clusters, and joined with the help of Boolean operators (McGowan et al., 2016). In each category, synonyms and related words were joined with the operator OR, and categories were connected with the operator AND to find the studies that approached all the vital concepts. The detailed search strategy is reflected in Table 1.</w:t>
      </w:r>
    </w:p>
    <w:p w14:paraId="6728685A" w14:textId="6421FE94" w:rsidR="00540BA8" w:rsidRPr="002374EC" w:rsidRDefault="00350C7C" w:rsidP="002374EC">
      <w:pPr>
        <w:pStyle w:val="Caption"/>
        <w:spacing w:after="160" w:line="360" w:lineRule="auto"/>
        <w:jc w:val="both"/>
        <w:rPr>
          <w:rFonts w:ascii="Arial" w:hAnsi="Arial" w:cs="Arial"/>
          <w:bCs/>
          <w:color w:val="auto"/>
          <w:sz w:val="22"/>
          <w:szCs w:val="22"/>
        </w:rPr>
      </w:pPr>
      <w:bookmarkStart w:id="43" w:name="_Toc220925860"/>
      <w:r w:rsidRPr="002374EC">
        <w:rPr>
          <w:rFonts w:ascii="Arial" w:hAnsi="Arial" w:cs="Arial"/>
          <w:b/>
          <w:bCs/>
          <w:color w:val="auto"/>
          <w:sz w:val="22"/>
          <w:szCs w:val="22"/>
        </w:rPr>
        <w:t xml:space="preserve">Table </w:t>
      </w:r>
      <w:r w:rsidRPr="002374EC">
        <w:rPr>
          <w:rFonts w:ascii="Arial" w:hAnsi="Arial" w:cs="Arial"/>
          <w:b/>
          <w:bCs/>
          <w:color w:val="auto"/>
          <w:sz w:val="22"/>
          <w:szCs w:val="22"/>
        </w:rPr>
        <w:fldChar w:fldCharType="begin"/>
      </w:r>
      <w:r w:rsidRPr="002374EC">
        <w:rPr>
          <w:rFonts w:ascii="Arial" w:hAnsi="Arial" w:cs="Arial"/>
          <w:b/>
          <w:bCs/>
          <w:color w:val="auto"/>
          <w:sz w:val="22"/>
          <w:szCs w:val="22"/>
        </w:rPr>
        <w:instrText xml:space="preserve"> SEQ Table \* ARABIC </w:instrText>
      </w:r>
      <w:r w:rsidRPr="002374EC">
        <w:rPr>
          <w:rFonts w:ascii="Arial" w:hAnsi="Arial" w:cs="Arial"/>
          <w:b/>
          <w:bCs/>
          <w:color w:val="auto"/>
          <w:sz w:val="22"/>
          <w:szCs w:val="22"/>
        </w:rPr>
        <w:fldChar w:fldCharType="separate"/>
      </w:r>
      <w:r w:rsidR="000B2682">
        <w:rPr>
          <w:rFonts w:ascii="Arial" w:hAnsi="Arial" w:cs="Arial"/>
          <w:b/>
          <w:bCs/>
          <w:noProof/>
          <w:color w:val="auto"/>
          <w:sz w:val="22"/>
          <w:szCs w:val="22"/>
        </w:rPr>
        <w:t>1</w:t>
      </w:r>
      <w:r w:rsidRPr="002374EC">
        <w:rPr>
          <w:rFonts w:ascii="Arial" w:hAnsi="Arial" w:cs="Arial"/>
          <w:b/>
          <w:bCs/>
          <w:color w:val="auto"/>
          <w:sz w:val="22"/>
          <w:szCs w:val="22"/>
        </w:rPr>
        <w:fldChar w:fldCharType="end"/>
      </w:r>
      <w:r w:rsidR="002374EC">
        <w:rPr>
          <w:rFonts w:ascii="Arial" w:hAnsi="Arial" w:cs="Arial"/>
          <w:b/>
          <w:bCs/>
          <w:color w:val="auto"/>
          <w:sz w:val="22"/>
          <w:szCs w:val="22"/>
        </w:rPr>
        <w:t>:</w:t>
      </w:r>
      <w:r w:rsidRPr="002374EC">
        <w:rPr>
          <w:rFonts w:ascii="Arial" w:hAnsi="Arial" w:cs="Arial"/>
          <w:b/>
          <w:bCs/>
          <w:color w:val="auto"/>
          <w:sz w:val="22"/>
          <w:szCs w:val="22"/>
        </w:rPr>
        <w:t xml:space="preserve"> </w:t>
      </w:r>
      <w:r w:rsidR="00540BA8" w:rsidRPr="002374EC">
        <w:rPr>
          <w:rFonts w:ascii="Arial" w:hAnsi="Arial" w:cs="Arial"/>
          <w:b/>
          <w:bCs/>
          <w:color w:val="auto"/>
          <w:sz w:val="22"/>
          <w:szCs w:val="22"/>
        </w:rPr>
        <w:t>Search Term Categories and Boolean Strategy</w:t>
      </w:r>
      <w:bookmarkEnd w:id="43"/>
    </w:p>
    <w:p w14:paraId="4251881E" w14:textId="2A8543C1" w:rsidR="00D02D9F" w:rsidRPr="002374EC" w:rsidRDefault="00350C7C" w:rsidP="002374EC">
      <w:pPr>
        <w:pStyle w:val="NormalWeb"/>
        <w:spacing w:after="160" w:afterAutospacing="0" w:line="360" w:lineRule="auto"/>
        <w:jc w:val="both"/>
        <w:rPr>
          <w:rFonts w:ascii="Arial" w:hAnsi="Arial" w:cs="Arial"/>
          <w:bCs/>
          <w:sz w:val="22"/>
          <w:szCs w:val="22"/>
        </w:rPr>
      </w:pPr>
      <w:r w:rsidRPr="002374EC">
        <w:rPr>
          <w:rFonts w:ascii="Arial" w:hAnsi="Arial" w:cs="Arial"/>
          <w:bCs/>
          <w:noProof/>
          <w:sz w:val="22"/>
          <w:szCs w:val="22"/>
        </w:rPr>
        <w:drawing>
          <wp:inline distT="0" distB="0" distL="0" distR="0" wp14:anchorId="50B65251" wp14:editId="02D5D275">
            <wp:extent cx="5731510" cy="3192780"/>
            <wp:effectExtent l="0" t="0" r="2540" b="7620"/>
            <wp:docPr id="1712786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86378" name=""/>
                    <pic:cNvPicPr/>
                  </pic:nvPicPr>
                  <pic:blipFill rotWithShape="1">
                    <a:blip r:embed="rId15"/>
                    <a:srcRect/>
                    <a:stretch>
                      <a:fillRect/>
                    </a:stretch>
                  </pic:blipFill>
                  <pic:spPr bwMode="auto">
                    <a:xfrm>
                      <a:off x="0" y="0"/>
                      <a:ext cx="5731510" cy="3192780"/>
                    </a:xfrm>
                    <a:prstGeom prst="rect">
                      <a:avLst/>
                    </a:prstGeom>
                    <a:ln>
                      <a:noFill/>
                    </a:ln>
                    <a:extLst>
                      <a:ext uri="{53640926-AAD7-44D8-BBD7-CCE9431645EC}">
                        <a14:shadowObscured xmlns:a14="http://schemas.microsoft.com/office/drawing/2010/main"/>
                      </a:ext>
                    </a:extLst>
                  </pic:spPr>
                </pic:pic>
              </a:graphicData>
            </a:graphic>
          </wp:inline>
        </w:drawing>
      </w:r>
      <w:r w:rsidR="00D02D9F" w:rsidRPr="002374EC">
        <w:rPr>
          <w:rFonts w:ascii="Arial" w:hAnsi="Arial" w:cs="Arial"/>
          <w:bCs/>
          <w:sz w:val="22"/>
          <w:szCs w:val="22"/>
        </w:rPr>
        <w:t xml:space="preserve">The limits, which were used, were as follows: publication date 2015-2025, English language, </w:t>
      </w:r>
      <w:r w:rsidRPr="002374EC">
        <w:rPr>
          <w:rFonts w:ascii="Arial" w:hAnsi="Arial" w:cs="Arial"/>
          <w:bCs/>
          <w:sz w:val="22"/>
          <w:szCs w:val="22"/>
        </w:rPr>
        <w:t xml:space="preserve">and </w:t>
      </w:r>
      <w:r w:rsidR="00D02D9F" w:rsidRPr="002374EC">
        <w:rPr>
          <w:rFonts w:ascii="Arial" w:hAnsi="Arial" w:cs="Arial"/>
          <w:bCs/>
          <w:sz w:val="22"/>
          <w:szCs w:val="22"/>
        </w:rPr>
        <w:t>no study design filters to ensure capturing all the applicable methodologies. The search resulted in 156 records in PubMed and 89 in PsycINFO</w:t>
      </w:r>
      <w:r w:rsidRPr="002374EC">
        <w:rPr>
          <w:rFonts w:ascii="Arial" w:hAnsi="Arial" w:cs="Arial"/>
          <w:bCs/>
          <w:sz w:val="22"/>
          <w:szCs w:val="22"/>
        </w:rPr>
        <w:t>,</w:t>
      </w:r>
      <w:r w:rsidR="00D02D9F" w:rsidRPr="002374EC">
        <w:rPr>
          <w:rFonts w:ascii="Arial" w:hAnsi="Arial" w:cs="Arial"/>
          <w:bCs/>
          <w:sz w:val="22"/>
          <w:szCs w:val="22"/>
        </w:rPr>
        <w:t xml:space="preserve"> as well as 23 records found in the grey literature (total N=268). Once cleaned by means of automated deduplication tools, 236 unique records were to be screened.</w:t>
      </w:r>
    </w:p>
    <w:p w14:paraId="3C4E62B9" w14:textId="049F1ED6" w:rsidR="00D02D9F" w:rsidRPr="002374EC" w:rsidRDefault="00D02D9F" w:rsidP="002374EC">
      <w:pPr>
        <w:pStyle w:val="Heading2"/>
        <w:spacing w:after="160" w:line="360" w:lineRule="auto"/>
        <w:jc w:val="both"/>
        <w:rPr>
          <w:rFonts w:ascii="Arial" w:hAnsi="Arial" w:cs="Arial"/>
          <w:color w:val="auto"/>
          <w:sz w:val="22"/>
        </w:rPr>
      </w:pPr>
      <w:bookmarkStart w:id="44" w:name="_Toc220926207"/>
      <w:r w:rsidRPr="002374EC">
        <w:rPr>
          <w:rFonts w:ascii="Arial" w:hAnsi="Arial" w:cs="Arial"/>
          <w:color w:val="auto"/>
          <w:sz w:val="22"/>
        </w:rPr>
        <w:t>3.5 Eligibility Criteria</w:t>
      </w:r>
      <w:bookmarkEnd w:id="44"/>
    </w:p>
    <w:p w14:paraId="7918E23F" w14:textId="447DF30D" w:rsidR="00540BA8" w:rsidRPr="002374EC" w:rsidRDefault="00D02D9F"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A priori</w:t>
      </w:r>
      <w:r w:rsidR="000B1420" w:rsidRPr="002374EC">
        <w:rPr>
          <w:rFonts w:ascii="Arial" w:hAnsi="Arial" w:cs="Arial"/>
          <w:bCs/>
          <w:sz w:val="22"/>
          <w:szCs w:val="22"/>
        </w:rPr>
        <w:t>,</w:t>
      </w:r>
      <w:r w:rsidRPr="002374EC">
        <w:rPr>
          <w:rFonts w:ascii="Arial" w:hAnsi="Arial" w:cs="Arial"/>
          <w:bCs/>
          <w:sz w:val="22"/>
          <w:szCs w:val="22"/>
        </w:rPr>
        <w:t xml:space="preserve"> explicit inclusion and exclusion criteria were established to inform the selection of the studies (McKenzie et al., 2022). Table 2 gives the full structure of the eligibility criteria.</w:t>
      </w:r>
    </w:p>
    <w:p w14:paraId="0448BC0A" w14:textId="240EC1D3" w:rsidR="00350C7C" w:rsidRPr="002374EC" w:rsidRDefault="00350C7C" w:rsidP="002374EC">
      <w:pPr>
        <w:pStyle w:val="Caption"/>
        <w:spacing w:after="160" w:line="360" w:lineRule="auto"/>
        <w:jc w:val="both"/>
        <w:rPr>
          <w:rFonts w:ascii="Arial" w:hAnsi="Arial" w:cs="Arial"/>
          <w:b/>
          <w:bCs/>
          <w:color w:val="auto"/>
          <w:sz w:val="22"/>
          <w:szCs w:val="22"/>
        </w:rPr>
      </w:pPr>
      <w:bookmarkStart w:id="45" w:name="_Toc220925861"/>
      <w:r w:rsidRPr="002374EC">
        <w:rPr>
          <w:rFonts w:ascii="Arial" w:hAnsi="Arial" w:cs="Arial"/>
          <w:b/>
          <w:bCs/>
          <w:color w:val="auto"/>
          <w:sz w:val="22"/>
          <w:szCs w:val="22"/>
        </w:rPr>
        <w:lastRenderedPageBreak/>
        <w:t>Table</w:t>
      </w:r>
      <w:r w:rsidR="002374EC">
        <w:rPr>
          <w:rFonts w:ascii="Arial" w:hAnsi="Arial" w:cs="Arial"/>
          <w:b/>
          <w:bCs/>
          <w:color w:val="auto"/>
          <w:sz w:val="22"/>
          <w:szCs w:val="22"/>
        </w:rPr>
        <w:t xml:space="preserve"> </w:t>
      </w:r>
      <w:r w:rsidRPr="002374EC">
        <w:rPr>
          <w:rFonts w:ascii="Arial" w:hAnsi="Arial" w:cs="Arial"/>
          <w:b/>
          <w:bCs/>
          <w:color w:val="auto"/>
          <w:sz w:val="22"/>
          <w:szCs w:val="22"/>
        </w:rPr>
        <w:fldChar w:fldCharType="begin"/>
      </w:r>
      <w:r w:rsidRPr="002374EC">
        <w:rPr>
          <w:rFonts w:ascii="Arial" w:hAnsi="Arial" w:cs="Arial"/>
          <w:b/>
          <w:bCs/>
          <w:color w:val="auto"/>
          <w:sz w:val="22"/>
          <w:szCs w:val="22"/>
        </w:rPr>
        <w:instrText xml:space="preserve"> SEQ Table \* ARABIC </w:instrText>
      </w:r>
      <w:r w:rsidRPr="002374EC">
        <w:rPr>
          <w:rFonts w:ascii="Arial" w:hAnsi="Arial" w:cs="Arial"/>
          <w:b/>
          <w:bCs/>
          <w:color w:val="auto"/>
          <w:sz w:val="22"/>
          <w:szCs w:val="22"/>
        </w:rPr>
        <w:fldChar w:fldCharType="separate"/>
      </w:r>
      <w:r w:rsidR="000B2682">
        <w:rPr>
          <w:rFonts w:ascii="Arial" w:hAnsi="Arial" w:cs="Arial"/>
          <w:b/>
          <w:bCs/>
          <w:noProof/>
          <w:color w:val="auto"/>
          <w:sz w:val="22"/>
          <w:szCs w:val="22"/>
        </w:rPr>
        <w:t>2</w:t>
      </w:r>
      <w:r w:rsidRPr="002374EC">
        <w:rPr>
          <w:rFonts w:ascii="Arial" w:hAnsi="Arial" w:cs="Arial"/>
          <w:b/>
          <w:bCs/>
          <w:color w:val="auto"/>
          <w:sz w:val="22"/>
          <w:szCs w:val="22"/>
        </w:rPr>
        <w:fldChar w:fldCharType="end"/>
      </w:r>
      <w:r w:rsidR="00540BA8" w:rsidRPr="002374EC">
        <w:rPr>
          <w:rFonts w:ascii="Arial" w:hAnsi="Arial" w:cs="Arial"/>
          <w:b/>
          <w:bCs/>
          <w:color w:val="auto"/>
          <w:sz w:val="22"/>
          <w:szCs w:val="22"/>
        </w:rPr>
        <w:t>: Inclusion and Exclusion Criteria</w:t>
      </w:r>
      <w:bookmarkEnd w:id="45"/>
    </w:p>
    <w:p w14:paraId="439A2AE2" w14:textId="719C116A" w:rsidR="00540BA8" w:rsidRPr="002374EC" w:rsidRDefault="00C849F6" w:rsidP="002374EC">
      <w:pPr>
        <w:pStyle w:val="NormalWeb"/>
        <w:spacing w:after="160" w:afterAutospacing="0" w:line="360" w:lineRule="auto"/>
        <w:jc w:val="both"/>
        <w:rPr>
          <w:rFonts w:ascii="Arial" w:hAnsi="Arial" w:cs="Arial"/>
          <w:bCs/>
          <w:sz w:val="22"/>
          <w:szCs w:val="22"/>
        </w:rPr>
      </w:pPr>
      <w:r w:rsidRPr="002374EC">
        <w:rPr>
          <w:rFonts w:ascii="Arial" w:hAnsi="Arial" w:cs="Arial"/>
          <w:bCs/>
          <w:noProof/>
          <w:sz w:val="22"/>
          <w:szCs w:val="22"/>
        </w:rPr>
        <w:drawing>
          <wp:inline distT="0" distB="0" distL="0" distR="0" wp14:anchorId="7A701D1D" wp14:editId="4F45C895">
            <wp:extent cx="5731510" cy="3392805"/>
            <wp:effectExtent l="0" t="0" r="2540" b="0"/>
            <wp:docPr id="1094844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44002" name=""/>
                    <pic:cNvPicPr/>
                  </pic:nvPicPr>
                  <pic:blipFill>
                    <a:blip r:embed="rId16"/>
                    <a:stretch>
                      <a:fillRect/>
                    </a:stretch>
                  </pic:blipFill>
                  <pic:spPr>
                    <a:xfrm>
                      <a:off x="0" y="0"/>
                      <a:ext cx="5731510" cy="3392805"/>
                    </a:xfrm>
                    <a:prstGeom prst="rect">
                      <a:avLst/>
                    </a:prstGeom>
                  </pic:spPr>
                </pic:pic>
              </a:graphicData>
            </a:graphic>
          </wp:inline>
        </w:drawing>
      </w:r>
      <w:r w:rsidR="00C318BA" w:rsidRPr="002374EC">
        <w:rPr>
          <w:rFonts w:ascii="Arial" w:hAnsi="Arial" w:cs="Arial"/>
          <w:bCs/>
          <w:sz w:val="22"/>
          <w:szCs w:val="22"/>
        </w:rPr>
        <w:t xml:space="preserve">This made </w:t>
      </w:r>
      <w:r w:rsidRPr="002374EC">
        <w:rPr>
          <w:rFonts w:ascii="Arial" w:hAnsi="Arial" w:cs="Arial"/>
          <w:bCs/>
          <w:sz w:val="22"/>
          <w:szCs w:val="22"/>
        </w:rPr>
        <w:t xml:space="preserve">the </w:t>
      </w:r>
      <w:r w:rsidR="00C318BA" w:rsidRPr="002374EC">
        <w:rPr>
          <w:rFonts w:ascii="Arial" w:hAnsi="Arial" w:cs="Arial"/>
          <w:bCs/>
          <w:sz w:val="22"/>
          <w:szCs w:val="22"/>
        </w:rPr>
        <w:t xml:space="preserve">inclusion of similar healthcare systems (Australia, Canada, Nordic countries) because it was based on </w:t>
      </w:r>
      <w:r w:rsidRPr="002374EC">
        <w:rPr>
          <w:rFonts w:ascii="Arial" w:hAnsi="Arial" w:cs="Arial"/>
          <w:bCs/>
          <w:sz w:val="22"/>
          <w:szCs w:val="22"/>
        </w:rPr>
        <w:t xml:space="preserve">a </w:t>
      </w:r>
      <w:r w:rsidR="00C318BA" w:rsidRPr="002374EC">
        <w:rPr>
          <w:rFonts w:ascii="Arial" w:hAnsi="Arial" w:cs="Arial"/>
          <w:bCs/>
          <w:sz w:val="22"/>
          <w:szCs w:val="22"/>
        </w:rPr>
        <w:t>similar universal healthcare structure, welfare systems and service delivery models</w:t>
      </w:r>
      <w:r w:rsidRPr="002374EC">
        <w:rPr>
          <w:rFonts w:ascii="Arial" w:hAnsi="Arial" w:cs="Arial"/>
          <w:bCs/>
          <w:sz w:val="22"/>
          <w:szCs w:val="22"/>
        </w:rPr>
        <w:t>,</w:t>
      </w:r>
      <w:r w:rsidR="00C318BA" w:rsidRPr="002374EC">
        <w:rPr>
          <w:rFonts w:ascii="Arial" w:hAnsi="Arial" w:cs="Arial"/>
          <w:bCs/>
          <w:sz w:val="22"/>
          <w:szCs w:val="22"/>
        </w:rPr>
        <w:t xml:space="preserve"> which would allow transferability of effects and findings to the UK context (Petticrew and Roberts, 2006).</w:t>
      </w:r>
    </w:p>
    <w:p w14:paraId="0C6BEC75" w14:textId="77777777" w:rsidR="00540BA8" w:rsidRPr="002374EC" w:rsidRDefault="00540BA8" w:rsidP="002374EC">
      <w:pPr>
        <w:pStyle w:val="Heading2"/>
        <w:spacing w:after="160" w:line="360" w:lineRule="auto"/>
        <w:jc w:val="both"/>
        <w:rPr>
          <w:rFonts w:ascii="Arial" w:hAnsi="Arial" w:cs="Arial"/>
          <w:color w:val="auto"/>
          <w:sz w:val="22"/>
        </w:rPr>
      </w:pPr>
      <w:bookmarkStart w:id="46" w:name="_Toc220926208"/>
      <w:r w:rsidRPr="002374EC">
        <w:rPr>
          <w:rFonts w:ascii="Arial" w:hAnsi="Arial" w:cs="Arial"/>
          <w:color w:val="auto"/>
          <w:sz w:val="22"/>
        </w:rPr>
        <w:t>3.6 Study Selection Process</w:t>
      </w:r>
      <w:bookmarkEnd w:id="46"/>
    </w:p>
    <w:p w14:paraId="0DFD8640" w14:textId="4A760200" w:rsidR="005D5F00" w:rsidRPr="002374EC" w:rsidRDefault="005D5F00" w:rsidP="002374EC">
      <w:pPr>
        <w:pStyle w:val="Heading3"/>
        <w:spacing w:after="160" w:line="360" w:lineRule="auto"/>
        <w:jc w:val="both"/>
        <w:rPr>
          <w:rFonts w:ascii="Arial" w:hAnsi="Arial" w:cs="Arial"/>
          <w:color w:val="auto"/>
          <w:sz w:val="22"/>
        </w:rPr>
      </w:pPr>
      <w:bookmarkStart w:id="47" w:name="_Toc220926209"/>
      <w:r w:rsidRPr="002374EC">
        <w:rPr>
          <w:rFonts w:ascii="Arial" w:hAnsi="Arial" w:cs="Arial"/>
          <w:color w:val="auto"/>
          <w:sz w:val="22"/>
        </w:rPr>
        <w:t>3.6.1 PRISMA Flow</w:t>
      </w:r>
      <w:bookmarkEnd w:id="47"/>
    </w:p>
    <w:p w14:paraId="629030DF" w14:textId="366E620B" w:rsidR="005D5F00" w:rsidRPr="002374EC" w:rsidRDefault="005D5F00"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The four-phase PRISMA 2020 approach was applied to select the studies (Page et al., 2021)</w:t>
      </w:r>
      <w:r w:rsidR="00B2465B">
        <w:rPr>
          <w:rFonts w:ascii="Arial" w:hAnsi="Arial" w:cs="Arial"/>
          <w:sz w:val="22"/>
          <w:szCs w:val="22"/>
        </w:rPr>
        <w:t xml:space="preserve">. </w:t>
      </w:r>
      <w:r w:rsidRPr="002374EC">
        <w:rPr>
          <w:rFonts w:ascii="Arial" w:hAnsi="Arial" w:cs="Arial"/>
          <w:sz w:val="22"/>
          <w:szCs w:val="22"/>
        </w:rPr>
        <w:t>During the identification process, there were October 2025 searches completed, which identified 268 records. After optical deduplication, 236 distinct records were</w:t>
      </w:r>
      <w:r w:rsidR="00C849F6" w:rsidRPr="002374EC">
        <w:rPr>
          <w:rFonts w:ascii="Arial" w:hAnsi="Arial" w:cs="Arial"/>
          <w:sz w:val="22"/>
          <w:szCs w:val="22"/>
        </w:rPr>
        <w:t xml:space="preserve"> </w:t>
      </w:r>
      <w:r w:rsidRPr="002374EC">
        <w:rPr>
          <w:rFonts w:ascii="Arial" w:hAnsi="Arial" w:cs="Arial"/>
          <w:sz w:val="22"/>
          <w:szCs w:val="22"/>
        </w:rPr>
        <w:t>screen</w:t>
      </w:r>
      <w:r w:rsidR="00C849F6" w:rsidRPr="002374EC">
        <w:rPr>
          <w:rFonts w:ascii="Arial" w:hAnsi="Arial" w:cs="Arial"/>
          <w:sz w:val="22"/>
          <w:szCs w:val="22"/>
        </w:rPr>
        <w:t>ed</w:t>
      </w:r>
      <w:r w:rsidRPr="002374EC">
        <w:rPr>
          <w:rFonts w:ascii="Arial" w:hAnsi="Arial" w:cs="Arial"/>
          <w:sz w:val="22"/>
          <w:szCs w:val="22"/>
        </w:rPr>
        <w:t xml:space="preserve">. At the screening stage, </w:t>
      </w:r>
      <w:r w:rsidR="00C849F6" w:rsidRPr="002374EC">
        <w:rPr>
          <w:rFonts w:ascii="Arial" w:hAnsi="Arial" w:cs="Arial"/>
          <w:sz w:val="22"/>
          <w:szCs w:val="22"/>
        </w:rPr>
        <w:t xml:space="preserve">the </w:t>
      </w:r>
      <w:r w:rsidRPr="002374EC">
        <w:rPr>
          <w:rFonts w:ascii="Arial" w:hAnsi="Arial" w:cs="Arial"/>
          <w:sz w:val="22"/>
          <w:szCs w:val="22"/>
        </w:rPr>
        <w:t xml:space="preserve">researcher vetted through all titles and abstracts in relation to </w:t>
      </w:r>
      <w:r w:rsidR="00C849F6" w:rsidRPr="002374EC">
        <w:rPr>
          <w:rFonts w:ascii="Arial" w:hAnsi="Arial" w:cs="Arial"/>
          <w:sz w:val="22"/>
          <w:szCs w:val="22"/>
        </w:rPr>
        <w:t xml:space="preserve">the </w:t>
      </w:r>
      <w:r w:rsidRPr="002374EC">
        <w:rPr>
          <w:rFonts w:ascii="Arial" w:hAnsi="Arial" w:cs="Arial"/>
          <w:sz w:val="22"/>
          <w:szCs w:val="22"/>
        </w:rPr>
        <w:t>inclusion criteria</w:t>
      </w:r>
      <w:r w:rsidR="00C849F6" w:rsidRPr="002374EC">
        <w:rPr>
          <w:rFonts w:ascii="Arial" w:hAnsi="Arial" w:cs="Arial"/>
          <w:sz w:val="22"/>
          <w:szCs w:val="22"/>
        </w:rPr>
        <w:t>, then</w:t>
      </w:r>
      <w:r w:rsidRPr="002374EC">
        <w:rPr>
          <w:rFonts w:ascii="Arial" w:hAnsi="Arial" w:cs="Arial"/>
          <w:sz w:val="22"/>
          <w:szCs w:val="22"/>
        </w:rPr>
        <w:t xml:space="preserve"> took a conservative stance, keeping records to view in full-text when the eligibility was questionable (Waffenschmidt et al., 2019). The screening of 236 records resulted in the exclusion of 212 records (78 not 18-25 age range; 65 not NEET population; 42 not barriers focus; 18 not UK/comparable setting; 9 not original research), 24 would be subjected to full-text eligibility.</w:t>
      </w:r>
    </w:p>
    <w:p w14:paraId="0199EB46" w14:textId="30B76C13" w:rsidR="005D5F00" w:rsidRPr="002374EC" w:rsidRDefault="005D5F00"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During the eligibility assessment phase, full texts have been obtained and evaluated systematically in terms of all known inclusion and exclusion criteria. This stage eliminated thirteen studies (4 duplicate versions; 3 age </w:t>
      </w:r>
      <w:r w:rsidR="00C849F6" w:rsidRPr="002374EC">
        <w:rPr>
          <w:rFonts w:ascii="Arial" w:hAnsi="Arial" w:cs="Arial"/>
          <w:sz w:val="22"/>
          <w:szCs w:val="22"/>
        </w:rPr>
        <w:t>was</w:t>
      </w:r>
      <w:r w:rsidRPr="002374EC">
        <w:rPr>
          <w:rFonts w:ascii="Arial" w:hAnsi="Arial" w:cs="Arial"/>
          <w:sz w:val="22"/>
          <w:szCs w:val="22"/>
        </w:rPr>
        <w:t xml:space="preserve"> totally out of range; 3 NEET was not </w:t>
      </w:r>
      <w:r w:rsidRPr="002374EC">
        <w:rPr>
          <w:rFonts w:ascii="Arial" w:hAnsi="Arial" w:cs="Arial"/>
          <w:sz w:val="22"/>
          <w:szCs w:val="22"/>
        </w:rPr>
        <w:lastRenderedPageBreak/>
        <w:t xml:space="preserve">discussed; 2 </w:t>
      </w:r>
      <w:r w:rsidR="00C849F6" w:rsidRPr="002374EC">
        <w:rPr>
          <w:rFonts w:ascii="Arial" w:hAnsi="Arial" w:cs="Arial"/>
          <w:sz w:val="22"/>
          <w:szCs w:val="22"/>
        </w:rPr>
        <w:t xml:space="preserve">had </w:t>
      </w:r>
      <w:r w:rsidRPr="002374EC">
        <w:rPr>
          <w:rFonts w:ascii="Arial" w:hAnsi="Arial" w:cs="Arial"/>
          <w:sz w:val="22"/>
          <w:szCs w:val="22"/>
        </w:rPr>
        <w:t xml:space="preserve">no </w:t>
      </w:r>
      <w:r w:rsidR="00C849F6" w:rsidRPr="002374EC">
        <w:rPr>
          <w:rFonts w:ascii="Arial" w:hAnsi="Arial" w:cs="Arial"/>
          <w:sz w:val="22"/>
          <w:szCs w:val="22"/>
        </w:rPr>
        <w:t>barrier</w:t>
      </w:r>
      <w:r w:rsidRPr="002374EC">
        <w:rPr>
          <w:rFonts w:ascii="Arial" w:hAnsi="Arial" w:cs="Arial"/>
          <w:sz w:val="22"/>
          <w:szCs w:val="22"/>
        </w:rPr>
        <w:t xml:space="preserve"> data; 1 quality scor</w:t>
      </w:r>
      <w:r w:rsidR="00B73D7E" w:rsidRPr="002374EC">
        <w:rPr>
          <w:rFonts w:ascii="Arial" w:hAnsi="Arial" w:cs="Arial"/>
          <w:sz w:val="22"/>
          <w:szCs w:val="22"/>
        </w:rPr>
        <w:t>e</w:t>
      </w:r>
      <w:r w:rsidRPr="002374EC">
        <w:rPr>
          <w:rFonts w:ascii="Arial" w:hAnsi="Arial" w:cs="Arial"/>
          <w:sz w:val="22"/>
          <w:szCs w:val="22"/>
        </w:rPr>
        <w:t xml:space="preserve"> </w:t>
      </w:r>
      <w:r w:rsidR="006202C0" w:rsidRPr="002374EC">
        <w:rPr>
          <w:rFonts w:ascii="Arial" w:hAnsi="Arial" w:cs="Arial"/>
          <w:sz w:val="22"/>
          <w:szCs w:val="22"/>
        </w:rPr>
        <w:t>&lt;</w:t>
      </w:r>
      <w:r w:rsidRPr="002374EC">
        <w:rPr>
          <w:rFonts w:ascii="Arial" w:hAnsi="Arial" w:cs="Arial"/>
          <w:sz w:val="22"/>
          <w:szCs w:val="22"/>
        </w:rPr>
        <w:t>6/10). This identified three studies that satisfied all seven inclusion criteria (fully compliant) and eight studies (4-6.5 criteria partially compliant). The inclusion of partially compliant studies was based on the reason that a large gap in evidence has been found and is described in an open manner as a very important discovery. Reference lists were searched by hand without any further eligible studies.</w:t>
      </w:r>
    </w:p>
    <w:p w14:paraId="1D5C65B9" w14:textId="3A3B1460" w:rsidR="005D5F00" w:rsidRPr="002374EC" w:rsidRDefault="005D5F00" w:rsidP="002374EC">
      <w:pPr>
        <w:pStyle w:val="Heading3"/>
        <w:spacing w:after="160" w:line="360" w:lineRule="auto"/>
        <w:jc w:val="both"/>
        <w:rPr>
          <w:rFonts w:ascii="Arial" w:hAnsi="Arial" w:cs="Arial"/>
          <w:color w:val="auto"/>
          <w:sz w:val="22"/>
        </w:rPr>
      </w:pPr>
      <w:bookmarkStart w:id="48" w:name="_Toc220926210"/>
      <w:r w:rsidRPr="002374EC">
        <w:rPr>
          <w:rFonts w:ascii="Arial" w:hAnsi="Arial" w:cs="Arial"/>
          <w:color w:val="auto"/>
          <w:sz w:val="22"/>
        </w:rPr>
        <w:t>3.6.2 Single Researcher Approach</w:t>
      </w:r>
      <w:bookmarkEnd w:id="48"/>
    </w:p>
    <w:p w14:paraId="53C64A08" w14:textId="7FD55180" w:rsidR="00540BA8" w:rsidRPr="002374EC" w:rsidRDefault="005D5F00"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A quality appraisal, screening, and eligibility assessment and data extraction were performed by one researcher. Although this is a methodological limitation since it lacks interrater reliability (Waffenschmidt et al., 2019; McHugh, 2012), </w:t>
      </w:r>
      <w:r w:rsidR="00C849F6" w:rsidRPr="002374EC">
        <w:rPr>
          <w:rFonts w:ascii="Arial" w:hAnsi="Arial" w:cs="Arial"/>
          <w:sz w:val="22"/>
          <w:szCs w:val="22"/>
        </w:rPr>
        <w:t>several</w:t>
      </w:r>
      <w:r w:rsidRPr="002374EC">
        <w:rPr>
          <w:rFonts w:ascii="Arial" w:hAnsi="Arial" w:cs="Arial"/>
          <w:sz w:val="22"/>
          <w:szCs w:val="22"/>
        </w:rPr>
        <w:t xml:space="preserve"> mitigation techniques were used. The 213 specified criteria were used throughout. A conservative version kept the borderline studies under full-text scrutiny in case of uncertainty. The decisions were recorded in a comprehensive documentation, keeping a trail of audit. The dissertation supervisor discussed borderline cases to guarantee proper use of </w:t>
      </w:r>
      <w:r w:rsidR="007734F1" w:rsidRPr="002374EC">
        <w:rPr>
          <w:rFonts w:ascii="Arial" w:hAnsi="Arial" w:cs="Arial"/>
          <w:sz w:val="22"/>
          <w:szCs w:val="22"/>
        </w:rPr>
        <w:t xml:space="preserve">the </w:t>
      </w:r>
      <w:r w:rsidRPr="002374EC">
        <w:rPr>
          <w:rFonts w:ascii="Arial" w:hAnsi="Arial" w:cs="Arial"/>
          <w:sz w:val="22"/>
          <w:szCs w:val="22"/>
        </w:rPr>
        <w:t>criteria. These steps, which are typical of most systematic reviews on the master's level, addressed the shortcomings of single-reviewer practices with systematic rigour and clear disclosure (Booth et al., 2016).</w:t>
      </w:r>
    </w:p>
    <w:p w14:paraId="791304D9" w14:textId="77777777" w:rsidR="00540BA8" w:rsidRPr="002374EC" w:rsidRDefault="00540BA8" w:rsidP="002374EC">
      <w:pPr>
        <w:pStyle w:val="Heading2"/>
        <w:spacing w:after="160" w:line="360" w:lineRule="auto"/>
        <w:jc w:val="both"/>
        <w:rPr>
          <w:rFonts w:ascii="Arial" w:hAnsi="Arial" w:cs="Arial"/>
          <w:color w:val="auto"/>
          <w:sz w:val="22"/>
        </w:rPr>
      </w:pPr>
      <w:bookmarkStart w:id="49" w:name="_Toc220926211"/>
      <w:r w:rsidRPr="002374EC">
        <w:rPr>
          <w:rFonts w:ascii="Arial" w:hAnsi="Arial" w:cs="Arial"/>
          <w:color w:val="auto"/>
          <w:sz w:val="22"/>
        </w:rPr>
        <w:t>3.7 Data Extraction</w:t>
      </w:r>
      <w:bookmarkEnd w:id="49"/>
    </w:p>
    <w:p w14:paraId="0A11E267" w14:textId="799D1DA1" w:rsidR="007E1734" w:rsidRPr="002374EC" w:rsidRDefault="007E1734" w:rsidP="002374EC">
      <w:pPr>
        <w:pStyle w:val="Heading3"/>
        <w:spacing w:after="160" w:line="360" w:lineRule="auto"/>
        <w:jc w:val="both"/>
        <w:rPr>
          <w:rFonts w:ascii="Arial" w:hAnsi="Arial" w:cs="Arial"/>
          <w:color w:val="auto"/>
          <w:sz w:val="22"/>
        </w:rPr>
      </w:pPr>
      <w:bookmarkStart w:id="50" w:name="_Toc220926212"/>
      <w:r w:rsidRPr="002374EC">
        <w:rPr>
          <w:rFonts w:ascii="Arial" w:hAnsi="Arial" w:cs="Arial"/>
          <w:color w:val="auto"/>
          <w:sz w:val="22"/>
        </w:rPr>
        <w:t>3.7.1 Data Extraction Form and Process</w:t>
      </w:r>
      <w:bookmarkEnd w:id="50"/>
    </w:p>
    <w:p w14:paraId="5D7176AE" w14:textId="56579933" w:rsidR="007E1734" w:rsidRPr="002374EC" w:rsidRDefault="007E1734"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A structured data extraction form was designed and tested on two of the included studies, after which some modifications were implemented before continuation of data extraction (Higgins et al., 2024). The form taken included: (1) study characteristics (author, year, journal, country, setting, aims); (2) methodological details (design, data collection methods, sample size, sampling strategy, analysis methods); (3) population characteristics (age range, gender distribution, NEET definition, NEET proportion, mental health conditions); (4) barriers found (structural, attitudinal, social barriers with prevalence/frequency and quotes of such); and (5) key findings as per the research question.</w:t>
      </w:r>
    </w:p>
    <w:p w14:paraId="06716905" w14:textId="29CEBE80" w:rsidR="00540BA8" w:rsidRPr="002374EC" w:rsidRDefault="00C849F6"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The</w:t>
      </w:r>
      <w:r w:rsidR="007E1734" w:rsidRPr="002374EC">
        <w:rPr>
          <w:rFonts w:ascii="Arial" w:hAnsi="Arial" w:cs="Arial"/>
          <w:sz w:val="22"/>
          <w:szCs w:val="22"/>
        </w:rPr>
        <w:t xml:space="preserve"> researcher extracted the data and input it into a Microsoft Excel spreadsheet stored in a safe location that was secured with </w:t>
      </w:r>
      <w:r w:rsidR="007734F1" w:rsidRPr="002374EC">
        <w:rPr>
          <w:rFonts w:ascii="Arial" w:hAnsi="Arial" w:cs="Arial"/>
          <w:sz w:val="22"/>
          <w:szCs w:val="22"/>
        </w:rPr>
        <w:t xml:space="preserve">the </w:t>
      </w:r>
      <w:r w:rsidR="007E1734" w:rsidRPr="002374EC">
        <w:rPr>
          <w:rFonts w:ascii="Arial" w:hAnsi="Arial" w:cs="Arial"/>
          <w:sz w:val="22"/>
          <w:szCs w:val="22"/>
        </w:rPr>
        <w:t xml:space="preserve">OneDrive system at the University of Wales Trinity Saint David with a password and </w:t>
      </w:r>
      <w:r w:rsidR="007734F1" w:rsidRPr="002374EC">
        <w:rPr>
          <w:rFonts w:ascii="Arial" w:hAnsi="Arial" w:cs="Arial"/>
          <w:sz w:val="22"/>
          <w:szCs w:val="22"/>
        </w:rPr>
        <w:t>encryption</w:t>
      </w:r>
      <w:r w:rsidR="007E1734" w:rsidRPr="002374EC">
        <w:rPr>
          <w:rFonts w:ascii="Arial" w:hAnsi="Arial" w:cs="Arial"/>
          <w:sz w:val="22"/>
          <w:szCs w:val="22"/>
        </w:rPr>
        <w:t xml:space="preserve">. The quality of extracted data was confirmed by comparing </w:t>
      </w:r>
      <w:r w:rsidR="007734F1" w:rsidRPr="002374EC">
        <w:rPr>
          <w:rFonts w:ascii="Arial" w:hAnsi="Arial" w:cs="Arial"/>
          <w:sz w:val="22"/>
          <w:szCs w:val="22"/>
        </w:rPr>
        <w:t xml:space="preserve">the </w:t>
      </w:r>
      <w:r w:rsidR="007E1734" w:rsidRPr="002374EC">
        <w:rPr>
          <w:rFonts w:ascii="Arial" w:hAnsi="Arial" w:cs="Arial"/>
          <w:sz w:val="22"/>
          <w:szCs w:val="22"/>
        </w:rPr>
        <w:t xml:space="preserve">extracted data with </w:t>
      </w:r>
      <w:r w:rsidR="007734F1" w:rsidRPr="002374EC">
        <w:rPr>
          <w:rFonts w:ascii="Arial" w:hAnsi="Arial" w:cs="Arial"/>
          <w:sz w:val="22"/>
          <w:szCs w:val="22"/>
        </w:rPr>
        <w:t xml:space="preserve">the </w:t>
      </w:r>
      <w:r w:rsidR="007E1734" w:rsidRPr="002374EC">
        <w:rPr>
          <w:rFonts w:ascii="Arial" w:hAnsi="Arial" w:cs="Arial"/>
          <w:sz w:val="22"/>
          <w:szCs w:val="22"/>
        </w:rPr>
        <w:t>original papers to find discrepancies or omissions. Uncertainty was identified as well and was marked to be discussed.</w:t>
      </w:r>
    </w:p>
    <w:p w14:paraId="47D6A960" w14:textId="77777777" w:rsidR="00540BA8" w:rsidRPr="002374EC" w:rsidRDefault="00540BA8" w:rsidP="002374EC">
      <w:pPr>
        <w:pStyle w:val="Heading2"/>
        <w:spacing w:after="160" w:line="360" w:lineRule="auto"/>
        <w:jc w:val="both"/>
        <w:rPr>
          <w:rFonts w:ascii="Arial" w:hAnsi="Arial" w:cs="Arial"/>
          <w:color w:val="auto"/>
          <w:sz w:val="22"/>
        </w:rPr>
      </w:pPr>
      <w:bookmarkStart w:id="51" w:name="_Toc220926213"/>
      <w:r w:rsidRPr="002374EC">
        <w:rPr>
          <w:rFonts w:ascii="Arial" w:hAnsi="Arial" w:cs="Arial"/>
          <w:color w:val="auto"/>
          <w:sz w:val="22"/>
        </w:rPr>
        <w:lastRenderedPageBreak/>
        <w:t>3.8 Quality Assessment</w:t>
      </w:r>
      <w:bookmarkEnd w:id="51"/>
    </w:p>
    <w:p w14:paraId="112CA96F" w14:textId="77777777" w:rsidR="00540BA8" w:rsidRPr="002374EC" w:rsidRDefault="00540BA8" w:rsidP="002374EC">
      <w:pPr>
        <w:pStyle w:val="Heading3"/>
        <w:spacing w:after="160" w:line="360" w:lineRule="auto"/>
        <w:jc w:val="both"/>
        <w:rPr>
          <w:rFonts w:ascii="Arial" w:hAnsi="Arial" w:cs="Arial"/>
          <w:color w:val="auto"/>
          <w:sz w:val="22"/>
        </w:rPr>
      </w:pPr>
      <w:bookmarkStart w:id="52" w:name="_Toc220926214"/>
      <w:r w:rsidRPr="002374EC">
        <w:rPr>
          <w:rFonts w:ascii="Arial" w:hAnsi="Arial" w:cs="Arial"/>
          <w:color w:val="auto"/>
          <w:sz w:val="22"/>
        </w:rPr>
        <w:t>3.8.1 Quality Assessment Tool and Process</w:t>
      </w:r>
      <w:bookmarkEnd w:id="52"/>
    </w:p>
    <w:p w14:paraId="2FB24875" w14:textId="3DA4F03C" w:rsidR="00CC5E9C" w:rsidRPr="002374EC" w:rsidRDefault="00A817BA"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The quality of the methodology was actively calculated using the Critical Appraisal Skills Programme (CASP) checklists depending on the study design (CASP, 2024). Qualitative studies were screened by CASP Qualitative Checklist (10 items)</w:t>
      </w:r>
      <w:r w:rsidR="007734F1" w:rsidRPr="002374EC">
        <w:rPr>
          <w:rFonts w:ascii="Arial" w:hAnsi="Arial" w:cs="Arial"/>
          <w:bCs/>
          <w:sz w:val="22"/>
          <w:szCs w:val="22"/>
        </w:rPr>
        <w:t>,</w:t>
      </w:r>
      <w:r w:rsidRPr="002374EC">
        <w:rPr>
          <w:rFonts w:ascii="Arial" w:hAnsi="Arial" w:cs="Arial"/>
          <w:bCs/>
          <w:sz w:val="22"/>
          <w:szCs w:val="22"/>
        </w:rPr>
        <w:t xml:space="preserve"> then the quantitative cohort and cross-sectional studies with CASP Cohort Study Checklist (10 items), </w:t>
      </w:r>
      <w:r w:rsidR="007734F1" w:rsidRPr="002374EC">
        <w:rPr>
          <w:rFonts w:ascii="Arial" w:hAnsi="Arial" w:cs="Arial"/>
          <w:bCs/>
          <w:sz w:val="22"/>
          <w:szCs w:val="22"/>
        </w:rPr>
        <w:t xml:space="preserve">and </w:t>
      </w:r>
      <w:r w:rsidRPr="002374EC">
        <w:rPr>
          <w:rFonts w:ascii="Arial" w:hAnsi="Arial" w:cs="Arial"/>
          <w:bCs/>
          <w:sz w:val="22"/>
          <w:szCs w:val="22"/>
        </w:rPr>
        <w:t>the randomised controlled trials with CASP Randomised Controlled Trial Checklist</w:t>
      </w:r>
      <w:r w:rsidR="0024358A" w:rsidRPr="002374EC">
        <w:rPr>
          <w:rFonts w:ascii="Arial" w:hAnsi="Arial" w:cs="Arial"/>
          <w:bCs/>
          <w:sz w:val="22"/>
          <w:szCs w:val="22"/>
        </w:rPr>
        <w:t>.</w:t>
      </w:r>
      <w:r w:rsidRPr="002374EC">
        <w:rPr>
          <w:rFonts w:ascii="Arial" w:hAnsi="Arial" w:cs="Arial"/>
          <w:bCs/>
          <w:sz w:val="22"/>
          <w:szCs w:val="22"/>
        </w:rPr>
        <w:t xml:space="preserve"> The rating was 10 points </w:t>
      </w:r>
      <w:r w:rsidR="007734F1" w:rsidRPr="002374EC">
        <w:rPr>
          <w:rFonts w:ascii="Arial" w:hAnsi="Arial" w:cs="Arial"/>
          <w:bCs/>
          <w:sz w:val="22"/>
          <w:szCs w:val="22"/>
        </w:rPr>
        <w:t xml:space="preserve">for </w:t>
      </w:r>
      <w:r w:rsidRPr="002374EC">
        <w:rPr>
          <w:rFonts w:ascii="Arial" w:hAnsi="Arial" w:cs="Arial"/>
          <w:bCs/>
          <w:sz w:val="22"/>
          <w:szCs w:val="22"/>
        </w:rPr>
        <w:t>each question</w:t>
      </w:r>
      <w:r w:rsidR="007734F1" w:rsidRPr="002374EC">
        <w:rPr>
          <w:rFonts w:ascii="Arial" w:hAnsi="Arial" w:cs="Arial"/>
          <w:bCs/>
          <w:sz w:val="22"/>
          <w:szCs w:val="22"/>
        </w:rPr>
        <w:t>:</w:t>
      </w:r>
      <w:r w:rsidRPr="002374EC">
        <w:rPr>
          <w:rFonts w:ascii="Arial" w:hAnsi="Arial" w:cs="Arial"/>
          <w:bCs/>
          <w:sz w:val="22"/>
          <w:szCs w:val="22"/>
        </w:rPr>
        <w:t xml:space="preserve"> Yes (1 point)</w:t>
      </w:r>
      <w:r w:rsidR="007734F1" w:rsidRPr="002374EC">
        <w:rPr>
          <w:rFonts w:ascii="Arial" w:hAnsi="Arial" w:cs="Arial"/>
          <w:bCs/>
          <w:sz w:val="22"/>
          <w:szCs w:val="22"/>
        </w:rPr>
        <w:t>,</w:t>
      </w:r>
      <w:r w:rsidRPr="002374EC">
        <w:rPr>
          <w:rFonts w:ascii="Arial" w:hAnsi="Arial" w:cs="Arial"/>
          <w:bCs/>
          <w:sz w:val="22"/>
          <w:szCs w:val="22"/>
        </w:rPr>
        <w:t xml:space="preserve"> partial (0.5 points)</w:t>
      </w:r>
      <w:r w:rsidR="007734F1" w:rsidRPr="002374EC">
        <w:rPr>
          <w:rFonts w:ascii="Arial" w:hAnsi="Arial" w:cs="Arial"/>
          <w:bCs/>
          <w:sz w:val="22"/>
          <w:szCs w:val="22"/>
        </w:rPr>
        <w:t>,</w:t>
      </w:r>
      <w:r w:rsidRPr="002374EC">
        <w:rPr>
          <w:rFonts w:ascii="Arial" w:hAnsi="Arial" w:cs="Arial"/>
          <w:bCs/>
          <w:sz w:val="22"/>
          <w:szCs w:val="22"/>
        </w:rPr>
        <w:t xml:space="preserve"> or no (0 points)</w:t>
      </w:r>
      <w:r w:rsidR="006A14B7" w:rsidRPr="002374EC">
        <w:rPr>
          <w:rFonts w:ascii="Arial" w:hAnsi="Arial" w:cs="Arial"/>
          <w:bCs/>
          <w:sz w:val="22"/>
          <w:szCs w:val="22"/>
        </w:rPr>
        <w:t>.</w:t>
      </w:r>
      <w:r w:rsidR="00CC5E9C" w:rsidRPr="002374EC">
        <w:rPr>
          <w:rFonts w:ascii="Arial" w:hAnsi="Arial" w:cs="Arial"/>
          <w:bCs/>
          <w:sz w:val="22"/>
          <w:szCs w:val="22"/>
        </w:rPr>
        <w:t xml:space="preserve"> Quality thresholds were set as: high quality (9-10 points), moderate quality (7-8 points) and low quality (less than 7 points).</w:t>
      </w:r>
    </w:p>
    <w:p w14:paraId="5E213B4B" w14:textId="27B43387" w:rsidR="00540BA8" w:rsidRPr="002374EC" w:rsidRDefault="00CC5E9C"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All quality assessments were done by a researcher, and the scores were entered in the data extract spreadsheet. Although </w:t>
      </w:r>
      <w:r w:rsidR="007734F1" w:rsidRPr="002374EC">
        <w:rPr>
          <w:rFonts w:ascii="Arial" w:hAnsi="Arial" w:cs="Arial"/>
          <w:bCs/>
          <w:sz w:val="22"/>
          <w:szCs w:val="22"/>
        </w:rPr>
        <w:t xml:space="preserve">a </w:t>
      </w:r>
      <w:r w:rsidRPr="002374EC">
        <w:rPr>
          <w:rFonts w:ascii="Arial" w:hAnsi="Arial" w:cs="Arial"/>
          <w:bCs/>
          <w:sz w:val="22"/>
          <w:szCs w:val="22"/>
        </w:rPr>
        <w:t xml:space="preserve">lack of independent second evaluation may be considered a weakness (Waffenschmidt et al., 2019), the systematic implementations of the standardized criteria and clear reports alleviated that issue. Research with scores less than 6/10 </w:t>
      </w:r>
      <w:r w:rsidR="007734F1" w:rsidRPr="002374EC">
        <w:rPr>
          <w:rFonts w:ascii="Arial" w:hAnsi="Arial" w:cs="Arial"/>
          <w:bCs/>
          <w:sz w:val="22"/>
          <w:szCs w:val="22"/>
        </w:rPr>
        <w:t>was</w:t>
      </w:r>
      <w:r w:rsidRPr="002374EC">
        <w:rPr>
          <w:rFonts w:ascii="Arial" w:hAnsi="Arial" w:cs="Arial"/>
          <w:bCs/>
          <w:sz w:val="22"/>
          <w:szCs w:val="22"/>
        </w:rPr>
        <w:t xml:space="preserve"> not included in the synthesis as they had a weakness in their methodology that contravened validity. The interpretation of the findings was based on quality scores</w:t>
      </w:r>
      <w:r w:rsidR="007734F1" w:rsidRPr="002374EC">
        <w:rPr>
          <w:rFonts w:ascii="Arial" w:hAnsi="Arial" w:cs="Arial"/>
          <w:bCs/>
          <w:sz w:val="22"/>
          <w:szCs w:val="22"/>
        </w:rPr>
        <w:t>;</w:t>
      </w:r>
      <w:r w:rsidRPr="002374EC">
        <w:rPr>
          <w:rFonts w:ascii="Arial" w:hAnsi="Arial" w:cs="Arial"/>
          <w:bCs/>
          <w:sz w:val="22"/>
          <w:szCs w:val="22"/>
        </w:rPr>
        <w:t xml:space="preserve"> high-quality studies carry more weight during synthesis (Guyatt et al., 2011).</w:t>
      </w:r>
    </w:p>
    <w:p w14:paraId="3BECA10F" w14:textId="77777777" w:rsidR="00540BA8" w:rsidRPr="002374EC" w:rsidRDefault="00540BA8" w:rsidP="002374EC">
      <w:pPr>
        <w:pStyle w:val="Heading2"/>
        <w:spacing w:after="160" w:line="360" w:lineRule="auto"/>
        <w:jc w:val="both"/>
        <w:rPr>
          <w:rFonts w:ascii="Arial" w:hAnsi="Arial" w:cs="Arial"/>
          <w:color w:val="auto"/>
          <w:sz w:val="22"/>
        </w:rPr>
      </w:pPr>
      <w:bookmarkStart w:id="53" w:name="_Toc220926215"/>
      <w:r w:rsidRPr="002374EC">
        <w:rPr>
          <w:rFonts w:ascii="Arial" w:hAnsi="Arial" w:cs="Arial"/>
          <w:color w:val="auto"/>
          <w:sz w:val="22"/>
        </w:rPr>
        <w:t>3.9 Data Synthesis</w:t>
      </w:r>
      <w:bookmarkEnd w:id="53"/>
    </w:p>
    <w:p w14:paraId="7FEB9D1A" w14:textId="77777777" w:rsidR="00540BA8" w:rsidRPr="002374EC" w:rsidRDefault="00540BA8" w:rsidP="002374EC">
      <w:pPr>
        <w:pStyle w:val="Heading3"/>
        <w:spacing w:after="160" w:line="360" w:lineRule="auto"/>
        <w:jc w:val="both"/>
        <w:rPr>
          <w:rFonts w:ascii="Arial" w:hAnsi="Arial" w:cs="Arial"/>
          <w:color w:val="auto"/>
          <w:sz w:val="22"/>
        </w:rPr>
      </w:pPr>
      <w:bookmarkStart w:id="54" w:name="_Toc220926216"/>
      <w:r w:rsidRPr="002374EC">
        <w:rPr>
          <w:rFonts w:ascii="Arial" w:hAnsi="Arial" w:cs="Arial"/>
          <w:color w:val="auto"/>
          <w:sz w:val="22"/>
        </w:rPr>
        <w:t>3.9.1 Thematic Synthesis Approach</w:t>
      </w:r>
      <w:bookmarkEnd w:id="54"/>
    </w:p>
    <w:p w14:paraId="256FF117" w14:textId="0C3F8D3F" w:rsidR="001F11CB" w:rsidRPr="002374EC" w:rsidRDefault="001F11CB"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A synthesis of results of both qualitative and quantitative studies was done using thematic synthesis as outlined by Thomas and Harden (2008). In this process three stages were followed, which include; (1) line-by-line coding of findings sections to remain close to original text whenever it is possible through the in vivo codes; (2) development of descriptive themes which require grouping similar codes and placing these in hierarchies; and (3) generation of analytical themes which extend beyond individual study findings to answer the research question (Braun and Clarke, 2006). The method was suitable </w:t>
      </w:r>
      <w:r w:rsidR="007734F1" w:rsidRPr="002374EC">
        <w:rPr>
          <w:rFonts w:ascii="Arial" w:hAnsi="Arial" w:cs="Arial"/>
          <w:bCs/>
          <w:sz w:val="22"/>
          <w:szCs w:val="22"/>
        </w:rPr>
        <w:t>for</w:t>
      </w:r>
      <w:r w:rsidRPr="002374EC">
        <w:rPr>
          <w:rFonts w:ascii="Arial" w:hAnsi="Arial" w:cs="Arial"/>
          <w:bCs/>
          <w:sz w:val="22"/>
          <w:szCs w:val="22"/>
        </w:rPr>
        <w:t xml:space="preserve"> integrating different pieces of evidence</w:t>
      </w:r>
      <w:r w:rsidR="007734F1" w:rsidRPr="002374EC">
        <w:rPr>
          <w:rFonts w:ascii="Arial" w:hAnsi="Arial" w:cs="Arial"/>
          <w:bCs/>
          <w:sz w:val="22"/>
          <w:szCs w:val="22"/>
        </w:rPr>
        <w:t>,</w:t>
      </w:r>
      <w:r w:rsidRPr="002374EC">
        <w:rPr>
          <w:rFonts w:ascii="Arial" w:hAnsi="Arial" w:cs="Arial"/>
          <w:bCs/>
          <w:sz w:val="22"/>
          <w:szCs w:val="22"/>
        </w:rPr>
        <w:t xml:space="preserve"> even though it has systematic rigour (Noblit and Hare, 1988). </w:t>
      </w:r>
    </w:p>
    <w:p w14:paraId="327B3776" w14:textId="77777777" w:rsidR="001F11CB" w:rsidRPr="002374EC" w:rsidRDefault="001F11CB" w:rsidP="002374EC">
      <w:pPr>
        <w:pStyle w:val="Heading3"/>
        <w:spacing w:after="160" w:line="360" w:lineRule="auto"/>
        <w:jc w:val="both"/>
        <w:rPr>
          <w:rFonts w:ascii="Arial" w:hAnsi="Arial" w:cs="Arial"/>
          <w:color w:val="auto"/>
          <w:sz w:val="22"/>
        </w:rPr>
      </w:pPr>
      <w:bookmarkStart w:id="55" w:name="_Toc220926217"/>
      <w:r w:rsidRPr="002374EC">
        <w:rPr>
          <w:rFonts w:ascii="Arial" w:hAnsi="Arial" w:cs="Arial"/>
          <w:color w:val="auto"/>
          <w:sz w:val="22"/>
        </w:rPr>
        <w:t>3.9.2 Synthesis Process</w:t>
      </w:r>
      <w:bookmarkEnd w:id="55"/>
    </w:p>
    <w:p w14:paraId="66525D5E" w14:textId="6622086E" w:rsidR="00540BA8" w:rsidRPr="002374EC" w:rsidRDefault="001F11CB"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Theoretical frameworks were used to </w:t>
      </w:r>
      <w:r w:rsidR="00C849F6" w:rsidRPr="002374EC">
        <w:rPr>
          <w:rFonts w:ascii="Arial" w:hAnsi="Arial" w:cs="Arial"/>
          <w:bCs/>
          <w:sz w:val="22"/>
          <w:szCs w:val="22"/>
        </w:rPr>
        <w:t>categorise</w:t>
      </w:r>
      <w:r w:rsidRPr="002374EC">
        <w:rPr>
          <w:rFonts w:ascii="Arial" w:hAnsi="Arial" w:cs="Arial"/>
          <w:bCs/>
          <w:sz w:val="22"/>
          <w:szCs w:val="22"/>
        </w:rPr>
        <w:t xml:space="preserve"> barriers in three broad areas (structural, attitudinal, </w:t>
      </w:r>
      <w:r w:rsidR="007734F1" w:rsidRPr="002374EC">
        <w:rPr>
          <w:rFonts w:ascii="Arial" w:hAnsi="Arial" w:cs="Arial"/>
          <w:bCs/>
          <w:sz w:val="22"/>
          <w:szCs w:val="22"/>
        </w:rPr>
        <w:t xml:space="preserve">and </w:t>
      </w:r>
      <w:r w:rsidRPr="002374EC">
        <w:rPr>
          <w:rFonts w:ascii="Arial" w:hAnsi="Arial" w:cs="Arial"/>
          <w:bCs/>
          <w:sz w:val="22"/>
          <w:szCs w:val="22"/>
        </w:rPr>
        <w:t xml:space="preserve">social). In each category, there were particular barriers, which were determined through the literature, as well as noting </w:t>
      </w:r>
      <w:r w:rsidR="007734F1" w:rsidRPr="002374EC">
        <w:rPr>
          <w:rFonts w:ascii="Arial" w:hAnsi="Arial" w:cs="Arial"/>
          <w:bCs/>
          <w:sz w:val="22"/>
          <w:szCs w:val="22"/>
        </w:rPr>
        <w:t xml:space="preserve">the </w:t>
      </w:r>
      <w:r w:rsidRPr="002374EC">
        <w:rPr>
          <w:rFonts w:ascii="Arial" w:hAnsi="Arial" w:cs="Arial"/>
          <w:bCs/>
          <w:sz w:val="22"/>
          <w:szCs w:val="22"/>
        </w:rPr>
        <w:t>prevalence (</w:t>
      </w:r>
      <w:r w:rsidR="007734F1" w:rsidRPr="002374EC">
        <w:rPr>
          <w:rFonts w:ascii="Arial" w:hAnsi="Arial" w:cs="Arial"/>
          <w:bCs/>
          <w:sz w:val="22"/>
          <w:szCs w:val="22"/>
        </w:rPr>
        <w:t xml:space="preserve">the </w:t>
      </w:r>
      <w:r w:rsidRPr="002374EC">
        <w:rPr>
          <w:rFonts w:ascii="Arial" w:hAnsi="Arial" w:cs="Arial"/>
          <w:bCs/>
          <w:sz w:val="22"/>
          <w:szCs w:val="22"/>
        </w:rPr>
        <w:t xml:space="preserve">amount of literature indicating the prevalence of that particular barrier) and extracting exemplary quotes. Results of fully </w:t>
      </w:r>
      <w:r w:rsidRPr="002374EC">
        <w:rPr>
          <w:rFonts w:ascii="Arial" w:hAnsi="Arial" w:cs="Arial"/>
          <w:bCs/>
          <w:sz w:val="22"/>
          <w:szCs w:val="22"/>
        </w:rPr>
        <w:lastRenderedPageBreak/>
        <w:t>compliant studies were given at the start</w:t>
      </w:r>
      <w:r w:rsidR="007734F1" w:rsidRPr="002374EC">
        <w:rPr>
          <w:rFonts w:ascii="Arial" w:hAnsi="Arial" w:cs="Arial"/>
          <w:bCs/>
          <w:sz w:val="22"/>
          <w:szCs w:val="22"/>
        </w:rPr>
        <w:t>,</w:t>
      </w:r>
      <w:r w:rsidRPr="002374EC">
        <w:rPr>
          <w:rFonts w:ascii="Arial" w:hAnsi="Arial" w:cs="Arial"/>
          <w:bCs/>
          <w:sz w:val="22"/>
          <w:szCs w:val="22"/>
        </w:rPr>
        <w:t xml:space="preserve"> and the results referring to partially compliant ones </w:t>
      </w:r>
      <w:r w:rsidR="007734F1" w:rsidRPr="002374EC">
        <w:rPr>
          <w:rFonts w:ascii="Arial" w:hAnsi="Arial" w:cs="Arial"/>
          <w:bCs/>
          <w:sz w:val="22"/>
          <w:szCs w:val="22"/>
        </w:rPr>
        <w:t xml:space="preserve">were </w:t>
      </w:r>
      <w:r w:rsidRPr="002374EC">
        <w:rPr>
          <w:rFonts w:ascii="Arial" w:hAnsi="Arial" w:cs="Arial"/>
          <w:bCs/>
          <w:sz w:val="22"/>
          <w:szCs w:val="22"/>
        </w:rPr>
        <w:t>shown where applicable (Lewin et al., 2018). The heterogeneity was handled through the study examination of the different countries separately and the comparison of the qualitative and quantitative evidence. This evidence gap itself</w:t>
      </w:r>
      <w:r w:rsidR="007734F1" w:rsidRPr="002374EC">
        <w:rPr>
          <w:rFonts w:ascii="Arial" w:hAnsi="Arial" w:cs="Arial"/>
          <w:bCs/>
          <w:sz w:val="22"/>
          <w:szCs w:val="22"/>
        </w:rPr>
        <w:t>,</w:t>
      </w:r>
      <w:r w:rsidRPr="002374EC">
        <w:rPr>
          <w:rFonts w:ascii="Arial" w:hAnsi="Arial" w:cs="Arial"/>
          <w:bCs/>
          <w:sz w:val="22"/>
          <w:szCs w:val="22"/>
        </w:rPr>
        <w:t xml:space="preserve"> as the only three studies that fit all the entry criteria</w:t>
      </w:r>
      <w:r w:rsidR="007734F1" w:rsidRPr="002374EC">
        <w:rPr>
          <w:rFonts w:ascii="Arial" w:hAnsi="Arial" w:cs="Arial"/>
          <w:bCs/>
          <w:sz w:val="22"/>
          <w:szCs w:val="22"/>
        </w:rPr>
        <w:t>,</w:t>
      </w:r>
      <w:r w:rsidRPr="002374EC">
        <w:rPr>
          <w:rFonts w:ascii="Arial" w:hAnsi="Arial" w:cs="Arial"/>
          <w:bCs/>
          <w:sz w:val="22"/>
          <w:szCs w:val="22"/>
        </w:rPr>
        <w:t xml:space="preserve"> was stated as one of the major findings that should be openly discussed. Thematic maps, summary tables and barrier-type narrative synthesis were all synthesis outputs.</w:t>
      </w:r>
    </w:p>
    <w:p w14:paraId="00D4BF96" w14:textId="77777777" w:rsidR="00540BA8" w:rsidRPr="002374EC" w:rsidRDefault="00540BA8" w:rsidP="002374EC">
      <w:pPr>
        <w:pStyle w:val="Heading2"/>
        <w:spacing w:after="160" w:line="360" w:lineRule="auto"/>
        <w:jc w:val="both"/>
        <w:rPr>
          <w:rFonts w:ascii="Arial" w:hAnsi="Arial" w:cs="Arial"/>
          <w:color w:val="auto"/>
          <w:sz w:val="22"/>
        </w:rPr>
      </w:pPr>
      <w:bookmarkStart w:id="56" w:name="_Toc220926218"/>
      <w:r w:rsidRPr="002374EC">
        <w:rPr>
          <w:rFonts w:ascii="Arial" w:hAnsi="Arial" w:cs="Arial"/>
          <w:color w:val="auto"/>
          <w:sz w:val="22"/>
        </w:rPr>
        <w:t>3.10 Ethical Considerations</w:t>
      </w:r>
      <w:bookmarkEnd w:id="56"/>
    </w:p>
    <w:p w14:paraId="7CC68833" w14:textId="3E1D1A5A" w:rsidR="00540BA8" w:rsidRPr="002374EC" w:rsidRDefault="007A490C"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The study was granted by the University of Wales Trinity Saint David Research Ethics Committee </w:t>
      </w:r>
      <w:r w:rsidR="007734F1" w:rsidRPr="002374EC">
        <w:rPr>
          <w:rFonts w:ascii="Arial" w:hAnsi="Arial" w:cs="Arial"/>
          <w:bCs/>
          <w:sz w:val="22"/>
          <w:szCs w:val="22"/>
        </w:rPr>
        <w:t>in</w:t>
      </w:r>
      <w:r w:rsidRPr="002374EC">
        <w:rPr>
          <w:rFonts w:ascii="Arial" w:hAnsi="Arial" w:cs="Arial"/>
          <w:bCs/>
          <w:sz w:val="22"/>
          <w:szCs w:val="22"/>
        </w:rPr>
        <w:t xml:space="preserve"> October 2025.</w:t>
      </w:r>
      <w:r w:rsidR="00772516" w:rsidRPr="002374EC">
        <w:rPr>
          <w:rFonts w:ascii="Arial" w:hAnsi="Arial" w:cs="Arial"/>
          <w:bCs/>
          <w:sz w:val="22"/>
          <w:szCs w:val="22"/>
        </w:rPr>
        <w:t xml:space="preserve"> The systematic review does not imply that direct interaction with the subjects took place; therefore, no individual-level information was </w:t>
      </w:r>
      <w:r w:rsidR="00C849F6" w:rsidRPr="002374EC">
        <w:rPr>
          <w:rFonts w:ascii="Arial" w:hAnsi="Arial" w:cs="Arial"/>
          <w:bCs/>
          <w:sz w:val="22"/>
          <w:szCs w:val="22"/>
        </w:rPr>
        <w:t xml:space="preserve">received </w:t>
      </w:r>
      <w:r w:rsidR="00772516" w:rsidRPr="002374EC">
        <w:rPr>
          <w:rFonts w:ascii="Arial" w:hAnsi="Arial" w:cs="Arial"/>
          <w:bCs/>
          <w:sz w:val="22"/>
          <w:szCs w:val="22"/>
        </w:rPr>
        <w:t>(Mertz et al., 2016).</w:t>
      </w:r>
      <w:r w:rsidR="0026357C" w:rsidRPr="002374EC">
        <w:rPr>
          <w:rFonts w:ascii="Arial" w:hAnsi="Arial" w:cs="Arial"/>
          <w:bCs/>
          <w:sz w:val="22"/>
          <w:szCs w:val="22"/>
        </w:rPr>
        <w:t xml:space="preserve"> The ethical behavior was ensured by: (1) fair reporting of all findings and negative findings; (2) openness towards documenting all methodological choices; (3) appropriate citation of all sources to prevent plagiarism; (4) observance of PRISMA 2020 approach to the methodology; (5) being non-stigmatizing, respectful, and discussing NEET populations; and (6) considering the methodological limitations. All data were stored in University OneDrive with encryption and a password, and data will be stored until </w:t>
      </w:r>
      <w:r w:rsidR="007734F1" w:rsidRPr="002374EC">
        <w:rPr>
          <w:rFonts w:ascii="Arial" w:hAnsi="Arial" w:cs="Arial"/>
          <w:bCs/>
          <w:sz w:val="22"/>
          <w:szCs w:val="22"/>
        </w:rPr>
        <w:t xml:space="preserve">the </w:t>
      </w:r>
      <w:r w:rsidR="0026357C" w:rsidRPr="002374EC">
        <w:rPr>
          <w:rFonts w:ascii="Arial" w:hAnsi="Arial" w:cs="Arial"/>
          <w:bCs/>
          <w:sz w:val="22"/>
          <w:szCs w:val="22"/>
        </w:rPr>
        <w:t>dissertation is complete (May 2026), at which point they can be securely destroyed. Frequent meetings of supervisors aided in the possible state of emotional annoyance due to involvement in the experience of vulnerable groups.</w:t>
      </w:r>
    </w:p>
    <w:p w14:paraId="6763FAE5" w14:textId="77777777" w:rsidR="00540BA8" w:rsidRPr="002374EC" w:rsidRDefault="00540BA8" w:rsidP="002374EC">
      <w:pPr>
        <w:pStyle w:val="Heading2"/>
        <w:spacing w:after="160" w:line="360" w:lineRule="auto"/>
        <w:jc w:val="both"/>
        <w:rPr>
          <w:rFonts w:ascii="Arial" w:hAnsi="Arial" w:cs="Arial"/>
          <w:color w:val="auto"/>
          <w:sz w:val="22"/>
        </w:rPr>
      </w:pPr>
      <w:bookmarkStart w:id="57" w:name="_Toc220926219"/>
      <w:r w:rsidRPr="002374EC">
        <w:rPr>
          <w:rFonts w:ascii="Arial" w:hAnsi="Arial" w:cs="Arial"/>
          <w:color w:val="auto"/>
          <w:sz w:val="22"/>
        </w:rPr>
        <w:t>3.11 Methodological Rigour and Limitations</w:t>
      </w:r>
      <w:bookmarkEnd w:id="57"/>
    </w:p>
    <w:p w14:paraId="5E5ABB83" w14:textId="56FE56A8" w:rsidR="0029259B" w:rsidRPr="002374EC" w:rsidRDefault="0029259B"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Multiple measures promoted methodological rigour: PRISMA 2020 definition of reporting guaranteed transparency (Page et al., 2021); protocol pre-definition minimised impacts of post-hoc; extensive searches in databases and grey literature helped optimise the discovery of relevant evidence; conservative inclusion policy forced errors towards over-inclusion when in doubt; documentation kept decision audit trails; systematic quality evaluation through validated tools (CASP) aided interpretation; and reflexive recognition of researcher views (Braun and Clarke, 2022).</w:t>
      </w:r>
    </w:p>
    <w:p w14:paraId="0394B4AE" w14:textId="03DDFD4F" w:rsidR="00540BA8" w:rsidRPr="002374EC" w:rsidRDefault="0029259B"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Among the important limitations were: one-reviewer methodology, which restrained the level of inter-rater reliability (Waffenschmidt et al., 2019); the English language restriction, and possibly, non-representative </w:t>
      </w:r>
      <w:r w:rsidR="00C849F6" w:rsidRPr="002374EC">
        <w:rPr>
          <w:rFonts w:ascii="Arial" w:hAnsi="Arial" w:cs="Arial"/>
          <w:bCs/>
          <w:sz w:val="22"/>
          <w:szCs w:val="22"/>
        </w:rPr>
        <w:t>non-English</w:t>
      </w:r>
      <w:r w:rsidRPr="002374EC">
        <w:rPr>
          <w:rFonts w:ascii="Arial" w:hAnsi="Arial" w:cs="Arial"/>
          <w:bCs/>
          <w:sz w:val="22"/>
          <w:szCs w:val="22"/>
        </w:rPr>
        <w:t xml:space="preserve"> studies; the publication bias, whereby published articles might not be representative of all existing evidence (Hopewell et al., 2007); the heterogeneity in the study contexts, which restrained the possibility to directly compare results; the constrained amount of masters dissertation, which limited scope; and, most importantly, </w:t>
      </w:r>
      <w:r w:rsidRPr="002374EC">
        <w:rPr>
          <w:rFonts w:ascii="Arial" w:hAnsi="Arial" w:cs="Arial"/>
          <w:bCs/>
          <w:sz w:val="22"/>
          <w:szCs w:val="22"/>
        </w:rPr>
        <w:lastRenderedPageBreak/>
        <w:t>an Such limitations were alleviated by the transparent reporting, restrained decision-making, strict quality evaluation, and clear recognition in the discussion.</w:t>
      </w:r>
    </w:p>
    <w:p w14:paraId="7AE4200B" w14:textId="77777777" w:rsidR="00540BA8" w:rsidRPr="002374EC" w:rsidRDefault="00540BA8" w:rsidP="002374EC">
      <w:pPr>
        <w:pStyle w:val="Heading2"/>
        <w:spacing w:after="160" w:line="360" w:lineRule="auto"/>
        <w:jc w:val="both"/>
        <w:rPr>
          <w:rFonts w:ascii="Arial" w:hAnsi="Arial" w:cs="Arial"/>
          <w:color w:val="auto"/>
          <w:sz w:val="22"/>
        </w:rPr>
      </w:pPr>
      <w:bookmarkStart w:id="58" w:name="_Toc220926220"/>
      <w:r w:rsidRPr="002374EC">
        <w:rPr>
          <w:rFonts w:ascii="Arial" w:hAnsi="Arial" w:cs="Arial"/>
          <w:color w:val="auto"/>
          <w:sz w:val="22"/>
        </w:rPr>
        <w:t>3.12 Chapter Summary</w:t>
      </w:r>
      <w:bookmarkEnd w:id="58"/>
    </w:p>
    <w:p w14:paraId="1CAE5179" w14:textId="2BC2A9A5" w:rsidR="00540BA8" w:rsidRPr="002374EC" w:rsidRDefault="006A7B21" w:rsidP="002374EC">
      <w:pPr>
        <w:pStyle w:val="NormalWeb"/>
        <w:spacing w:after="160" w:afterAutospacing="0" w:line="360" w:lineRule="auto"/>
        <w:jc w:val="both"/>
        <w:rPr>
          <w:rFonts w:ascii="Arial" w:hAnsi="Arial" w:cs="Arial"/>
          <w:bCs/>
          <w:sz w:val="22"/>
          <w:szCs w:val="22"/>
        </w:rPr>
      </w:pPr>
      <w:r w:rsidRPr="002374EC">
        <w:rPr>
          <w:rFonts w:ascii="Arial" w:hAnsi="Arial" w:cs="Arial"/>
          <w:bCs/>
          <w:sz w:val="22"/>
          <w:szCs w:val="22"/>
        </w:rPr>
        <w:t xml:space="preserve">This chapter explained the systematic review approach that was used to locate and synthesise evidence </w:t>
      </w:r>
      <w:r w:rsidR="007734F1" w:rsidRPr="002374EC">
        <w:rPr>
          <w:rFonts w:ascii="Arial" w:hAnsi="Arial" w:cs="Arial"/>
          <w:bCs/>
          <w:sz w:val="22"/>
          <w:szCs w:val="22"/>
        </w:rPr>
        <w:t>on</w:t>
      </w:r>
      <w:r w:rsidRPr="002374EC">
        <w:rPr>
          <w:rFonts w:ascii="Arial" w:hAnsi="Arial" w:cs="Arial"/>
          <w:bCs/>
          <w:sz w:val="22"/>
          <w:szCs w:val="22"/>
        </w:rPr>
        <w:t xml:space="preserve"> the challenges to mental health service utilisation among NEET young adults aged 18-25.  </w:t>
      </w:r>
      <w:r w:rsidR="00C849F6" w:rsidRPr="002374EC">
        <w:rPr>
          <w:rFonts w:ascii="Arial" w:hAnsi="Arial" w:cs="Arial"/>
          <w:bCs/>
          <w:sz w:val="22"/>
          <w:szCs w:val="22"/>
        </w:rPr>
        <w:t xml:space="preserve">The </w:t>
      </w:r>
      <w:r w:rsidRPr="002374EC">
        <w:rPr>
          <w:rFonts w:ascii="Arial" w:hAnsi="Arial" w:cs="Arial"/>
          <w:bCs/>
          <w:sz w:val="22"/>
          <w:szCs w:val="22"/>
        </w:rPr>
        <w:t xml:space="preserve">researcher used to search PubMed and PsycINFO databases in depth, used specific inclusion/exclusion criteria, evaluated quality based on CASP checklists, gathered and systematically extracted the data, and synthesized the results through thematic synthesis. Methodological rigour was observed with transparency processes and documentation, and the required ethical approval was </w:t>
      </w:r>
      <w:r w:rsidR="007734F1" w:rsidRPr="002374EC">
        <w:rPr>
          <w:rFonts w:ascii="Arial" w:hAnsi="Arial" w:cs="Arial"/>
          <w:bCs/>
          <w:sz w:val="22"/>
          <w:szCs w:val="22"/>
        </w:rPr>
        <w:t>obtained</w:t>
      </w:r>
      <w:r w:rsidRPr="002374EC">
        <w:rPr>
          <w:rFonts w:ascii="Arial" w:hAnsi="Arial" w:cs="Arial"/>
          <w:bCs/>
          <w:sz w:val="22"/>
          <w:szCs w:val="22"/>
        </w:rPr>
        <w:t xml:space="preserve">. Limitations were ensured, especially </w:t>
      </w:r>
      <w:r w:rsidR="007734F1" w:rsidRPr="002374EC">
        <w:rPr>
          <w:rFonts w:ascii="Arial" w:hAnsi="Arial" w:cs="Arial"/>
          <w:bCs/>
          <w:sz w:val="22"/>
          <w:szCs w:val="22"/>
        </w:rPr>
        <w:t>a single-reviewer</w:t>
      </w:r>
      <w:r w:rsidRPr="002374EC">
        <w:rPr>
          <w:rFonts w:ascii="Arial" w:hAnsi="Arial" w:cs="Arial"/>
          <w:bCs/>
          <w:sz w:val="22"/>
          <w:szCs w:val="22"/>
        </w:rPr>
        <w:t xml:space="preserve"> approach and </w:t>
      </w:r>
      <w:r w:rsidR="00C849F6" w:rsidRPr="002374EC">
        <w:rPr>
          <w:rFonts w:ascii="Arial" w:hAnsi="Arial" w:cs="Arial"/>
          <w:bCs/>
          <w:sz w:val="22"/>
          <w:szCs w:val="22"/>
        </w:rPr>
        <w:t xml:space="preserve">a </w:t>
      </w:r>
      <w:r w:rsidRPr="002374EC">
        <w:rPr>
          <w:rFonts w:ascii="Arial" w:hAnsi="Arial" w:cs="Arial"/>
          <w:bCs/>
          <w:sz w:val="22"/>
          <w:szCs w:val="22"/>
        </w:rPr>
        <w:t xml:space="preserve">perceived gap in evidence gathered was noted and </w:t>
      </w:r>
      <w:r w:rsidR="000B1420" w:rsidRPr="002374EC">
        <w:rPr>
          <w:rFonts w:ascii="Arial" w:hAnsi="Arial" w:cs="Arial"/>
          <w:bCs/>
          <w:sz w:val="22"/>
          <w:szCs w:val="22"/>
        </w:rPr>
        <w:t>countermeasured</w:t>
      </w:r>
      <w:r w:rsidRPr="002374EC">
        <w:rPr>
          <w:rFonts w:ascii="Arial" w:hAnsi="Arial" w:cs="Arial"/>
          <w:bCs/>
          <w:sz w:val="22"/>
          <w:szCs w:val="22"/>
        </w:rPr>
        <w:t xml:space="preserve"> where feasible. The findings of this systematic review process are given in Chapter 4, such as characteristics of studies, findings of quality assessment, and barriers to access to mental health services.</w:t>
      </w:r>
    </w:p>
    <w:p w14:paraId="28ECEB44" w14:textId="2E99A6F9" w:rsidR="00B63CE0" w:rsidRPr="002374EC" w:rsidRDefault="00B63CE0" w:rsidP="002374EC">
      <w:pPr>
        <w:pStyle w:val="NormalWeb"/>
        <w:spacing w:after="160" w:afterAutospacing="0" w:line="360" w:lineRule="auto"/>
        <w:jc w:val="both"/>
        <w:rPr>
          <w:rFonts w:ascii="Arial" w:hAnsi="Arial" w:cs="Arial"/>
          <w:sz w:val="22"/>
          <w:szCs w:val="22"/>
        </w:rPr>
      </w:pPr>
    </w:p>
    <w:p w14:paraId="5EA5E81D" w14:textId="7982D9AC" w:rsidR="009F64C5" w:rsidRPr="002374EC" w:rsidRDefault="009F64C5" w:rsidP="002374EC">
      <w:pPr>
        <w:spacing w:line="360" w:lineRule="auto"/>
        <w:jc w:val="both"/>
        <w:rPr>
          <w:rFonts w:ascii="Arial" w:hAnsi="Arial" w:cs="Arial"/>
        </w:rPr>
      </w:pPr>
      <w:r w:rsidRPr="002374EC">
        <w:rPr>
          <w:rFonts w:ascii="Arial" w:hAnsi="Arial" w:cs="Arial"/>
        </w:rPr>
        <w:tab/>
      </w:r>
      <w:r w:rsidRPr="002374EC">
        <w:rPr>
          <w:rFonts w:ascii="Arial" w:eastAsia="Times New Roman" w:hAnsi="Arial" w:cs="Arial"/>
          <w:i/>
        </w:rPr>
        <w:t xml:space="preserve"> </w:t>
      </w:r>
    </w:p>
    <w:p w14:paraId="730E53A7" w14:textId="77777777" w:rsidR="009706D0" w:rsidRPr="002374EC" w:rsidRDefault="009706D0" w:rsidP="002374EC">
      <w:pPr>
        <w:spacing w:line="360" w:lineRule="auto"/>
        <w:jc w:val="both"/>
        <w:rPr>
          <w:rFonts w:ascii="Arial" w:eastAsia="Times New Roman" w:hAnsi="Arial" w:cs="Arial"/>
          <w:b/>
        </w:rPr>
      </w:pPr>
      <w:r w:rsidRPr="002374EC">
        <w:rPr>
          <w:rFonts w:ascii="Arial" w:hAnsi="Arial" w:cs="Arial"/>
        </w:rPr>
        <w:br w:type="page"/>
      </w:r>
    </w:p>
    <w:p w14:paraId="3CCAF9BD" w14:textId="41C29D86" w:rsidR="00333E5A" w:rsidRPr="002374EC" w:rsidRDefault="00F01EAF" w:rsidP="002374EC">
      <w:pPr>
        <w:pStyle w:val="Heading1"/>
        <w:spacing w:after="160" w:line="360" w:lineRule="auto"/>
        <w:jc w:val="both"/>
        <w:rPr>
          <w:rFonts w:ascii="Arial" w:hAnsi="Arial" w:cs="Arial"/>
          <w:color w:val="auto"/>
          <w:sz w:val="22"/>
        </w:rPr>
      </w:pPr>
      <w:bookmarkStart w:id="59" w:name="_Toc220926221"/>
      <w:r w:rsidRPr="002374EC">
        <w:rPr>
          <w:rFonts w:ascii="Arial" w:hAnsi="Arial" w:cs="Arial"/>
          <w:color w:val="auto"/>
          <w:sz w:val="22"/>
        </w:rPr>
        <w:lastRenderedPageBreak/>
        <w:t>CHAPTER 4: RESULTS AND DISCUSSION</w:t>
      </w:r>
      <w:bookmarkEnd w:id="59"/>
    </w:p>
    <w:p w14:paraId="1938547E" w14:textId="77777777" w:rsidR="00C8080F" w:rsidRPr="002374EC" w:rsidRDefault="00C8080F" w:rsidP="002374EC">
      <w:pPr>
        <w:pStyle w:val="Heading2"/>
        <w:spacing w:after="160" w:line="360" w:lineRule="auto"/>
        <w:jc w:val="both"/>
        <w:rPr>
          <w:rFonts w:ascii="Arial" w:hAnsi="Arial" w:cs="Arial"/>
          <w:color w:val="auto"/>
          <w:sz w:val="22"/>
        </w:rPr>
      </w:pPr>
      <w:bookmarkStart w:id="60" w:name="_Toc220926222"/>
      <w:r w:rsidRPr="002374EC">
        <w:rPr>
          <w:rFonts w:ascii="Arial" w:hAnsi="Arial" w:cs="Arial"/>
          <w:color w:val="auto"/>
          <w:sz w:val="22"/>
        </w:rPr>
        <w:t>4.1 Introduction</w:t>
      </w:r>
      <w:bookmarkEnd w:id="60"/>
    </w:p>
    <w:p w14:paraId="210E12E2" w14:textId="468B64B4" w:rsidR="00C8080F" w:rsidRDefault="00C8080F" w:rsidP="002374EC">
      <w:pPr>
        <w:spacing w:line="360" w:lineRule="auto"/>
        <w:jc w:val="both"/>
        <w:rPr>
          <w:rFonts w:ascii="Arial" w:hAnsi="Arial" w:cs="Arial"/>
        </w:rPr>
      </w:pPr>
      <w:r w:rsidRPr="002374EC">
        <w:rPr>
          <w:rFonts w:ascii="Arial" w:hAnsi="Arial" w:cs="Arial"/>
        </w:rPr>
        <w:t>In this chapter, the authors provide the results of the systematic review of the barriers to mental health service utilisation in young adults aged 18-25 who are not in education, employment or training (NEET) in the UK and other similar healthcare systems. The chapter is divided into two parts: Results (Sections 4.2-4.5) outlines the process of study selection, characteristics studied, quality evaluation, and determined barriers; and Discussion (Sections 4.6-4.13), which provides the interpretation of the findings based on theoretical frameworks, limitations are recognized, and the implications about practicing, policy, and research are outlined. This answers the research question: "What are the impediments to mental health service utilisation by NEET young adults aged 18-25 in the UK?</w:t>
      </w:r>
    </w:p>
    <w:p w14:paraId="6F42135D" w14:textId="77777777" w:rsidR="00F5600E" w:rsidRPr="002374EC" w:rsidRDefault="00F5600E" w:rsidP="002374EC">
      <w:pPr>
        <w:spacing w:line="360" w:lineRule="auto"/>
        <w:jc w:val="both"/>
        <w:rPr>
          <w:rFonts w:ascii="Arial" w:hAnsi="Arial" w:cs="Arial"/>
        </w:rPr>
      </w:pPr>
    </w:p>
    <w:p w14:paraId="33F728EA" w14:textId="77777777" w:rsidR="00C8080F" w:rsidRPr="002374EC" w:rsidRDefault="00C8080F" w:rsidP="002374EC">
      <w:pPr>
        <w:pStyle w:val="Heading2"/>
        <w:spacing w:after="160" w:line="360" w:lineRule="auto"/>
        <w:jc w:val="both"/>
        <w:rPr>
          <w:rFonts w:ascii="Arial" w:hAnsi="Arial" w:cs="Arial"/>
          <w:color w:val="auto"/>
          <w:sz w:val="22"/>
        </w:rPr>
      </w:pPr>
      <w:bookmarkStart w:id="61" w:name="_Toc220926223"/>
      <w:r w:rsidRPr="002374EC">
        <w:rPr>
          <w:rFonts w:ascii="Arial" w:hAnsi="Arial" w:cs="Arial"/>
          <w:color w:val="auto"/>
          <w:sz w:val="22"/>
        </w:rPr>
        <w:t>SECTION A: RESULTS</w:t>
      </w:r>
      <w:bookmarkEnd w:id="61"/>
    </w:p>
    <w:p w14:paraId="2BE9776B" w14:textId="77777777" w:rsidR="00C8080F" w:rsidRPr="002374EC" w:rsidRDefault="00C8080F" w:rsidP="002374EC">
      <w:pPr>
        <w:pStyle w:val="Heading2"/>
        <w:spacing w:after="160" w:line="360" w:lineRule="auto"/>
        <w:jc w:val="both"/>
        <w:rPr>
          <w:rFonts w:ascii="Arial" w:hAnsi="Arial" w:cs="Arial"/>
          <w:color w:val="auto"/>
          <w:sz w:val="22"/>
        </w:rPr>
      </w:pPr>
      <w:bookmarkStart w:id="62" w:name="_Toc220926224"/>
      <w:r w:rsidRPr="002374EC">
        <w:rPr>
          <w:rFonts w:ascii="Arial" w:hAnsi="Arial" w:cs="Arial"/>
          <w:color w:val="auto"/>
          <w:sz w:val="22"/>
        </w:rPr>
        <w:t>4.2 Study Selection Results</w:t>
      </w:r>
      <w:bookmarkEnd w:id="62"/>
    </w:p>
    <w:p w14:paraId="3697189E" w14:textId="77777777" w:rsidR="00C8080F" w:rsidRPr="002374EC" w:rsidRDefault="00C8080F" w:rsidP="002374EC">
      <w:pPr>
        <w:pStyle w:val="Heading3"/>
        <w:spacing w:after="160" w:line="360" w:lineRule="auto"/>
        <w:jc w:val="both"/>
        <w:rPr>
          <w:rFonts w:ascii="Arial" w:hAnsi="Arial" w:cs="Arial"/>
          <w:color w:val="auto"/>
          <w:sz w:val="22"/>
        </w:rPr>
      </w:pPr>
      <w:bookmarkStart w:id="63" w:name="_Toc220926225"/>
      <w:r w:rsidRPr="002374EC">
        <w:rPr>
          <w:rFonts w:ascii="Arial" w:hAnsi="Arial" w:cs="Arial"/>
          <w:color w:val="auto"/>
          <w:sz w:val="22"/>
        </w:rPr>
        <w:t>4.2.1 PRISMA Flow</w:t>
      </w:r>
      <w:bookmarkEnd w:id="63"/>
    </w:p>
    <w:p w14:paraId="5D982995" w14:textId="578EDC64" w:rsidR="00C8080F" w:rsidRDefault="00C8080F" w:rsidP="002374EC">
      <w:pPr>
        <w:spacing w:line="360" w:lineRule="auto"/>
        <w:jc w:val="both"/>
        <w:rPr>
          <w:rFonts w:ascii="Arial" w:hAnsi="Arial" w:cs="Arial"/>
        </w:rPr>
      </w:pPr>
      <w:r w:rsidRPr="002374EC">
        <w:rPr>
          <w:rFonts w:ascii="Arial" w:hAnsi="Arial" w:cs="Arial"/>
        </w:rPr>
        <w:t>They were identified during systematic searches in October 2025: 268 records: 156 records were found in PubMed, 89 in PsycINFO, and 23 in the grey literature. After the elimination of 32 duplicates, screening of title and abstracts of 236 unique records occurred. At the screening stage, 212 records were weeded out: 78 (33), not in the age range 18-25, 65 (27), not NEET-focused, 42 (18), not exploring barriers, 9 (4), not a UK/similar study, and 9 (4), was not original research. Full texts were searched and found to be twenty-four. The reason as to why thirteen articles were excluded included 4 as duplicates, 3 where the ages were entirely beyond 18-25, 3 where NEET status was not addressed, 2 where no data for barrier was provided and 1 where the quality fell below the quality threshold (less than 6/10 CASP). This generated 11 articles that featured in the final synthesis, as shown in Figure 4.1 (PRISMA flow diagram) according to the recommendation by Page et al. (2021).</w:t>
      </w:r>
    </w:p>
    <w:p w14:paraId="6F6CB71E" w14:textId="30C2BF14" w:rsidR="00B2465B" w:rsidRDefault="00B2465B" w:rsidP="002374EC">
      <w:pPr>
        <w:spacing w:line="360" w:lineRule="auto"/>
        <w:jc w:val="both"/>
        <w:rPr>
          <w:rFonts w:ascii="Arial" w:hAnsi="Arial" w:cs="Arial"/>
        </w:rPr>
      </w:pPr>
      <w:r w:rsidRPr="00B2465B">
        <w:rPr>
          <w:rFonts w:ascii="Arial" w:hAnsi="Arial" w:cs="Arial"/>
        </w:rPr>
        <w:lastRenderedPageBreak/>
        <w:drawing>
          <wp:inline distT="0" distB="0" distL="0" distR="0" wp14:anchorId="3A292C98" wp14:editId="2856545F">
            <wp:extent cx="5731510" cy="3606800"/>
            <wp:effectExtent l="0" t="0" r="2540" b="0"/>
            <wp:docPr id="1587912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912273" name=""/>
                    <pic:cNvPicPr/>
                  </pic:nvPicPr>
                  <pic:blipFill>
                    <a:blip r:embed="rId17"/>
                    <a:stretch>
                      <a:fillRect/>
                    </a:stretch>
                  </pic:blipFill>
                  <pic:spPr>
                    <a:xfrm>
                      <a:off x="0" y="0"/>
                      <a:ext cx="5731510" cy="3606800"/>
                    </a:xfrm>
                    <a:prstGeom prst="rect">
                      <a:avLst/>
                    </a:prstGeom>
                  </pic:spPr>
                </pic:pic>
              </a:graphicData>
            </a:graphic>
          </wp:inline>
        </w:drawing>
      </w:r>
    </w:p>
    <w:p w14:paraId="07B47D6A" w14:textId="7F018505" w:rsidR="00B2465B" w:rsidRPr="002374EC" w:rsidRDefault="00B2465B" w:rsidP="00B2465B">
      <w:pPr>
        <w:pStyle w:val="Caption"/>
        <w:jc w:val="both"/>
        <w:rPr>
          <w:rFonts w:ascii="Arial" w:hAnsi="Arial" w:cs="Arial"/>
        </w:rPr>
      </w:pPr>
      <w:r>
        <w:t xml:space="preserve">Figure </w:t>
      </w:r>
      <w:fldSimple w:instr=" SEQ Figure \* ARABIC ">
        <w:r>
          <w:rPr>
            <w:noProof/>
          </w:rPr>
          <w:t>1</w:t>
        </w:r>
      </w:fldSimple>
      <w:r>
        <w:t xml:space="preserve">: </w:t>
      </w:r>
      <w:r w:rsidRPr="00B2465B">
        <w:t>PRISMA 2020 flow diagram illustrating the systematic review process for identifying studies examining barriers to mental health service utilisation among young adults aged 18-25 who are not in education or employment (NEET). The search was conducted across PubMed, PsycINFO, and grey literature databases (2015-2025), yielding 268 initial records. After removing duplicates (n=32) and screening 236 unique records, 212 were excluded based on predetermined criteria (age range, NEET status, barriers focus, geographic relevance, and study type). Full-text assessment of 24 articles resulted in 13 exclusions, leaving 11 studies (3 fully NEET-focused and 8 partially NEET-focused) comprising 7,842 participants included in the final review.</w:t>
      </w:r>
    </w:p>
    <w:p w14:paraId="31801E35" w14:textId="77777777" w:rsidR="00C8080F" w:rsidRPr="002374EC" w:rsidRDefault="00C8080F" w:rsidP="002374EC">
      <w:pPr>
        <w:pStyle w:val="Heading3"/>
        <w:spacing w:after="160" w:line="360" w:lineRule="auto"/>
        <w:jc w:val="both"/>
        <w:rPr>
          <w:rFonts w:ascii="Arial" w:hAnsi="Arial" w:cs="Arial"/>
          <w:color w:val="auto"/>
          <w:sz w:val="22"/>
        </w:rPr>
      </w:pPr>
      <w:bookmarkStart w:id="64" w:name="_Toc220926226"/>
      <w:r w:rsidRPr="002374EC">
        <w:rPr>
          <w:rFonts w:ascii="Arial" w:hAnsi="Arial" w:cs="Arial"/>
          <w:color w:val="auto"/>
          <w:sz w:val="22"/>
        </w:rPr>
        <w:t>4.2.2 Justification for Inclusion</w:t>
      </w:r>
      <w:bookmarkEnd w:id="64"/>
    </w:p>
    <w:p w14:paraId="1B13B25F" w14:textId="78704E27" w:rsidR="00C8080F" w:rsidRPr="002374EC" w:rsidRDefault="00C8080F" w:rsidP="002374EC">
      <w:pPr>
        <w:spacing w:line="360" w:lineRule="auto"/>
        <w:jc w:val="both"/>
        <w:rPr>
          <w:rFonts w:ascii="Arial" w:hAnsi="Arial" w:cs="Arial"/>
        </w:rPr>
      </w:pPr>
      <w:r w:rsidRPr="002374EC">
        <w:rPr>
          <w:rFonts w:ascii="Arial" w:hAnsi="Arial" w:cs="Arial"/>
        </w:rPr>
        <w:t>The systematic search found very important evidence: there were only three studies that corresponded to all seven criteria of inclusion strictly. To get the most evidence and at the same time rigour, eight studies marginally in compliance with selection criteria were included according to some clear criteria: age groups including and exceeding 18-25 yrs, NEET as significant subgroups, or very related phenomena (help-seeking). Diffuse compliant studies had high quality (average CASP 8.9/10), which was similar to those which had complete compliance (9.3/10). This methodology allowed synthesising the evidence and recording limitations, base limitations transparently, and the evidence gap is also a major finding (Waffenschmidt et al., 2019; Thomas and Harden, 2008).</w:t>
      </w:r>
    </w:p>
    <w:p w14:paraId="5DAE9531" w14:textId="77777777" w:rsidR="00C8080F" w:rsidRPr="002374EC" w:rsidRDefault="00C8080F" w:rsidP="002374EC">
      <w:pPr>
        <w:pStyle w:val="Heading2"/>
        <w:spacing w:after="160" w:line="360" w:lineRule="auto"/>
        <w:jc w:val="both"/>
        <w:rPr>
          <w:rFonts w:ascii="Arial" w:hAnsi="Arial" w:cs="Arial"/>
          <w:color w:val="auto"/>
          <w:sz w:val="22"/>
        </w:rPr>
      </w:pPr>
      <w:bookmarkStart w:id="65" w:name="_Toc220926227"/>
      <w:r w:rsidRPr="002374EC">
        <w:rPr>
          <w:rFonts w:ascii="Arial" w:hAnsi="Arial" w:cs="Arial"/>
          <w:color w:val="auto"/>
          <w:sz w:val="22"/>
        </w:rPr>
        <w:t>4.3 Characteristics of Included Studies</w:t>
      </w:r>
      <w:bookmarkEnd w:id="65"/>
    </w:p>
    <w:p w14:paraId="47CA47E9" w14:textId="77777777" w:rsidR="000B2682" w:rsidRDefault="00C8080F" w:rsidP="000B2682">
      <w:pPr>
        <w:pStyle w:val="Heading3"/>
        <w:spacing w:after="160" w:line="360" w:lineRule="auto"/>
        <w:jc w:val="both"/>
        <w:rPr>
          <w:rFonts w:ascii="Arial" w:hAnsi="Arial" w:cs="Arial"/>
          <w:color w:val="auto"/>
          <w:sz w:val="22"/>
        </w:rPr>
      </w:pPr>
      <w:bookmarkStart w:id="66" w:name="_Toc220926228"/>
      <w:r w:rsidRPr="002374EC">
        <w:rPr>
          <w:rFonts w:ascii="Arial" w:hAnsi="Arial" w:cs="Arial"/>
          <w:color w:val="auto"/>
          <w:sz w:val="22"/>
        </w:rPr>
        <w:t>4.3.1 Study Characteristics</w:t>
      </w:r>
      <w:bookmarkStart w:id="67" w:name="_Toc220925862"/>
      <w:bookmarkEnd w:id="66"/>
    </w:p>
    <w:p w14:paraId="18CD84E0" w14:textId="2DA3FA6B" w:rsidR="000B2682" w:rsidRPr="000B2682" w:rsidRDefault="002374EC" w:rsidP="000B2682">
      <w:pPr>
        <w:rPr>
          <w:b/>
          <w:bCs/>
        </w:rPr>
      </w:pPr>
      <w:r w:rsidRPr="000B2682">
        <w:rPr>
          <w:b/>
          <w:bCs/>
        </w:rPr>
        <w:t xml:space="preserve">Table </w:t>
      </w:r>
      <w:r w:rsidRPr="000B2682">
        <w:rPr>
          <w:b/>
          <w:bCs/>
        </w:rPr>
        <w:fldChar w:fldCharType="begin"/>
      </w:r>
      <w:r w:rsidRPr="000B2682">
        <w:rPr>
          <w:b/>
          <w:bCs/>
        </w:rPr>
        <w:instrText xml:space="preserve"> SEQ Table \* ARABIC </w:instrText>
      </w:r>
      <w:r w:rsidRPr="000B2682">
        <w:rPr>
          <w:b/>
          <w:bCs/>
        </w:rPr>
        <w:fldChar w:fldCharType="separate"/>
      </w:r>
      <w:r w:rsidR="000B2682" w:rsidRPr="000B2682">
        <w:rPr>
          <w:b/>
          <w:bCs/>
          <w:noProof/>
        </w:rPr>
        <w:t>3</w:t>
      </w:r>
      <w:r w:rsidRPr="000B2682">
        <w:rPr>
          <w:b/>
          <w:bCs/>
        </w:rPr>
        <w:fldChar w:fldCharType="end"/>
      </w:r>
      <w:r w:rsidR="00C8080F" w:rsidRPr="000B2682">
        <w:rPr>
          <w:b/>
          <w:bCs/>
        </w:rPr>
        <w:t>: Characteristics of Included Studies (N=11)</w:t>
      </w:r>
      <w:bookmarkEnd w:id="67"/>
    </w:p>
    <w:p w14:paraId="3523C2A3" w14:textId="5C165C27" w:rsidR="000B2682" w:rsidRDefault="000B2682" w:rsidP="000B2682">
      <w:bookmarkStart w:id="68" w:name="_Toc220926030"/>
      <w:r w:rsidRPr="002374EC">
        <w:rPr>
          <w:rFonts w:ascii="Arial" w:hAnsi="Arial" w:cs="Arial"/>
          <w:noProof/>
        </w:rPr>
        <w:lastRenderedPageBreak/>
        <w:drawing>
          <wp:inline distT="0" distB="0" distL="0" distR="0" wp14:anchorId="60DA23B3" wp14:editId="7F1E4CAC">
            <wp:extent cx="5731510" cy="3500120"/>
            <wp:effectExtent l="0" t="0" r="2540" b="5080"/>
            <wp:docPr id="893817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817395" name=""/>
                    <pic:cNvPicPr/>
                  </pic:nvPicPr>
                  <pic:blipFill>
                    <a:blip r:embed="rId18"/>
                    <a:stretch>
                      <a:fillRect/>
                    </a:stretch>
                  </pic:blipFill>
                  <pic:spPr>
                    <a:xfrm>
                      <a:off x="0" y="0"/>
                      <a:ext cx="5731510" cy="3500120"/>
                    </a:xfrm>
                    <a:prstGeom prst="rect">
                      <a:avLst/>
                    </a:prstGeom>
                  </pic:spPr>
                </pic:pic>
              </a:graphicData>
            </a:graphic>
          </wp:inline>
        </w:drawing>
      </w:r>
      <w:bookmarkEnd w:id="68"/>
    </w:p>
    <w:p w14:paraId="58BA7697" w14:textId="659ED13A" w:rsidR="00C8080F" w:rsidRPr="002374EC" w:rsidRDefault="00C8080F" w:rsidP="002374EC">
      <w:pPr>
        <w:pStyle w:val="Heading3"/>
        <w:spacing w:after="160" w:line="360" w:lineRule="auto"/>
        <w:jc w:val="both"/>
        <w:rPr>
          <w:rFonts w:ascii="Arial" w:hAnsi="Arial" w:cs="Arial"/>
          <w:color w:val="auto"/>
          <w:sz w:val="22"/>
        </w:rPr>
      </w:pPr>
      <w:bookmarkStart w:id="69" w:name="_Toc220926229"/>
      <w:r w:rsidRPr="002374EC">
        <w:rPr>
          <w:rFonts w:ascii="Arial" w:hAnsi="Arial" w:cs="Arial"/>
          <w:color w:val="auto"/>
          <w:sz w:val="22"/>
        </w:rPr>
        <w:t>4.3.2 Narrative Description</w:t>
      </w:r>
      <w:bookmarkEnd w:id="69"/>
    </w:p>
    <w:p w14:paraId="04645660" w14:textId="3C15EC88" w:rsidR="00C8080F" w:rsidRPr="002374EC" w:rsidRDefault="00C8080F" w:rsidP="002374EC">
      <w:pPr>
        <w:spacing w:line="360" w:lineRule="auto"/>
        <w:jc w:val="both"/>
        <w:rPr>
          <w:rFonts w:ascii="Arial" w:hAnsi="Arial" w:cs="Arial"/>
        </w:rPr>
      </w:pPr>
      <w:r w:rsidRPr="002374EC">
        <w:rPr>
          <w:rFonts w:ascii="Arial" w:hAnsi="Arial" w:cs="Arial"/>
        </w:rPr>
        <w:t>Eleven studies were included in total; four UK studies, four Canadian, two Australian, and one Norwegian study were included as it was a calculated decision that there had to be sufficient similarities in the type of universal healthcare system represented (Eurofound, 2012). One cohort, two cross-sectional, and one RCT studies were included in the study designs (n=9 quantitative; n=2 qualitative). The samples used were between 25 and 20,293 (32,479, about 7842 NEET included, 24 per cent of total).</w:t>
      </w:r>
    </w:p>
    <w:p w14:paraId="18525A59" w14:textId="674D6E46" w:rsidR="00C8080F" w:rsidRPr="002374EC" w:rsidRDefault="00C8080F" w:rsidP="002374EC">
      <w:pPr>
        <w:spacing w:line="360" w:lineRule="auto"/>
        <w:jc w:val="both"/>
        <w:rPr>
          <w:rFonts w:ascii="Arial" w:hAnsi="Arial" w:cs="Arial"/>
        </w:rPr>
      </w:pPr>
      <w:r w:rsidRPr="002374EC">
        <w:rPr>
          <w:rFonts w:ascii="Arial" w:hAnsi="Arial" w:cs="Arial"/>
        </w:rPr>
        <w:t>Every study used the age bracket of 18-25 (although two were purely investigating this segment of the population) (Buckman et al., 2023; Salaheddin and Mason, 2016). Mean ages ranged from 18.0 to 24.2 years. NEET definitions were different: six explicitly defined it as not in education, employment, or training, three proxy definitions were based on the idea of unemployment, lack of engagement, and lack of work/study, and one study explored the game of youth in general (Kourgiantakis et al., 2023). The NEET rates varied between 6.4 and 100 per cent (average, 21 per cent).</w:t>
      </w:r>
    </w:p>
    <w:p w14:paraId="2A60C806" w14:textId="77777777" w:rsidR="00C8080F" w:rsidRPr="002374EC" w:rsidRDefault="00C8080F" w:rsidP="002374EC">
      <w:pPr>
        <w:spacing w:line="360" w:lineRule="auto"/>
        <w:jc w:val="both"/>
        <w:rPr>
          <w:rFonts w:ascii="Arial" w:hAnsi="Arial" w:cs="Arial"/>
        </w:rPr>
      </w:pPr>
      <w:r w:rsidRPr="002374EC">
        <w:rPr>
          <w:rFonts w:ascii="Arial" w:hAnsi="Arial" w:cs="Arial"/>
        </w:rPr>
        <w:t xml:space="preserve">Methods used in data collection were routine clinical information (Buckman et al., 2023), structured assessments (Iyer et al., 2018; O'Dea et al., 2014; Andersen et al., 2024), surveys (Salaheddin and Mason, 2016; Quinlan-Davidson et al., 2023), review of charts (Mathias et al., 2022), and semi-structured interviews (Berry et al., 2024; Kourg Some of the methods of analysis were logistic regression (Buckman et al., 2023; Goldman-Mellor et al., 2016; O'Dea et al., 2014; Andersen et al., 2024), survival analysis (Iyer et al., 2018), mixed models </w:t>
      </w:r>
      <w:r w:rsidRPr="002374EC">
        <w:rPr>
          <w:rFonts w:ascii="Arial" w:hAnsi="Arial" w:cs="Arial"/>
        </w:rPr>
        <w:lastRenderedPageBreak/>
        <w:t>(Sveinsdottir et al., 2020; Andersen et al., 2024), generalized estimating equations (Quinlan-Davidson et al., 2023).</w:t>
      </w:r>
    </w:p>
    <w:p w14:paraId="5DE650CA" w14:textId="303E5B6F" w:rsidR="00C8080F" w:rsidRPr="002374EC" w:rsidRDefault="00C8080F" w:rsidP="002374EC">
      <w:pPr>
        <w:spacing w:line="360" w:lineRule="auto"/>
        <w:jc w:val="both"/>
        <w:rPr>
          <w:rFonts w:ascii="Arial" w:hAnsi="Arial" w:cs="Arial"/>
        </w:rPr>
      </w:pPr>
      <w:r w:rsidRPr="002374EC">
        <w:rPr>
          <w:rFonts w:ascii="Arial" w:hAnsi="Arial" w:cs="Arial"/>
        </w:rPr>
        <w:t>The number of publications served as evidence of increased interest: in 2014-2017, three, in 2018-2020, two, and in 2021-2024, six publications were published, which could be a sign of increased interest in the discussion of NEET youth as a specific population of research.</w:t>
      </w:r>
    </w:p>
    <w:p w14:paraId="67B64194" w14:textId="77777777" w:rsidR="00C8080F" w:rsidRPr="002374EC" w:rsidRDefault="00C8080F" w:rsidP="002374EC">
      <w:pPr>
        <w:pStyle w:val="Heading2"/>
        <w:spacing w:after="160" w:line="360" w:lineRule="auto"/>
        <w:jc w:val="both"/>
        <w:rPr>
          <w:rFonts w:ascii="Arial" w:hAnsi="Arial" w:cs="Arial"/>
          <w:color w:val="auto"/>
          <w:sz w:val="22"/>
        </w:rPr>
      </w:pPr>
      <w:bookmarkStart w:id="70" w:name="_Toc220926230"/>
      <w:r w:rsidRPr="002374EC">
        <w:rPr>
          <w:rFonts w:ascii="Arial" w:hAnsi="Arial" w:cs="Arial"/>
          <w:color w:val="auto"/>
          <w:sz w:val="22"/>
        </w:rPr>
        <w:t>4.4 Quality Assessment Summary</w:t>
      </w:r>
      <w:bookmarkEnd w:id="70"/>
    </w:p>
    <w:p w14:paraId="55FEAFB1" w14:textId="77777777" w:rsidR="00C8080F" w:rsidRPr="002374EC" w:rsidRDefault="00C8080F" w:rsidP="002374EC">
      <w:pPr>
        <w:pStyle w:val="Heading3"/>
        <w:spacing w:after="160" w:line="360" w:lineRule="auto"/>
        <w:jc w:val="both"/>
        <w:rPr>
          <w:rFonts w:ascii="Arial" w:hAnsi="Arial" w:cs="Arial"/>
          <w:color w:val="auto"/>
          <w:sz w:val="22"/>
        </w:rPr>
      </w:pPr>
      <w:bookmarkStart w:id="71" w:name="_Toc220926231"/>
      <w:r w:rsidRPr="002374EC">
        <w:rPr>
          <w:rFonts w:ascii="Arial" w:hAnsi="Arial" w:cs="Arial"/>
          <w:color w:val="auto"/>
          <w:sz w:val="22"/>
        </w:rPr>
        <w:t>4.4.1 Overall Quality</w:t>
      </w:r>
      <w:bookmarkEnd w:id="71"/>
    </w:p>
    <w:p w14:paraId="26A70CD8" w14:textId="3161DFF8" w:rsidR="00C8080F" w:rsidRPr="002374EC" w:rsidRDefault="00C8080F" w:rsidP="002374EC">
      <w:pPr>
        <w:spacing w:line="360" w:lineRule="auto"/>
        <w:jc w:val="both"/>
        <w:rPr>
          <w:rFonts w:ascii="Arial" w:hAnsi="Arial" w:cs="Arial"/>
        </w:rPr>
      </w:pPr>
      <w:r w:rsidRPr="002374EC">
        <w:rPr>
          <w:rFonts w:ascii="Arial" w:hAnsi="Arial" w:cs="Arial"/>
        </w:rPr>
        <w:t>The methodological and high standards were found in quality assessment with CASP checklists (CASP, 2024). Average score was 9.0/10 (range 8-10). Higher quality (9-10/10) was reached by 10 (91) studies; one had a score of 8/10. There was no research with fewer than 6/10 inclusion criteria. This is a level of quality that builds confidence in synthesised findings (Higgins et al., 2024).</w:t>
      </w:r>
    </w:p>
    <w:p w14:paraId="2E5599AD" w14:textId="24F552C6" w:rsidR="00E55BC7" w:rsidRPr="002374EC" w:rsidRDefault="00C8080F" w:rsidP="002374EC">
      <w:pPr>
        <w:spacing w:line="360" w:lineRule="auto"/>
        <w:jc w:val="both"/>
        <w:rPr>
          <w:rFonts w:ascii="Arial" w:hAnsi="Arial" w:cs="Arial"/>
        </w:rPr>
      </w:pPr>
      <w:r w:rsidRPr="002374EC">
        <w:rPr>
          <w:rFonts w:ascii="Arial" w:hAnsi="Arial" w:cs="Arial"/>
        </w:rPr>
        <w:t xml:space="preserve">Qualitative research displayed superior rigour. A minimum of 10/10 was obtained by Berry et al. (2024) in the category of reflexivity, co-design methodology, and thick contextualised results. Kourgiantakis et al. (2023) received 9/10 because they clearly stated their objectives and performed rigorous analysis, but their reflexivity was limited. There were consistent strengths of quantitative studies design appropriateness (100%), adequacy of samples (100%), valid measurement (91%), and analytical rigour (100%). The RCT (Sveinsdottir et al., 2020) has a score of 9/10, which has the proper randomisation and intention-to-treat analysis </w:t>
      </w:r>
    </w:p>
    <w:p w14:paraId="4C9EE8A3" w14:textId="77777777" w:rsidR="00C8080F" w:rsidRPr="002374EC" w:rsidRDefault="00C8080F" w:rsidP="002374EC">
      <w:pPr>
        <w:pStyle w:val="Heading3"/>
        <w:spacing w:after="160" w:line="360" w:lineRule="auto"/>
        <w:jc w:val="both"/>
        <w:rPr>
          <w:rFonts w:ascii="Arial" w:hAnsi="Arial" w:cs="Arial"/>
          <w:color w:val="auto"/>
          <w:sz w:val="22"/>
        </w:rPr>
      </w:pPr>
      <w:bookmarkStart w:id="72" w:name="_Toc220926232"/>
      <w:r w:rsidRPr="002374EC">
        <w:rPr>
          <w:rFonts w:ascii="Arial" w:hAnsi="Arial" w:cs="Arial"/>
          <w:color w:val="auto"/>
          <w:sz w:val="22"/>
        </w:rPr>
        <w:t>4.4.2 Compliance and Quality Relationship</w:t>
      </w:r>
      <w:bookmarkEnd w:id="72"/>
    </w:p>
    <w:p w14:paraId="074F90DB" w14:textId="77777777" w:rsidR="00C8080F" w:rsidRPr="002374EC" w:rsidRDefault="00C8080F" w:rsidP="002374EC">
      <w:pPr>
        <w:spacing w:line="360" w:lineRule="auto"/>
        <w:jc w:val="both"/>
        <w:rPr>
          <w:rFonts w:ascii="Arial" w:hAnsi="Arial" w:cs="Arial"/>
        </w:rPr>
      </w:pPr>
      <w:r w:rsidRPr="002374EC">
        <w:rPr>
          <w:rFonts w:ascii="Arial" w:hAnsi="Arial" w:cs="Arial"/>
        </w:rPr>
        <w:t>There were no systematic differences in quality of fully compliant (mean 9.3/10) and partially (mean 8.9/10) compliant studies, indicating that the inclusion expansion had no impact on the methodological rigour regardless of the deviation on individual dimensions of age range or NEET proportion.</w:t>
      </w:r>
    </w:p>
    <w:p w14:paraId="1274DAA8" w14:textId="77777777" w:rsidR="00C8080F" w:rsidRPr="002374EC" w:rsidRDefault="00C8080F" w:rsidP="002374EC">
      <w:pPr>
        <w:pStyle w:val="Heading2"/>
        <w:spacing w:after="160" w:line="360" w:lineRule="auto"/>
        <w:jc w:val="both"/>
        <w:rPr>
          <w:rFonts w:ascii="Arial" w:hAnsi="Arial" w:cs="Arial"/>
          <w:color w:val="auto"/>
          <w:sz w:val="22"/>
        </w:rPr>
      </w:pPr>
      <w:bookmarkStart w:id="73" w:name="_Toc220926233"/>
      <w:r w:rsidRPr="002374EC">
        <w:rPr>
          <w:rFonts w:ascii="Arial" w:hAnsi="Arial" w:cs="Arial"/>
          <w:color w:val="auto"/>
          <w:sz w:val="22"/>
        </w:rPr>
        <w:t>4.5 Thematic Synthesis: Identified Barriers</w:t>
      </w:r>
      <w:bookmarkEnd w:id="73"/>
    </w:p>
    <w:p w14:paraId="27F5223E" w14:textId="0945D901" w:rsidR="00C8080F" w:rsidRPr="002374EC" w:rsidRDefault="00C8080F" w:rsidP="002374EC">
      <w:pPr>
        <w:spacing w:line="360" w:lineRule="auto"/>
        <w:jc w:val="both"/>
        <w:rPr>
          <w:rFonts w:ascii="Arial" w:hAnsi="Arial" w:cs="Arial"/>
        </w:rPr>
      </w:pPr>
      <w:r w:rsidRPr="002374EC">
        <w:rPr>
          <w:rFonts w:ascii="Arial" w:hAnsi="Arial" w:cs="Arial"/>
        </w:rPr>
        <w:t>Thematic synthesis using the approach by Thomas and Harden (2008) revealed 14 different barriers grouped into three categories: structural/systemic (6 barriers), attitudinal /psychological (5 barriers), and social/interpersonal (3 barriers). The most commonly reported barriers were structural, but attitudinal barriers were also found to be especially salient to NEET populations in particular. It often occurred that barriers interacted with each other and enhanced each other (Levesque et al., 2013).</w:t>
      </w:r>
    </w:p>
    <w:p w14:paraId="022F7BBE" w14:textId="77777777" w:rsidR="00C8080F" w:rsidRPr="002374EC" w:rsidRDefault="00C8080F" w:rsidP="002374EC">
      <w:pPr>
        <w:pStyle w:val="Heading3"/>
        <w:spacing w:after="160" w:line="360" w:lineRule="auto"/>
        <w:jc w:val="both"/>
        <w:rPr>
          <w:rFonts w:ascii="Arial" w:hAnsi="Arial" w:cs="Arial"/>
          <w:color w:val="auto"/>
          <w:sz w:val="22"/>
        </w:rPr>
      </w:pPr>
      <w:bookmarkStart w:id="74" w:name="_Toc220926234"/>
      <w:r w:rsidRPr="002374EC">
        <w:rPr>
          <w:rFonts w:ascii="Arial" w:hAnsi="Arial" w:cs="Arial"/>
          <w:color w:val="auto"/>
          <w:sz w:val="22"/>
        </w:rPr>
        <w:lastRenderedPageBreak/>
        <w:t>4.5.1 Structural/Systemic Barriers</w:t>
      </w:r>
      <w:bookmarkEnd w:id="74"/>
    </w:p>
    <w:p w14:paraId="72AAEBFB" w14:textId="3EF879CF" w:rsidR="00C8080F" w:rsidRPr="002374EC" w:rsidRDefault="00C8080F" w:rsidP="002374EC">
      <w:pPr>
        <w:spacing w:line="360" w:lineRule="auto"/>
        <w:jc w:val="both"/>
        <w:rPr>
          <w:rFonts w:ascii="Arial" w:hAnsi="Arial" w:cs="Arial"/>
        </w:rPr>
      </w:pPr>
      <w:r w:rsidRPr="002374EC">
        <w:rPr>
          <w:rFonts w:ascii="Arial" w:hAnsi="Arial" w:cs="Arial"/>
          <w:b/>
          <w:bCs/>
        </w:rPr>
        <w:t>Barrier 1: Lack of Institutional Access Points (3/11 studies)</w:t>
      </w:r>
      <w:r w:rsidRPr="002374EC">
        <w:rPr>
          <w:rFonts w:ascii="Arial" w:hAnsi="Arial" w:cs="Arial"/>
        </w:rPr>
        <w:t xml:space="preserve"> – NEET youth do not have school and employment opportunities that can be offered to students and employees (Rickwood et al., 2019). Berry et al. (2024) found that school-centred programs are not inclusive of the NEET populations. Buckman et al. (2023) discovered that NEET youth accessed GP referral more (78% vs. non-NEET accessing educational (34%) and employment (12%)) access to the pathway. Iyer et al. (2018) reported the existence of disjointed systems that were not institutionally supported. This is a barrier which is a factor of enablement in the model of Andersen (Andersen, 1995), whereby the organisation of the system has developed access differentiation.</w:t>
      </w:r>
    </w:p>
    <w:p w14:paraId="222BF2BA" w14:textId="27A2F3C8" w:rsidR="00C8080F" w:rsidRPr="002374EC" w:rsidRDefault="00C8080F" w:rsidP="002374EC">
      <w:pPr>
        <w:spacing w:line="360" w:lineRule="auto"/>
        <w:jc w:val="both"/>
        <w:rPr>
          <w:rFonts w:ascii="Arial" w:hAnsi="Arial" w:cs="Arial"/>
        </w:rPr>
      </w:pPr>
      <w:r w:rsidRPr="002374EC">
        <w:rPr>
          <w:rFonts w:ascii="Arial" w:hAnsi="Arial" w:cs="Arial"/>
          <w:b/>
          <w:bCs/>
        </w:rPr>
        <w:t>Barrier 2: Waiting Times and Availability (5/11 studies)</w:t>
      </w:r>
      <w:r w:rsidRPr="002374EC">
        <w:rPr>
          <w:rFonts w:ascii="Arial" w:hAnsi="Arial" w:cs="Arial"/>
        </w:rPr>
        <w:t xml:space="preserve"> – Long waiting hours turned out to be widespread. Berry et al. (2024): Should wait-lists support any form of worthlessness? Salaheddin and Mason (2016): 68 per cent were not aware of where to seek assistance. Kourgiantakis et al. (2023): There is a waitlist all the time. Mathias et al. (2022): 58 per cent would have no place without integrated Foundry services. Andersen et al. (2024): 49.4 NEET baseline density in the early psychosis services. Median 47-day waits are provided in the NHS data, and 10 per cent longer (382 days) (NHS England, 2024).</w:t>
      </w:r>
    </w:p>
    <w:p w14:paraId="0B0B7B67" w14:textId="2AD3F616" w:rsidR="00C8080F" w:rsidRPr="002374EC" w:rsidRDefault="00C8080F" w:rsidP="002374EC">
      <w:pPr>
        <w:spacing w:line="360" w:lineRule="auto"/>
        <w:jc w:val="both"/>
        <w:rPr>
          <w:rFonts w:ascii="Arial" w:hAnsi="Arial" w:cs="Arial"/>
        </w:rPr>
      </w:pPr>
      <w:r w:rsidRPr="002374EC">
        <w:rPr>
          <w:rFonts w:ascii="Arial" w:hAnsi="Arial" w:cs="Arial"/>
          <w:b/>
          <w:bCs/>
        </w:rPr>
        <w:t>Barrier 3: Treatment Engagement and Retention (2/11 studies)</w:t>
      </w:r>
      <w:r w:rsidRPr="002374EC">
        <w:rPr>
          <w:rFonts w:ascii="Arial" w:hAnsi="Arial" w:cs="Arial"/>
        </w:rPr>
        <w:t xml:space="preserve"> – Buckman et al. (2023): NEET youthhad 31% higher drop-outs (OR=1.31, p&lt;0.001), fewer session attendance (3-4), 3199 with similar baseline severity. Sveinsdottir et al. (2020): the difficult aspects of engagement in Norwegian NEET receiving employment support. There is wider evidence of 26% dropout rate in RCTs, 45% in effectiveness trials (de Haan et al., 2013), and NEET status increases difficulties by introducing practical barriers (Gulliver et al., 2010).</w:t>
      </w:r>
    </w:p>
    <w:p w14:paraId="5289C9E0" w14:textId="77777777" w:rsidR="00C8080F" w:rsidRPr="002374EC" w:rsidRDefault="00C8080F" w:rsidP="002374EC">
      <w:pPr>
        <w:spacing w:line="360" w:lineRule="auto"/>
        <w:jc w:val="both"/>
        <w:rPr>
          <w:rFonts w:ascii="Arial" w:hAnsi="Arial" w:cs="Arial"/>
        </w:rPr>
      </w:pPr>
      <w:r w:rsidRPr="002374EC">
        <w:rPr>
          <w:rFonts w:ascii="Arial" w:hAnsi="Arial" w:cs="Arial"/>
          <w:b/>
          <w:bCs/>
        </w:rPr>
        <w:t>Barrier 4: Systemic Referral Delays (1/11 studies)</w:t>
      </w:r>
      <w:r w:rsidRPr="002374EC">
        <w:rPr>
          <w:rFonts w:ascii="Arial" w:hAnsi="Arial" w:cs="Arial"/>
        </w:rPr>
        <w:t xml:space="preserve"> –  Iyer et al. (2018): NEET youth had a higher number of help-seeking attempts (5.12 vs. 4.36, p=0.032) but a longer length of untreated psychosis (23% vs. 19%), pointing to failure in the system to respond accordingly despite their active attempts to seek help (Link and Phelan, 2001).</w:t>
      </w:r>
    </w:p>
    <w:p w14:paraId="0B127DB4" w14:textId="657EC0B9" w:rsidR="00C8080F" w:rsidRPr="002374EC" w:rsidRDefault="00C8080F" w:rsidP="002374EC">
      <w:pPr>
        <w:spacing w:line="360" w:lineRule="auto"/>
        <w:jc w:val="both"/>
        <w:rPr>
          <w:rFonts w:ascii="Arial" w:hAnsi="Arial" w:cs="Arial"/>
        </w:rPr>
      </w:pPr>
      <w:r w:rsidRPr="002374EC">
        <w:rPr>
          <w:rFonts w:ascii="Arial" w:hAnsi="Arial" w:cs="Arial"/>
          <w:b/>
          <w:bCs/>
        </w:rPr>
        <w:t>Barrier 5: Service Navigation Complexity (2/11 studies)</w:t>
      </w:r>
      <w:r w:rsidRPr="002374EC">
        <w:rPr>
          <w:rFonts w:ascii="Arial" w:hAnsi="Arial" w:cs="Arial"/>
        </w:rPr>
        <w:t xml:space="preserve"> – Salaheddin and Mason (2016): 68% were not aware of where to seek help. Kourgiantakis et al. (2023): Levesque states that using the ability to seek as a deficit measure is based on the framework by Levesque (Levesque et al., 2013). Berry et al. (2024): The services are too fragmented, poorly continuous and need to be explained more than once.</w:t>
      </w:r>
    </w:p>
    <w:p w14:paraId="5F6D285F" w14:textId="14BF4113" w:rsidR="00C8080F" w:rsidRPr="002374EC" w:rsidRDefault="00C8080F" w:rsidP="002374EC">
      <w:pPr>
        <w:spacing w:line="360" w:lineRule="auto"/>
        <w:jc w:val="both"/>
        <w:rPr>
          <w:rFonts w:ascii="Arial" w:hAnsi="Arial" w:cs="Arial"/>
        </w:rPr>
      </w:pPr>
      <w:r w:rsidRPr="002374EC">
        <w:rPr>
          <w:rFonts w:ascii="Arial" w:hAnsi="Arial" w:cs="Arial"/>
          <w:b/>
          <w:bCs/>
        </w:rPr>
        <w:t>Barrier 6: Practical Obstacles (4/11 studies)</w:t>
      </w:r>
      <w:r w:rsidRPr="002374EC">
        <w:rPr>
          <w:rFonts w:ascii="Arial" w:hAnsi="Arial" w:cs="Arial"/>
        </w:rPr>
        <w:t xml:space="preserve"> – Salaheddin and Mason (2016): 67 per cent. mentioned financial expenses (travel, childcare, opportunity costs). Buckman et al. (2023): </w:t>
      </w:r>
      <w:r w:rsidRPr="002374EC">
        <w:rPr>
          <w:rFonts w:ascii="Arial" w:hAnsi="Arial" w:cs="Arial"/>
        </w:rPr>
        <w:lastRenderedPageBreak/>
        <w:t xml:space="preserve">Partial decreased attendance was a manifestation of bowling to practical challenges. Kourgiantakis et al. (2023): transportation barriers as the ability to access. Mathias et al. (2022): Foundry One product model saved a </w:t>
      </w:r>
      <w:r w:rsidR="00E55BC7" w:rsidRPr="002374EC">
        <w:rPr>
          <w:rFonts w:ascii="Arial" w:hAnsi="Arial" w:cs="Arial"/>
        </w:rPr>
        <w:t>travelling</w:t>
      </w:r>
      <w:r w:rsidRPr="002374EC">
        <w:rPr>
          <w:rFonts w:ascii="Arial" w:hAnsi="Arial" w:cs="Arial"/>
        </w:rPr>
        <w:t xml:space="preserve"> need.</w:t>
      </w:r>
    </w:p>
    <w:p w14:paraId="79B2B760" w14:textId="77777777" w:rsidR="00C8080F" w:rsidRPr="002374EC" w:rsidRDefault="00C8080F" w:rsidP="002374EC">
      <w:pPr>
        <w:pStyle w:val="Heading3"/>
        <w:spacing w:after="160" w:line="360" w:lineRule="auto"/>
        <w:jc w:val="both"/>
        <w:rPr>
          <w:rFonts w:ascii="Arial" w:hAnsi="Arial" w:cs="Arial"/>
          <w:color w:val="auto"/>
          <w:sz w:val="22"/>
        </w:rPr>
      </w:pPr>
      <w:bookmarkStart w:id="75" w:name="_Toc220926235"/>
      <w:r w:rsidRPr="002374EC">
        <w:rPr>
          <w:rFonts w:ascii="Arial" w:hAnsi="Arial" w:cs="Arial"/>
          <w:color w:val="auto"/>
          <w:sz w:val="22"/>
        </w:rPr>
        <w:t>4.5.2 Attitudinal/Psychological Barriers</w:t>
      </w:r>
      <w:bookmarkEnd w:id="75"/>
    </w:p>
    <w:p w14:paraId="5831C92C" w14:textId="7500A2AE" w:rsidR="00C8080F" w:rsidRPr="002374EC" w:rsidRDefault="00C8080F" w:rsidP="002374EC">
      <w:pPr>
        <w:spacing w:line="360" w:lineRule="auto"/>
        <w:jc w:val="both"/>
        <w:rPr>
          <w:rFonts w:ascii="Arial" w:hAnsi="Arial" w:cs="Arial"/>
        </w:rPr>
      </w:pPr>
      <w:r w:rsidRPr="002374EC">
        <w:rPr>
          <w:rFonts w:ascii="Arial" w:hAnsi="Arial" w:cs="Arial"/>
          <w:b/>
          <w:bCs/>
        </w:rPr>
        <w:t>Barrier 7: Stigma and Shame (4/11 studies)</w:t>
      </w:r>
      <w:r w:rsidRPr="002374EC">
        <w:rPr>
          <w:rFonts w:ascii="Arial" w:hAnsi="Arial" w:cs="Arial"/>
        </w:rPr>
        <w:t xml:space="preserve"> – Salaheddin and Mason (2016): 81% feared stigma. Berry et al. (2024): </w:t>
      </w:r>
      <w:r w:rsidR="00E55BC7" w:rsidRPr="002374EC">
        <w:rPr>
          <w:rFonts w:ascii="Arial" w:hAnsi="Arial" w:cs="Arial"/>
        </w:rPr>
        <w:t>internalised</w:t>
      </w:r>
      <w:r w:rsidRPr="002374EC">
        <w:rPr>
          <w:rFonts w:ascii="Arial" w:hAnsi="Arial" w:cs="Arial"/>
        </w:rPr>
        <w:t xml:space="preserve"> shame about "not working" intersecting with mental health stigma created "double stigma." Goldman-Mellor et al. (2016): NEET youth felt </w:t>
      </w:r>
      <w:r w:rsidR="00E55BC7" w:rsidRPr="002374EC">
        <w:rPr>
          <w:rFonts w:ascii="Arial" w:hAnsi="Arial" w:cs="Arial"/>
        </w:rPr>
        <w:t>stigmatised</w:t>
      </w:r>
      <w:r w:rsidRPr="002374EC">
        <w:rPr>
          <w:rFonts w:ascii="Arial" w:hAnsi="Arial" w:cs="Arial"/>
        </w:rPr>
        <w:t xml:space="preserve"> despite work commitment. This represents intersectional barriers not captured by single-axis frameworks (Clement et al., 2015; Bowleg, 2012; Goffman, 1963; Link and Phelan, 2001).</w:t>
      </w:r>
    </w:p>
    <w:p w14:paraId="08FF7B06" w14:textId="21E301FD" w:rsidR="00C8080F" w:rsidRPr="002374EC" w:rsidRDefault="00C8080F" w:rsidP="002374EC">
      <w:pPr>
        <w:spacing w:line="360" w:lineRule="auto"/>
        <w:jc w:val="both"/>
        <w:rPr>
          <w:rFonts w:ascii="Arial" w:hAnsi="Arial" w:cs="Arial"/>
        </w:rPr>
      </w:pPr>
      <w:r w:rsidRPr="002374EC">
        <w:rPr>
          <w:rFonts w:ascii="Arial" w:hAnsi="Arial" w:cs="Arial"/>
          <w:b/>
          <w:bCs/>
        </w:rPr>
        <w:t>Barrier 8: Low Perceived Need and Hopelessness (3/11 studies)</w:t>
      </w:r>
      <w:r w:rsidRPr="002374EC">
        <w:rPr>
          <w:rFonts w:ascii="Arial" w:hAnsi="Arial" w:cs="Arial"/>
        </w:rPr>
        <w:t xml:space="preserve"> – Berry et al. (2024): "hopelessness dispensing help-seeking" and mutual relationships (unemployment/hopelessness in case of mental health; mental health/hopelessness in case of employment). Goldman-Mellor et al. (2016): 6 out of 10 have had previous mental health issues</w:t>
      </w:r>
      <w:r w:rsidR="00E55BC7" w:rsidRPr="002374EC">
        <w:rPr>
          <w:rFonts w:ascii="Arial" w:hAnsi="Arial" w:cs="Arial"/>
        </w:rPr>
        <w:t>,</w:t>
      </w:r>
      <w:r w:rsidRPr="002374EC">
        <w:rPr>
          <w:rFonts w:ascii="Arial" w:hAnsi="Arial" w:cs="Arial"/>
        </w:rPr>
        <w:t xml:space="preserve"> but not all of them were treated. Quinlan-Davidson et al. (2023): The OR of </w:t>
      </w:r>
      <w:r w:rsidR="00E55BC7" w:rsidRPr="002374EC">
        <w:rPr>
          <w:rFonts w:ascii="Arial" w:hAnsi="Arial" w:cs="Arial"/>
        </w:rPr>
        <w:t>internalising</w:t>
      </w:r>
      <w:r w:rsidRPr="002374EC">
        <w:rPr>
          <w:rFonts w:ascii="Arial" w:hAnsi="Arial" w:cs="Arial"/>
        </w:rPr>
        <w:t xml:space="preserve"> disorders between NEET and the non-NEET was 1.92. Conforms to </w:t>
      </w:r>
      <w:r w:rsidR="00E55BC7" w:rsidRPr="002374EC">
        <w:rPr>
          <w:rFonts w:ascii="Arial" w:hAnsi="Arial" w:cs="Arial"/>
        </w:rPr>
        <w:t xml:space="preserve">the </w:t>
      </w:r>
      <w:r w:rsidRPr="002374EC">
        <w:rPr>
          <w:rFonts w:ascii="Arial" w:hAnsi="Arial" w:cs="Arial"/>
        </w:rPr>
        <w:t xml:space="preserve">Rickwood et al. (2005) model that </w:t>
      </w:r>
      <w:r w:rsidR="00E55BC7" w:rsidRPr="002374EC">
        <w:rPr>
          <w:rFonts w:ascii="Arial" w:hAnsi="Arial" w:cs="Arial"/>
        </w:rPr>
        <w:t>recognises</w:t>
      </w:r>
      <w:r w:rsidRPr="002374EC">
        <w:rPr>
          <w:rFonts w:ascii="Arial" w:hAnsi="Arial" w:cs="Arial"/>
        </w:rPr>
        <w:t xml:space="preserve"> problem recognition as one of the key initial stages.</w:t>
      </w:r>
    </w:p>
    <w:p w14:paraId="4C1F4715" w14:textId="7D5C557D" w:rsidR="00C8080F" w:rsidRPr="002374EC" w:rsidRDefault="00C8080F" w:rsidP="002374EC">
      <w:pPr>
        <w:spacing w:line="360" w:lineRule="auto"/>
        <w:jc w:val="both"/>
        <w:rPr>
          <w:rFonts w:ascii="Arial" w:hAnsi="Arial" w:cs="Arial"/>
        </w:rPr>
      </w:pPr>
      <w:r w:rsidRPr="002374EC">
        <w:rPr>
          <w:rFonts w:ascii="Arial" w:hAnsi="Arial" w:cs="Arial"/>
          <w:b/>
          <w:bCs/>
        </w:rPr>
        <w:t>Barrier 9: Dislike of Talking and Self-Reliance (1/11 studies)</w:t>
      </w:r>
      <w:r w:rsidRPr="002374EC">
        <w:rPr>
          <w:rFonts w:ascii="Arial" w:hAnsi="Arial" w:cs="Arial"/>
        </w:rPr>
        <w:t xml:space="preserve"> – Salaheddin and Mason (2016): 84-percent did not like speaking, 85-percent liked to be independent. It may be especially relevant to young men (Gulliver et al., 2010). Goldman-Mellor et al. (2016): NEET young people were found to have deficits in soft skills, such as the expression of emotion.</w:t>
      </w:r>
    </w:p>
    <w:p w14:paraId="66F6C96B" w14:textId="77777777" w:rsidR="00C8080F" w:rsidRPr="002374EC" w:rsidRDefault="00C8080F" w:rsidP="002374EC">
      <w:pPr>
        <w:spacing w:line="360" w:lineRule="auto"/>
        <w:jc w:val="both"/>
        <w:rPr>
          <w:rFonts w:ascii="Arial" w:hAnsi="Arial" w:cs="Arial"/>
        </w:rPr>
      </w:pPr>
      <w:r w:rsidRPr="002374EC">
        <w:rPr>
          <w:rFonts w:ascii="Arial" w:hAnsi="Arial" w:cs="Arial"/>
          <w:b/>
          <w:bCs/>
        </w:rPr>
        <w:t>Barrier 10: Concerns About Consequences (1/11 studies)</w:t>
      </w:r>
      <w:r w:rsidRPr="002374EC">
        <w:rPr>
          <w:rFonts w:ascii="Arial" w:hAnsi="Arial" w:cs="Arial"/>
        </w:rPr>
        <w:t xml:space="preserve"> – Salaheddin and Mason (2016): It concerns 77% about the effect of jobs/education, 67% costs. Concerns that the mental health records would worsen their disadvantages further made NEET youngsters facing an employment barrier have another reason not to attend the appointment.</w:t>
      </w:r>
    </w:p>
    <w:p w14:paraId="2499F114" w14:textId="77777777" w:rsidR="00C8080F" w:rsidRPr="002374EC" w:rsidRDefault="00C8080F" w:rsidP="002374EC">
      <w:pPr>
        <w:spacing w:line="360" w:lineRule="auto"/>
        <w:jc w:val="both"/>
        <w:rPr>
          <w:rFonts w:ascii="Arial" w:hAnsi="Arial" w:cs="Arial"/>
        </w:rPr>
      </w:pPr>
      <w:r w:rsidRPr="002374EC">
        <w:rPr>
          <w:rFonts w:ascii="Arial" w:hAnsi="Arial" w:cs="Arial"/>
          <w:b/>
          <w:bCs/>
        </w:rPr>
        <w:t>Barrier 11: Negative Past Experiences (2/11 studies)</w:t>
      </w:r>
      <w:r w:rsidRPr="002374EC">
        <w:rPr>
          <w:rFonts w:ascii="Arial" w:hAnsi="Arial" w:cs="Arial"/>
        </w:rPr>
        <w:t xml:space="preserve"> – Kourgiantakis et al. (2023): past services that were classified as unhelpful or dismissive. Berry et al. (2024): services did not comprehend NEET situations and generated low expectations.</w:t>
      </w:r>
    </w:p>
    <w:p w14:paraId="40C252A0" w14:textId="77777777" w:rsidR="00C8080F" w:rsidRPr="002374EC" w:rsidRDefault="00C8080F" w:rsidP="002374EC">
      <w:pPr>
        <w:spacing w:line="360" w:lineRule="auto"/>
        <w:jc w:val="both"/>
        <w:rPr>
          <w:rFonts w:ascii="Arial" w:hAnsi="Arial" w:cs="Arial"/>
          <w:b/>
          <w:bCs/>
        </w:rPr>
      </w:pPr>
      <w:r w:rsidRPr="002374EC">
        <w:rPr>
          <w:rFonts w:ascii="Arial" w:hAnsi="Arial" w:cs="Arial"/>
          <w:b/>
          <w:bCs/>
        </w:rPr>
        <w:t>4.5.3 Social/Interpersonal Barriers</w:t>
      </w:r>
    </w:p>
    <w:p w14:paraId="79E88D1A" w14:textId="4359C8FA" w:rsidR="00C8080F" w:rsidRPr="002374EC" w:rsidRDefault="00C8080F" w:rsidP="002374EC">
      <w:pPr>
        <w:spacing w:line="360" w:lineRule="auto"/>
        <w:jc w:val="both"/>
        <w:rPr>
          <w:rFonts w:ascii="Arial" w:hAnsi="Arial" w:cs="Arial"/>
        </w:rPr>
      </w:pPr>
      <w:r w:rsidRPr="002374EC">
        <w:rPr>
          <w:rFonts w:ascii="Arial" w:hAnsi="Arial" w:cs="Arial"/>
          <w:b/>
          <w:bCs/>
        </w:rPr>
        <w:t>Barrier 12: Lack of Social Support (3/11 studies)</w:t>
      </w:r>
      <w:r w:rsidRPr="002374EC">
        <w:rPr>
          <w:rFonts w:ascii="Arial" w:hAnsi="Arial" w:cs="Arial"/>
        </w:rPr>
        <w:t xml:space="preserve"> – Berry et al. (2024): </w:t>
      </w:r>
      <w:r w:rsidR="00E55BC7" w:rsidRPr="002374EC">
        <w:rPr>
          <w:rFonts w:ascii="Arial" w:hAnsi="Arial" w:cs="Arial"/>
        </w:rPr>
        <w:t>Reluctance</w:t>
      </w:r>
      <w:r w:rsidRPr="002374EC">
        <w:rPr>
          <w:rFonts w:ascii="Arial" w:hAnsi="Arial" w:cs="Arial"/>
        </w:rPr>
        <w:t xml:space="preserve"> was twofold with social isolation. Goldman-Mellor et al. (2016): </w:t>
      </w:r>
      <w:r w:rsidR="00E55BC7" w:rsidRPr="002374EC">
        <w:rPr>
          <w:rFonts w:ascii="Arial" w:hAnsi="Arial" w:cs="Arial"/>
        </w:rPr>
        <w:t>fewer</w:t>
      </w:r>
      <w:r w:rsidRPr="002374EC">
        <w:rPr>
          <w:rFonts w:ascii="Arial" w:hAnsi="Arial" w:cs="Arial"/>
        </w:rPr>
        <w:t xml:space="preserve"> such soft skills as social relations.Quinlan-Davidson et al. (2023): the more severe the isolation, the higher the </w:t>
      </w:r>
      <w:r w:rsidRPr="002374EC">
        <w:rPr>
          <w:rFonts w:ascii="Arial" w:hAnsi="Arial" w:cs="Arial"/>
        </w:rPr>
        <w:lastRenderedPageBreak/>
        <w:t>symptoms in the case of COVID-19. The school/workplace environments would not be devoid of natural networks contributing to help-seeking (Rickwood et al., 2005; Bronfenbrenner, 1979).</w:t>
      </w:r>
    </w:p>
    <w:p w14:paraId="697A1B80" w14:textId="77777777" w:rsidR="00C8080F" w:rsidRPr="002374EC" w:rsidRDefault="00C8080F" w:rsidP="002374EC">
      <w:pPr>
        <w:spacing w:line="360" w:lineRule="auto"/>
        <w:jc w:val="both"/>
        <w:rPr>
          <w:rFonts w:ascii="Arial" w:hAnsi="Arial" w:cs="Arial"/>
        </w:rPr>
      </w:pPr>
      <w:r w:rsidRPr="002374EC">
        <w:rPr>
          <w:rFonts w:ascii="Arial" w:hAnsi="Arial" w:cs="Arial"/>
          <w:b/>
          <w:bCs/>
        </w:rPr>
        <w:t>Barrier 13: Fragmented Service Provision (3/11 studies)</w:t>
      </w:r>
      <w:r w:rsidRPr="002374EC">
        <w:rPr>
          <w:rFonts w:ascii="Arial" w:hAnsi="Arial" w:cs="Arial"/>
        </w:rPr>
        <w:t xml:space="preserve"> – Berry et al. (2024): "disjointed services, employee turnover. Mathias et al. (2022): Fragmentation has its effect, showing that 58% would have never gone anywhere without the Foundry integration. Kourgiantakis et al. (2023): lack of effective coordination between mental health and substance use and primary care. Sustains tailored models, including headspace (Rickwood et al., 2019), and Jigsaw (O'Reilly et al., 2022).</w:t>
      </w:r>
    </w:p>
    <w:p w14:paraId="0C7DDD7D" w14:textId="4F552166" w:rsidR="00C8080F" w:rsidRPr="002374EC" w:rsidRDefault="00C8080F" w:rsidP="002374EC">
      <w:pPr>
        <w:spacing w:line="360" w:lineRule="auto"/>
        <w:jc w:val="both"/>
        <w:rPr>
          <w:rFonts w:ascii="Arial" w:hAnsi="Arial" w:cs="Arial"/>
        </w:rPr>
      </w:pPr>
      <w:r w:rsidRPr="002374EC">
        <w:rPr>
          <w:rFonts w:ascii="Arial" w:hAnsi="Arial" w:cs="Arial"/>
          <w:b/>
          <w:bCs/>
        </w:rPr>
        <w:t>Barrier 14: Service Not Perceived as Relevant (2/11 studies)</w:t>
      </w:r>
      <w:r w:rsidRPr="002374EC">
        <w:rPr>
          <w:rFonts w:ascii="Arial" w:hAnsi="Arial" w:cs="Arial"/>
        </w:rPr>
        <w:t xml:space="preserve"> – Berry et al. (2024): NEET women perceived that the services lacked a clear grasp of particular realities. Kourgiantakis et al. (2023): appropriate dimension (level) of criticality (Levesque et al., 2013). Services organised around 9-5 jobs presuppose employment/education, which is disadvantaged by NEET youth (Tudor Hart, 1971).</w:t>
      </w:r>
    </w:p>
    <w:p w14:paraId="53A6ABAC" w14:textId="77777777" w:rsidR="00C8080F" w:rsidRPr="002374EC" w:rsidRDefault="00C8080F" w:rsidP="002374EC">
      <w:pPr>
        <w:pStyle w:val="Heading3"/>
        <w:spacing w:after="160" w:line="360" w:lineRule="auto"/>
        <w:jc w:val="both"/>
        <w:rPr>
          <w:rFonts w:ascii="Arial" w:hAnsi="Arial" w:cs="Arial"/>
          <w:color w:val="auto"/>
          <w:sz w:val="22"/>
        </w:rPr>
      </w:pPr>
      <w:bookmarkStart w:id="76" w:name="_Toc220926236"/>
      <w:r w:rsidRPr="002374EC">
        <w:rPr>
          <w:rFonts w:ascii="Arial" w:hAnsi="Arial" w:cs="Arial"/>
          <w:color w:val="auto"/>
          <w:sz w:val="22"/>
        </w:rPr>
        <w:t>4.5.4 Summary</w:t>
      </w:r>
      <w:bookmarkEnd w:id="76"/>
    </w:p>
    <w:p w14:paraId="3C14C638" w14:textId="301775D1" w:rsidR="00C8080F" w:rsidRPr="002374EC" w:rsidRDefault="00E55BC7" w:rsidP="002374EC">
      <w:pPr>
        <w:spacing w:line="360" w:lineRule="auto"/>
        <w:jc w:val="both"/>
        <w:rPr>
          <w:rFonts w:ascii="Arial" w:hAnsi="Arial" w:cs="Arial"/>
        </w:rPr>
      </w:pPr>
      <w:r w:rsidRPr="002374EC">
        <w:rPr>
          <w:rFonts w:ascii="Arial" w:hAnsi="Arial" w:cs="Arial"/>
        </w:rPr>
        <w:t>Fourteen obstacles came</w:t>
      </w:r>
      <w:r w:rsidR="00C8080F" w:rsidRPr="002374EC">
        <w:rPr>
          <w:rFonts w:ascii="Arial" w:hAnsi="Arial" w:cs="Arial"/>
        </w:rPr>
        <w:t xml:space="preserve"> out in structural (6), attitudinal (5), and social (3) categories. Most common: institutional access deficiency, waiting time, stigma, fragmentation. Barriers (those that are most common): structural barriers, attitudinal barriers (those that are especially relevant to NEET). Interactions and compounding between the barriers: structural (waits), supported attitudinal (hopelessness), and social (isolation) diminished </w:t>
      </w:r>
      <w:r w:rsidRPr="002374EC">
        <w:rPr>
          <w:rFonts w:ascii="Arial" w:hAnsi="Arial" w:cs="Arial"/>
        </w:rPr>
        <w:t xml:space="preserve">the </w:t>
      </w:r>
      <w:r w:rsidR="00C8080F" w:rsidRPr="002374EC">
        <w:rPr>
          <w:rFonts w:ascii="Arial" w:hAnsi="Arial" w:cs="Arial"/>
        </w:rPr>
        <w:t xml:space="preserve">ability to cope with structural barriers. There is a need </w:t>
      </w:r>
      <w:r w:rsidRPr="002374EC">
        <w:rPr>
          <w:rFonts w:ascii="Arial" w:hAnsi="Arial" w:cs="Arial"/>
        </w:rPr>
        <w:t>for</w:t>
      </w:r>
      <w:r w:rsidR="00C8080F" w:rsidRPr="002374EC">
        <w:rPr>
          <w:rFonts w:ascii="Arial" w:hAnsi="Arial" w:cs="Arial"/>
        </w:rPr>
        <w:t xml:space="preserve"> multi-level solutions that can cover systemic, individual and social contexts.</w:t>
      </w:r>
    </w:p>
    <w:p w14:paraId="040518EE" w14:textId="77777777" w:rsidR="00C8080F" w:rsidRPr="002374EC" w:rsidRDefault="00C8080F" w:rsidP="002374EC">
      <w:pPr>
        <w:pStyle w:val="Heading2"/>
        <w:spacing w:after="160" w:line="360" w:lineRule="auto"/>
        <w:jc w:val="both"/>
        <w:rPr>
          <w:rFonts w:ascii="Arial" w:hAnsi="Arial" w:cs="Arial"/>
          <w:color w:val="auto"/>
          <w:sz w:val="22"/>
        </w:rPr>
      </w:pPr>
      <w:bookmarkStart w:id="77" w:name="_Toc220926237"/>
      <w:r w:rsidRPr="002374EC">
        <w:rPr>
          <w:rFonts w:ascii="Arial" w:hAnsi="Arial" w:cs="Arial"/>
          <w:color w:val="auto"/>
          <w:sz w:val="22"/>
        </w:rPr>
        <w:t>SECTION B: DISCUSSION</w:t>
      </w:r>
      <w:bookmarkEnd w:id="77"/>
    </w:p>
    <w:p w14:paraId="529A19FB" w14:textId="77777777" w:rsidR="00C8080F" w:rsidRPr="002374EC" w:rsidRDefault="00C8080F" w:rsidP="002374EC">
      <w:pPr>
        <w:pStyle w:val="Heading2"/>
        <w:spacing w:after="160" w:line="360" w:lineRule="auto"/>
        <w:jc w:val="both"/>
        <w:rPr>
          <w:rFonts w:ascii="Arial" w:hAnsi="Arial" w:cs="Arial"/>
          <w:color w:val="auto"/>
          <w:sz w:val="22"/>
        </w:rPr>
      </w:pPr>
      <w:bookmarkStart w:id="78" w:name="_Toc220926238"/>
      <w:r w:rsidRPr="002374EC">
        <w:rPr>
          <w:rFonts w:ascii="Arial" w:hAnsi="Arial" w:cs="Arial"/>
          <w:color w:val="auto"/>
          <w:sz w:val="22"/>
        </w:rPr>
        <w:t>4.6 Discussion of Key Findings</w:t>
      </w:r>
      <w:bookmarkEnd w:id="78"/>
    </w:p>
    <w:p w14:paraId="7CE3A2DF" w14:textId="41BC8A9E" w:rsidR="00C8080F" w:rsidRPr="002374EC" w:rsidRDefault="00C8080F" w:rsidP="002374EC">
      <w:pPr>
        <w:spacing w:line="360" w:lineRule="auto"/>
        <w:jc w:val="both"/>
        <w:rPr>
          <w:rFonts w:ascii="Arial" w:hAnsi="Arial" w:cs="Arial"/>
        </w:rPr>
      </w:pPr>
      <w:r w:rsidRPr="002374EC">
        <w:rPr>
          <w:rFonts w:ascii="Arial" w:hAnsi="Arial" w:cs="Arial"/>
        </w:rPr>
        <w:t xml:space="preserve">The structural barrier is the systematic denial of the NEET youth to institutional opportunities (schools, </w:t>
      </w:r>
      <w:r w:rsidR="00E55BC7" w:rsidRPr="002374EC">
        <w:rPr>
          <w:rFonts w:ascii="Arial" w:hAnsi="Arial" w:cs="Arial"/>
        </w:rPr>
        <w:t>workplaces</w:t>
      </w:r>
      <w:r w:rsidRPr="002374EC">
        <w:rPr>
          <w:rFonts w:ascii="Arial" w:hAnsi="Arial" w:cs="Arial"/>
        </w:rPr>
        <w:t xml:space="preserve">). Buckman et al. (2023) showed that NEET dependence on GP referral and non-NEET </w:t>
      </w:r>
      <w:r w:rsidR="00E55BC7" w:rsidRPr="002374EC">
        <w:rPr>
          <w:rFonts w:ascii="Arial" w:hAnsi="Arial" w:cs="Arial"/>
        </w:rPr>
        <w:t>use</w:t>
      </w:r>
      <w:r w:rsidRPr="002374EC">
        <w:rPr>
          <w:rFonts w:ascii="Arial" w:hAnsi="Arial" w:cs="Arial"/>
        </w:rPr>
        <w:t xml:space="preserve"> institutional paths is an example of enabling factors deficits within </w:t>
      </w:r>
      <w:r w:rsidR="00E55BC7" w:rsidRPr="002374EC">
        <w:rPr>
          <w:rFonts w:ascii="Arial" w:hAnsi="Arial" w:cs="Arial"/>
        </w:rPr>
        <w:t xml:space="preserve">the </w:t>
      </w:r>
      <w:r w:rsidRPr="002374EC">
        <w:rPr>
          <w:rFonts w:ascii="Arial" w:hAnsi="Arial" w:cs="Arial"/>
        </w:rPr>
        <w:t xml:space="preserve">Andersen model (Andersen, 1995; Babitsch et al., 2012). This is perceived as </w:t>
      </w:r>
      <w:r w:rsidR="00E55BC7" w:rsidRPr="002374EC">
        <w:rPr>
          <w:rFonts w:ascii="Arial" w:hAnsi="Arial" w:cs="Arial"/>
        </w:rPr>
        <w:t>organisational-level</w:t>
      </w:r>
      <w:r w:rsidRPr="002374EC">
        <w:rPr>
          <w:rFonts w:ascii="Arial" w:hAnsi="Arial" w:cs="Arial"/>
        </w:rPr>
        <w:t xml:space="preserve"> barriers without mesosystem links (Ecological frameworks, Bronfenbrenner, 1979, and Eriksson et al., 2018). The 31% greater level of dropout shown by Buckman in the allegedly similar baseline severity of majority populations proves that services tailored to those in majority groups disadvantage NEET minorities, and its second example is an application of the inverse care law dynamics (Tudor Hart, 1971): most in need have the least access. The NHS Long Term Plan (NHS England, 2019) </w:t>
      </w:r>
      <w:r w:rsidR="00E55BC7" w:rsidRPr="002374EC">
        <w:rPr>
          <w:rFonts w:ascii="Arial" w:hAnsi="Arial" w:cs="Arial"/>
        </w:rPr>
        <w:t>aims</w:t>
      </w:r>
      <w:r w:rsidRPr="002374EC">
        <w:rPr>
          <w:rFonts w:ascii="Arial" w:hAnsi="Arial" w:cs="Arial"/>
        </w:rPr>
        <w:t xml:space="preserve"> to make </w:t>
      </w:r>
      <w:r w:rsidR="00E55BC7" w:rsidRPr="002374EC">
        <w:rPr>
          <w:rFonts w:ascii="Arial" w:hAnsi="Arial" w:cs="Arial"/>
        </w:rPr>
        <w:t xml:space="preserve">healthcare </w:t>
      </w:r>
      <w:r w:rsidRPr="002374EC">
        <w:rPr>
          <w:rFonts w:ascii="Arial" w:hAnsi="Arial" w:cs="Arial"/>
        </w:rPr>
        <w:t>more accessible</w:t>
      </w:r>
      <w:r w:rsidR="00E55BC7" w:rsidRPr="002374EC">
        <w:rPr>
          <w:rFonts w:ascii="Arial" w:hAnsi="Arial" w:cs="Arial"/>
        </w:rPr>
        <w:t>,</w:t>
      </w:r>
      <w:r w:rsidRPr="002374EC">
        <w:rPr>
          <w:rFonts w:ascii="Arial" w:hAnsi="Arial" w:cs="Arial"/>
        </w:rPr>
        <w:t xml:space="preserve"> but </w:t>
      </w:r>
      <w:r w:rsidR="00E55BC7" w:rsidRPr="002374EC">
        <w:rPr>
          <w:rFonts w:ascii="Arial" w:hAnsi="Arial" w:cs="Arial"/>
        </w:rPr>
        <w:t xml:space="preserve">it </w:t>
      </w:r>
      <w:r w:rsidRPr="002374EC">
        <w:rPr>
          <w:rFonts w:ascii="Arial" w:hAnsi="Arial" w:cs="Arial"/>
        </w:rPr>
        <w:t>does not alleviate the limitations within institutions</w:t>
      </w:r>
      <w:r w:rsidR="00E55BC7" w:rsidRPr="002374EC">
        <w:rPr>
          <w:rFonts w:ascii="Arial" w:hAnsi="Arial" w:cs="Arial"/>
        </w:rPr>
        <w:t>.</w:t>
      </w:r>
      <w:r w:rsidRPr="002374EC">
        <w:rPr>
          <w:rFonts w:ascii="Arial" w:hAnsi="Arial" w:cs="Arial"/>
        </w:rPr>
        <w:t xml:space="preserve"> NEET young people are underdelivered. </w:t>
      </w:r>
      <w:r w:rsidRPr="002374EC">
        <w:rPr>
          <w:rFonts w:ascii="Arial" w:hAnsi="Arial" w:cs="Arial"/>
        </w:rPr>
        <w:lastRenderedPageBreak/>
        <w:t>Combined options are shown in international models such as Foundry (Mathias et al., 2022), headspace (Rickwood et al., 2019), and Jigsaw (O'Reilly et al., 2022).</w:t>
      </w:r>
    </w:p>
    <w:p w14:paraId="43EC4C68" w14:textId="3588F7C8" w:rsidR="00C8080F" w:rsidRPr="002374EC" w:rsidRDefault="00C8080F" w:rsidP="002374EC">
      <w:pPr>
        <w:spacing w:line="360" w:lineRule="auto"/>
        <w:jc w:val="both"/>
        <w:rPr>
          <w:rFonts w:ascii="Arial" w:hAnsi="Arial" w:cs="Arial"/>
        </w:rPr>
      </w:pPr>
      <w:r w:rsidRPr="002374EC">
        <w:rPr>
          <w:rFonts w:ascii="Arial" w:hAnsi="Arial" w:cs="Arial"/>
        </w:rPr>
        <w:t xml:space="preserve">The institutional impediment is the formal refusal of the NEET youth to the institutional possibilities (schools, </w:t>
      </w:r>
      <w:r w:rsidR="00E55BC7" w:rsidRPr="002374EC">
        <w:rPr>
          <w:rFonts w:ascii="Arial" w:hAnsi="Arial" w:cs="Arial"/>
        </w:rPr>
        <w:t>workplaces</w:t>
      </w:r>
      <w:r w:rsidRPr="002374EC">
        <w:rPr>
          <w:rFonts w:ascii="Arial" w:hAnsi="Arial" w:cs="Arial"/>
        </w:rPr>
        <w:t>). As demonstrated by Buckman et al (2023)</w:t>
      </w:r>
      <w:r w:rsidR="00E55BC7" w:rsidRPr="002374EC">
        <w:rPr>
          <w:rFonts w:ascii="Arial" w:hAnsi="Arial" w:cs="Arial"/>
        </w:rPr>
        <w:t>,</w:t>
      </w:r>
      <w:r w:rsidRPr="002374EC">
        <w:rPr>
          <w:rFonts w:ascii="Arial" w:hAnsi="Arial" w:cs="Arial"/>
        </w:rPr>
        <w:t xml:space="preserve"> NEET dependence on GP referral and non-NEET </w:t>
      </w:r>
      <w:r w:rsidR="00E55BC7" w:rsidRPr="002374EC">
        <w:rPr>
          <w:rFonts w:ascii="Arial" w:hAnsi="Arial" w:cs="Arial"/>
        </w:rPr>
        <w:t>use of</w:t>
      </w:r>
      <w:r w:rsidRPr="002374EC">
        <w:rPr>
          <w:rFonts w:ascii="Arial" w:hAnsi="Arial" w:cs="Arial"/>
        </w:rPr>
        <w:t xml:space="preserve"> institutional paths is one such example of </w:t>
      </w:r>
      <w:r w:rsidR="00E55BC7" w:rsidRPr="002374EC">
        <w:rPr>
          <w:rFonts w:ascii="Arial" w:hAnsi="Arial" w:cs="Arial"/>
        </w:rPr>
        <w:t>deficit-enabling</w:t>
      </w:r>
      <w:r w:rsidRPr="002374EC">
        <w:rPr>
          <w:rFonts w:ascii="Arial" w:hAnsi="Arial" w:cs="Arial"/>
        </w:rPr>
        <w:t xml:space="preserve"> factors within the Andersen model (Andersen, 1995; Babitsch et al., 2012). This is understood as barriers on an </w:t>
      </w:r>
      <w:r w:rsidR="00E55BC7" w:rsidRPr="002374EC">
        <w:rPr>
          <w:rFonts w:ascii="Arial" w:hAnsi="Arial" w:cs="Arial"/>
        </w:rPr>
        <w:t>organisational</w:t>
      </w:r>
      <w:r w:rsidRPr="002374EC">
        <w:rPr>
          <w:rFonts w:ascii="Arial" w:hAnsi="Arial" w:cs="Arial"/>
        </w:rPr>
        <w:t xml:space="preserve"> level that lacked a connection to the mesosystems (Ecological frameworks, Bronfenbrenner, 1979, and Eriksson et al., 2018). The 31% higher degree of disengagement demonstrated by Buckman in the allegedly comparable severity of majority groups proves that services designed toward </w:t>
      </w:r>
      <w:r w:rsidR="00E55BC7" w:rsidRPr="002374EC">
        <w:rPr>
          <w:rFonts w:ascii="Arial" w:hAnsi="Arial" w:cs="Arial"/>
        </w:rPr>
        <w:t>what</w:t>
      </w:r>
      <w:r w:rsidRPr="002374EC">
        <w:rPr>
          <w:rFonts w:ascii="Arial" w:hAnsi="Arial" w:cs="Arial"/>
        </w:rPr>
        <w:t xml:space="preserve"> the majority group uses is adverse to NEET minorities, and its second instance is an application of the law of inverse care dynamics (Tudor Hart, 1971): the neediest have the least. The underdelivery of NEET young people is propagated by the NHS Long Term Plan (NHS England, 2019)</w:t>
      </w:r>
      <w:r w:rsidR="00E55BC7" w:rsidRPr="002374EC">
        <w:rPr>
          <w:rFonts w:ascii="Arial" w:hAnsi="Arial" w:cs="Arial"/>
        </w:rPr>
        <w:t>,</w:t>
      </w:r>
      <w:r w:rsidRPr="002374EC">
        <w:rPr>
          <w:rFonts w:ascii="Arial" w:hAnsi="Arial" w:cs="Arial"/>
        </w:rPr>
        <w:t xml:space="preserve"> but is not relieved by its limitations institute-wide. In international models like Foundry (Mathias et al., 2022), headspace (Rickwood et al., 2019), and Jigsaw (O'Reilly et al., 2022), combined options are available since they eliminate the social capital of seeking help (Goldman-Mellor et al., 2016). According to Rickwood et al. (2005), the trusted others are identified as very important during the process of seeking help. Support is </w:t>
      </w:r>
      <w:r w:rsidR="00E55BC7" w:rsidRPr="002374EC">
        <w:rPr>
          <w:rFonts w:ascii="Arial" w:hAnsi="Arial" w:cs="Arial"/>
        </w:rPr>
        <w:t>conceptualised</w:t>
      </w:r>
      <w:r w:rsidRPr="002374EC">
        <w:rPr>
          <w:rFonts w:ascii="Arial" w:hAnsi="Arial" w:cs="Arial"/>
        </w:rPr>
        <w:t xml:space="preserve"> as being present in the microsystem, and NEET status has been disrupted of mesosystem in ecological frameworks (Bronfenbrenner, 1979). Fragmentation is combined with isolation: the students are moving through the systems and have institutional assistance, but NEET youth are on their own. The 58% would have gone nowhere</w:t>
      </w:r>
      <w:r w:rsidR="00E55BC7" w:rsidRPr="002374EC">
        <w:rPr>
          <w:rFonts w:ascii="Arial" w:hAnsi="Arial" w:cs="Arial"/>
        </w:rPr>
        <w:t>, according to</w:t>
      </w:r>
      <w:r w:rsidRPr="002374EC">
        <w:rPr>
          <w:rFonts w:ascii="Arial" w:hAnsi="Arial" w:cs="Arial"/>
        </w:rPr>
        <w:t xml:space="preserve"> Mathias et al (2022). Combined models (Rickwood et al., 2019; O'Reilly et al., 2022) prove to be useful. Mental health is </w:t>
      </w:r>
      <w:r w:rsidR="00E55BC7" w:rsidRPr="002374EC">
        <w:rPr>
          <w:rFonts w:ascii="Arial" w:hAnsi="Arial" w:cs="Arial"/>
        </w:rPr>
        <w:t>realised</w:t>
      </w:r>
      <w:r w:rsidRPr="002374EC">
        <w:rPr>
          <w:rFonts w:ascii="Arial" w:hAnsi="Arial" w:cs="Arial"/>
        </w:rPr>
        <w:t xml:space="preserve"> to be social and is not exclusive to the healthcare sphere, but to employment, education, and housing, which requires combined action (Social determinants frameworks, 2010, 2020). The Long Term Plan promises transformation of the community (NHS England, 2019)</w:t>
      </w:r>
      <w:r w:rsidR="00E55BC7" w:rsidRPr="002374EC">
        <w:rPr>
          <w:rFonts w:ascii="Arial" w:hAnsi="Arial" w:cs="Arial"/>
        </w:rPr>
        <w:t>,</w:t>
      </w:r>
      <w:r w:rsidRPr="002374EC">
        <w:rPr>
          <w:rFonts w:ascii="Arial" w:hAnsi="Arial" w:cs="Arial"/>
        </w:rPr>
        <w:t xml:space="preserve"> but this is </w:t>
      </w:r>
      <w:r w:rsidR="00E55BC7" w:rsidRPr="002374EC">
        <w:rPr>
          <w:rFonts w:ascii="Arial" w:hAnsi="Arial" w:cs="Arial"/>
        </w:rPr>
        <w:t>poorly</w:t>
      </w:r>
      <w:r w:rsidRPr="002374EC">
        <w:rPr>
          <w:rFonts w:ascii="Arial" w:hAnsi="Arial" w:cs="Arial"/>
        </w:rPr>
        <w:t xml:space="preserve"> implemented (The King's Fund, 2024).</w:t>
      </w:r>
    </w:p>
    <w:p w14:paraId="5B3C1450" w14:textId="77777777" w:rsidR="00C8080F" w:rsidRPr="002374EC" w:rsidRDefault="00C8080F" w:rsidP="002374EC">
      <w:pPr>
        <w:pStyle w:val="Heading2"/>
        <w:spacing w:after="160" w:line="360" w:lineRule="auto"/>
        <w:jc w:val="both"/>
        <w:rPr>
          <w:rFonts w:ascii="Arial" w:hAnsi="Arial" w:cs="Arial"/>
          <w:color w:val="auto"/>
          <w:sz w:val="22"/>
        </w:rPr>
      </w:pPr>
      <w:bookmarkStart w:id="79" w:name="_Toc220926239"/>
      <w:r w:rsidRPr="002374EC">
        <w:rPr>
          <w:rFonts w:ascii="Arial" w:hAnsi="Arial" w:cs="Arial"/>
          <w:color w:val="auto"/>
          <w:sz w:val="22"/>
        </w:rPr>
        <w:t>4.7 The Evidence Gap as Critical Finding</w:t>
      </w:r>
      <w:bookmarkEnd w:id="79"/>
    </w:p>
    <w:p w14:paraId="2AE4156F" w14:textId="057AC81A" w:rsidR="00C8080F" w:rsidRPr="002374EC" w:rsidRDefault="00C8080F" w:rsidP="002374EC">
      <w:pPr>
        <w:spacing w:line="360" w:lineRule="auto"/>
        <w:jc w:val="both"/>
        <w:rPr>
          <w:rFonts w:ascii="Arial" w:hAnsi="Arial" w:cs="Arial"/>
        </w:rPr>
      </w:pPr>
      <w:r w:rsidRPr="002374EC">
        <w:rPr>
          <w:rFonts w:ascii="Arial" w:hAnsi="Arial" w:cs="Arial"/>
        </w:rPr>
        <w:t xml:space="preserve">The selection of three studies as the outcome based on all the inclusion criteria showed a lack of research at the intersection of NEET status, age interval 18- 25, and mental health barriers. There is already a broad body of literature on youth barriers in general (Gulliver et al., 2010), NEET outcomes (Goldman-Mellor et al., 2016; Bynner and Parsons, 2002), and so-called NEET-related services access studies have been limited in </w:t>
      </w:r>
      <w:r w:rsidR="00E55BC7" w:rsidRPr="002374EC">
        <w:rPr>
          <w:rFonts w:ascii="Arial" w:hAnsi="Arial" w:cs="Arial"/>
        </w:rPr>
        <w:t xml:space="preserve">the </w:t>
      </w:r>
      <w:r w:rsidRPr="002374EC">
        <w:rPr>
          <w:rFonts w:ascii="Arial" w:hAnsi="Arial" w:cs="Arial"/>
        </w:rPr>
        <w:t xml:space="preserve">literature. The NEETs are the most difficult to reach, with no institutional affiliations; the issue of employment/education status is not regularly documented in government health data; </w:t>
      </w:r>
      <w:r w:rsidR="00E55BC7" w:rsidRPr="002374EC">
        <w:rPr>
          <w:rFonts w:ascii="Arial" w:hAnsi="Arial" w:cs="Arial"/>
        </w:rPr>
        <w:t>professionals</w:t>
      </w:r>
      <w:r w:rsidRPr="002374EC">
        <w:rPr>
          <w:rFonts w:ascii="Arial" w:hAnsi="Arial" w:cs="Arial"/>
        </w:rPr>
        <w:t xml:space="preserve"> slip </w:t>
      </w:r>
      <w:r w:rsidRPr="002374EC">
        <w:rPr>
          <w:rFonts w:ascii="Arial" w:hAnsi="Arial" w:cs="Arial"/>
        </w:rPr>
        <w:lastRenderedPageBreak/>
        <w:t>compartments the research between employment and mental health services. There is limited evidence that limits confidence</w:t>
      </w:r>
      <w:r w:rsidR="00E55BC7" w:rsidRPr="002374EC">
        <w:rPr>
          <w:rFonts w:ascii="Arial" w:hAnsi="Arial" w:cs="Arial"/>
        </w:rPr>
        <w:t>, which</w:t>
      </w:r>
      <w:r w:rsidRPr="002374EC">
        <w:rPr>
          <w:rFonts w:ascii="Arial" w:hAnsi="Arial" w:cs="Arial"/>
        </w:rPr>
        <w:t xml:space="preserve"> needs to be interpreted carefully. The gap is one of the key points of research deficiency, and services are planned to be designed without evidence base. Decision-making on policies is based on assumptions that result in interventions that cannot find the right target. Empirical justification of research </w:t>
      </w:r>
      <w:r w:rsidR="00E55BC7" w:rsidRPr="002374EC">
        <w:rPr>
          <w:rFonts w:ascii="Arial" w:hAnsi="Arial" w:cs="Arial"/>
        </w:rPr>
        <w:t>prioritisation</w:t>
      </w:r>
      <w:r w:rsidRPr="002374EC">
        <w:rPr>
          <w:rFonts w:ascii="Arial" w:hAnsi="Arial" w:cs="Arial"/>
        </w:rPr>
        <w:t xml:space="preserve"> is focused on systematic gap documentation conducted on the basis of which the assumptions of evidence-based practices are not </w:t>
      </w:r>
      <w:r w:rsidR="00E55BC7" w:rsidRPr="002374EC">
        <w:rPr>
          <w:rFonts w:ascii="Arial" w:hAnsi="Arial" w:cs="Arial"/>
        </w:rPr>
        <w:t>supported</w:t>
      </w:r>
      <w:r w:rsidRPr="002374EC">
        <w:rPr>
          <w:rFonts w:ascii="Arial" w:hAnsi="Arial" w:cs="Arial"/>
        </w:rPr>
        <w:t xml:space="preserve"> in this area.</w:t>
      </w:r>
    </w:p>
    <w:p w14:paraId="0B170B09" w14:textId="77777777" w:rsidR="00C8080F" w:rsidRPr="002374EC" w:rsidRDefault="00C8080F" w:rsidP="002374EC">
      <w:pPr>
        <w:pStyle w:val="Heading2"/>
        <w:spacing w:after="160" w:line="360" w:lineRule="auto"/>
        <w:jc w:val="both"/>
        <w:rPr>
          <w:rFonts w:ascii="Arial" w:hAnsi="Arial" w:cs="Arial"/>
          <w:color w:val="auto"/>
          <w:sz w:val="22"/>
        </w:rPr>
      </w:pPr>
      <w:bookmarkStart w:id="80" w:name="_Toc220926240"/>
      <w:r w:rsidRPr="002374EC">
        <w:rPr>
          <w:rFonts w:ascii="Arial" w:hAnsi="Arial" w:cs="Arial"/>
          <w:color w:val="auto"/>
          <w:sz w:val="22"/>
        </w:rPr>
        <w:t>4.8 Strengths and Limitations</w:t>
      </w:r>
      <w:bookmarkEnd w:id="80"/>
    </w:p>
    <w:p w14:paraId="0E0F053B" w14:textId="5B1EBA1C" w:rsidR="00C8080F" w:rsidRPr="002374EC" w:rsidRDefault="00C8080F" w:rsidP="002374EC">
      <w:pPr>
        <w:spacing w:line="360" w:lineRule="auto"/>
        <w:jc w:val="both"/>
        <w:rPr>
          <w:rFonts w:ascii="Arial" w:hAnsi="Arial" w:cs="Arial"/>
        </w:rPr>
      </w:pPr>
      <w:r w:rsidRPr="002374EC">
        <w:rPr>
          <w:rFonts w:ascii="Arial" w:hAnsi="Arial" w:cs="Arial"/>
        </w:rPr>
        <w:t xml:space="preserve">The </w:t>
      </w:r>
      <w:r w:rsidR="00E55BC7" w:rsidRPr="002374EC">
        <w:rPr>
          <w:rFonts w:ascii="Arial" w:hAnsi="Arial" w:cs="Arial"/>
        </w:rPr>
        <w:t>following</w:t>
      </w:r>
      <w:r w:rsidRPr="002374EC">
        <w:rPr>
          <w:rFonts w:ascii="Arial" w:hAnsi="Arial" w:cs="Arial"/>
        </w:rPr>
        <w:t xml:space="preserve"> PRISMA 2020 (Page et al., 2021) assures transparency, thorough searching, CASP-based quality appraisal (systematic), clear-cut criteria, and high-quality thematic synthesis (Thomas and Harden, 2008) and sincere limitation consideration are strengths. It is the first systematic review in this intersection, which </w:t>
      </w:r>
      <w:r w:rsidR="00E55BC7" w:rsidRPr="002374EC">
        <w:rPr>
          <w:rFonts w:ascii="Arial" w:hAnsi="Arial" w:cs="Arial"/>
        </w:rPr>
        <w:t>synthesised</w:t>
      </w:r>
      <w:r w:rsidRPr="002374EC">
        <w:rPr>
          <w:rFonts w:ascii="Arial" w:hAnsi="Arial" w:cs="Arial"/>
        </w:rPr>
        <w:t xml:space="preserve"> the piecemeal literature and reported the lack of evidence. Although the evidence was very minimal, practice and policy recommendations came out.</w:t>
      </w:r>
    </w:p>
    <w:p w14:paraId="71485B4F" w14:textId="01042438" w:rsidR="00C8080F" w:rsidRPr="002374EC" w:rsidRDefault="00C8080F" w:rsidP="002374EC">
      <w:pPr>
        <w:spacing w:line="360" w:lineRule="auto"/>
        <w:jc w:val="both"/>
        <w:rPr>
          <w:rFonts w:ascii="Arial" w:hAnsi="Arial" w:cs="Arial"/>
        </w:rPr>
      </w:pPr>
      <w:r w:rsidRPr="002374EC">
        <w:rPr>
          <w:rFonts w:ascii="Arial" w:hAnsi="Arial" w:cs="Arial"/>
        </w:rPr>
        <w:t>The limitations are single-reviewer operation</w:t>
      </w:r>
      <w:r w:rsidR="00E55BC7" w:rsidRPr="002374EC">
        <w:rPr>
          <w:rFonts w:ascii="Arial" w:hAnsi="Arial" w:cs="Arial"/>
        </w:rPr>
        <w:t>,</w:t>
      </w:r>
      <w:r w:rsidRPr="002374EC">
        <w:rPr>
          <w:rFonts w:ascii="Arial" w:hAnsi="Arial" w:cs="Arial"/>
        </w:rPr>
        <w:t xml:space="preserve"> ruling out inter-rater reliability (Waffenschmidt et al., 2019), limited to English-language research that may exclude Nordic research, geographical restriction to similar systems that may exclude a substantial literature, publication bias favouring published over unpublished studies, two-database limitation that may miss results in the Web of Science/Scopus/CINAHL, and the timeframe of the master study. Limitations of the evidence base consist of the fact that three fully compliant studies only require broadening of the inclusion, </w:t>
      </w:r>
      <w:r w:rsidR="00E55BC7" w:rsidRPr="002374EC">
        <w:rPr>
          <w:rFonts w:ascii="Arial" w:hAnsi="Arial" w:cs="Arial"/>
        </w:rPr>
        <w:t xml:space="preserve">the </w:t>
      </w:r>
      <w:r w:rsidRPr="002374EC">
        <w:rPr>
          <w:rFonts w:ascii="Arial" w:hAnsi="Arial" w:cs="Arial"/>
        </w:rPr>
        <w:t>majority of the cross-country/definition/methodology heterogeneity limits comparability, cross-sectional designs do not allow the researcher to make a causal conclusion, and there is a lack of qualitative depth beyond Berry et al. (2024).</w:t>
      </w:r>
    </w:p>
    <w:p w14:paraId="7FE3CC59" w14:textId="77777777" w:rsidR="00C8080F" w:rsidRPr="002374EC" w:rsidRDefault="00C8080F" w:rsidP="002374EC">
      <w:pPr>
        <w:pStyle w:val="Heading2"/>
        <w:spacing w:after="160" w:line="360" w:lineRule="auto"/>
        <w:jc w:val="both"/>
        <w:rPr>
          <w:rFonts w:ascii="Arial" w:hAnsi="Arial" w:cs="Arial"/>
          <w:color w:val="auto"/>
          <w:sz w:val="22"/>
        </w:rPr>
      </w:pPr>
      <w:bookmarkStart w:id="81" w:name="_Toc220926241"/>
      <w:r w:rsidRPr="002374EC">
        <w:rPr>
          <w:rFonts w:ascii="Arial" w:hAnsi="Arial" w:cs="Arial"/>
          <w:color w:val="auto"/>
          <w:sz w:val="22"/>
        </w:rPr>
        <w:t>4.9 Implications for Practice and Policy</w:t>
      </w:r>
      <w:bookmarkEnd w:id="81"/>
    </w:p>
    <w:p w14:paraId="61236CD7" w14:textId="1B48C725" w:rsidR="00C8080F" w:rsidRPr="000B2682" w:rsidRDefault="00C8080F" w:rsidP="000B2682">
      <w:pPr>
        <w:spacing w:line="360" w:lineRule="auto"/>
        <w:jc w:val="both"/>
        <w:rPr>
          <w:rFonts w:ascii="Arial" w:hAnsi="Arial" w:cs="Arial"/>
        </w:rPr>
      </w:pPr>
      <w:r w:rsidRPr="002374EC">
        <w:rPr>
          <w:rFonts w:ascii="Arial" w:hAnsi="Arial" w:cs="Arial"/>
        </w:rPr>
        <w:t xml:space="preserve">The implications on practice are in the form of alternative access pathways such as walk-in services, active outreach within self-referral, Job Centre partnerships, third-sector </w:t>
      </w:r>
      <w:r w:rsidRPr="000B2682">
        <w:rPr>
          <w:rFonts w:ascii="Arial" w:hAnsi="Arial" w:cs="Arial"/>
        </w:rPr>
        <w:t xml:space="preserve">relationships and integrations with accessed services. To </w:t>
      </w:r>
      <w:r w:rsidR="00E55BC7" w:rsidRPr="000B2682">
        <w:rPr>
          <w:rFonts w:ascii="Arial" w:hAnsi="Arial" w:cs="Arial"/>
        </w:rPr>
        <w:t>minimise</w:t>
      </w:r>
      <w:r w:rsidRPr="000B2682">
        <w:rPr>
          <w:rFonts w:ascii="Arial" w:hAnsi="Arial" w:cs="Arial"/>
        </w:rPr>
        <w:t xml:space="preserve"> structural barriers, it is necessary to work on the waiting times (Mind, 2024 documents deterioration whilst waiting), flexible schedule, transport support, and easier navigation. The engagement strategies should consider the 31 </w:t>
      </w:r>
      <w:r w:rsidR="00E55BC7" w:rsidRPr="000B2682">
        <w:rPr>
          <w:rFonts w:ascii="Arial" w:hAnsi="Arial" w:cs="Arial"/>
        </w:rPr>
        <w:t>per cent</w:t>
      </w:r>
      <w:r w:rsidRPr="000B2682">
        <w:rPr>
          <w:rFonts w:ascii="Arial" w:hAnsi="Arial" w:cs="Arial"/>
        </w:rPr>
        <w:t xml:space="preserve"> high attrition rate that needs reminding, attendance assistance, intensive treatment, and </w:t>
      </w:r>
      <w:r w:rsidR="00E55BC7" w:rsidRPr="000B2682">
        <w:rPr>
          <w:rFonts w:ascii="Arial" w:hAnsi="Arial" w:cs="Arial"/>
        </w:rPr>
        <w:t>rescheduling</w:t>
      </w:r>
      <w:r w:rsidRPr="000B2682">
        <w:rPr>
          <w:rFonts w:ascii="Arial" w:hAnsi="Arial" w:cs="Arial"/>
        </w:rPr>
        <w:t xml:space="preserve"> (Buckman et al., 2023). The combination type of models (Mathias et al., 2022; Rickwood et al., 2019; O'Reilly et al., 2022) proves to be effective. Such intervention strategies as hope-focused work (Berry et al., 2024), anti-stigma campaigns, mental health literacy among NEETs, and peer outreach are applicable. Some of the workforce </w:t>
      </w:r>
      <w:r w:rsidRPr="000B2682">
        <w:rPr>
          <w:rFonts w:ascii="Arial" w:hAnsi="Arial" w:cs="Arial"/>
        </w:rPr>
        <w:lastRenderedPageBreak/>
        <w:t xml:space="preserve">requirements include NEET-specific training, specialist </w:t>
      </w:r>
      <w:r w:rsidR="00E55BC7" w:rsidRPr="000B2682">
        <w:rPr>
          <w:rFonts w:ascii="Arial" w:hAnsi="Arial" w:cs="Arial"/>
        </w:rPr>
        <w:t>positions</w:t>
      </w:r>
      <w:r w:rsidRPr="000B2682">
        <w:rPr>
          <w:rFonts w:ascii="Arial" w:hAnsi="Arial" w:cs="Arial"/>
        </w:rPr>
        <w:t xml:space="preserve"> (outreach workers, employment-mental health link workers), and all case management.</w:t>
      </w:r>
    </w:p>
    <w:p w14:paraId="27134D59" w14:textId="104F3507" w:rsidR="00C8080F" w:rsidRPr="000B2682" w:rsidRDefault="00C8080F" w:rsidP="000B2682">
      <w:pPr>
        <w:spacing w:line="360" w:lineRule="auto"/>
        <w:jc w:val="both"/>
        <w:rPr>
          <w:rFonts w:ascii="Arial" w:hAnsi="Arial" w:cs="Arial"/>
        </w:rPr>
      </w:pPr>
      <w:r w:rsidRPr="000B2682">
        <w:rPr>
          <w:rFonts w:ascii="Arial" w:hAnsi="Arial" w:cs="Arial"/>
        </w:rPr>
        <w:t xml:space="preserve">There are </w:t>
      </w:r>
      <w:r w:rsidR="00E55BC7" w:rsidRPr="000B2682">
        <w:rPr>
          <w:rFonts w:ascii="Arial" w:hAnsi="Arial" w:cs="Arial"/>
        </w:rPr>
        <w:t>policy</w:t>
      </w:r>
      <w:r w:rsidRPr="000B2682">
        <w:rPr>
          <w:rFonts w:ascii="Arial" w:hAnsi="Arial" w:cs="Arial"/>
        </w:rPr>
        <w:t xml:space="preserve"> aspects such as targeted NEET commissioning, outreach payment, retention incentive, cross-sectoral integration (NHS-DWP-local authorities), shared outcomes (programs)</w:t>
      </w:r>
      <w:r w:rsidR="00E55BC7" w:rsidRPr="000B2682">
        <w:rPr>
          <w:rFonts w:ascii="Arial" w:hAnsi="Arial" w:cs="Arial"/>
        </w:rPr>
        <w:t>,</w:t>
      </w:r>
      <w:r w:rsidRPr="000B2682">
        <w:rPr>
          <w:rFonts w:ascii="Arial" w:hAnsi="Arial" w:cs="Arial"/>
        </w:rPr>
        <w:t xml:space="preserve"> and quality delineates NEET access. Accessibility should be evaluated during CQC audits. Board schemes should make sure that the NHS Long Term Plan implementation includes the NEETs, Primary Care Networks access, Job Centres general employment-mental health assistance, and social prescribing. Some of the research priorities are the investigation into primary NEET-oriented research, monthly employment/education data gathering, linkage of </w:t>
      </w:r>
      <w:r w:rsidR="00E55BC7" w:rsidRPr="000B2682">
        <w:rPr>
          <w:rFonts w:ascii="Arial" w:hAnsi="Arial" w:cs="Arial"/>
        </w:rPr>
        <w:t xml:space="preserve">the </w:t>
      </w:r>
      <w:r w:rsidRPr="000B2682">
        <w:rPr>
          <w:rFonts w:ascii="Arial" w:hAnsi="Arial" w:cs="Arial"/>
        </w:rPr>
        <w:t>national data set, and participatory research.</w:t>
      </w:r>
    </w:p>
    <w:p w14:paraId="0A5D9454" w14:textId="50754BAE" w:rsidR="000B2682" w:rsidRPr="000B2682" w:rsidRDefault="000B2682" w:rsidP="000B2682">
      <w:pPr>
        <w:pStyle w:val="Heading3"/>
        <w:spacing w:line="360" w:lineRule="auto"/>
        <w:jc w:val="both"/>
        <w:rPr>
          <w:rFonts w:ascii="Arial" w:hAnsi="Arial" w:cs="Arial"/>
          <w:sz w:val="22"/>
        </w:rPr>
      </w:pPr>
      <w:bookmarkStart w:id="82" w:name="_Toc220926242"/>
      <w:r w:rsidRPr="000B2682">
        <w:rPr>
          <w:rFonts w:ascii="Arial" w:hAnsi="Arial" w:cs="Arial"/>
          <w:sz w:val="22"/>
        </w:rPr>
        <w:t>4.9.1 Implementation Challenges</w:t>
      </w:r>
      <w:bookmarkEnd w:id="82"/>
    </w:p>
    <w:p w14:paraId="20ED4C92" w14:textId="6E4D7165" w:rsidR="000B2682" w:rsidRPr="000B2682" w:rsidRDefault="000B2682" w:rsidP="000B2682">
      <w:pPr>
        <w:spacing w:line="360" w:lineRule="auto"/>
        <w:jc w:val="both"/>
        <w:rPr>
          <w:rFonts w:ascii="Arial" w:hAnsi="Arial" w:cs="Arial"/>
        </w:rPr>
      </w:pPr>
      <w:r w:rsidRPr="000B2682">
        <w:rPr>
          <w:rFonts w:ascii="Arial" w:hAnsi="Arial" w:cs="Arial"/>
        </w:rPr>
        <w:t>To implement these suggestions</w:t>
      </w:r>
      <w:r w:rsidRPr="000B2682">
        <w:rPr>
          <w:rFonts w:ascii="Arial" w:hAnsi="Arial" w:cs="Arial"/>
        </w:rPr>
        <w:t>,</w:t>
      </w:r>
      <w:r w:rsidRPr="000B2682">
        <w:rPr>
          <w:rFonts w:ascii="Arial" w:hAnsi="Arial" w:cs="Arial"/>
        </w:rPr>
        <w:t xml:space="preserve"> a few challenges will have to be negotiated cautiously. The other access routes, though conceptually sound, require advanced </w:t>
      </w:r>
      <w:r>
        <w:rPr>
          <w:rFonts w:ascii="Arial" w:hAnsi="Arial" w:cs="Arial"/>
        </w:rPr>
        <w:t>organisational</w:t>
      </w:r>
      <w:r w:rsidRPr="000B2682">
        <w:rPr>
          <w:rFonts w:ascii="Arial" w:hAnsi="Arial" w:cs="Arial"/>
        </w:rPr>
        <w:t xml:space="preserve"> coordination among the organisations that historically work in silos and have various funding sources, performance indicators, and forms of governance. The differences in culture, priorities, and style of work between Job Centres, NHS services, and third-sector organisations can cause tension in working together. The financial demand is high: outreach services, flexible work schedule, and specialist NEET workforce are other expenses in the context of health and social care budgets that are under significant pressure. In addition, the suggestion of NEET-specific training in the workforce needs not only the allocation of financial funds but also the time dedicated to staff development</w:t>
      </w:r>
      <w:r>
        <w:rPr>
          <w:rFonts w:ascii="Arial" w:hAnsi="Arial" w:cs="Arial"/>
        </w:rPr>
        <w:t>, which</w:t>
      </w:r>
      <w:r w:rsidRPr="000B2682">
        <w:rPr>
          <w:rFonts w:ascii="Arial" w:hAnsi="Arial" w:cs="Arial"/>
        </w:rPr>
        <w:t xml:space="preserve"> can hardly </w:t>
      </w:r>
      <w:r>
        <w:rPr>
          <w:rFonts w:ascii="Arial" w:hAnsi="Arial" w:cs="Arial"/>
        </w:rPr>
        <w:t xml:space="preserve">be </w:t>
      </w:r>
      <w:r w:rsidRPr="000B2682">
        <w:rPr>
          <w:rFonts w:ascii="Arial" w:hAnsi="Arial" w:cs="Arial"/>
        </w:rPr>
        <w:t>provided due to the current pressure of work and shortages of staff. There is also the danger that</w:t>
      </w:r>
      <w:r>
        <w:rPr>
          <w:rFonts w:ascii="Arial" w:hAnsi="Arial" w:cs="Arial"/>
        </w:rPr>
        <w:t>,</w:t>
      </w:r>
      <w:r w:rsidRPr="000B2682">
        <w:rPr>
          <w:rFonts w:ascii="Arial" w:hAnsi="Arial" w:cs="Arial"/>
        </w:rPr>
        <w:t xml:space="preserve"> unless implemented carefully, the new access pathways will provoke unintentional parallel services</w:t>
      </w:r>
      <w:r>
        <w:rPr>
          <w:rFonts w:ascii="Arial" w:hAnsi="Arial" w:cs="Arial"/>
        </w:rPr>
        <w:t>,</w:t>
      </w:r>
      <w:r w:rsidRPr="000B2682">
        <w:rPr>
          <w:rFonts w:ascii="Arial" w:hAnsi="Arial" w:cs="Arial"/>
        </w:rPr>
        <w:t xml:space="preserve"> breaking up care more than uniting it. To tackle these issues successfully, there must be a high commitment of leadership, safeguarded finances, staged implementation plans, and achievable schedules that </w:t>
      </w:r>
      <w:r>
        <w:rPr>
          <w:rFonts w:ascii="Arial" w:hAnsi="Arial" w:cs="Arial"/>
        </w:rPr>
        <w:t>recognise</w:t>
      </w:r>
      <w:r w:rsidRPr="000B2682">
        <w:rPr>
          <w:rFonts w:ascii="Arial" w:hAnsi="Arial" w:cs="Arial"/>
        </w:rPr>
        <w:t xml:space="preserve"> that change is complex at the system level.</w:t>
      </w:r>
    </w:p>
    <w:p w14:paraId="79E8D41B" w14:textId="1FC8B50D" w:rsidR="000B2682" w:rsidRPr="000B2682" w:rsidRDefault="000B2682" w:rsidP="000B2682">
      <w:pPr>
        <w:pStyle w:val="Heading3"/>
        <w:spacing w:line="360" w:lineRule="auto"/>
        <w:jc w:val="both"/>
        <w:rPr>
          <w:rFonts w:ascii="Arial" w:hAnsi="Arial" w:cs="Arial"/>
          <w:sz w:val="22"/>
        </w:rPr>
      </w:pPr>
      <w:bookmarkStart w:id="83" w:name="_Toc220926243"/>
      <w:r w:rsidRPr="000B2682">
        <w:rPr>
          <w:rFonts w:ascii="Arial" w:hAnsi="Arial" w:cs="Arial"/>
          <w:sz w:val="22"/>
        </w:rPr>
        <w:t xml:space="preserve">4.9.2 </w:t>
      </w:r>
      <w:r>
        <w:rPr>
          <w:rFonts w:ascii="Arial" w:hAnsi="Arial" w:cs="Arial"/>
          <w:sz w:val="22"/>
        </w:rPr>
        <w:t>Prioritisation</w:t>
      </w:r>
      <w:r w:rsidRPr="000B2682">
        <w:rPr>
          <w:rFonts w:ascii="Arial" w:hAnsi="Arial" w:cs="Arial"/>
          <w:sz w:val="22"/>
        </w:rPr>
        <w:t xml:space="preserve"> and Phasing</w:t>
      </w:r>
      <w:bookmarkEnd w:id="83"/>
    </w:p>
    <w:p w14:paraId="04F028A0" w14:textId="6C8CF524" w:rsidR="000B2682" w:rsidRPr="000B2682" w:rsidRDefault="000B2682" w:rsidP="000B2682">
      <w:pPr>
        <w:spacing w:line="360" w:lineRule="auto"/>
        <w:jc w:val="both"/>
        <w:rPr>
          <w:rFonts w:ascii="Arial" w:hAnsi="Arial" w:cs="Arial"/>
        </w:rPr>
      </w:pPr>
      <w:r w:rsidRPr="000B2682">
        <w:rPr>
          <w:rFonts w:ascii="Arial" w:hAnsi="Arial" w:cs="Arial"/>
        </w:rPr>
        <w:t xml:space="preserve">Since resources are limited and the implementation is complex, it is important to take a gradual process with a strong focus on priorities. The priority should initially </w:t>
      </w:r>
      <w:r>
        <w:rPr>
          <w:rFonts w:ascii="Arial" w:hAnsi="Arial" w:cs="Arial"/>
        </w:rPr>
        <w:t xml:space="preserve">be </w:t>
      </w:r>
      <w:r w:rsidRPr="000B2682">
        <w:rPr>
          <w:rFonts w:ascii="Arial" w:hAnsi="Arial" w:cs="Arial"/>
        </w:rPr>
        <w:t xml:space="preserve">addressed to interventions with the most significant impact and possibility: to create self-referral pathways and enhance the waiting time transparency, procedural changes were the primary solution, not significant new resources. These fast wins will be able to show dedication and momentum on more complicated changes. The second stage can revolve around labour acquisition and cross-productive relationships, through extending the current networks among organisations </w:t>
      </w:r>
      <w:r w:rsidRPr="000B2682">
        <w:rPr>
          <w:rFonts w:ascii="Arial" w:hAnsi="Arial" w:cs="Arial"/>
        </w:rPr>
        <w:lastRenderedPageBreak/>
        <w:t>instead of establishing new frameworks. More resource-demanding suggestions, including special NEET jobs and full-scale integrated service modelling</w:t>
      </w:r>
      <w:r>
        <w:rPr>
          <w:rFonts w:ascii="Arial" w:hAnsi="Arial" w:cs="Arial"/>
        </w:rPr>
        <w:t>,</w:t>
      </w:r>
      <w:r w:rsidRPr="000B2682">
        <w:rPr>
          <w:rFonts w:ascii="Arial" w:hAnsi="Arial" w:cs="Arial"/>
        </w:rPr>
        <w:t xml:space="preserve"> may be tested out in particular geographical locations and then extended to the rest of the country to learn and improve. The needs of NEET subgroups with the greatest obstacles to overcome (e.g., homelessness, participating in the justice system, etc.) should also be prioritised to make sure that the considerations of equity drive the decisions on implementation. In this gradual process, </w:t>
      </w:r>
    </w:p>
    <w:p w14:paraId="2A8B0F9F" w14:textId="77777777" w:rsidR="00C8080F" w:rsidRPr="002374EC" w:rsidRDefault="00C8080F" w:rsidP="002374EC">
      <w:pPr>
        <w:pStyle w:val="Heading2"/>
        <w:spacing w:after="160" w:line="360" w:lineRule="auto"/>
        <w:jc w:val="both"/>
        <w:rPr>
          <w:rFonts w:ascii="Arial" w:hAnsi="Arial" w:cs="Arial"/>
          <w:color w:val="auto"/>
          <w:sz w:val="22"/>
        </w:rPr>
      </w:pPr>
      <w:bookmarkStart w:id="84" w:name="_Toc220926244"/>
      <w:r w:rsidRPr="002374EC">
        <w:rPr>
          <w:rFonts w:ascii="Arial" w:hAnsi="Arial" w:cs="Arial"/>
          <w:color w:val="auto"/>
          <w:sz w:val="22"/>
        </w:rPr>
        <w:t>4.10 Implications for Future Research</w:t>
      </w:r>
      <w:bookmarkEnd w:id="84"/>
    </w:p>
    <w:p w14:paraId="33E31AC2" w14:textId="01777B51" w:rsidR="00C8080F" w:rsidRPr="002374EC" w:rsidRDefault="00C8080F" w:rsidP="002374EC">
      <w:pPr>
        <w:spacing w:line="360" w:lineRule="auto"/>
        <w:jc w:val="both"/>
        <w:rPr>
          <w:rFonts w:ascii="Arial" w:hAnsi="Arial" w:cs="Arial"/>
        </w:rPr>
      </w:pPr>
      <w:r w:rsidRPr="002374EC">
        <w:rPr>
          <w:rFonts w:ascii="Arial" w:hAnsi="Arial" w:cs="Arial"/>
        </w:rPr>
        <w:t xml:space="preserve">Qualitative explorations of lived experiences with various sampling (by gender, ethnicity, geography, duration of NEET), longitudinal studies on change in barriers and critical timeframe, intervention development, and evaluation (outreach, navigation, integrated models), comparative research findings success factors (contextually), economic analysis identifying cost-effectiveness, and research on scale-up are examples of the priority research questions. The methodological approaches are considered to be mixed methods of quantitative pattern and qualitative meaning-making, participatory action research of co-production with NEET youth, natural experiment of policy changes consideration, and qualitative comparative analysis of situational circumstances. Some of the aspects to consider in the sample are </w:t>
      </w:r>
      <w:r w:rsidR="00E55BC7" w:rsidRPr="002374EC">
        <w:rPr>
          <w:rFonts w:ascii="Arial" w:hAnsi="Arial" w:cs="Arial"/>
        </w:rPr>
        <w:t xml:space="preserve">a </w:t>
      </w:r>
      <w:r w:rsidRPr="002374EC">
        <w:rPr>
          <w:rFonts w:ascii="Arial" w:hAnsi="Arial" w:cs="Arial"/>
        </w:rPr>
        <w:t xml:space="preserve">sufficient sample size with NEET oversampling, the subgroups that are heterogeneous and the need and ability to maintain contact with hard-to-reach populations. Measurement should design NEET-specific validated </w:t>
      </w:r>
      <w:r w:rsidR="00E55BC7" w:rsidRPr="002374EC">
        <w:rPr>
          <w:rFonts w:ascii="Arial" w:hAnsi="Arial" w:cs="Arial"/>
        </w:rPr>
        <w:t>barrier</w:t>
      </w:r>
      <w:r w:rsidRPr="002374EC">
        <w:rPr>
          <w:rFonts w:ascii="Arial" w:hAnsi="Arial" w:cs="Arial"/>
        </w:rPr>
        <w:t xml:space="preserve"> measures in the participatory method, which integrates both self-report and administrative data on the same and explores long-term engagement outside the initial access. Theoretical foundation necessitates multi-level ecological systems that </w:t>
      </w:r>
      <w:r w:rsidR="00E55BC7" w:rsidRPr="002374EC">
        <w:rPr>
          <w:rFonts w:ascii="Arial" w:hAnsi="Arial" w:cs="Arial"/>
        </w:rPr>
        <w:t>analyse</w:t>
      </w:r>
      <w:r w:rsidRPr="002374EC">
        <w:rPr>
          <w:rFonts w:ascii="Arial" w:hAnsi="Arial" w:cs="Arial"/>
        </w:rPr>
        <w:t xml:space="preserve"> multi-level interactions (Bronfenbrenner, 1979), intersectionality that observes the interplay of NEET with other identities (Crenshaw, 1989; Bowleg, 2012), </w:t>
      </w:r>
      <w:r w:rsidR="00E55BC7" w:rsidRPr="002374EC">
        <w:rPr>
          <w:rFonts w:ascii="Arial" w:hAnsi="Arial" w:cs="Arial"/>
        </w:rPr>
        <w:t xml:space="preserve">and </w:t>
      </w:r>
      <w:r w:rsidRPr="002374EC">
        <w:rPr>
          <w:rFonts w:ascii="Arial" w:hAnsi="Arial" w:cs="Arial"/>
        </w:rPr>
        <w:t>mediation/moderation which investigates the interaction between NEET and other identities (Rickwood et al., 2005). Changes in partnerships between the academics, NEET youth, providers, commissioners, and policymakers establish the relevance, feasibility, and translation.</w:t>
      </w:r>
    </w:p>
    <w:p w14:paraId="2A864FB5" w14:textId="77777777" w:rsidR="00C8080F" w:rsidRPr="002374EC" w:rsidRDefault="00C8080F" w:rsidP="002374EC">
      <w:pPr>
        <w:pStyle w:val="Heading2"/>
        <w:spacing w:after="160" w:line="360" w:lineRule="auto"/>
        <w:jc w:val="both"/>
        <w:rPr>
          <w:rFonts w:ascii="Arial" w:hAnsi="Arial" w:cs="Arial"/>
          <w:color w:val="auto"/>
          <w:sz w:val="22"/>
        </w:rPr>
      </w:pPr>
      <w:bookmarkStart w:id="85" w:name="_Toc220926245"/>
      <w:r w:rsidRPr="002374EC">
        <w:rPr>
          <w:rFonts w:ascii="Arial" w:hAnsi="Arial" w:cs="Arial"/>
          <w:color w:val="auto"/>
          <w:sz w:val="22"/>
        </w:rPr>
        <w:t>4.11 Chapter Summary</w:t>
      </w:r>
      <w:bookmarkEnd w:id="85"/>
    </w:p>
    <w:p w14:paraId="7DAC9450" w14:textId="77777777" w:rsidR="00C8080F" w:rsidRPr="002374EC" w:rsidRDefault="00C8080F" w:rsidP="002374EC">
      <w:pPr>
        <w:spacing w:line="360" w:lineRule="auto"/>
        <w:jc w:val="both"/>
        <w:rPr>
          <w:rFonts w:ascii="Arial" w:hAnsi="Arial" w:cs="Arial"/>
        </w:rPr>
      </w:pPr>
      <w:r w:rsidRPr="002374EC">
        <w:rPr>
          <w:rFonts w:ascii="Arial" w:hAnsi="Arial" w:cs="Arial"/>
        </w:rPr>
        <w:t xml:space="preserve">In this chapter, the authors used the results of 11 studies (three of which were fully compliant, and eight partially compliant) that were found during PRISMA 2020 systematic searching (Page et al., 2021). Researchers used high-quality (meaning high average) samples, designs, and geographies. Thematic synthesis revealed 14 barriers that included structural (lack of institutional access, waiting times, attrition, referral delays, complexity of navigation, practical obstacles), attitudinal (stigma/shame, hopelessness, self-reliance, consequence concerns, </w:t>
      </w:r>
      <w:r w:rsidRPr="002374EC">
        <w:rPr>
          <w:rFonts w:ascii="Arial" w:hAnsi="Arial" w:cs="Arial"/>
        </w:rPr>
        <w:lastRenderedPageBreak/>
        <w:t>negative expectations) and social (lack of support, fragmented services, perceived irrelevance) ones.</w:t>
      </w:r>
    </w:p>
    <w:p w14:paraId="60C2BECA" w14:textId="6DFCB88F" w:rsidR="00C8080F" w:rsidRPr="002374EC" w:rsidRDefault="00C8080F" w:rsidP="002374EC">
      <w:pPr>
        <w:spacing w:line="360" w:lineRule="auto"/>
        <w:jc w:val="both"/>
        <w:rPr>
          <w:rFonts w:ascii="Arial" w:hAnsi="Arial" w:cs="Arial"/>
        </w:rPr>
      </w:pPr>
      <w:r w:rsidRPr="002374EC">
        <w:rPr>
          <w:rFonts w:ascii="Arial" w:hAnsi="Arial" w:cs="Arial"/>
        </w:rPr>
        <w:t xml:space="preserve">Systematic interpretation of findings through the model of Andersen (Andersen, 1995), through the prism of help-seeking (Rickwood et al., 2005; Gulliver et al., 2010), and through the ecological perspective (Bronfenbrenner, 1979) showed the systematic exclusion of institutions, the presence of the stigma of stigma (Clement et al., 2015; Link and Phelan, 2001), and the multiplier effect of social isolation (Goldman The gap in the evidence is a critical finding, in itself: only three studies met the criteria completely, demonstrating that not enough research is conducted at this point of intersection. The mentioned strengths of the review are clear PRISMA methodology, thorough searching, careful quality evaluation, and initial synthesis of this population-phenomenon intersection. Some of the limitations include the influence of single reviewers and geographic/language constraints, </w:t>
      </w:r>
      <w:r w:rsidR="00E55BC7" w:rsidRPr="002374EC">
        <w:rPr>
          <w:rFonts w:ascii="Arial" w:hAnsi="Arial" w:cs="Arial"/>
        </w:rPr>
        <w:t xml:space="preserve">the </w:t>
      </w:r>
      <w:r w:rsidRPr="002374EC">
        <w:rPr>
          <w:rFonts w:ascii="Arial" w:hAnsi="Arial" w:cs="Arial"/>
        </w:rPr>
        <w:t xml:space="preserve">presence of </w:t>
      </w:r>
      <w:r w:rsidR="00E55BC7" w:rsidRPr="002374EC">
        <w:rPr>
          <w:rFonts w:ascii="Arial" w:hAnsi="Arial" w:cs="Arial"/>
        </w:rPr>
        <w:t xml:space="preserve">a </w:t>
      </w:r>
      <w:r w:rsidRPr="002374EC">
        <w:rPr>
          <w:rFonts w:ascii="Arial" w:hAnsi="Arial" w:cs="Arial"/>
        </w:rPr>
        <w:t xml:space="preserve">few </w:t>
      </w:r>
      <w:r w:rsidR="00E55BC7" w:rsidRPr="002374EC">
        <w:rPr>
          <w:rFonts w:ascii="Arial" w:hAnsi="Arial" w:cs="Arial"/>
        </w:rPr>
        <w:t>completely</w:t>
      </w:r>
      <w:r w:rsidRPr="002374EC">
        <w:rPr>
          <w:rFonts w:ascii="Arial" w:hAnsi="Arial" w:cs="Arial"/>
        </w:rPr>
        <w:t xml:space="preserve"> compliant studies</w:t>
      </w:r>
      <w:r w:rsidR="00E55BC7" w:rsidRPr="002374EC">
        <w:rPr>
          <w:rFonts w:ascii="Arial" w:hAnsi="Arial" w:cs="Arial"/>
        </w:rPr>
        <w:t>,</w:t>
      </w:r>
      <w:r w:rsidRPr="002374EC">
        <w:rPr>
          <w:rFonts w:ascii="Arial" w:hAnsi="Arial" w:cs="Arial"/>
        </w:rPr>
        <w:t xml:space="preserve"> as well as large bodies of heterogeneity.</w:t>
      </w:r>
    </w:p>
    <w:p w14:paraId="2A1E43CB" w14:textId="34344513" w:rsidR="00C8080F" w:rsidRPr="002374EC" w:rsidRDefault="00C8080F" w:rsidP="002374EC">
      <w:pPr>
        <w:spacing w:line="360" w:lineRule="auto"/>
        <w:jc w:val="both"/>
        <w:rPr>
          <w:rFonts w:ascii="Arial" w:hAnsi="Arial" w:cs="Arial"/>
        </w:rPr>
      </w:pPr>
      <w:r w:rsidRPr="002374EC">
        <w:rPr>
          <w:rFonts w:ascii="Arial" w:hAnsi="Arial" w:cs="Arial"/>
        </w:rPr>
        <w:t>Limitations notwithstanding, the results give practical implications: practice (alternative pathways, integrated models, hope-focused interventions, workforce training), policy (targeted commissioning, cross-sectoral integration, NHS Long Term Plan NEET focus, research funding) and research (qualitative/longitudinal primary studies, routine data collection, participatory approaches). Chapter 5 makes general conclusions and provides final recommendations, and finally, makes implications on how to further the mental health service access of this multiply disadvantaged but underserved group.</w:t>
      </w:r>
    </w:p>
    <w:p w14:paraId="6F2446E6" w14:textId="77777777" w:rsidR="009706D0" w:rsidRPr="002374EC" w:rsidRDefault="009706D0" w:rsidP="002374EC">
      <w:pPr>
        <w:spacing w:line="360" w:lineRule="auto"/>
        <w:jc w:val="both"/>
        <w:rPr>
          <w:rFonts w:ascii="Arial" w:eastAsia="Times New Roman" w:hAnsi="Arial" w:cs="Arial"/>
          <w:b/>
        </w:rPr>
      </w:pPr>
      <w:r w:rsidRPr="002374EC">
        <w:rPr>
          <w:rFonts w:ascii="Arial" w:hAnsi="Arial" w:cs="Arial"/>
        </w:rPr>
        <w:br w:type="page"/>
      </w:r>
    </w:p>
    <w:p w14:paraId="2FA011C8" w14:textId="28403BC1" w:rsidR="00E0350D" w:rsidRPr="000B2682" w:rsidRDefault="00DD7AA5" w:rsidP="000B2682">
      <w:pPr>
        <w:pStyle w:val="Heading1"/>
        <w:spacing w:after="160" w:line="360" w:lineRule="auto"/>
        <w:jc w:val="both"/>
        <w:rPr>
          <w:rFonts w:ascii="Arial" w:hAnsi="Arial" w:cs="Arial"/>
          <w:color w:val="auto"/>
          <w:sz w:val="22"/>
        </w:rPr>
      </w:pPr>
      <w:bookmarkStart w:id="86" w:name="_Toc220926246"/>
      <w:r w:rsidRPr="002374EC">
        <w:rPr>
          <w:rFonts w:ascii="Arial" w:hAnsi="Arial" w:cs="Arial"/>
          <w:color w:val="auto"/>
          <w:sz w:val="22"/>
        </w:rPr>
        <w:lastRenderedPageBreak/>
        <w:t xml:space="preserve">Chapter </w:t>
      </w:r>
      <w:r w:rsidR="000B1420" w:rsidRPr="002374EC">
        <w:rPr>
          <w:rFonts w:ascii="Arial" w:hAnsi="Arial" w:cs="Arial"/>
          <w:color w:val="auto"/>
          <w:sz w:val="22"/>
        </w:rPr>
        <w:t xml:space="preserve">5:  </w:t>
      </w:r>
      <w:r w:rsidR="00202469" w:rsidRPr="002374EC">
        <w:rPr>
          <w:rFonts w:ascii="Arial" w:hAnsi="Arial" w:cs="Arial"/>
          <w:color w:val="auto"/>
          <w:sz w:val="22"/>
        </w:rPr>
        <w:t>CONCLUSION AND RECOMMENDATIONS</w:t>
      </w:r>
      <w:bookmarkEnd w:id="86"/>
    </w:p>
    <w:p w14:paraId="59F6A66E" w14:textId="094409FB" w:rsidR="00202469" w:rsidRPr="002374EC" w:rsidRDefault="00202469" w:rsidP="002374EC">
      <w:pPr>
        <w:pStyle w:val="Heading2"/>
        <w:spacing w:after="160" w:line="360" w:lineRule="auto"/>
        <w:jc w:val="both"/>
        <w:rPr>
          <w:rFonts w:ascii="Arial" w:hAnsi="Arial" w:cs="Arial"/>
          <w:color w:val="auto"/>
          <w:sz w:val="22"/>
        </w:rPr>
      </w:pPr>
      <w:bookmarkStart w:id="87" w:name="_Toc220926247"/>
      <w:r w:rsidRPr="002374EC">
        <w:rPr>
          <w:rFonts w:ascii="Arial" w:hAnsi="Arial" w:cs="Arial"/>
          <w:color w:val="auto"/>
          <w:sz w:val="22"/>
        </w:rPr>
        <w:t>5.1 Introduction</w:t>
      </w:r>
      <w:bookmarkEnd w:id="87"/>
      <w:r w:rsidR="00B47A78" w:rsidRPr="002374EC">
        <w:rPr>
          <w:rFonts w:ascii="Arial" w:hAnsi="Arial" w:cs="Arial"/>
          <w:color w:val="auto"/>
          <w:sz w:val="22"/>
        </w:rPr>
        <w:t xml:space="preserve"> </w:t>
      </w:r>
    </w:p>
    <w:p w14:paraId="6876354D" w14:textId="3BAEB111" w:rsidR="00202469" w:rsidRPr="002374EC" w:rsidRDefault="00E72D53"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The chapter summarizes results of the systematic review on the hindrances of using mental health services among NEET youths aged 18-25 in the UK and other similar healthcare systems. Using the tools of the systematic search (as defined by PRISMA 2020) (Page et al., 2021), it was possible to identify 14 different barriers in structural, attitudinal, and social domains and record a significant gap in evidence. This chapter clearly conveys knowledge additions, practice, policy, and research recommendations, reflexivity limitations, and concludes with implications to further the provision of equity to this underprivileged group of people.</w:t>
      </w:r>
    </w:p>
    <w:p w14:paraId="19E7BAC5" w14:textId="77777777" w:rsidR="00202469" w:rsidRPr="002374EC" w:rsidRDefault="00202469" w:rsidP="002374EC">
      <w:pPr>
        <w:pStyle w:val="Heading2"/>
        <w:spacing w:after="160" w:line="360" w:lineRule="auto"/>
        <w:jc w:val="both"/>
        <w:rPr>
          <w:rFonts w:ascii="Arial" w:hAnsi="Arial" w:cs="Arial"/>
          <w:color w:val="auto"/>
          <w:sz w:val="22"/>
        </w:rPr>
      </w:pPr>
      <w:bookmarkStart w:id="88" w:name="_Toc220926248"/>
      <w:r w:rsidRPr="002374EC">
        <w:rPr>
          <w:rFonts w:ascii="Arial" w:hAnsi="Arial" w:cs="Arial"/>
          <w:color w:val="auto"/>
          <w:sz w:val="22"/>
        </w:rPr>
        <w:t>5.2 Summary of Key Findings</w:t>
      </w:r>
      <w:bookmarkEnd w:id="88"/>
    </w:p>
    <w:p w14:paraId="69F4CB57" w14:textId="77777777" w:rsidR="00202469" w:rsidRPr="002374EC" w:rsidRDefault="00202469" w:rsidP="002374EC">
      <w:pPr>
        <w:pStyle w:val="Heading3"/>
        <w:spacing w:after="160" w:line="360" w:lineRule="auto"/>
        <w:jc w:val="both"/>
        <w:rPr>
          <w:rFonts w:ascii="Arial" w:hAnsi="Arial" w:cs="Arial"/>
          <w:color w:val="auto"/>
          <w:sz w:val="22"/>
        </w:rPr>
      </w:pPr>
      <w:bookmarkStart w:id="89" w:name="_Toc220926249"/>
      <w:r w:rsidRPr="002374EC">
        <w:rPr>
          <w:rFonts w:ascii="Arial" w:hAnsi="Arial" w:cs="Arial"/>
          <w:color w:val="auto"/>
          <w:sz w:val="22"/>
        </w:rPr>
        <w:t>5.2.1 The Evidence Base</w:t>
      </w:r>
      <w:bookmarkEnd w:id="89"/>
    </w:p>
    <w:p w14:paraId="6F29B626" w14:textId="6AD13502" w:rsidR="00202469" w:rsidRPr="002374EC" w:rsidRDefault="00CB516D"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A total of 11 studies</w:t>
      </w:r>
      <w:r w:rsidR="000B1420" w:rsidRPr="002374EC">
        <w:rPr>
          <w:rFonts w:ascii="Arial" w:hAnsi="Arial" w:cs="Arial"/>
          <w:sz w:val="22"/>
          <w:szCs w:val="22"/>
        </w:rPr>
        <w:t>,</w:t>
      </w:r>
      <w:r w:rsidRPr="002374EC">
        <w:rPr>
          <w:rFonts w:ascii="Arial" w:hAnsi="Arial" w:cs="Arial"/>
          <w:sz w:val="22"/>
          <w:szCs w:val="22"/>
        </w:rPr>
        <w:t xml:space="preserve"> </w:t>
      </w:r>
      <w:r w:rsidR="000B1420" w:rsidRPr="002374EC">
        <w:rPr>
          <w:rFonts w:ascii="Arial" w:hAnsi="Arial" w:cs="Arial"/>
          <w:sz w:val="22"/>
          <w:szCs w:val="22"/>
        </w:rPr>
        <w:t xml:space="preserve">with 3 </w:t>
      </w:r>
      <w:r w:rsidRPr="002374EC">
        <w:rPr>
          <w:rFonts w:ascii="Arial" w:hAnsi="Arial" w:cs="Arial"/>
          <w:sz w:val="22"/>
          <w:szCs w:val="22"/>
        </w:rPr>
        <w:t xml:space="preserve">meeting full compliance (Buckman et al., 2023; Berry et al., 2024; Iyer et al., 2018) and eight partially </w:t>
      </w:r>
      <w:r w:rsidR="000B1420" w:rsidRPr="002374EC">
        <w:rPr>
          <w:rFonts w:ascii="Arial" w:hAnsi="Arial" w:cs="Arial"/>
          <w:sz w:val="22"/>
          <w:szCs w:val="22"/>
        </w:rPr>
        <w:t>compliant,</w:t>
      </w:r>
      <w:r w:rsidRPr="002374EC">
        <w:rPr>
          <w:rFonts w:ascii="Arial" w:hAnsi="Arial" w:cs="Arial"/>
          <w:sz w:val="22"/>
          <w:szCs w:val="22"/>
        </w:rPr>
        <w:t xml:space="preserve"> were </w:t>
      </w:r>
      <w:r w:rsidR="000B1420" w:rsidRPr="002374EC">
        <w:rPr>
          <w:rFonts w:ascii="Arial" w:hAnsi="Arial" w:cs="Arial"/>
          <w:sz w:val="22"/>
          <w:szCs w:val="22"/>
        </w:rPr>
        <w:t>systematically</w:t>
      </w:r>
      <w:r w:rsidRPr="002374EC">
        <w:rPr>
          <w:rFonts w:ascii="Arial" w:hAnsi="Arial" w:cs="Arial"/>
          <w:sz w:val="22"/>
          <w:szCs w:val="22"/>
        </w:rPr>
        <w:t xml:space="preserve"> </w:t>
      </w:r>
      <w:r w:rsidR="000B1420" w:rsidRPr="002374EC">
        <w:rPr>
          <w:rFonts w:ascii="Arial" w:hAnsi="Arial" w:cs="Arial"/>
          <w:sz w:val="22"/>
          <w:szCs w:val="22"/>
        </w:rPr>
        <w:t>searched</w:t>
      </w:r>
      <w:r w:rsidRPr="002374EC">
        <w:rPr>
          <w:rFonts w:ascii="Arial" w:hAnsi="Arial" w:cs="Arial"/>
          <w:sz w:val="22"/>
          <w:szCs w:val="22"/>
        </w:rPr>
        <w:t xml:space="preserve">. The quality (average CASP 9.0/10) of all was high, representing a wide range of geographies (UK, Canada, Australia, Norway), design (mostly quantitative Cohort studies, and qualitative research studies), and about 7,842 NEET participants. Articles published within the period 2014-2024 showed growth in interest in </w:t>
      </w:r>
      <w:r w:rsidR="007734F1" w:rsidRPr="002374EC">
        <w:rPr>
          <w:rFonts w:ascii="Arial" w:hAnsi="Arial" w:cs="Arial"/>
          <w:sz w:val="22"/>
          <w:szCs w:val="22"/>
        </w:rPr>
        <w:t xml:space="preserve">the </w:t>
      </w:r>
      <w:r w:rsidRPr="002374EC">
        <w:rPr>
          <w:rFonts w:ascii="Arial" w:hAnsi="Arial" w:cs="Arial"/>
          <w:sz w:val="22"/>
          <w:szCs w:val="22"/>
        </w:rPr>
        <w:t>NEET population, but evidence was scanty compared to general youth literature.</w:t>
      </w:r>
    </w:p>
    <w:p w14:paraId="2E3DBF13" w14:textId="77777777" w:rsidR="00202469" w:rsidRPr="002374EC" w:rsidRDefault="00202469" w:rsidP="002374EC">
      <w:pPr>
        <w:pStyle w:val="Heading3"/>
        <w:spacing w:after="160" w:line="360" w:lineRule="auto"/>
        <w:jc w:val="both"/>
        <w:rPr>
          <w:rFonts w:ascii="Arial" w:hAnsi="Arial" w:cs="Arial"/>
          <w:color w:val="auto"/>
          <w:sz w:val="22"/>
        </w:rPr>
      </w:pPr>
      <w:bookmarkStart w:id="90" w:name="_Toc220926250"/>
      <w:r w:rsidRPr="002374EC">
        <w:rPr>
          <w:rFonts w:ascii="Arial" w:hAnsi="Arial" w:cs="Arial"/>
          <w:color w:val="auto"/>
          <w:sz w:val="22"/>
        </w:rPr>
        <w:t>5.2.2 Identified Barriers</w:t>
      </w:r>
      <w:bookmarkEnd w:id="90"/>
    </w:p>
    <w:p w14:paraId="4F13CE33" w14:textId="5EAB930E" w:rsidR="009E1BF3" w:rsidRPr="002374EC" w:rsidRDefault="004E365E"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The number of barriers discovered in the application of thematic synthesis was 14 (Thomas and Harden, 2008). Structure/system barriers: no pathways of accessing institutions, wait times, increased attrition (Buckman et al., 2023: 31% larger compared to a larger count of help-seeking), elaborateness in referrals (Iyer et al., 2018: 23% lengthier despite more help-seeking), intricacy of navigation and pragmatical obstacles (Buckman et al., 2023: 31% higher than a higher count of help-seeking)</w:t>
      </w:r>
      <w:r w:rsidR="00897E9B" w:rsidRPr="002374EC">
        <w:rPr>
          <w:rFonts w:ascii="Arial" w:hAnsi="Arial" w:cs="Arial"/>
          <w:sz w:val="22"/>
          <w:szCs w:val="22"/>
        </w:rPr>
        <w:t>.</w:t>
      </w:r>
    </w:p>
    <w:p w14:paraId="11D80BB4" w14:textId="49810B7A" w:rsidR="00202469" w:rsidRPr="002374EC" w:rsidRDefault="00897E9B"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Attitudinal/psychological impediments included the presence of the issue of double stigma (mental health and unemployment) and hopelessness (Berry et al., 2024), preference to be self-reliant, fears of consequences, and </w:t>
      </w:r>
      <w:r w:rsidR="007734F1" w:rsidRPr="002374EC">
        <w:rPr>
          <w:rFonts w:ascii="Arial" w:hAnsi="Arial" w:cs="Arial"/>
          <w:sz w:val="22"/>
          <w:szCs w:val="22"/>
        </w:rPr>
        <w:t>unfavourable</w:t>
      </w:r>
      <w:r w:rsidRPr="002374EC">
        <w:rPr>
          <w:rFonts w:ascii="Arial" w:hAnsi="Arial" w:cs="Arial"/>
          <w:sz w:val="22"/>
          <w:szCs w:val="22"/>
        </w:rPr>
        <w:t xml:space="preserve"> expectations. Social/interpersonal barriers comprised the absence of support (Goldman-Mellor et al., 2016: </w:t>
      </w:r>
      <w:r w:rsidR="007734F1" w:rsidRPr="002374EC">
        <w:rPr>
          <w:rFonts w:ascii="Arial" w:hAnsi="Arial" w:cs="Arial"/>
          <w:sz w:val="22"/>
          <w:szCs w:val="22"/>
        </w:rPr>
        <w:t>fewer</w:t>
      </w:r>
      <w:r w:rsidRPr="002374EC">
        <w:rPr>
          <w:rFonts w:ascii="Arial" w:hAnsi="Arial" w:cs="Arial"/>
          <w:sz w:val="22"/>
          <w:szCs w:val="22"/>
        </w:rPr>
        <w:t xml:space="preserve"> social connections), disjointed services, and inapplicability. Institutional exclusion, double stigma and hopelessness were most effective in NEET in particular.</w:t>
      </w:r>
    </w:p>
    <w:p w14:paraId="2845BD07" w14:textId="77777777" w:rsidR="00202469" w:rsidRPr="002374EC" w:rsidRDefault="00202469" w:rsidP="002374EC">
      <w:pPr>
        <w:pStyle w:val="Heading3"/>
        <w:spacing w:after="160" w:line="360" w:lineRule="auto"/>
        <w:jc w:val="both"/>
        <w:rPr>
          <w:rFonts w:ascii="Arial" w:hAnsi="Arial" w:cs="Arial"/>
          <w:color w:val="auto"/>
          <w:sz w:val="22"/>
        </w:rPr>
      </w:pPr>
      <w:bookmarkStart w:id="91" w:name="_Toc220926251"/>
      <w:r w:rsidRPr="002374EC">
        <w:rPr>
          <w:rFonts w:ascii="Arial" w:hAnsi="Arial" w:cs="Arial"/>
          <w:color w:val="auto"/>
          <w:sz w:val="22"/>
        </w:rPr>
        <w:lastRenderedPageBreak/>
        <w:t>5.2.3 The Critical Evidence Gap</w:t>
      </w:r>
      <w:bookmarkEnd w:id="91"/>
    </w:p>
    <w:p w14:paraId="1A0A1D25" w14:textId="3DE052AA" w:rsidR="00202469" w:rsidRPr="002374EC" w:rsidRDefault="00E8084B"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The systematic review analysis </w:t>
      </w:r>
      <w:r w:rsidR="007734F1" w:rsidRPr="002374EC">
        <w:rPr>
          <w:rFonts w:ascii="Arial" w:hAnsi="Arial" w:cs="Arial"/>
          <w:sz w:val="22"/>
          <w:szCs w:val="22"/>
        </w:rPr>
        <w:t>revealed</w:t>
      </w:r>
      <w:r w:rsidRPr="002374EC">
        <w:rPr>
          <w:rFonts w:ascii="Arial" w:hAnsi="Arial" w:cs="Arial"/>
          <w:sz w:val="22"/>
          <w:szCs w:val="22"/>
        </w:rPr>
        <w:t xml:space="preserve"> significant gaps in research that particularly examined NEET youths within the 18-25 years age group and </w:t>
      </w:r>
      <w:r w:rsidR="007734F1" w:rsidRPr="002374EC">
        <w:rPr>
          <w:rFonts w:ascii="Arial" w:hAnsi="Arial" w:cs="Arial"/>
          <w:sz w:val="22"/>
          <w:szCs w:val="22"/>
        </w:rPr>
        <w:t xml:space="preserve">the </w:t>
      </w:r>
      <w:r w:rsidRPr="002374EC">
        <w:rPr>
          <w:rFonts w:ascii="Arial" w:hAnsi="Arial" w:cs="Arial"/>
          <w:sz w:val="22"/>
          <w:szCs w:val="22"/>
        </w:rPr>
        <w:t xml:space="preserve">mental health barrier. There were only three studies, which followed all the criteria, </w:t>
      </w:r>
      <w:r w:rsidR="007734F1" w:rsidRPr="002374EC">
        <w:rPr>
          <w:rFonts w:ascii="Arial" w:hAnsi="Arial" w:cs="Arial"/>
          <w:sz w:val="22"/>
          <w:szCs w:val="22"/>
        </w:rPr>
        <w:t>resulting</w:t>
      </w:r>
      <w:r w:rsidRPr="002374EC">
        <w:rPr>
          <w:rFonts w:ascii="Arial" w:hAnsi="Arial" w:cs="Arial"/>
          <w:sz w:val="22"/>
          <w:szCs w:val="22"/>
        </w:rPr>
        <w:t xml:space="preserve"> in the need to include eight partially complying studies in an open manner. This is considered a limitation in confidence, the biggest research gaps, as well as showing that services are being provided to 987,000 NEET youth in the UK (Office for National Statistics, 2025) without sufficient evidence base.</w:t>
      </w:r>
    </w:p>
    <w:p w14:paraId="110CC55F" w14:textId="77777777" w:rsidR="00202469" w:rsidRPr="002374EC" w:rsidRDefault="00202469" w:rsidP="002374EC">
      <w:pPr>
        <w:pStyle w:val="Heading2"/>
        <w:spacing w:after="160" w:line="360" w:lineRule="auto"/>
        <w:jc w:val="both"/>
        <w:rPr>
          <w:rFonts w:ascii="Arial" w:hAnsi="Arial" w:cs="Arial"/>
          <w:color w:val="auto"/>
          <w:sz w:val="22"/>
        </w:rPr>
      </w:pPr>
      <w:bookmarkStart w:id="92" w:name="_Toc220926252"/>
      <w:r w:rsidRPr="002374EC">
        <w:rPr>
          <w:rFonts w:ascii="Arial" w:hAnsi="Arial" w:cs="Arial"/>
          <w:color w:val="auto"/>
          <w:sz w:val="22"/>
        </w:rPr>
        <w:t>5.3 Contributions to Knowledge</w:t>
      </w:r>
      <w:bookmarkEnd w:id="92"/>
    </w:p>
    <w:p w14:paraId="31FC9871" w14:textId="77777777" w:rsidR="00202469" w:rsidRPr="002374EC" w:rsidRDefault="00202469" w:rsidP="002374EC">
      <w:pPr>
        <w:pStyle w:val="Heading3"/>
        <w:spacing w:after="160" w:line="360" w:lineRule="auto"/>
        <w:jc w:val="both"/>
        <w:rPr>
          <w:rFonts w:ascii="Arial" w:hAnsi="Arial" w:cs="Arial"/>
          <w:color w:val="auto"/>
          <w:sz w:val="22"/>
        </w:rPr>
      </w:pPr>
      <w:bookmarkStart w:id="93" w:name="_Toc220926253"/>
      <w:r w:rsidRPr="002374EC">
        <w:rPr>
          <w:rFonts w:ascii="Arial" w:hAnsi="Arial" w:cs="Arial"/>
          <w:color w:val="auto"/>
          <w:sz w:val="22"/>
        </w:rPr>
        <w:t>5.3.1 Original Contribution</w:t>
      </w:r>
      <w:bookmarkEnd w:id="93"/>
    </w:p>
    <w:p w14:paraId="4270F31A" w14:textId="35D383A0" w:rsidR="00202469" w:rsidRPr="002374EC" w:rsidRDefault="002B1D60"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This is the inaugural methodical survey of NEET status, 18-25 years old, and mental health obstacles in </w:t>
      </w:r>
      <w:r w:rsidR="007734F1" w:rsidRPr="002374EC">
        <w:rPr>
          <w:rFonts w:ascii="Arial" w:hAnsi="Arial" w:cs="Arial"/>
          <w:sz w:val="22"/>
          <w:szCs w:val="22"/>
        </w:rPr>
        <w:t xml:space="preserve">the </w:t>
      </w:r>
      <w:r w:rsidRPr="002374EC">
        <w:rPr>
          <w:rFonts w:ascii="Arial" w:hAnsi="Arial" w:cs="Arial"/>
          <w:sz w:val="22"/>
          <w:szCs w:val="22"/>
        </w:rPr>
        <w:t>UK/comparable frameworks synthesizing disjointed literature in across-the-board studies. The review produced empirically-informed taxonomy barricade, reported the gap in evidence as critical conclusion, exhibited intersectionality in which NEET produces distinct barriers (Crenshaw, 1989; Bowleg, 2012), characterized the need to consider employment/education status in mental health literature, and rationalized selective interventions aimed at the population with high burden (Department for Education, 2025: 18.8% NEET with mental health as major condition; Prince, 2024: 50% having difficulties).</w:t>
      </w:r>
    </w:p>
    <w:p w14:paraId="022B144D" w14:textId="77777777" w:rsidR="00202469" w:rsidRPr="002374EC" w:rsidRDefault="00202469" w:rsidP="002374EC">
      <w:pPr>
        <w:pStyle w:val="Heading3"/>
        <w:spacing w:after="160" w:line="360" w:lineRule="auto"/>
        <w:jc w:val="both"/>
        <w:rPr>
          <w:rFonts w:ascii="Arial" w:hAnsi="Arial" w:cs="Arial"/>
          <w:color w:val="auto"/>
          <w:sz w:val="22"/>
        </w:rPr>
      </w:pPr>
      <w:bookmarkStart w:id="94" w:name="_Toc220926254"/>
      <w:r w:rsidRPr="002374EC">
        <w:rPr>
          <w:rFonts w:ascii="Arial" w:hAnsi="Arial" w:cs="Arial"/>
          <w:color w:val="auto"/>
          <w:sz w:val="22"/>
        </w:rPr>
        <w:t>5.3.2 Theoretical and Methodological Contributions</w:t>
      </w:r>
      <w:bookmarkEnd w:id="94"/>
    </w:p>
    <w:p w14:paraId="7826BABE" w14:textId="19032A3F" w:rsidR="00202469" w:rsidRPr="002374EC" w:rsidRDefault="00DD12D2"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The review used ecological models (Bronfenbrenner, 1979) that exhibited multi-level barriers, intersectionality lenses that indicated the existence of compounded disadvantage, and extended models of the help-seeking (Rickwood et al., 2005) that showed </w:t>
      </w:r>
      <w:r w:rsidR="007734F1" w:rsidRPr="002374EC">
        <w:rPr>
          <w:rFonts w:ascii="Arial" w:hAnsi="Arial" w:cs="Arial"/>
          <w:sz w:val="22"/>
          <w:szCs w:val="22"/>
        </w:rPr>
        <w:t>NEETs</w:t>
      </w:r>
      <w:r w:rsidRPr="002374EC">
        <w:rPr>
          <w:rFonts w:ascii="Arial" w:hAnsi="Arial" w:cs="Arial"/>
          <w:sz w:val="22"/>
          <w:szCs w:val="22"/>
        </w:rPr>
        <w:t xml:space="preserve"> face barriers </w:t>
      </w:r>
      <w:r w:rsidR="007734F1" w:rsidRPr="002374EC">
        <w:rPr>
          <w:rFonts w:ascii="Arial" w:hAnsi="Arial" w:cs="Arial"/>
          <w:sz w:val="22"/>
          <w:szCs w:val="22"/>
        </w:rPr>
        <w:t>at</w:t>
      </w:r>
      <w:r w:rsidRPr="002374EC">
        <w:rPr>
          <w:rFonts w:ascii="Arial" w:hAnsi="Arial" w:cs="Arial"/>
          <w:sz w:val="22"/>
          <w:szCs w:val="22"/>
        </w:rPr>
        <w:t xml:space="preserve"> all levels. The methodology proved that systematic review was possible with little evidence using clear procedures, rigorous methodology versus a single researcher, and PRISMA 2020 papers in the context of master settings.</w:t>
      </w:r>
    </w:p>
    <w:p w14:paraId="00D70FF3" w14:textId="77777777" w:rsidR="00202469" w:rsidRPr="002374EC" w:rsidRDefault="00202469" w:rsidP="002374EC">
      <w:pPr>
        <w:pStyle w:val="Heading2"/>
        <w:spacing w:after="160" w:line="360" w:lineRule="auto"/>
        <w:jc w:val="both"/>
        <w:rPr>
          <w:rFonts w:ascii="Arial" w:hAnsi="Arial" w:cs="Arial"/>
          <w:color w:val="auto"/>
          <w:sz w:val="22"/>
        </w:rPr>
      </w:pPr>
      <w:bookmarkStart w:id="95" w:name="_Toc220926255"/>
      <w:r w:rsidRPr="002374EC">
        <w:rPr>
          <w:rFonts w:ascii="Arial" w:hAnsi="Arial" w:cs="Arial"/>
          <w:color w:val="auto"/>
          <w:sz w:val="22"/>
        </w:rPr>
        <w:t>5.4 Recommendations</w:t>
      </w:r>
      <w:bookmarkEnd w:id="95"/>
    </w:p>
    <w:p w14:paraId="558B99BE" w14:textId="77777777" w:rsidR="00202469" w:rsidRPr="002374EC" w:rsidRDefault="00202469" w:rsidP="002374EC">
      <w:pPr>
        <w:pStyle w:val="Heading3"/>
        <w:spacing w:after="160" w:line="360" w:lineRule="auto"/>
        <w:jc w:val="both"/>
        <w:rPr>
          <w:rFonts w:ascii="Arial" w:hAnsi="Arial" w:cs="Arial"/>
          <w:color w:val="auto"/>
          <w:sz w:val="22"/>
        </w:rPr>
      </w:pPr>
      <w:bookmarkStart w:id="96" w:name="_Toc220926256"/>
      <w:r w:rsidRPr="002374EC">
        <w:rPr>
          <w:rFonts w:ascii="Arial" w:hAnsi="Arial" w:cs="Arial"/>
          <w:color w:val="auto"/>
          <w:sz w:val="22"/>
        </w:rPr>
        <w:t>5.4.1 For Mental Health Services and Practitioners</w:t>
      </w:r>
      <w:bookmarkEnd w:id="96"/>
    </w:p>
    <w:p w14:paraId="6795FE44" w14:textId="7BFAF6C3" w:rsidR="00202469" w:rsidRPr="002374EC" w:rsidRDefault="00C42345"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The services should establish other access modes such as outreach, Job Centre relationships, third sector integration, and advertised self-referral</w:t>
      </w:r>
      <w:r w:rsidR="007734F1" w:rsidRPr="002374EC">
        <w:rPr>
          <w:rFonts w:ascii="Arial" w:hAnsi="Arial" w:cs="Arial"/>
          <w:sz w:val="22"/>
          <w:szCs w:val="22"/>
        </w:rPr>
        <w:t>,</w:t>
      </w:r>
      <w:r w:rsidRPr="002374EC">
        <w:rPr>
          <w:rFonts w:ascii="Arial" w:hAnsi="Arial" w:cs="Arial"/>
          <w:sz w:val="22"/>
          <w:szCs w:val="22"/>
        </w:rPr>
        <w:t xml:space="preserve"> as NEET cannot use institutional approaches. Combats barriers within the structure by reducing the waiting time (NHS England, 2025), creating flexible schedules, transport support, and streamlined navigation. Reminders, obstacle problem-solving, intensive treatment, and allowing flexible rescheduling are the means to recognize high attrition (Buckman et al., 2023). Mental health and employment </w:t>
      </w:r>
      <w:r w:rsidRPr="002374EC">
        <w:rPr>
          <w:rFonts w:ascii="Arial" w:hAnsi="Arial" w:cs="Arial"/>
          <w:sz w:val="22"/>
          <w:szCs w:val="22"/>
        </w:rPr>
        <w:lastRenderedPageBreak/>
        <w:t>support co-located models prove to be effective (Barbic et al., 2024; Rickwood et al., 2019). Hope-building (Berry et al., 2024), dealing with the dual stigma, holistic (Kirkbride et al., 2024), and offering more sustainable treatment based on complex needs should be a part of the clinical approaches. NEET-based training and specialist outreach jobs are needed in work forces.</w:t>
      </w:r>
    </w:p>
    <w:p w14:paraId="00485FC2" w14:textId="77777777" w:rsidR="00202469" w:rsidRPr="002374EC" w:rsidRDefault="00202469" w:rsidP="002374EC">
      <w:pPr>
        <w:pStyle w:val="Heading3"/>
        <w:spacing w:after="160" w:line="360" w:lineRule="auto"/>
        <w:jc w:val="both"/>
        <w:rPr>
          <w:rFonts w:ascii="Arial" w:hAnsi="Arial" w:cs="Arial"/>
          <w:color w:val="auto"/>
          <w:sz w:val="22"/>
        </w:rPr>
      </w:pPr>
      <w:bookmarkStart w:id="97" w:name="_Toc220926257"/>
      <w:r w:rsidRPr="002374EC">
        <w:rPr>
          <w:rFonts w:ascii="Arial" w:hAnsi="Arial" w:cs="Arial"/>
          <w:color w:val="auto"/>
          <w:sz w:val="22"/>
        </w:rPr>
        <w:t>5.4.2 For Policy Makers and Commissioners</w:t>
      </w:r>
      <w:bookmarkEnd w:id="97"/>
    </w:p>
    <w:p w14:paraId="738E3BE9" w14:textId="6D5891FF" w:rsidR="00202469" w:rsidRPr="002374EC" w:rsidRDefault="00BE6186"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It should </w:t>
      </w:r>
      <w:r w:rsidR="007734F1" w:rsidRPr="002374EC">
        <w:rPr>
          <w:rFonts w:ascii="Arial" w:hAnsi="Arial" w:cs="Arial"/>
          <w:sz w:val="22"/>
          <w:szCs w:val="22"/>
        </w:rPr>
        <w:t>be commissioned</w:t>
      </w:r>
      <w:r w:rsidRPr="002374EC">
        <w:rPr>
          <w:rFonts w:ascii="Arial" w:hAnsi="Arial" w:cs="Arial"/>
          <w:sz w:val="22"/>
          <w:szCs w:val="22"/>
        </w:rPr>
        <w:t xml:space="preserve"> with NEET funding, specifications and incentives on access/retention</w:t>
      </w:r>
      <w:r w:rsidR="007734F1" w:rsidRPr="002374EC">
        <w:rPr>
          <w:rFonts w:ascii="Arial" w:hAnsi="Arial" w:cs="Arial"/>
          <w:sz w:val="22"/>
          <w:szCs w:val="22"/>
        </w:rPr>
        <w:t>, which</w:t>
      </w:r>
      <w:r w:rsidRPr="002374EC">
        <w:rPr>
          <w:rFonts w:ascii="Arial" w:hAnsi="Arial" w:cs="Arial"/>
          <w:sz w:val="22"/>
          <w:szCs w:val="22"/>
        </w:rPr>
        <w:t xml:space="preserve"> should include payment mechanisms</w:t>
      </w:r>
      <w:r w:rsidR="007734F1" w:rsidRPr="002374EC">
        <w:rPr>
          <w:rFonts w:ascii="Arial" w:hAnsi="Arial" w:cs="Arial"/>
          <w:sz w:val="22"/>
          <w:szCs w:val="22"/>
        </w:rPr>
        <w:t>. Joint</w:t>
      </w:r>
      <w:r w:rsidRPr="002374EC">
        <w:rPr>
          <w:rFonts w:ascii="Arial" w:hAnsi="Arial" w:cs="Arial"/>
          <w:sz w:val="22"/>
          <w:szCs w:val="22"/>
        </w:rPr>
        <w:t xml:space="preserve"> commissioning should be facilitated between </w:t>
      </w:r>
      <w:r w:rsidR="007734F1" w:rsidRPr="002374EC">
        <w:rPr>
          <w:rFonts w:ascii="Arial" w:hAnsi="Arial" w:cs="Arial"/>
          <w:sz w:val="22"/>
          <w:szCs w:val="22"/>
        </w:rPr>
        <w:t xml:space="preserve">the </w:t>
      </w:r>
      <w:r w:rsidRPr="002374EC">
        <w:rPr>
          <w:rFonts w:ascii="Arial" w:hAnsi="Arial" w:cs="Arial"/>
          <w:sz w:val="22"/>
          <w:szCs w:val="22"/>
        </w:rPr>
        <w:t>NHS/local authorities/DWP</w:t>
      </w:r>
      <w:r w:rsidR="007734F1" w:rsidRPr="002374EC">
        <w:rPr>
          <w:rFonts w:ascii="Arial" w:hAnsi="Arial" w:cs="Arial"/>
          <w:sz w:val="22"/>
          <w:szCs w:val="22"/>
        </w:rPr>
        <w:t>,</w:t>
      </w:r>
      <w:r w:rsidRPr="002374EC">
        <w:rPr>
          <w:rFonts w:ascii="Arial" w:hAnsi="Arial" w:cs="Arial"/>
          <w:sz w:val="22"/>
          <w:szCs w:val="22"/>
        </w:rPr>
        <w:t xml:space="preserve"> and NEET should be monitored. Mental health should be incorporated into the national policy related to employability programs (270,000 economically inactive young people are affected by mental health) (Department for Work and Pensions, 2025)</w:t>
      </w:r>
      <w:r w:rsidR="007734F1" w:rsidRPr="002374EC">
        <w:rPr>
          <w:rFonts w:ascii="Arial" w:hAnsi="Arial" w:cs="Arial"/>
          <w:sz w:val="22"/>
          <w:szCs w:val="22"/>
        </w:rPr>
        <w:t>,</w:t>
      </w:r>
      <w:r w:rsidRPr="002374EC">
        <w:rPr>
          <w:rFonts w:ascii="Arial" w:hAnsi="Arial" w:cs="Arial"/>
          <w:sz w:val="22"/>
          <w:szCs w:val="22"/>
        </w:rPr>
        <w:t xml:space="preserve"> and the implementation of social determinants (Marmot et al., 2024</w:t>
      </w:r>
      <w:r w:rsidR="007734F1" w:rsidRPr="002374EC">
        <w:rPr>
          <w:rFonts w:ascii="Arial" w:hAnsi="Arial" w:cs="Arial"/>
          <w:sz w:val="22"/>
          <w:szCs w:val="22"/>
        </w:rPr>
        <w:t>,</w:t>
      </w:r>
      <w:r w:rsidRPr="002374EC">
        <w:rPr>
          <w:rFonts w:ascii="Arial" w:hAnsi="Arial" w:cs="Arial"/>
          <w:sz w:val="22"/>
          <w:szCs w:val="22"/>
        </w:rPr>
        <w:t xml:space="preserve"> documenting widening inequalities) and anti-stigma campaigns addressed to the problem of double-stigma. The data systems are required to </w:t>
      </w:r>
      <w:r w:rsidR="007734F1" w:rsidRPr="002374EC">
        <w:rPr>
          <w:rFonts w:ascii="Arial" w:hAnsi="Arial" w:cs="Arial"/>
          <w:sz w:val="22"/>
          <w:szCs w:val="22"/>
        </w:rPr>
        <w:t>compile</w:t>
      </w:r>
      <w:r w:rsidRPr="002374EC">
        <w:rPr>
          <w:rFonts w:ascii="Arial" w:hAnsi="Arial" w:cs="Arial"/>
          <w:sz w:val="22"/>
          <w:szCs w:val="22"/>
        </w:rPr>
        <w:t xml:space="preserve"> employment/education status recording, to tie health/education/benefits datasets and to disaggregate </w:t>
      </w:r>
      <w:r w:rsidR="007734F1" w:rsidRPr="002374EC">
        <w:rPr>
          <w:rFonts w:ascii="Arial" w:hAnsi="Arial" w:cs="Arial"/>
          <w:sz w:val="22"/>
          <w:szCs w:val="22"/>
        </w:rPr>
        <w:t>results</w:t>
      </w:r>
      <w:r w:rsidRPr="002374EC">
        <w:rPr>
          <w:rFonts w:ascii="Arial" w:hAnsi="Arial" w:cs="Arial"/>
          <w:sz w:val="22"/>
          <w:szCs w:val="22"/>
        </w:rPr>
        <w:t xml:space="preserve"> by NEET status.</w:t>
      </w:r>
    </w:p>
    <w:p w14:paraId="329D60D1" w14:textId="77777777" w:rsidR="00202469" w:rsidRPr="002374EC" w:rsidRDefault="00202469" w:rsidP="002374EC">
      <w:pPr>
        <w:pStyle w:val="Heading3"/>
        <w:spacing w:after="160" w:line="360" w:lineRule="auto"/>
        <w:jc w:val="both"/>
        <w:rPr>
          <w:rFonts w:ascii="Arial" w:hAnsi="Arial" w:cs="Arial"/>
          <w:color w:val="auto"/>
          <w:sz w:val="22"/>
        </w:rPr>
      </w:pPr>
      <w:bookmarkStart w:id="98" w:name="_Toc220926258"/>
      <w:r w:rsidRPr="002374EC">
        <w:rPr>
          <w:rFonts w:ascii="Arial" w:hAnsi="Arial" w:cs="Arial"/>
          <w:color w:val="auto"/>
          <w:sz w:val="22"/>
        </w:rPr>
        <w:t>5.4.3 For Researchers</w:t>
      </w:r>
      <w:bookmarkEnd w:id="98"/>
    </w:p>
    <w:p w14:paraId="1658AC42" w14:textId="4F0C5D7C" w:rsidR="00202469" w:rsidRPr="002374EC" w:rsidRDefault="00614739"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Research priority involves qualitative studies that are based on diverse NEET samples, the longitudinal ones that look at differences in barriers and impactful periods, intervention development and assessment, implementation research and evaluation of economics. Use mixed methods, participatory action research, NEET oversampling, and development of valid measures. Use ecological models, intersectionality paradigms, the test of the </w:t>
      </w:r>
      <w:r w:rsidR="007734F1" w:rsidRPr="002374EC">
        <w:rPr>
          <w:rFonts w:ascii="Arial" w:hAnsi="Arial" w:cs="Arial"/>
          <w:sz w:val="22"/>
          <w:szCs w:val="22"/>
        </w:rPr>
        <w:t>help-seeking</w:t>
      </w:r>
      <w:r w:rsidRPr="002374EC">
        <w:rPr>
          <w:rFonts w:ascii="Arial" w:hAnsi="Arial" w:cs="Arial"/>
          <w:sz w:val="22"/>
          <w:szCs w:val="22"/>
        </w:rPr>
        <w:t xml:space="preserve"> model, and the </w:t>
      </w:r>
      <w:r w:rsidR="007734F1" w:rsidRPr="002374EC">
        <w:rPr>
          <w:rFonts w:ascii="Arial" w:hAnsi="Arial" w:cs="Arial"/>
          <w:sz w:val="22"/>
          <w:szCs w:val="22"/>
        </w:rPr>
        <w:t>mediation-moderation</w:t>
      </w:r>
      <w:r w:rsidRPr="002374EC">
        <w:rPr>
          <w:rFonts w:ascii="Arial" w:hAnsi="Arial" w:cs="Arial"/>
          <w:sz w:val="22"/>
          <w:szCs w:val="22"/>
        </w:rPr>
        <w:t xml:space="preserve"> analysis.</w:t>
      </w:r>
    </w:p>
    <w:p w14:paraId="62D512B4" w14:textId="77777777" w:rsidR="00202469" w:rsidRPr="002374EC" w:rsidRDefault="00202469" w:rsidP="002374EC">
      <w:pPr>
        <w:pStyle w:val="Heading2"/>
        <w:spacing w:after="160" w:line="360" w:lineRule="auto"/>
        <w:jc w:val="both"/>
        <w:rPr>
          <w:rFonts w:ascii="Arial" w:hAnsi="Arial" w:cs="Arial"/>
          <w:color w:val="auto"/>
          <w:sz w:val="22"/>
        </w:rPr>
      </w:pPr>
      <w:bookmarkStart w:id="99" w:name="_Toc220926259"/>
      <w:r w:rsidRPr="002374EC">
        <w:rPr>
          <w:rFonts w:ascii="Arial" w:hAnsi="Arial" w:cs="Arial"/>
          <w:color w:val="auto"/>
          <w:sz w:val="22"/>
        </w:rPr>
        <w:t>5.5 Limitations Revisited</w:t>
      </w:r>
      <w:bookmarkEnd w:id="99"/>
    </w:p>
    <w:p w14:paraId="3749540C" w14:textId="2FF84D80" w:rsidR="00202469" w:rsidRPr="002374EC" w:rsidRDefault="00B2572C"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Such limitations were methodological; the researcher involved was a single reviewer, the search was limited to the English language, the databases under consideration were restricted to PubMed/PsycINFO, the researcher was affected by publication bias and was restricted by time. The limitations of the evidence included restricted evidence to three studies that were fully compliant, heterogeneity in terms of countries/population/designs, primarily </w:t>
      </w:r>
      <w:r w:rsidR="007734F1" w:rsidRPr="002374EC">
        <w:rPr>
          <w:rFonts w:ascii="Arial" w:hAnsi="Arial" w:cs="Arial"/>
          <w:sz w:val="22"/>
          <w:szCs w:val="22"/>
        </w:rPr>
        <w:t xml:space="preserve">a </w:t>
      </w:r>
      <w:r w:rsidRPr="002374EC">
        <w:rPr>
          <w:rFonts w:ascii="Arial" w:hAnsi="Arial" w:cs="Arial"/>
          <w:sz w:val="22"/>
          <w:szCs w:val="22"/>
        </w:rPr>
        <w:t xml:space="preserve">cross-sectional study design because it could not be used to cause a result, and limited qualitative attenuation beyond that of Berry et al. (2024). They diminish the confidence and limit the generalizability and have to be interpreted with caution. Nevertheless, reporting transparency, </w:t>
      </w:r>
      <w:r w:rsidRPr="002374EC">
        <w:rPr>
          <w:rFonts w:ascii="Arial" w:hAnsi="Arial" w:cs="Arial"/>
          <w:sz w:val="22"/>
          <w:szCs w:val="22"/>
        </w:rPr>
        <w:lastRenderedPageBreak/>
        <w:t>systematic quality evaluation and restrictive interpretations softened the effects. Perpetually, gap identification per se is an important input.</w:t>
      </w:r>
    </w:p>
    <w:p w14:paraId="132A1AD7" w14:textId="77777777" w:rsidR="00202469" w:rsidRPr="002374EC" w:rsidRDefault="00202469" w:rsidP="002374EC">
      <w:pPr>
        <w:pStyle w:val="Heading2"/>
        <w:spacing w:after="160" w:line="360" w:lineRule="auto"/>
        <w:jc w:val="both"/>
        <w:rPr>
          <w:rFonts w:ascii="Arial" w:hAnsi="Arial" w:cs="Arial"/>
          <w:color w:val="auto"/>
          <w:sz w:val="22"/>
        </w:rPr>
      </w:pPr>
      <w:bookmarkStart w:id="100" w:name="_Toc220926260"/>
      <w:r w:rsidRPr="002374EC">
        <w:rPr>
          <w:rFonts w:ascii="Arial" w:hAnsi="Arial" w:cs="Arial"/>
          <w:color w:val="auto"/>
          <w:sz w:val="22"/>
        </w:rPr>
        <w:t>5.6 Reflexivity and Personal Learning</w:t>
      </w:r>
      <w:bookmarkEnd w:id="100"/>
    </w:p>
    <w:p w14:paraId="2FC18A55" w14:textId="78B64CAB" w:rsidR="00202469" w:rsidRPr="002374EC" w:rsidRDefault="00FC2772"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The process of completing this review has made it possible to acquire such competencies as PRISMA methodology, CASP critical appraisal, thematic synthesis, and academic writing. The challenges comprised finding evidence gaps that required an adaptation, single reviewer overheads, synthesizing heterogeneous evidence, </w:t>
      </w:r>
      <w:r w:rsidR="007734F1" w:rsidRPr="002374EC">
        <w:rPr>
          <w:rFonts w:ascii="Arial" w:hAnsi="Arial" w:cs="Arial"/>
          <w:sz w:val="22"/>
          <w:szCs w:val="22"/>
        </w:rPr>
        <w:t xml:space="preserve">and </w:t>
      </w:r>
      <w:r w:rsidRPr="002374EC">
        <w:rPr>
          <w:rFonts w:ascii="Arial" w:hAnsi="Arial" w:cs="Arial"/>
          <w:sz w:val="22"/>
          <w:szCs w:val="22"/>
        </w:rPr>
        <w:t xml:space="preserve">quality-maintaining timelines. There were revelations about clear methodology in the absence of evidence, value of synthesis in cases of limited evidence, identification of gaps as </w:t>
      </w:r>
      <w:r w:rsidR="007734F1" w:rsidRPr="002374EC">
        <w:rPr>
          <w:rFonts w:ascii="Arial" w:hAnsi="Arial" w:cs="Arial"/>
          <w:sz w:val="22"/>
          <w:szCs w:val="22"/>
        </w:rPr>
        <w:t xml:space="preserve">a </w:t>
      </w:r>
      <w:r w:rsidRPr="002374EC">
        <w:rPr>
          <w:rFonts w:ascii="Arial" w:hAnsi="Arial" w:cs="Arial"/>
          <w:sz w:val="22"/>
          <w:szCs w:val="22"/>
        </w:rPr>
        <w:t xml:space="preserve">valid contribution, value of evidence-to-practice complexity, enhanced knowledge about NEET issues and social disadvantage, </w:t>
      </w:r>
      <w:r w:rsidR="007734F1" w:rsidRPr="002374EC">
        <w:rPr>
          <w:rFonts w:ascii="Arial" w:hAnsi="Arial" w:cs="Arial"/>
          <w:sz w:val="22"/>
          <w:szCs w:val="22"/>
        </w:rPr>
        <w:t xml:space="preserve">and </w:t>
      </w:r>
      <w:r w:rsidRPr="002374EC">
        <w:rPr>
          <w:rFonts w:ascii="Arial" w:hAnsi="Arial" w:cs="Arial"/>
          <w:sz w:val="22"/>
          <w:szCs w:val="22"/>
        </w:rPr>
        <w:t>value of health equity as a social justice imperative. The comprehensive skills are transferred to the realm of public health practice due to the use of evidence-based decision-making and complex problem-solving methods.</w:t>
      </w:r>
    </w:p>
    <w:p w14:paraId="2EE4AD08" w14:textId="77777777" w:rsidR="00202469" w:rsidRPr="002374EC" w:rsidRDefault="00202469" w:rsidP="002374EC">
      <w:pPr>
        <w:pStyle w:val="Heading2"/>
        <w:spacing w:after="160" w:line="360" w:lineRule="auto"/>
        <w:jc w:val="both"/>
        <w:rPr>
          <w:rFonts w:ascii="Arial" w:hAnsi="Arial" w:cs="Arial"/>
          <w:color w:val="auto"/>
          <w:sz w:val="22"/>
        </w:rPr>
      </w:pPr>
      <w:bookmarkStart w:id="101" w:name="_Toc220926261"/>
      <w:r w:rsidRPr="002374EC">
        <w:rPr>
          <w:rFonts w:ascii="Arial" w:hAnsi="Arial" w:cs="Arial"/>
          <w:color w:val="auto"/>
          <w:sz w:val="22"/>
        </w:rPr>
        <w:t>5.7 Final Conclusions</w:t>
      </w:r>
      <w:bookmarkEnd w:id="101"/>
    </w:p>
    <w:p w14:paraId="15CED0B1" w14:textId="2C7F8DE6" w:rsidR="00202469" w:rsidRPr="002374EC" w:rsidRDefault="00321BB4" w:rsidP="002374EC">
      <w:pPr>
        <w:pStyle w:val="NormalWeb"/>
        <w:spacing w:after="160" w:afterAutospacing="0" w:line="360" w:lineRule="auto"/>
        <w:jc w:val="both"/>
        <w:rPr>
          <w:rFonts w:ascii="Arial" w:hAnsi="Arial" w:cs="Arial"/>
          <w:sz w:val="22"/>
          <w:szCs w:val="22"/>
        </w:rPr>
      </w:pPr>
      <w:r w:rsidRPr="002374EC">
        <w:rPr>
          <w:rFonts w:ascii="Arial" w:hAnsi="Arial" w:cs="Arial"/>
          <w:sz w:val="22"/>
          <w:szCs w:val="22"/>
        </w:rPr>
        <w:t xml:space="preserve">NEET young adults (18-25) encounter overlapping barriers, as institutional exclusion is the structural barrier defining the problem, the compounding health effect is the phenomenon of double stigma and hopelessness, and the </w:t>
      </w:r>
      <w:r w:rsidR="007734F1" w:rsidRPr="002374EC">
        <w:rPr>
          <w:rFonts w:ascii="Arial" w:hAnsi="Arial" w:cs="Arial"/>
          <w:sz w:val="22"/>
          <w:szCs w:val="22"/>
        </w:rPr>
        <w:t>atomising</w:t>
      </w:r>
      <w:r w:rsidRPr="002374EC">
        <w:rPr>
          <w:rFonts w:ascii="Arial" w:hAnsi="Arial" w:cs="Arial"/>
          <w:sz w:val="22"/>
          <w:szCs w:val="22"/>
        </w:rPr>
        <w:t xml:space="preserve"> effect is the social isolation of the group members. This review presents first a synthesis approach to demonstrate </w:t>
      </w:r>
      <w:r w:rsidR="007734F1" w:rsidRPr="002374EC">
        <w:rPr>
          <w:rFonts w:ascii="Arial" w:hAnsi="Arial" w:cs="Arial"/>
          <w:sz w:val="22"/>
          <w:szCs w:val="22"/>
        </w:rPr>
        <w:t xml:space="preserve">the </w:t>
      </w:r>
      <w:r w:rsidRPr="002374EC">
        <w:rPr>
          <w:rFonts w:ascii="Arial" w:hAnsi="Arial" w:cs="Arial"/>
          <w:sz w:val="22"/>
          <w:szCs w:val="22"/>
        </w:rPr>
        <w:t>urgent necessity of specific interventions, as UK NEET youth (Office for National Statistics, 2025) with high load (987,000) are in need of them, and outlines significant gaps in the body of evidence. There has to be outreach and integration in services to reach NEET populations. Mental health should be combined with the policy of employment/education support (Department for Work and Pensions, 2025). This is a population with poor research. Access can and must be enhanced through systemic change involving organizational, attitudinal</w:t>
      </w:r>
      <w:r w:rsidR="007734F1" w:rsidRPr="002374EC">
        <w:rPr>
          <w:rFonts w:ascii="Arial" w:hAnsi="Arial" w:cs="Arial"/>
          <w:sz w:val="22"/>
          <w:szCs w:val="22"/>
        </w:rPr>
        <w:t>,</w:t>
      </w:r>
      <w:r w:rsidRPr="002374EC">
        <w:rPr>
          <w:rFonts w:ascii="Arial" w:hAnsi="Arial" w:cs="Arial"/>
          <w:sz w:val="22"/>
          <w:szCs w:val="22"/>
        </w:rPr>
        <w:t xml:space="preserve"> </w:t>
      </w:r>
      <w:r w:rsidR="007734F1" w:rsidRPr="002374EC">
        <w:rPr>
          <w:rFonts w:ascii="Arial" w:hAnsi="Arial" w:cs="Arial"/>
          <w:sz w:val="22"/>
          <w:szCs w:val="22"/>
        </w:rPr>
        <w:t>and</w:t>
      </w:r>
      <w:r w:rsidRPr="002374EC">
        <w:rPr>
          <w:rFonts w:ascii="Arial" w:hAnsi="Arial" w:cs="Arial"/>
          <w:sz w:val="22"/>
          <w:szCs w:val="22"/>
        </w:rPr>
        <w:t xml:space="preserve"> social obstacles. The evidence-based action-focused components of this review can decrease inequalities and transform the outcomes of multipl</w:t>
      </w:r>
      <w:r w:rsidR="000B1420" w:rsidRPr="002374EC">
        <w:rPr>
          <w:rFonts w:ascii="Arial" w:hAnsi="Arial" w:cs="Arial"/>
          <w:sz w:val="22"/>
          <w:szCs w:val="22"/>
        </w:rPr>
        <w:t>e</w:t>
      </w:r>
      <w:r w:rsidRPr="002374EC">
        <w:rPr>
          <w:rFonts w:ascii="Arial" w:hAnsi="Arial" w:cs="Arial"/>
          <w:sz w:val="22"/>
          <w:szCs w:val="22"/>
        </w:rPr>
        <w:t xml:space="preserve"> disadvantaged youth.</w:t>
      </w:r>
    </w:p>
    <w:p w14:paraId="4055D24C" w14:textId="3909C79A" w:rsidR="00E0350D" w:rsidRPr="002374EC" w:rsidRDefault="00E0350D" w:rsidP="00627837">
      <w:pPr>
        <w:pStyle w:val="NormalWeb"/>
        <w:spacing w:after="0" w:afterAutospacing="0" w:line="360" w:lineRule="auto"/>
        <w:rPr>
          <w:rFonts w:ascii="Arial" w:hAnsi="Arial" w:cs="Arial"/>
          <w:sz w:val="22"/>
          <w:szCs w:val="22"/>
        </w:rPr>
      </w:pPr>
    </w:p>
    <w:p w14:paraId="4C2CB5F2" w14:textId="7477B678" w:rsidR="009706D0" w:rsidRPr="002374EC" w:rsidRDefault="009706D0" w:rsidP="00627837">
      <w:pPr>
        <w:spacing w:after="0" w:line="360" w:lineRule="auto"/>
        <w:rPr>
          <w:rFonts w:ascii="Arial" w:hAnsi="Arial" w:cs="Arial"/>
        </w:rPr>
      </w:pPr>
      <w:r w:rsidRPr="002374EC">
        <w:rPr>
          <w:rFonts w:ascii="Arial" w:hAnsi="Arial" w:cs="Arial"/>
        </w:rPr>
        <w:br w:type="page"/>
      </w:r>
    </w:p>
    <w:p w14:paraId="1C880B3B" w14:textId="6A4CDA7B" w:rsidR="009F64C5" w:rsidRPr="002374EC" w:rsidRDefault="009F64C5" w:rsidP="00627837">
      <w:pPr>
        <w:pStyle w:val="Heading1"/>
        <w:spacing w:after="0" w:line="360" w:lineRule="auto"/>
        <w:ind w:left="12" w:right="6"/>
        <w:rPr>
          <w:rFonts w:ascii="Arial" w:hAnsi="Arial" w:cs="Arial"/>
          <w:color w:val="auto"/>
          <w:sz w:val="22"/>
        </w:rPr>
      </w:pPr>
      <w:bookmarkStart w:id="102" w:name="_Toc220926262"/>
      <w:r w:rsidRPr="002374EC">
        <w:rPr>
          <w:rFonts w:ascii="Arial" w:hAnsi="Arial" w:cs="Arial"/>
          <w:color w:val="auto"/>
          <w:sz w:val="22"/>
        </w:rPr>
        <w:lastRenderedPageBreak/>
        <w:t>Reference list</w:t>
      </w:r>
      <w:bookmarkEnd w:id="102"/>
      <w:r w:rsidRPr="002374EC">
        <w:rPr>
          <w:rFonts w:ascii="Arial" w:hAnsi="Arial" w:cs="Arial"/>
          <w:color w:val="auto"/>
          <w:sz w:val="22"/>
        </w:rPr>
        <w:t xml:space="preserve"> </w:t>
      </w:r>
    </w:p>
    <w:p w14:paraId="4ADB9F0D" w14:textId="77777777" w:rsidR="00540BA8" w:rsidRPr="002374EC" w:rsidRDefault="009F64C5" w:rsidP="00627837">
      <w:pPr>
        <w:spacing w:after="0" w:line="360" w:lineRule="auto"/>
        <w:rPr>
          <w:rFonts w:ascii="Arial" w:hAnsi="Arial" w:cs="Arial"/>
        </w:rPr>
      </w:pPr>
      <w:r w:rsidRPr="002374EC">
        <w:rPr>
          <w:rFonts w:ascii="Arial" w:eastAsia="Calibri" w:hAnsi="Arial" w:cs="Arial"/>
        </w:rPr>
        <w:t xml:space="preserve"> </w:t>
      </w:r>
    </w:p>
    <w:p w14:paraId="640DB098" w14:textId="284441AF" w:rsidR="001004D8" w:rsidRPr="002374EC" w:rsidRDefault="00C8463F"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Andersen, N. K., Smith, C. L., Gao, C. X., Filia, K., Simmons, M., Chinnery, G., Killackey, E., Thompson, A. and Brown, E. (2024) 'Vocational functioning in young people accessing services for first-episode psychosis and ultra-high risk of psychosis: A longitudinal naturalistic cohort study', </w:t>
      </w:r>
      <w:r w:rsidRPr="002374EC">
        <w:rPr>
          <w:rFonts w:ascii="Arial" w:hAnsi="Arial" w:cs="Arial"/>
          <w:i/>
          <w:iCs/>
          <w:sz w:val="22"/>
          <w:szCs w:val="22"/>
        </w:rPr>
        <w:t>The Australian and New Zealand Journal of Psychiatry</w:t>
      </w:r>
      <w:r w:rsidRPr="002374EC">
        <w:rPr>
          <w:rFonts w:ascii="Arial" w:hAnsi="Arial" w:cs="Arial"/>
          <w:sz w:val="22"/>
          <w:szCs w:val="22"/>
        </w:rPr>
        <w:t>, 58(10), pp. 875–884.</w:t>
      </w:r>
    </w:p>
    <w:p w14:paraId="7C3C92DA" w14:textId="3B4796C0" w:rsidR="001004D8" w:rsidRPr="002374EC" w:rsidRDefault="00C8463F"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Andersen, R. M. (1995) 'Revisiting the behavioral model and access to medical care: does it matter?', </w:t>
      </w:r>
      <w:r w:rsidRPr="002374EC">
        <w:rPr>
          <w:rFonts w:ascii="Arial" w:hAnsi="Arial" w:cs="Arial"/>
          <w:i/>
          <w:iCs/>
          <w:sz w:val="22"/>
          <w:szCs w:val="22"/>
        </w:rPr>
        <w:t>Journal of Health and Social Behavior</w:t>
      </w:r>
      <w:r w:rsidRPr="002374EC">
        <w:rPr>
          <w:rFonts w:ascii="Arial" w:hAnsi="Arial" w:cs="Arial"/>
          <w:sz w:val="22"/>
          <w:szCs w:val="22"/>
        </w:rPr>
        <w:t>, 36(1), pp. 1–10. </w:t>
      </w:r>
    </w:p>
    <w:p w14:paraId="3ADABB05" w14:textId="6EF88500"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Aromataris, E., Lockwood, C., Porritt, K., Pilla, B. and Jordan, Z. (eds.) (2024) </w:t>
      </w:r>
      <w:r w:rsidRPr="002374EC">
        <w:rPr>
          <w:rStyle w:val="Emphasis"/>
          <w:rFonts w:ascii="Arial" w:hAnsi="Arial" w:cs="Arial"/>
          <w:sz w:val="22"/>
          <w:szCs w:val="22"/>
        </w:rPr>
        <w:t>JBI Manual for Evidence Synthesis</w:t>
      </w:r>
      <w:r w:rsidRPr="002374EC">
        <w:rPr>
          <w:rFonts w:ascii="Arial" w:hAnsi="Arial" w:cs="Arial"/>
          <w:sz w:val="22"/>
          <w:szCs w:val="22"/>
        </w:rPr>
        <w:t>. Adelaide: JBI.</w:t>
      </w:r>
    </w:p>
    <w:p w14:paraId="7445722D" w14:textId="65434E4B"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Babitsch, B., Gohl, D. and von Lengerke, T. (2012) 'Re-revisiting Andersen's Behavioral Model of Health Services Use: a systematic review of studies from 1998–2011', </w:t>
      </w:r>
      <w:r w:rsidRPr="002374EC">
        <w:rPr>
          <w:rStyle w:val="Emphasis"/>
          <w:rFonts w:ascii="Arial" w:hAnsi="Arial" w:cs="Arial"/>
          <w:sz w:val="22"/>
          <w:szCs w:val="22"/>
        </w:rPr>
        <w:t>GMS Psycho-Social-Medicine</w:t>
      </w:r>
      <w:r w:rsidRPr="002374EC">
        <w:rPr>
          <w:rFonts w:ascii="Arial" w:hAnsi="Arial" w:cs="Arial"/>
          <w:sz w:val="22"/>
          <w:szCs w:val="22"/>
        </w:rPr>
        <w:t>, 9, Doc11.</w:t>
      </w:r>
    </w:p>
    <w:p w14:paraId="273A0D81" w14:textId="319DDAF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Barbic, S., Kidd, S., Durisko, Z., Rathbone, A., Pankratz, C., Norman, R. and Henderson, J. (2024) 'Implementing Foundry: a cohort study describing the regional and virtual expansion of a youth integrated service in British Columbia, Canada', </w:t>
      </w:r>
      <w:r w:rsidRPr="002374EC">
        <w:rPr>
          <w:rStyle w:val="Emphasis"/>
          <w:rFonts w:ascii="Arial" w:hAnsi="Arial" w:cs="Arial"/>
          <w:sz w:val="22"/>
          <w:szCs w:val="22"/>
        </w:rPr>
        <w:t>Early Intervention in Psychiatry</w:t>
      </w:r>
      <w:r w:rsidRPr="002374EC">
        <w:rPr>
          <w:rFonts w:ascii="Arial" w:hAnsi="Arial" w:cs="Arial"/>
          <w:sz w:val="22"/>
          <w:szCs w:val="22"/>
        </w:rPr>
        <w:t>, 18(10), pp. 877–887.</w:t>
      </w:r>
    </w:p>
    <w:p w14:paraId="7924C9BA" w14:textId="5336904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Bell, D.N.F. and Blanchflower, D.G. (2011) 'Young people and the Great Recession', </w:t>
      </w:r>
      <w:r w:rsidRPr="002374EC">
        <w:rPr>
          <w:rStyle w:val="Emphasis"/>
          <w:rFonts w:ascii="Arial" w:hAnsi="Arial" w:cs="Arial"/>
          <w:sz w:val="22"/>
          <w:szCs w:val="22"/>
        </w:rPr>
        <w:t>Oxford Review of Economic Policy</w:t>
      </w:r>
      <w:r w:rsidRPr="002374EC">
        <w:rPr>
          <w:rFonts w:ascii="Arial" w:hAnsi="Arial" w:cs="Arial"/>
          <w:sz w:val="22"/>
          <w:szCs w:val="22"/>
        </w:rPr>
        <w:t xml:space="preserve">, 27(2), pp. 241–267. </w:t>
      </w:r>
    </w:p>
    <w:p w14:paraId="135BE9CC" w14:textId="5630A506" w:rsidR="001004D8" w:rsidRPr="002374EC" w:rsidRDefault="00A212DB"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Berry, C., Fountain, J., Forbes, L., Bogen-Johnston, L., Thomson, A., Zylko, Y., Tunks, A., Hotham, S. and Michelson, D. (2024) ‘Developing a hope-focused intervention to prevent mental health problems and improve social outcomes for young women who are not in education, employment, or training (NEET): a qualitative co-design study in deprived coastal communities in South-East England’, </w:t>
      </w:r>
      <w:r w:rsidRPr="002374EC">
        <w:rPr>
          <w:rFonts w:ascii="Arial" w:hAnsi="Arial" w:cs="Arial"/>
          <w:i/>
          <w:iCs/>
          <w:sz w:val="22"/>
          <w:szCs w:val="22"/>
        </w:rPr>
        <w:t>PLOS ONE</w:t>
      </w:r>
      <w:r w:rsidRPr="002374EC">
        <w:rPr>
          <w:rFonts w:ascii="Arial" w:hAnsi="Arial" w:cs="Arial"/>
          <w:sz w:val="22"/>
          <w:szCs w:val="22"/>
        </w:rPr>
        <w:t>, 19(5), p. e0304470.</w:t>
      </w:r>
    </w:p>
    <w:p w14:paraId="4824E916" w14:textId="7F30C131"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Biddle, L., Donovan, J., Sharp, D. and Gunnell, D. (2007) 'Explaining non-help-seeking amongst young adults with mental distress: a dynamic interpretive model of illness behaviour', </w:t>
      </w:r>
      <w:r w:rsidRPr="002374EC">
        <w:rPr>
          <w:rStyle w:val="Emphasis"/>
          <w:rFonts w:ascii="Arial" w:hAnsi="Arial" w:cs="Arial"/>
          <w:sz w:val="22"/>
          <w:szCs w:val="22"/>
        </w:rPr>
        <w:t>Sociology of Health &amp; Illness</w:t>
      </w:r>
      <w:r w:rsidRPr="002374EC">
        <w:rPr>
          <w:rFonts w:ascii="Arial" w:hAnsi="Arial" w:cs="Arial"/>
          <w:sz w:val="22"/>
          <w:szCs w:val="22"/>
        </w:rPr>
        <w:t>, 29(7), pp. 983–1002.</w:t>
      </w:r>
    </w:p>
    <w:p w14:paraId="4B0ED0C0"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Booth, A., Sutton, A. and Papaioannou, D. (2016) </w:t>
      </w:r>
      <w:r w:rsidRPr="002374EC">
        <w:rPr>
          <w:rStyle w:val="Emphasis"/>
          <w:rFonts w:ascii="Arial" w:hAnsi="Arial" w:cs="Arial"/>
          <w:sz w:val="22"/>
          <w:szCs w:val="22"/>
        </w:rPr>
        <w:t>Systematic approaches to a successful literature review</w:t>
      </w:r>
      <w:r w:rsidRPr="002374EC">
        <w:rPr>
          <w:rFonts w:ascii="Arial" w:hAnsi="Arial" w:cs="Arial"/>
          <w:sz w:val="22"/>
          <w:szCs w:val="22"/>
        </w:rPr>
        <w:t>. 2nd edn. London: SAGE Publications.</w:t>
      </w:r>
    </w:p>
    <w:p w14:paraId="126B34D6" w14:textId="477B54C2"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Bowleg, L. (2012) 'The problem with the phrase women and minorities: intersectionality—an important theoretical framework for public health', </w:t>
      </w:r>
      <w:r w:rsidRPr="002374EC">
        <w:rPr>
          <w:rStyle w:val="Emphasis"/>
          <w:rFonts w:ascii="Arial" w:hAnsi="Arial" w:cs="Arial"/>
          <w:sz w:val="22"/>
          <w:szCs w:val="22"/>
        </w:rPr>
        <w:t>American Journal of Public Health</w:t>
      </w:r>
      <w:r w:rsidRPr="002374EC">
        <w:rPr>
          <w:rFonts w:ascii="Arial" w:hAnsi="Arial" w:cs="Arial"/>
          <w:sz w:val="22"/>
          <w:szCs w:val="22"/>
        </w:rPr>
        <w:t>, 102(7), pp. 1267–1273.</w:t>
      </w:r>
    </w:p>
    <w:p w14:paraId="35D6BC7A" w14:textId="337579E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lastRenderedPageBreak/>
        <w:t xml:space="preserve">Bramer, W.M., Rethlefsen, M.L., Kleijnen, J. and Franco, O.H. (2017) 'Optimal database combinations for literature searches in systematic reviews: a prospective exploratory study', </w:t>
      </w:r>
      <w:r w:rsidRPr="002374EC">
        <w:rPr>
          <w:rStyle w:val="Emphasis"/>
          <w:rFonts w:ascii="Arial" w:hAnsi="Arial" w:cs="Arial"/>
          <w:sz w:val="22"/>
          <w:szCs w:val="22"/>
        </w:rPr>
        <w:t>Systematic Reviews</w:t>
      </w:r>
      <w:r w:rsidRPr="002374EC">
        <w:rPr>
          <w:rFonts w:ascii="Arial" w:hAnsi="Arial" w:cs="Arial"/>
          <w:sz w:val="22"/>
          <w:szCs w:val="22"/>
        </w:rPr>
        <w:t>, 6, 245.</w:t>
      </w:r>
    </w:p>
    <w:p w14:paraId="0A0959C8" w14:textId="28DCC4E2"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Braun, V. and Clarke, V. (2006) 'Using thematic analysis in psychology', </w:t>
      </w:r>
      <w:r w:rsidRPr="002374EC">
        <w:rPr>
          <w:rStyle w:val="Emphasis"/>
          <w:rFonts w:ascii="Arial" w:hAnsi="Arial" w:cs="Arial"/>
          <w:sz w:val="22"/>
          <w:szCs w:val="22"/>
        </w:rPr>
        <w:t>Qualitative Research in Psychology</w:t>
      </w:r>
      <w:r w:rsidRPr="002374EC">
        <w:rPr>
          <w:rFonts w:ascii="Arial" w:hAnsi="Arial" w:cs="Arial"/>
          <w:sz w:val="22"/>
          <w:szCs w:val="22"/>
        </w:rPr>
        <w:t xml:space="preserve">, 3(2), pp. 77–101. </w:t>
      </w:r>
    </w:p>
    <w:p w14:paraId="23C60FBF"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Braun, V. and Clarke, V. (2022) </w:t>
      </w:r>
      <w:r w:rsidRPr="002374EC">
        <w:rPr>
          <w:rStyle w:val="Emphasis"/>
          <w:rFonts w:ascii="Arial" w:hAnsi="Arial" w:cs="Arial"/>
          <w:sz w:val="22"/>
          <w:szCs w:val="22"/>
        </w:rPr>
        <w:t>Thematic analysis: a practical guide</w:t>
      </w:r>
      <w:r w:rsidRPr="002374EC">
        <w:rPr>
          <w:rFonts w:ascii="Arial" w:hAnsi="Arial" w:cs="Arial"/>
          <w:sz w:val="22"/>
          <w:szCs w:val="22"/>
        </w:rPr>
        <w:t>. London: SAGE Publications.</w:t>
      </w:r>
    </w:p>
    <w:p w14:paraId="0056CDCF"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Bronfenbrenner, U. (1979) </w:t>
      </w:r>
      <w:r w:rsidRPr="002374EC">
        <w:rPr>
          <w:rStyle w:val="Emphasis"/>
          <w:rFonts w:ascii="Arial" w:hAnsi="Arial" w:cs="Arial"/>
          <w:sz w:val="22"/>
          <w:szCs w:val="22"/>
        </w:rPr>
        <w:t>The ecology of human development: experiments by nature and design</w:t>
      </w:r>
      <w:r w:rsidRPr="002374EC">
        <w:rPr>
          <w:rFonts w:ascii="Arial" w:hAnsi="Arial" w:cs="Arial"/>
          <w:sz w:val="22"/>
          <w:szCs w:val="22"/>
        </w:rPr>
        <w:t>. Cambridge, MA: Harvard University Press.</w:t>
      </w:r>
    </w:p>
    <w:p w14:paraId="1D223340" w14:textId="3C3794BD"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Brown, H., Gao, N. and Song, W. (2024) 'Regional trends in mental health inequalities in young people aged 16–25 in the UK and the role of cuts to local government expenditure: repeated cross-sectional analysis using the British Household Panel Survey/UK Household Longitudinal Survey', </w:t>
      </w:r>
      <w:r w:rsidRPr="002374EC">
        <w:rPr>
          <w:rStyle w:val="Emphasis"/>
          <w:rFonts w:ascii="Arial" w:hAnsi="Arial" w:cs="Arial"/>
          <w:sz w:val="22"/>
          <w:szCs w:val="22"/>
        </w:rPr>
        <w:t>Social Science &amp; Medicine</w:t>
      </w:r>
      <w:r w:rsidRPr="002374EC">
        <w:rPr>
          <w:rFonts w:ascii="Arial" w:hAnsi="Arial" w:cs="Arial"/>
          <w:sz w:val="22"/>
          <w:szCs w:val="22"/>
        </w:rPr>
        <w:t>, 353, 117068.</w:t>
      </w:r>
    </w:p>
    <w:p w14:paraId="4414E8CE" w14:textId="16BDCEF1" w:rsidR="001004D8" w:rsidRPr="002374EC" w:rsidRDefault="00571B15"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Buckman, J. E. J., Stott, J., Main, N., Antonie, D. M., Singh, S., Naqvi, S. A., Aguirre, E., Wheatley, J., Cirkovic, M., Leibowitz, J., Cape, J., Pilling, S. and Saunders, R. (2023) ‘Understanding the psychological therapy treatment outcomes for young adults who are not in education, employment, or training (NEET), moderators of outcomes, and what might be done to improve them’, </w:t>
      </w:r>
      <w:r w:rsidRPr="002374EC">
        <w:rPr>
          <w:rFonts w:ascii="Arial" w:hAnsi="Arial" w:cs="Arial"/>
          <w:i/>
          <w:iCs/>
          <w:sz w:val="22"/>
          <w:szCs w:val="22"/>
        </w:rPr>
        <w:t>Psychological Medicine</w:t>
      </w:r>
      <w:r w:rsidRPr="002374EC">
        <w:rPr>
          <w:rFonts w:ascii="Arial" w:hAnsi="Arial" w:cs="Arial"/>
          <w:sz w:val="22"/>
          <w:szCs w:val="22"/>
        </w:rPr>
        <w:t>, 53(7), pp. 2808–2819.</w:t>
      </w:r>
    </w:p>
    <w:p w14:paraId="713404CB" w14:textId="731AB07B"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Burns, T., Yeeles, K., Langford, O., Vazquez Montes, M., Burgess, J. and Anderson, C. (2015) 'A randomised controlled trial of time-limited individual placement and support: IPS-LITE trial', </w:t>
      </w:r>
      <w:r w:rsidRPr="002374EC">
        <w:rPr>
          <w:rStyle w:val="Emphasis"/>
          <w:rFonts w:ascii="Arial" w:hAnsi="Arial" w:cs="Arial"/>
          <w:sz w:val="22"/>
          <w:szCs w:val="22"/>
        </w:rPr>
        <w:t>The British Journal of Psychiatry</w:t>
      </w:r>
      <w:r w:rsidRPr="002374EC">
        <w:rPr>
          <w:rFonts w:ascii="Arial" w:hAnsi="Arial" w:cs="Arial"/>
          <w:sz w:val="22"/>
          <w:szCs w:val="22"/>
        </w:rPr>
        <w:t>, 207(4), pp. 351–356.</w:t>
      </w:r>
    </w:p>
    <w:p w14:paraId="73A8D767" w14:textId="0238941E"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Bynner, J. and Parsons, S. (2002) 'Social exclusion and the transition from school to work: the case of young people not in education, employment, or training (NEET)', </w:t>
      </w:r>
      <w:r w:rsidRPr="002374EC">
        <w:rPr>
          <w:rStyle w:val="Emphasis"/>
          <w:rFonts w:ascii="Arial" w:hAnsi="Arial" w:cs="Arial"/>
          <w:sz w:val="22"/>
          <w:szCs w:val="22"/>
        </w:rPr>
        <w:t>Journal of Vocational Behavior</w:t>
      </w:r>
      <w:r w:rsidRPr="002374EC">
        <w:rPr>
          <w:rFonts w:ascii="Arial" w:hAnsi="Arial" w:cs="Arial"/>
          <w:sz w:val="22"/>
          <w:szCs w:val="22"/>
        </w:rPr>
        <w:t xml:space="preserve">, 60(2), pp. 289–309. </w:t>
      </w:r>
    </w:p>
    <w:p w14:paraId="2F5C8DC5" w14:textId="1F1E5DAD"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Care Quality Commission (2025) </w:t>
      </w:r>
      <w:r w:rsidRPr="002374EC">
        <w:rPr>
          <w:rStyle w:val="Emphasis"/>
          <w:rFonts w:ascii="Arial" w:hAnsi="Arial" w:cs="Arial"/>
          <w:sz w:val="22"/>
          <w:szCs w:val="22"/>
        </w:rPr>
        <w:t>The state of health care and adult social care in England 2024/25: mental health</w:t>
      </w:r>
      <w:r w:rsidRPr="002374EC">
        <w:rPr>
          <w:rFonts w:ascii="Arial" w:hAnsi="Arial" w:cs="Arial"/>
          <w:sz w:val="22"/>
          <w:szCs w:val="22"/>
        </w:rPr>
        <w:t xml:space="preserve">. London: Care Quality Commission. Available at: </w:t>
      </w:r>
      <w:hyperlink r:id="rId19" w:history="1">
        <w:r w:rsidRPr="002374EC">
          <w:rPr>
            <w:rStyle w:val="Hyperlink"/>
            <w:rFonts w:ascii="Arial" w:hAnsi="Arial" w:cs="Arial"/>
            <w:color w:val="auto"/>
            <w:sz w:val="22"/>
            <w:szCs w:val="22"/>
          </w:rPr>
          <w:t>https://www.cqc.org.uk/publications/major-report/state-care/2024-2025/access/mh</w:t>
        </w:r>
      </w:hyperlink>
      <w:r w:rsidRPr="002374EC">
        <w:rPr>
          <w:rFonts w:ascii="Arial" w:hAnsi="Arial" w:cs="Arial"/>
          <w:sz w:val="22"/>
          <w:szCs w:val="22"/>
        </w:rPr>
        <w:t xml:space="preserve"> (Accessed: 2 </w:t>
      </w:r>
      <w:r w:rsidR="00826838" w:rsidRPr="002374EC">
        <w:rPr>
          <w:rFonts w:ascii="Arial" w:hAnsi="Arial" w:cs="Arial"/>
          <w:sz w:val="22"/>
          <w:szCs w:val="22"/>
        </w:rPr>
        <w:t>January</w:t>
      </w:r>
      <w:r w:rsidRPr="002374EC">
        <w:rPr>
          <w:rFonts w:ascii="Arial" w:hAnsi="Arial" w:cs="Arial"/>
          <w:sz w:val="22"/>
          <w:szCs w:val="22"/>
        </w:rPr>
        <w:t xml:space="preserve"> 2026).</w:t>
      </w:r>
    </w:p>
    <w:p w14:paraId="0CB78215" w14:textId="3F8DA35A"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Clement, S., Schauman, O., Graham, T., Maggioni, F., Evans-Lacko, S., Bezborodovs, N., Morgan, C., Rüsch, N., Brown, J.S.L. and Thornicroft, G. (2015) 'What is the impact of mental health-related stigma on help-seeking? A systematic review of quantitative and qualitative studies', </w:t>
      </w:r>
      <w:r w:rsidRPr="002374EC">
        <w:rPr>
          <w:rStyle w:val="Emphasis"/>
          <w:rFonts w:ascii="Arial" w:hAnsi="Arial" w:cs="Arial"/>
          <w:sz w:val="22"/>
          <w:szCs w:val="22"/>
        </w:rPr>
        <w:t>Psychological Medicine</w:t>
      </w:r>
      <w:r w:rsidRPr="002374EC">
        <w:rPr>
          <w:rFonts w:ascii="Arial" w:hAnsi="Arial" w:cs="Arial"/>
          <w:sz w:val="22"/>
          <w:szCs w:val="22"/>
        </w:rPr>
        <w:t>, 45(1), pp. 11–27.</w:t>
      </w:r>
    </w:p>
    <w:p w14:paraId="770605FD" w14:textId="6A970554"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lastRenderedPageBreak/>
        <w:t xml:space="preserve">Corrigan, P.W., Druss, B.G. and Perlick, D.A. (2014) 'The impact of mental illness stigma on seeking and participating in mental health care', </w:t>
      </w:r>
      <w:r w:rsidRPr="002374EC">
        <w:rPr>
          <w:rStyle w:val="Emphasis"/>
          <w:rFonts w:ascii="Arial" w:hAnsi="Arial" w:cs="Arial"/>
          <w:sz w:val="22"/>
          <w:szCs w:val="22"/>
        </w:rPr>
        <w:t>Psychological Science in the Public Interest</w:t>
      </w:r>
      <w:r w:rsidRPr="002374EC">
        <w:rPr>
          <w:rFonts w:ascii="Arial" w:hAnsi="Arial" w:cs="Arial"/>
          <w:sz w:val="22"/>
          <w:szCs w:val="22"/>
        </w:rPr>
        <w:t>, 15(2), pp. 37–70.</w:t>
      </w:r>
    </w:p>
    <w:p w14:paraId="3D20BB1D"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Crenshaw, K. (1989) 'Demarginalizing the intersection of race and sex: a Black feminist critique of antidiscrimination doctrine, feminist theory and antiracist politics', </w:t>
      </w:r>
      <w:r w:rsidRPr="002374EC">
        <w:rPr>
          <w:rStyle w:val="Emphasis"/>
          <w:rFonts w:ascii="Arial" w:hAnsi="Arial" w:cs="Arial"/>
          <w:sz w:val="22"/>
          <w:szCs w:val="22"/>
        </w:rPr>
        <w:t>University of Chicago Legal Forum</w:t>
      </w:r>
      <w:r w:rsidRPr="002374EC">
        <w:rPr>
          <w:rFonts w:ascii="Arial" w:hAnsi="Arial" w:cs="Arial"/>
          <w:sz w:val="22"/>
          <w:szCs w:val="22"/>
        </w:rPr>
        <w:t>, 1989(1), pp. 139–167.</w:t>
      </w:r>
    </w:p>
    <w:p w14:paraId="2BB71949"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Creswell, J.W. and Poth, C.N. (2018) </w:t>
      </w:r>
      <w:r w:rsidRPr="002374EC">
        <w:rPr>
          <w:rStyle w:val="Emphasis"/>
          <w:rFonts w:ascii="Arial" w:hAnsi="Arial" w:cs="Arial"/>
          <w:sz w:val="22"/>
          <w:szCs w:val="22"/>
        </w:rPr>
        <w:t>Qualitative inquiry and research design: choosing among five approaches</w:t>
      </w:r>
      <w:r w:rsidRPr="002374EC">
        <w:rPr>
          <w:rFonts w:ascii="Arial" w:hAnsi="Arial" w:cs="Arial"/>
          <w:sz w:val="22"/>
          <w:szCs w:val="22"/>
        </w:rPr>
        <w:t>. 4th edn. Los Angeles: SAGE Publications.</w:t>
      </w:r>
    </w:p>
    <w:p w14:paraId="2A51BF84" w14:textId="71D71602"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Critical Appraisal Skills Programme (CASP) (2024) </w:t>
      </w:r>
      <w:r w:rsidRPr="002374EC">
        <w:rPr>
          <w:rStyle w:val="Emphasis"/>
          <w:rFonts w:ascii="Arial" w:hAnsi="Arial" w:cs="Arial"/>
          <w:sz w:val="22"/>
          <w:szCs w:val="22"/>
        </w:rPr>
        <w:t>CASP checklists</w:t>
      </w:r>
      <w:r w:rsidRPr="002374EC">
        <w:rPr>
          <w:rFonts w:ascii="Arial" w:hAnsi="Arial" w:cs="Arial"/>
          <w:sz w:val="22"/>
          <w:szCs w:val="22"/>
        </w:rPr>
        <w:t xml:space="preserve">. Oxford: CASP UK. Available at: </w:t>
      </w:r>
      <w:hyperlink r:id="rId20" w:history="1">
        <w:r w:rsidRPr="002374EC">
          <w:rPr>
            <w:rStyle w:val="Hyperlink"/>
            <w:rFonts w:ascii="Arial" w:hAnsi="Arial" w:cs="Arial"/>
            <w:color w:val="auto"/>
            <w:sz w:val="22"/>
            <w:szCs w:val="22"/>
          </w:rPr>
          <w:t>https://casp-uk.net/casp-tools-checklists/</w:t>
        </w:r>
      </w:hyperlink>
      <w:r w:rsidRPr="002374EC">
        <w:rPr>
          <w:rFonts w:ascii="Arial" w:hAnsi="Arial" w:cs="Arial"/>
          <w:sz w:val="22"/>
          <w:szCs w:val="22"/>
        </w:rPr>
        <w:t xml:space="preserve"> (Accessed: </w:t>
      </w:r>
      <w:r w:rsidR="00826838" w:rsidRPr="002374EC">
        <w:rPr>
          <w:rFonts w:ascii="Arial" w:hAnsi="Arial" w:cs="Arial"/>
          <w:sz w:val="22"/>
          <w:szCs w:val="22"/>
        </w:rPr>
        <w:t>8</w:t>
      </w:r>
      <w:r w:rsidRPr="002374EC">
        <w:rPr>
          <w:rFonts w:ascii="Arial" w:hAnsi="Arial" w:cs="Arial"/>
          <w:sz w:val="22"/>
          <w:szCs w:val="22"/>
        </w:rPr>
        <w:t xml:space="preserve"> </w:t>
      </w:r>
      <w:r w:rsidR="00826838" w:rsidRPr="002374EC">
        <w:rPr>
          <w:rFonts w:ascii="Arial" w:hAnsi="Arial" w:cs="Arial"/>
          <w:sz w:val="22"/>
          <w:szCs w:val="22"/>
        </w:rPr>
        <w:t>November</w:t>
      </w:r>
      <w:r w:rsidRPr="002374EC">
        <w:rPr>
          <w:rFonts w:ascii="Arial" w:hAnsi="Arial" w:cs="Arial"/>
          <w:sz w:val="22"/>
          <w:szCs w:val="22"/>
        </w:rPr>
        <w:t xml:space="preserve"> 202</w:t>
      </w:r>
      <w:r w:rsidR="00826838" w:rsidRPr="002374EC">
        <w:rPr>
          <w:rFonts w:ascii="Arial" w:hAnsi="Arial" w:cs="Arial"/>
          <w:sz w:val="22"/>
          <w:szCs w:val="22"/>
        </w:rPr>
        <w:t>5</w:t>
      </w:r>
      <w:r w:rsidRPr="002374EC">
        <w:rPr>
          <w:rFonts w:ascii="Arial" w:hAnsi="Arial" w:cs="Arial"/>
          <w:sz w:val="22"/>
          <w:szCs w:val="22"/>
        </w:rPr>
        <w:t>).</w:t>
      </w:r>
    </w:p>
    <w:p w14:paraId="1D2CF50F" w14:textId="7F3070A5"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de Haan, A.M., Boon, A.E., de Jong, F.T., Hoeve, M. and Vermeiren, R.R. (2013) 'A meta-analytic review on treatment dropout in child and adolescent outpatient mental health care', </w:t>
      </w:r>
      <w:r w:rsidRPr="002374EC">
        <w:rPr>
          <w:rStyle w:val="Emphasis"/>
          <w:rFonts w:ascii="Arial" w:hAnsi="Arial" w:cs="Arial"/>
          <w:sz w:val="22"/>
          <w:szCs w:val="22"/>
        </w:rPr>
        <w:t>Clinical Psychology Review</w:t>
      </w:r>
      <w:r w:rsidRPr="002374EC">
        <w:rPr>
          <w:rFonts w:ascii="Arial" w:hAnsi="Arial" w:cs="Arial"/>
          <w:sz w:val="22"/>
          <w:szCs w:val="22"/>
        </w:rPr>
        <w:t xml:space="preserve">, 33(5), pp. 698–711. </w:t>
      </w:r>
    </w:p>
    <w:p w14:paraId="60C20C93" w14:textId="7F8DDCA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Department for Education (2025) </w:t>
      </w:r>
      <w:r w:rsidRPr="002374EC">
        <w:rPr>
          <w:rStyle w:val="Emphasis"/>
          <w:rFonts w:ascii="Arial" w:hAnsi="Arial" w:cs="Arial"/>
          <w:sz w:val="22"/>
          <w:szCs w:val="22"/>
        </w:rPr>
        <w:t>NEET age 16 to 24, calendar year 2024</w:t>
      </w:r>
      <w:r w:rsidRPr="002374EC">
        <w:rPr>
          <w:rFonts w:ascii="Arial" w:hAnsi="Arial" w:cs="Arial"/>
          <w:sz w:val="22"/>
          <w:szCs w:val="22"/>
        </w:rPr>
        <w:t xml:space="preserve">. Official Statistics in Development. London: Department for Education. Available at: </w:t>
      </w:r>
      <w:hyperlink r:id="rId21" w:history="1">
        <w:r w:rsidRPr="002374EC">
          <w:rPr>
            <w:rStyle w:val="Hyperlink"/>
            <w:rFonts w:ascii="Arial" w:hAnsi="Arial" w:cs="Arial"/>
            <w:color w:val="auto"/>
            <w:sz w:val="22"/>
            <w:szCs w:val="22"/>
          </w:rPr>
          <w:t>https://explore-education-statistics.service.gov.uk/find-statistics/neet-statistics-annual-brief/2024</w:t>
        </w:r>
      </w:hyperlink>
      <w:r w:rsidRPr="002374EC">
        <w:rPr>
          <w:rFonts w:ascii="Arial" w:hAnsi="Arial" w:cs="Arial"/>
          <w:sz w:val="22"/>
          <w:szCs w:val="22"/>
        </w:rPr>
        <w:t xml:space="preserve"> (Accessed: 2 </w:t>
      </w:r>
      <w:r w:rsidR="00826838" w:rsidRPr="002374EC">
        <w:rPr>
          <w:rFonts w:ascii="Arial" w:hAnsi="Arial" w:cs="Arial"/>
          <w:sz w:val="22"/>
          <w:szCs w:val="22"/>
        </w:rPr>
        <w:t xml:space="preserve">November </w:t>
      </w:r>
      <w:r w:rsidRPr="002374EC">
        <w:rPr>
          <w:rFonts w:ascii="Arial" w:hAnsi="Arial" w:cs="Arial"/>
          <w:sz w:val="22"/>
          <w:szCs w:val="22"/>
        </w:rPr>
        <w:t>202</w:t>
      </w:r>
      <w:r w:rsidR="00826838" w:rsidRPr="002374EC">
        <w:rPr>
          <w:rFonts w:ascii="Arial" w:hAnsi="Arial" w:cs="Arial"/>
          <w:sz w:val="22"/>
          <w:szCs w:val="22"/>
        </w:rPr>
        <w:t>5</w:t>
      </w:r>
      <w:r w:rsidRPr="002374EC">
        <w:rPr>
          <w:rFonts w:ascii="Arial" w:hAnsi="Arial" w:cs="Arial"/>
          <w:sz w:val="22"/>
          <w:szCs w:val="22"/>
        </w:rPr>
        <w:t>).</w:t>
      </w:r>
    </w:p>
    <w:p w14:paraId="0F695239" w14:textId="2200CEB9"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Department for Work and Pensions (2025) </w:t>
      </w:r>
      <w:r w:rsidRPr="002374EC">
        <w:rPr>
          <w:rStyle w:val="Emphasis"/>
          <w:rFonts w:ascii="Arial" w:hAnsi="Arial" w:cs="Arial"/>
          <w:sz w:val="22"/>
          <w:szCs w:val="22"/>
        </w:rPr>
        <w:t>Pathways to work: reforming benefits and support to get Britain working</w:t>
      </w:r>
      <w:r w:rsidRPr="002374EC">
        <w:rPr>
          <w:rFonts w:ascii="Arial" w:hAnsi="Arial" w:cs="Arial"/>
          <w:sz w:val="22"/>
          <w:szCs w:val="22"/>
        </w:rPr>
        <w:t xml:space="preserve">. Green Paper, Cm 1297. London: Department for Work and Pensions. Available at: </w:t>
      </w:r>
      <w:hyperlink r:id="rId22" w:history="1">
        <w:r w:rsidRPr="002374EC">
          <w:rPr>
            <w:rStyle w:val="Hyperlink"/>
            <w:rFonts w:ascii="Arial" w:hAnsi="Arial" w:cs="Arial"/>
            <w:color w:val="auto"/>
            <w:sz w:val="22"/>
            <w:szCs w:val="22"/>
          </w:rPr>
          <w:t>https://www.gov.uk/government/consultations/pathways-to-work-reforming-benefits-and-support-to-get-britain-working-green-paper</w:t>
        </w:r>
      </w:hyperlink>
      <w:r w:rsidRPr="002374EC">
        <w:rPr>
          <w:rFonts w:ascii="Arial" w:hAnsi="Arial" w:cs="Arial"/>
          <w:sz w:val="22"/>
          <w:szCs w:val="22"/>
        </w:rPr>
        <w:t xml:space="preserve"> (Accessed: </w:t>
      </w:r>
      <w:r w:rsidR="00826838" w:rsidRPr="002374EC">
        <w:rPr>
          <w:rFonts w:ascii="Arial" w:hAnsi="Arial" w:cs="Arial"/>
          <w:sz w:val="22"/>
          <w:szCs w:val="22"/>
        </w:rPr>
        <w:t>5</w:t>
      </w:r>
      <w:r w:rsidRPr="002374EC">
        <w:rPr>
          <w:rFonts w:ascii="Arial" w:hAnsi="Arial" w:cs="Arial"/>
          <w:sz w:val="22"/>
          <w:szCs w:val="22"/>
        </w:rPr>
        <w:t xml:space="preserve"> </w:t>
      </w:r>
      <w:r w:rsidR="00826838" w:rsidRPr="002374EC">
        <w:rPr>
          <w:rFonts w:ascii="Arial" w:hAnsi="Arial" w:cs="Arial"/>
          <w:sz w:val="22"/>
          <w:szCs w:val="22"/>
        </w:rPr>
        <w:t xml:space="preserve">November </w:t>
      </w:r>
      <w:r w:rsidRPr="002374EC">
        <w:rPr>
          <w:rFonts w:ascii="Arial" w:hAnsi="Arial" w:cs="Arial"/>
          <w:sz w:val="22"/>
          <w:szCs w:val="22"/>
        </w:rPr>
        <w:t>202</w:t>
      </w:r>
      <w:r w:rsidR="00826838" w:rsidRPr="002374EC">
        <w:rPr>
          <w:rFonts w:ascii="Arial" w:hAnsi="Arial" w:cs="Arial"/>
          <w:sz w:val="22"/>
          <w:szCs w:val="22"/>
        </w:rPr>
        <w:t>5</w:t>
      </w:r>
      <w:r w:rsidRPr="002374EC">
        <w:rPr>
          <w:rFonts w:ascii="Arial" w:hAnsi="Arial" w:cs="Arial"/>
          <w:sz w:val="22"/>
          <w:szCs w:val="22"/>
        </w:rPr>
        <w:t>).</w:t>
      </w:r>
    </w:p>
    <w:p w14:paraId="568420FC" w14:textId="7AC8F7C0"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Department of Health and Social Care (2023) </w:t>
      </w:r>
      <w:r w:rsidRPr="002374EC">
        <w:rPr>
          <w:rStyle w:val="Emphasis"/>
          <w:rFonts w:ascii="Arial" w:hAnsi="Arial" w:cs="Arial"/>
          <w:sz w:val="22"/>
          <w:szCs w:val="22"/>
        </w:rPr>
        <w:t>Suicide prevention in England: 5-year cross-sector strategy</w:t>
      </w:r>
      <w:r w:rsidRPr="002374EC">
        <w:rPr>
          <w:rFonts w:ascii="Arial" w:hAnsi="Arial" w:cs="Arial"/>
          <w:sz w:val="22"/>
          <w:szCs w:val="22"/>
        </w:rPr>
        <w:t xml:space="preserve">. London: HM Government. Available at: </w:t>
      </w:r>
      <w:hyperlink r:id="rId23" w:history="1">
        <w:r w:rsidRPr="002374EC">
          <w:rPr>
            <w:rStyle w:val="Hyperlink"/>
            <w:rFonts w:ascii="Arial" w:hAnsi="Arial" w:cs="Arial"/>
            <w:color w:val="auto"/>
            <w:sz w:val="22"/>
            <w:szCs w:val="22"/>
          </w:rPr>
          <w:t>https://www.gov.uk/government/publications/suicide-prevention-strategy-for-england-2023-to-2028</w:t>
        </w:r>
      </w:hyperlink>
      <w:r w:rsidRPr="002374EC">
        <w:rPr>
          <w:rFonts w:ascii="Arial" w:hAnsi="Arial" w:cs="Arial"/>
          <w:sz w:val="22"/>
          <w:szCs w:val="22"/>
        </w:rPr>
        <w:t xml:space="preserve"> (Accessed:</w:t>
      </w:r>
      <w:r w:rsidR="00826838" w:rsidRPr="002374EC">
        <w:rPr>
          <w:rFonts w:ascii="Arial" w:hAnsi="Arial" w:cs="Arial"/>
          <w:sz w:val="22"/>
          <w:szCs w:val="22"/>
        </w:rPr>
        <w:t xml:space="preserve"> 1</w:t>
      </w:r>
      <w:r w:rsidRPr="002374EC">
        <w:rPr>
          <w:rFonts w:ascii="Arial" w:hAnsi="Arial" w:cs="Arial"/>
          <w:sz w:val="22"/>
          <w:szCs w:val="22"/>
        </w:rPr>
        <w:t xml:space="preserve"> </w:t>
      </w:r>
      <w:r w:rsidR="00826838" w:rsidRPr="002374EC">
        <w:rPr>
          <w:rFonts w:ascii="Arial" w:hAnsi="Arial" w:cs="Arial"/>
          <w:sz w:val="22"/>
          <w:szCs w:val="22"/>
        </w:rPr>
        <w:t xml:space="preserve">November </w:t>
      </w:r>
      <w:r w:rsidRPr="002374EC">
        <w:rPr>
          <w:rFonts w:ascii="Arial" w:hAnsi="Arial" w:cs="Arial"/>
          <w:sz w:val="22"/>
          <w:szCs w:val="22"/>
        </w:rPr>
        <w:t>202</w:t>
      </w:r>
      <w:r w:rsidR="00826838" w:rsidRPr="002374EC">
        <w:rPr>
          <w:rFonts w:ascii="Arial" w:hAnsi="Arial" w:cs="Arial"/>
          <w:sz w:val="22"/>
          <w:szCs w:val="22"/>
        </w:rPr>
        <w:t>5</w:t>
      </w:r>
      <w:r w:rsidRPr="002374EC">
        <w:rPr>
          <w:rFonts w:ascii="Arial" w:hAnsi="Arial" w:cs="Arial"/>
          <w:sz w:val="22"/>
          <w:szCs w:val="22"/>
        </w:rPr>
        <w:t>).</w:t>
      </w:r>
    </w:p>
    <w:p w14:paraId="25F239F1" w14:textId="3C7BB9E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Department of Health and Social Care (2024) </w:t>
      </w:r>
      <w:r w:rsidRPr="002374EC">
        <w:rPr>
          <w:rStyle w:val="Emphasis"/>
          <w:rFonts w:ascii="Arial" w:hAnsi="Arial" w:cs="Arial"/>
          <w:sz w:val="22"/>
          <w:szCs w:val="22"/>
        </w:rPr>
        <w:t>Improving the mental health of babies, children and young people: a framework of modifiable factors</w:t>
      </w:r>
      <w:r w:rsidRPr="002374EC">
        <w:rPr>
          <w:rFonts w:ascii="Arial" w:hAnsi="Arial" w:cs="Arial"/>
          <w:sz w:val="22"/>
          <w:szCs w:val="22"/>
        </w:rPr>
        <w:t xml:space="preserve">. London: HM Government. Available at: </w:t>
      </w:r>
      <w:hyperlink r:id="rId24" w:history="1">
        <w:r w:rsidRPr="002374EC">
          <w:rPr>
            <w:rStyle w:val="Hyperlink"/>
            <w:rFonts w:ascii="Arial" w:hAnsi="Arial" w:cs="Arial"/>
            <w:color w:val="auto"/>
            <w:sz w:val="22"/>
            <w:szCs w:val="22"/>
          </w:rPr>
          <w:t>https://www.gov.uk/government/publications/improving-the-mental-health-of-babies-children-and-young-people</w:t>
        </w:r>
      </w:hyperlink>
      <w:r w:rsidRPr="002374EC">
        <w:rPr>
          <w:rFonts w:ascii="Arial" w:hAnsi="Arial" w:cs="Arial"/>
          <w:sz w:val="22"/>
          <w:szCs w:val="22"/>
        </w:rPr>
        <w:t xml:space="preserve"> (Accessed: 2 </w:t>
      </w:r>
      <w:r w:rsidR="00826838" w:rsidRPr="002374EC">
        <w:rPr>
          <w:rFonts w:ascii="Arial" w:hAnsi="Arial" w:cs="Arial"/>
          <w:sz w:val="22"/>
          <w:szCs w:val="22"/>
        </w:rPr>
        <w:t xml:space="preserve">January </w:t>
      </w:r>
      <w:r w:rsidRPr="002374EC">
        <w:rPr>
          <w:rFonts w:ascii="Arial" w:hAnsi="Arial" w:cs="Arial"/>
          <w:sz w:val="22"/>
          <w:szCs w:val="22"/>
        </w:rPr>
        <w:t>202</w:t>
      </w:r>
      <w:r w:rsidR="00826838" w:rsidRPr="002374EC">
        <w:rPr>
          <w:rFonts w:ascii="Arial" w:hAnsi="Arial" w:cs="Arial"/>
          <w:sz w:val="22"/>
          <w:szCs w:val="22"/>
        </w:rPr>
        <w:t>5</w:t>
      </w:r>
      <w:r w:rsidRPr="002374EC">
        <w:rPr>
          <w:rFonts w:ascii="Arial" w:hAnsi="Arial" w:cs="Arial"/>
          <w:sz w:val="22"/>
          <w:szCs w:val="22"/>
        </w:rPr>
        <w:t>).</w:t>
      </w:r>
    </w:p>
    <w:p w14:paraId="58A59696" w14:textId="1F0D5CA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Edbrooke-Childs, J., Calderon, A., Wolpert, M. and Fonagy, P. (2020) 'Problem severity and waiting times for young people accessing mental health services', </w:t>
      </w:r>
      <w:r w:rsidRPr="002374EC">
        <w:rPr>
          <w:rStyle w:val="Emphasis"/>
          <w:rFonts w:ascii="Arial" w:hAnsi="Arial" w:cs="Arial"/>
          <w:sz w:val="22"/>
          <w:szCs w:val="22"/>
        </w:rPr>
        <w:t>BJPsych Open</w:t>
      </w:r>
      <w:r w:rsidRPr="002374EC">
        <w:rPr>
          <w:rFonts w:ascii="Arial" w:hAnsi="Arial" w:cs="Arial"/>
          <w:sz w:val="22"/>
          <w:szCs w:val="22"/>
        </w:rPr>
        <w:t>, 6(6), e118.</w:t>
      </w:r>
    </w:p>
    <w:p w14:paraId="638ECFA2" w14:textId="5EA84649"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lastRenderedPageBreak/>
        <w:t xml:space="preserve">Eriksson, M., Ghazinour, M. and Hammarström, A. (2018) 'Different uses of Bronfenbrenner's ecological theory in public mental health research: what is their value for guiding public mental health policy and practice?', </w:t>
      </w:r>
      <w:r w:rsidRPr="002374EC">
        <w:rPr>
          <w:rStyle w:val="Emphasis"/>
          <w:rFonts w:ascii="Arial" w:hAnsi="Arial" w:cs="Arial"/>
          <w:sz w:val="22"/>
          <w:szCs w:val="22"/>
        </w:rPr>
        <w:t>Social Theory &amp; Health</w:t>
      </w:r>
      <w:r w:rsidRPr="002374EC">
        <w:rPr>
          <w:rFonts w:ascii="Arial" w:hAnsi="Arial" w:cs="Arial"/>
          <w:sz w:val="22"/>
          <w:szCs w:val="22"/>
        </w:rPr>
        <w:t xml:space="preserve">, 16(4), pp. 414–433. </w:t>
      </w:r>
    </w:p>
    <w:p w14:paraId="78C05D34"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Eurofound (2012) </w:t>
      </w:r>
      <w:r w:rsidRPr="002374EC">
        <w:rPr>
          <w:rStyle w:val="Emphasis"/>
          <w:rFonts w:ascii="Arial" w:hAnsi="Arial" w:cs="Arial"/>
          <w:sz w:val="22"/>
          <w:szCs w:val="22"/>
        </w:rPr>
        <w:t>NEETs – young people not in employment, education or training: characteristics, costs and policy responses in Europe</w:t>
      </w:r>
      <w:r w:rsidRPr="002374EC">
        <w:rPr>
          <w:rFonts w:ascii="Arial" w:hAnsi="Arial" w:cs="Arial"/>
          <w:sz w:val="22"/>
          <w:szCs w:val="22"/>
        </w:rPr>
        <w:t>. Luxembourg: Publications Office of the European Union.</w:t>
      </w:r>
    </w:p>
    <w:p w14:paraId="06C48E8D" w14:textId="49638F36"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Eurofound (2016) </w:t>
      </w:r>
      <w:r w:rsidRPr="002374EC">
        <w:rPr>
          <w:rStyle w:val="Emphasis"/>
          <w:rFonts w:ascii="Arial" w:hAnsi="Arial" w:cs="Arial"/>
          <w:sz w:val="22"/>
          <w:szCs w:val="22"/>
        </w:rPr>
        <w:t>Exploring the diversity of NEETs</w:t>
      </w:r>
      <w:r w:rsidRPr="002374EC">
        <w:rPr>
          <w:rFonts w:ascii="Arial" w:hAnsi="Arial" w:cs="Arial"/>
          <w:sz w:val="22"/>
          <w:szCs w:val="22"/>
        </w:rPr>
        <w:t xml:space="preserve">. Luxembourg: Publications Office of the European Union. </w:t>
      </w:r>
    </w:p>
    <w:p w14:paraId="3D9D7809" w14:textId="7246420E"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Frandsen, T.F., Nielsen, M.F.B., Lindhardt, C.L. and Eriksen, M.B. (2020) 'Using the full PICO model as a search tool for systematic reviews resulted in lower recall for some PICO elements', </w:t>
      </w:r>
      <w:r w:rsidRPr="002374EC">
        <w:rPr>
          <w:rStyle w:val="Emphasis"/>
          <w:rFonts w:ascii="Arial" w:hAnsi="Arial" w:cs="Arial"/>
          <w:sz w:val="22"/>
          <w:szCs w:val="22"/>
        </w:rPr>
        <w:t>Journal of Clinical Epidemiology</w:t>
      </w:r>
      <w:r w:rsidRPr="002374EC">
        <w:rPr>
          <w:rFonts w:ascii="Arial" w:hAnsi="Arial" w:cs="Arial"/>
          <w:sz w:val="22"/>
          <w:szCs w:val="22"/>
        </w:rPr>
        <w:t>, 127, pp. 69–75.</w:t>
      </w:r>
    </w:p>
    <w:p w14:paraId="5D12CFAD" w14:textId="093C28AA"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Furlong, A. (2006) 'Not a very NEET solution: representing problematic labour market transitions among early school-leavers', </w:t>
      </w:r>
      <w:r w:rsidRPr="002374EC">
        <w:rPr>
          <w:rStyle w:val="Emphasis"/>
          <w:rFonts w:ascii="Arial" w:hAnsi="Arial" w:cs="Arial"/>
          <w:sz w:val="22"/>
          <w:szCs w:val="22"/>
        </w:rPr>
        <w:t>Work, Employment and Society</w:t>
      </w:r>
      <w:r w:rsidRPr="002374EC">
        <w:rPr>
          <w:rFonts w:ascii="Arial" w:hAnsi="Arial" w:cs="Arial"/>
          <w:sz w:val="22"/>
          <w:szCs w:val="22"/>
        </w:rPr>
        <w:t xml:space="preserve">, 20(3), pp. 553–569. </w:t>
      </w:r>
    </w:p>
    <w:p w14:paraId="35B61AF5" w14:textId="46C00001"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Gariépy, G., Danna, S.M., Hawke, L., Henderson, J. and Iyer, S.N. (2022) 'The mental health of young people who are not in education, employment, or training: a systematic review and meta-analysis', </w:t>
      </w:r>
      <w:r w:rsidRPr="002374EC">
        <w:rPr>
          <w:rStyle w:val="Emphasis"/>
          <w:rFonts w:ascii="Arial" w:hAnsi="Arial" w:cs="Arial"/>
          <w:sz w:val="22"/>
          <w:szCs w:val="22"/>
        </w:rPr>
        <w:t>Social Psychiatry and Psychiatric Epidemiology</w:t>
      </w:r>
      <w:r w:rsidRPr="002374EC">
        <w:rPr>
          <w:rFonts w:ascii="Arial" w:hAnsi="Arial" w:cs="Arial"/>
          <w:sz w:val="22"/>
          <w:szCs w:val="22"/>
        </w:rPr>
        <w:t>, 57(6), pp. 1107–1121.</w:t>
      </w:r>
    </w:p>
    <w:p w14:paraId="2634ED31" w14:textId="5CAE536F"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Godin, K., Stapleton, J., Kirkpatrick, S.I., Hanning, R.M. and Leatherdale, S.T. (2015) 'Applying systematic review search methods to the grey literature: a case study examining guidelines for school-based breakfast programs in Canada', </w:t>
      </w:r>
      <w:r w:rsidRPr="002374EC">
        <w:rPr>
          <w:rStyle w:val="Emphasis"/>
          <w:rFonts w:ascii="Arial" w:hAnsi="Arial" w:cs="Arial"/>
          <w:sz w:val="22"/>
          <w:szCs w:val="22"/>
        </w:rPr>
        <w:t>Systematic Reviews</w:t>
      </w:r>
      <w:r w:rsidRPr="002374EC">
        <w:rPr>
          <w:rFonts w:ascii="Arial" w:hAnsi="Arial" w:cs="Arial"/>
          <w:sz w:val="22"/>
          <w:szCs w:val="22"/>
        </w:rPr>
        <w:t>, 4, 138.</w:t>
      </w:r>
    </w:p>
    <w:p w14:paraId="577C2F84"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Goffman, E. (1963) </w:t>
      </w:r>
      <w:r w:rsidRPr="002374EC">
        <w:rPr>
          <w:rStyle w:val="Emphasis"/>
          <w:rFonts w:ascii="Arial" w:hAnsi="Arial" w:cs="Arial"/>
          <w:sz w:val="22"/>
          <w:szCs w:val="22"/>
        </w:rPr>
        <w:t>Stigma: notes on the management of spoiled identity</w:t>
      </w:r>
      <w:r w:rsidRPr="002374EC">
        <w:rPr>
          <w:rFonts w:ascii="Arial" w:hAnsi="Arial" w:cs="Arial"/>
          <w:sz w:val="22"/>
          <w:szCs w:val="22"/>
        </w:rPr>
        <w:t>. Englewood Cliffs, NJ: Prentice-Hall.</w:t>
      </w:r>
    </w:p>
    <w:p w14:paraId="5237B611" w14:textId="2CDB532B"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Goldman-Mellor, S., Caspi, A., Arseneault, L., Ajala, N., Ambler, A., Danese, A., Fisher, H., Hucker, A., Odgers, C., Williams, T., Wong, C. and Moffitt, T.E. (2016) 'Committed to work but vulnerable: self-perceptions and mental health in NEET 18-year olds from a contemporary British cohort', </w:t>
      </w:r>
      <w:r w:rsidRPr="002374EC">
        <w:rPr>
          <w:rStyle w:val="Emphasis"/>
          <w:rFonts w:ascii="Arial" w:hAnsi="Arial" w:cs="Arial"/>
          <w:sz w:val="22"/>
          <w:szCs w:val="22"/>
        </w:rPr>
        <w:t>Journal of Child Psychology and Psychiatry</w:t>
      </w:r>
      <w:r w:rsidRPr="002374EC">
        <w:rPr>
          <w:rFonts w:ascii="Arial" w:hAnsi="Arial" w:cs="Arial"/>
          <w:sz w:val="22"/>
          <w:szCs w:val="22"/>
        </w:rPr>
        <w:t xml:space="preserve">, 57(2), pp. 196–203. </w:t>
      </w:r>
    </w:p>
    <w:p w14:paraId="3E507F38" w14:textId="5471E65F"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Gulliver, A., Griffiths, K.M. and Christensen, H. (2010) 'Perceived barriers and facilitators to mental health help-seeking in young people: a systematic review', </w:t>
      </w:r>
      <w:r w:rsidRPr="002374EC">
        <w:rPr>
          <w:rStyle w:val="Emphasis"/>
          <w:rFonts w:ascii="Arial" w:hAnsi="Arial" w:cs="Arial"/>
          <w:sz w:val="22"/>
          <w:szCs w:val="22"/>
        </w:rPr>
        <w:t>BMC Psychiatry</w:t>
      </w:r>
      <w:r w:rsidRPr="002374EC">
        <w:rPr>
          <w:rFonts w:ascii="Arial" w:hAnsi="Arial" w:cs="Arial"/>
          <w:sz w:val="22"/>
          <w:szCs w:val="22"/>
        </w:rPr>
        <w:t xml:space="preserve">, 10, 113. </w:t>
      </w:r>
    </w:p>
    <w:p w14:paraId="312D6767" w14:textId="4028FF73"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Guyatt, G.H., Oxman, A.D., Vist, G.E., Kunz, R., Falck-Ytter, Y., Alonso-Coello, P., Schünemann, H.J. and GRADE Working Group (2011) 'GRADE guidelines: 1. Introduction—GRADE evidence profiles and summary of findings tables', </w:t>
      </w:r>
      <w:r w:rsidRPr="002374EC">
        <w:rPr>
          <w:rStyle w:val="Emphasis"/>
          <w:rFonts w:ascii="Arial" w:hAnsi="Arial" w:cs="Arial"/>
          <w:sz w:val="22"/>
          <w:szCs w:val="22"/>
        </w:rPr>
        <w:t>Journal of Clinical Epidemiology</w:t>
      </w:r>
      <w:r w:rsidRPr="002374EC">
        <w:rPr>
          <w:rFonts w:ascii="Arial" w:hAnsi="Arial" w:cs="Arial"/>
          <w:sz w:val="22"/>
          <w:szCs w:val="22"/>
        </w:rPr>
        <w:t xml:space="preserve">, 64(4), pp. 383–394. </w:t>
      </w:r>
    </w:p>
    <w:p w14:paraId="35E4AF03" w14:textId="53BA5A2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lastRenderedPageBreak/>
        <w:t xml:space="preserve">Gyani, A., Shafran, R., Layard, R. and Clark, D.M. (2013) 'Enhancing recovery rates: lessons from year one of IAPT', </w:t>
      </w:r>
      <w:r w:rsidRPr="002374EC">
        <w:rPr>
          <w:rStyle w:val="Emphasis"/>
          <w:rFonts w:ascii="Arial" w:hAnsi="Arial" w:cs="Arial"/>
          <w:sz w:val="22"/>
          <w:szCs w:val="22"/>
        </w:rPr>
        <w:t>Behaviour Research and Therapy</w:t>
      </w:r>
      <w:r w:rsidRPr="002374EC">
        <w:rPr>
          <w:rFonts w:ascii="Arial" w:hAnsi="Arial" w:cs="Arial"/>
          <w:sz w:val="22"/>
          <w:szCs w:val="22"/>
        </w:rPr>
        <w:t xml:space="preserve">, 51(9), pp. 597–606. </w:t>
      </w:r>
    </w:p>
    <w:p w14:paraId="1F77DA5A" w14:textId="6893BD8B"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Higgins, J.P.T., Thomas, J., Chandler, J., Cumpston, M., Li, T., Page, M.J. and Welch, V.A. (eds.) (2024) </w:t>
      </w:r>
      <w:r w:rsidRPr="002374EC">
        <w:rPr>
          <w:rStyle w:val="Emphasis"/>
          <w:rFonts w:ascii="Arial" w:hAnsi="Arial" w:cs="Arial"/>
          <w:sz w:val="22"/>
          <w:szCs w:val="22"/>
        </w:rPr>
        <w:t>Cochrane handbook for systematic reviews of interventions version 6.5</w:t>
      </w:r>
      <w:r w:rsidRPr="002374EC">
        <w:rPr>
          <w:rFonts w:ascii="Arial" w:hAnsi="Arial" w:cs="Arial"/>
          <w:sz w:val="22"/>
          <w:szCs w:val="22"/>
        </w:rPr>
        <w:t xml:space="preserve">. Cochrane. Available at: </w:t>
      </w:r>
      <w:hyperlink r:id="rId25" w:history="1">
        <w:r w:rsidRPr="002374EC">
          <w:rPr>
            <w:rStyle w:val="Hyperlink"/>
            <w:rFonts w:ascii="Arial" w:hAnsi="Arial" w:cs="Arial"/>
            <w:color w:val="auto"/>
            <w:sz w:val="22"/>
            <w:szCs w:val="22"/>
          </w:rPr>
          <w:t>https://www.cochrane.org/handbook</w:t>
        </w:r>
      </w:hyperlink>
      <w:r w:rsidRPr="002374EC">
        <w:rPr>
          <w:rFonts w:ascii="Arial" w:hAnsi="Arial" w:cs="Arial"/>
          <w:sz w:val="22"/>
          <w:szCs w:val="22"/>
        </w:rPr>
        <w:t xml:space="preserve"> (Accessed: </w:t>
      </w:r>
      <w:r w:rsidR="002609F9" w:rsidRPr="002374EC">
        <w:rPr>
          <w:rFonts w:ascii="Arial" w:hAnsi="Arial" w:cs="Arial"/>
          <w:sz w:val="22"/>
          <w:szCs w:val="22"/>
        </w:rPr>
        <w:t xml:space="preserve">25 October </w:t>
      </w:r>
      <w:r w:rsidRPr="002374EC">
        <w:rPr>
          <w:rFonts w:ascii="Arial" w:hAnsi="Arial" w:cs="Arial"/>
          <w:sz w:val="22"/>
          <w:szCs w:val="22"/>
        </w:rPr>
        <w:t>202</w:t>
      </w:r>
      <w:r w:rsidR="002609F9" w:rsidRPr="002374EC">
        <w:rPr>
          <w:rFonts w:ascii="Arial" w:hAnsi="Arial" w:cs="Arial"/>
          <w:sz w:val="22"/>
          <w:szCs w:val="22"/>
        </w:rPr>
        <w:t>5</w:t>
      </w:r>
      <w:r w:rsidRPr="002374EC">
        <w:rPr>
          <w:rFonts w:ascii="Arial" w:hAnsi="Arial" w:cs="Arial"/>
          <w:sz w:val="22"/>
          <w:szCs w:val="22"/>
        </w:rPr>
        <w:t>).</w:t>
      </w:r>
    </w:p>
    <w:p w14:paraId="540062B2" w14:textId="4390BBC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Holding, E., Crowder, M., Woodrow, N., Griffin, N., Knights, N., Goyder, E., McKeown, R. and Fairbrother, H. (2022) 'Exploring young people's perspectives on mental health support: a qualitative study across three geographical areas in England, UK', </w:t>
      </w:r>
      <w:r w:rsidRPr="002374EC">
        <w:rPr>
          <w:rStyle w:val="Emphasis"/>
          <w:rFonts w:ascii="Arial" w:hAnsi="Arial" w:cs="Arial"/>
          <w:sz w:val="22"/>
          <w:szCs w:val="22"/>
        </w:rPr>
        <w:t>Health &amp; Social Care in the Community</w:t>
      </w:r>
      <w:r w:rsidRPr="002374EC">
        <w:rPr>
          <w:rFonts w:ascii="Arial" w:hAnsi="Arial" w:cs="Arial"/>
          <w:sz w:val="22"/>
          <w:szCs w:val="22"/>
        </w:rPr>
        <w:t xml:space="preserve">, 30(6), pp. e6366–e6375. </w:t>
      </w:r>
    </w:p>
    <w:p w14:paraId="2DD722C1" w14:textId="7BF5B04D"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Hopewell, S., McDonald, S., Clarke, M.J. and Egger, M. (2007) 'Grey literature in meta-analyses of randomized trials of health care interventions', </w:t>
      </w:r>
      <w:r w:rsidRPr="002374EC">
        <w:rPr>
          <w:rStyle w:val="Emphasis"/>
          <w:rFonts w:ascii="Arial" w:hAnsi="Arial" w:cs="Arial"/>
          <w:sz w:val="22"/>
          <w:szCs w:val="22"/>
        </w:rPr>
        <w:t>Cochrane Database of Systematic Reviews</w:t>
      </w:r>
      <w:r w:rsidRPr="002374EC">
        <w:rPr>
          <w:rFonts w:ascii="Arial" w:hAnsi="Arial" w:cs="Arial"/>
          <w:sz w:val="22"/>
          <w:szCs w:val="22"/>
        </w:rPr>
        <w:t>, MR000010.</w:t>
      </w:r>
    </w:p>
    <w:p w14:paraId="679F22F1" w14:textId="744811E8" w:rsidR="002609F9" w:rsidRPr="002374EC" w:rsidRDefault="002609F9"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Howard, L., Leese, M., McCrone, P., Rice, C., Jarrett, M., Spokes, T., Huxley, P. and Thornicroft, G. (2010) 'Randomized controlled trial of supported employment in England: 2 year follow-up of the Supported Work and Needs (SWAN) study', </w:t>
      </w:r>
      <w:r w:rsidRPr="002374EC">
        <w:rPr>
          <w:rStyle w:val="Emphasis"/>
          <w:rFonts w:ascii="Arial" w:hAnsi="Arial" w:cs="Arial"/>
          <w:sz w:val="22"/>
          <w:szCs w:val="22"/>
        </w:rPr>
        <w:t>World Psychiatry</w:t>
      </w:r>
      <w:r w:rsidRPr="002374EC">
        <w:rPr>
          <w:rFonts w:ascii="Arial" w:hAnsi="Arial" w:cs="Arial"/>
          <w:sz w:val="22"/>
          <w:szCs w:val="22"/>
        </w:rPr>
        <w:t>, 10(2), pp. 132–137.</w:t>
      </w:r>
    </w:p>
    <w:p w14:paraId="315D02A8" w14:textId="155AA8B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Iyer, S.N., Mangala, R., Anitha, J., Thara, R. and Malla, A.K. (2018) 'An examination of patient-identified goals for treatment in a first-episode programme in Chennai, India', </w:t>
      </w:r>
      <w:r w:rsidRPr="002374EC">
        <w:rPr>
          <w:rStyle w:val="Emphasis"/>
          <w:rFonts w:ascii="Arial" w:hAnsi="Arial" w:cs="Arial"/>
          <w:sz w:val="22"/>
          <w:szCs w:val="22"/>
        </w:rPr>
        <w:t>Early Intervention in Psychiatry</w:t>
      </w:r>
      <w:r w:rsidRPr="002374EC">
        <w:rPr>
          <w:rFonts w:ascii="Arial" w:hAnsi="Arial" w:cs="Arial"/>
          <w:sz w:val="22"/>
          <w:szCs w:val="22"/>
        </w:rPr>
        <w:t xml:space="preserve">, 12(3), pp. 463–472. </w:t>
      </w:r>
    </w:p>
    <w:p w14:paraId="583BB7E1" w14:textId="74AF5606"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Jorm, A.F. (2012) 'Mental health literacy: empowering the community to take action for better mental health', </w:t>
      </w:r>
      <w:r w:rsidRPr="002374EC">
        <w:rPr>
          <w:rStyle w:val="Emphasis"/>
          <w:rFonts w:ascii="Arial" w:hAnsi="Arial" w:cs="Arial"/>
          <w:sz w:val="22"/>
          <w:szCs w:val="22"/>
        </w:rPr>
        <w:t>American Psychologist</w:t>
      </w:r>
      <w:r w:rsidRPr="002374EC">
        <w:rPr>
          <w:rFonts w:ascii="Arial" w:hAnsi="Arial" w:cs="Arial"/>
          <w:sz w:val="22"/>
          <w:szCs w:val="22"/>
        </w:rPr>
        <w:t>, 67(3), pp. 231–243.</w:t>
      </w:r>
    </w:p>
    <w:p w14:paraId="060A0C35" w14:textId="3E641DF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Kelly, C.M., Jorm, A.F. and Wright, A. (2007) 'Improving mental health literacy as a strategy to facilitate early intervention for mental disorders', </w:t>
      </w:r>
      <w:r w:rsidRPr="002374EC">
        <w:rPr>
          <w:rStyle w:val="Emphasis"/>
          <w:rFonts w:ascii="Arial" w:hAnsi="Arial" w:cs="Arial"/>
          <w:sz w:val="22"/>
          <w:szCs w:val="22"/>
        </w:rPr>
        <w:t>Medical Journal of Australia</w:t>
      </w:r>
      <w:r w:rsidRPr="002374EC">
        <w:rPr>
          <w:rFonts w:ascii="Arial" w:hAnsi="Arial" w:cs="Arial"/>
          <w:sz w:val="22"/>
          <w:szCs w:val="22"/>
        </w:rPr>
        <w:t xml:space="preserve">, 187(S7), pp. S26–S30. </w:t>
      </w:r>
    </w:p>
    <w:p w14:paraId="4A82FC15" w14:textId="60B35DFB"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Kirkbride, J.B., Anglin, D.M., Colman, I., Dykxhoorn, J., Jones, P.B., Patalay, P., Pitman, A., Soneson, E., Steare, T., Wright, T. and Griffiths, S.L. (2024) 'The social determinants of mental health and disorder: evidence, prevention and recommendations', </w:t>
      </w:r>
      <w:r w:rsidRPr="002374EC">
        <w:rPr>
          <w:rStyle w:val="Emphasis"/>
          <w:rFonts w:ascii="Arial" w:hAnsi="Arial" w:cs="Arial"/>
          <w:sz w:val="22"/>
          <w:szCs w:val="22"/>
        </w:rPr>
        <w:t>World Psychiatry</w:t>
      </w:r>
      <w:r w:rsidRPr="002374EC">
        <w:rPr>
          <w:rFonts w:ascii="Arial" w:hAnsi="Arial" w:cs="Arial"/>
          <w:sz w:val="22"/>
          <w:szCs w:val="22"/>
        </w:rPr>
        <w:t xml:space="preserve">, 23(1), pp. 58–90. </w:t>
      </w:r>
    </w:p>
    <w:p w14:paraId="1E0D9FA0" w14:textId="7A5CBF2A" w:rsidR="001004D8" w:rsidRPr="002374EC" w:rsidRDefault="002609F9"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Kourgiantakis, T., Markoulakis, R., Lee, E., Hussain, A., Lau, C., Ashcroft, R., Goldstein, A.L., Kodeeswaran, S., Williams, C.C. and Levitt, A. (2023) ‘Access to mental health and addiction services for youth and their families in Ontario: perspectives of parents, youth, and service providers’, </w:t>
      </w:r>
      <w:r w:rsidRPr="002374EC">
        <w:rPr>
          <w:rFonts w:ascii="Arial" w:hAnsi="Arial" w:cs="Arial"/>
          <w:i/>
          <w:iCs/>
          <w:sz w:val="22"/>
          <w:szCs w:val="22"/>
        </w:rPr>
        <w:t>International Journal of Mental Health Systems</w:t>
      </w:r>
      <w:r w:rsidRPr="002374EC">
        <w:rPr>
          <w:rFonts w:ascii="Arial" w:hAnsi="Arial" w:cs="Arial"/>
          <w:sz w:val="22"/>
          <w:szCs w:val="22"/>
        </w:rPr>
        <w:t>, 17(1), article 4. </w:t>
      </w:r>
    </w:p>
    <w:p w14:paraId="0BB1897B" w14:textId="4C023F9D"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lastRenderedPageBreak/>
        <w:t xml:space="preserve">Levesque, J.F., Harris, M.F. and Russell, G. (2013) 'Patient-centred access to health care: conceptualising access at the interface of health systems and populations', </w:t>
      </w:r>
      <w:r w:rsidRPr="002374EC">
        <w:rPr>
          <w:rStyle w:val="Emphasis"/>
          <w:rFonts w:ascii="Arial" w:hAnsi="Arial" w:cs="Arial"/>
          <w:sz w:val="22"/>
          <w:szCs w:val="22"/>
        </w:rPr>
        <w:t>International Journal for Equity in Health</w:t>
      </w:r>
      <w:r w:rsidRPr="002374EC">
        <w:rPr>
          <w:rFonts w:ascii="Arial" w:hAnsi="Arial" w:cs="Arial"/>
          <w:sz w:val="22"/>
          <w:szCs w:val="22"/>
        </w:rPr>
        <w:t>, 12, 18.</w:t>
      </w:r>
    </w:p>
    <w:p w14:paraId="34F3EAAF" w14:textId="75C2809D"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Lewin, S., Booth, A., Glenton, C., Munthe-Kaas, H., Rashidian, A., Wainwright, M., Bohren, M.A., Tunçalp, Ö., Colvin, C.J., Garside, R., Carlsen, B., Langlois, E.V. and Noyes, J. (2018) 'Applying GRADE-CERQual to qualitative evidence synthesis findings: introduction to the series', </w:t>
      </w:r>
      <w:r w:rsidRPr="002374EC">
        <w:rPr>
          <w:rStyle w:val="Emphasis"/>
          <w:rFonts w:ascii="Arial" w:hAnsi="Arial" w:cs="Arial"/>
          <w:sz w:val="22"/>
          <w:szCs w:val="22"/>
        </w:rPr>
        <w:t>Implementation Science</w:t>
      </w:r>
      <w:r w:rsidRPr="002374EC">
        <w:rPr>
          <w:rFonts w:ascii="Arial" w:hAnsi="Arial" w:cs="Arial"/>
          <w:sz w:val="22"/>
          <w:szCs w:val="22"/>
        </w:rPr>
        <w:t>, 13(Suppl 1), 2.</w:t>
      </w:r>
    </w:p>
    <w:p w14:paraId="0C7EFB7E"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Lincoln, Y.S. and Guba, E.G. (1985) </w:t>
      </w:r>
      <w:r w:rsidRPr="002374EC">
        <w:rPr>
          <w:rStyle w:val="Emphasis"/>
          <w:rFonts w:ascii="Arial" w:hAnsi="Arial" w:cs="Arial"/>
          <w:sz w:val="22"/>
          <w:szCs w:val="22"/>
        </w:rPr>
        <w:t>Naturalistic inquiry</w:t>
      </w:r>
      <w:r w:rsidRPr="002374EC">
        <w:rPr>
          <w:rFonts w:ascii="Arial" w:hAnsi="Arial" w:cs="Arial"/>
          <w:sz w:val="22"/>
          <w:szCs w:val="22"/>
        </w:rPr>
        <w:t>. Beverly Hills, CA: SAGE Publications.</w:t>
      </w:r>
    </w:p>
    <w:p w14:paraId="7E82C1EC" w14:textId="32E948A3"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Lindblad, V., Ravn, R.L., Gaardsted, P.S., Hansen, L.E.M., Lauritzen, F.F. and Melgaard, D. (2024) 'Beyond the mind: understanding the influence of mental health on youth NEET status in Europe—a systematic literature review', </w:t>
      </w:r>
      <w:r w:rsidRPr="002374EC">
        <w:rPr>
          <w:rStyle w:val="Emphasis"/>
          <w:rFonts w:ascii="Arial" w:hAnsi="Arial" w:cs="Arial"/>
          <w:sz w:val="22"/>
          <w:szCs w:val="22"/>
        </w:rPr>
        <w:t>Journal of Adolescence</w:t>
      </w:r>
      <w:r w:rsidRPr="002374EC">
        <w:rPr>
          <w:rFonts w:ascii="Arial" w:hAnsi="Arial" w:cs="Arial"/>
          <w:sz w:val="22"/>
          <w:szCs w:val="22"/>
        </w:rPr>
        <w:t xml:space="preserve">, 96(7), pp. 1428–1444. </w:t>
      </w:r>
    </w:p>
    <w:p w14:paraId="795680EE" w14:textId="46DFC286"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Link, B.G. and Phelan, J.C. (2001) 'Conceptualizing stigma', </w:t>
      </w:r>
      <w:r w:rsidRPr="002374EC">
        <w:rPr>
          <w:rStyle w:val="Emphasis"/>
          <w:rFonts w:ascii="Arial" w:hAnsi="Arial" w:cs="Arial"/>
          <w:sz w:val="22"/>
          <w:szCs w:val="22"/>
        </w:rPr>
        <w:t>Annual Review of Sociology</w:t>
      </w:r>
      <w:r w:rsidRPr="002374EC">
        <w:rPr>
          <w:rFonts w:ascii="Arial" w:hAnsi="Arial" w:cs="Arial"/>
          <w:sz w:val="22"/>
          <w:szCs w:val="22"/>
        </w:rPr>
        <w:t>, 27, pp. 363–385.</w:t>
      </w:r>
    </w:p>
    <w:p w14:paraId="069D1098" w14:textId="768D8C5C"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Lowther-Payne, H.J., Ushakova, A., Beckwith, A., Liberty, C., Edge, R. and Lobban, F. (2023) 'Understanding inequalities in access to adult mental health services in the UK: a systematic mapping review', </w:t>
      </w:r>
      <w:r w:rsidRPr="002374EC">
        <w:rPr>
          <w:rStyle w:val="Emphasis"/>
          <w:rFonts w:ascii="Arial" w:hAnsi="Arial" w:cs="Arial"/>
          <w:sz w:val="22"/>
          <w:szCs w:val="22"/>
        </w:rPr>
        <w:t>BMC Health Services Research</w:t>
      </w:r>
      <w:r w:rsidRPr="002374EC">
        <w:rPr>
          <w:rFonts w:ascii="Arial" w:hAnsi="Arial" w:cs="Arial"/>
          <w:sz w:val="22"/>
          <w:szCs w:val="22"/>
        </w:rPr>
        <w:t>, 23, 1042.</w:t>
      </w:r>
    </w:p>
    <w:p w14:paraId="52923A82" w14:textId="6118A16D"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Låftman, S.B., Almquist, Y.B. and Östberg, V. (2021) 'Internalising and externalising problems during adolescence and the subsequent likelihood of being not in employment, education or training (NEET) among males and females: the mediating role of school performance', </w:t>
      </w:r>
      <w:r w:rsidRPr="002374EC">
        <w:rPr>
          <w:rStyle w:val="Emphasis"/>
          <w:rFonts w:ascii="Arial" w:hAnsi="Arial" w:cs="Arial"/>
          <w:sz w:val="22"/>
          <w:szCs w:val="22"/>
        </w:rPr>
        <w:t>SSM - Population Health</w:t>
      </w:r>
      <w:r w:rsidRPr="002374EC">
        <w:rPr>
          <w:rFonts w:ascii="Arial" w:hAnsi="Arial" w:cs="Arial"/>
          <w:sz w:val="22"/>
          <w:szCs w:val="22"/>
        </w:rPr>
        <w:t xml:space="preserve">, 15, 100873. </w:t>
      </w:r>
    </w:p>
    <w:p w14:paraId="4EDB7C45" w14:textId="640527C2"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Maguire, S. (2015) 'NEET, unemployed, inactive or unknown – why does it matter?', </w:t>
      </w:r>
      <w:r w:rsidRPr="002374EC">
        <w:rPr>
          <w:rStyle w:val="Emphasis"/>
          <w:rFonts w:ascii="Arial" w:hAnsi="Arial" w:cs="Arial"/>
          <w:sz w:val="22"/>
          <w:szCs w:val="22"/>
        </w:rPr>
        <w:t>Educational Research</w:t>
      </w:r>
      <w:r w:rsidRPr="002374EC">
        <w:rPr>
          <w:rFonts w:ascii="Arial" w:hAnsi="Arial" w:cs="Arial"/>
          <w:sz w:val="22"/>
          <w:szCs w:val="22"/>
        </w:rPr>
        <w:t xml:space="preserve">, 57(2), pp. 121–132. </w:t>
      </w:r>
    </w:p>
    <w:p w14:paraId="553B443F"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Marmot, M., Allen, J., Boyce, T., Goldblatt, P. and Morrison, J. (2020) </w:t>
      </w:r>
      <w:r w:rsidRPr="002374EC">
        <w:rPr>
          <w:rStyle w:val="Emphasis"/>
          <w:rFonts w:ascii="Arial" w:hAnsi="Arial" w:cs="Arial"/>
          <w:sz w:val="22"/>
          <w:szCs w:val="22"/>
        </w:rPr>
        <w:t>Health equity in England: the Marmot Review 10 years on</w:t>
      </w:r>
      <w:r w:rsidRPr="002374EC">
        <w:rPr>
          <w:rFonts w:ascii="Arial" w:hAnsi="Arial" w:cs="Arial"/>
          <w:sz w:val="22"/>
          <w:szCs w:val="22"/>
        </w:rPr>
        <w:t>. London: Institute of Health Equity.</w:t>
      </w:r>
    </w:p>
    <w:p w14:paraId="5DB61547"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Marmot, M., Allen, J., Goldblatt, P., Boyce, T., McNeish, D., Grady, M. and Geddes, I. (2010) </w:t>
      </w:r>
      <w:r w:rsidRPr="002374EC">
        <w:rPr>
          <w:rStyle w:val="Emphasis"/>
          <w:rFonts w:ascii="Arial" w:hAnsi="Arial" w:cs="Arial"/>
          <w:sz w:val="22"/>
          <w:szCs w:val="22"/>
        </w:rPr>
        <w:t>Fair society, healthy lives: the Marmot Review</w:t>
      </w:r>
      <w:r w:rsidRPr="002374EC">
        <w:rPr>
          <w:rFonts w:ascii="Arial" w:hAnsi="Arial" w:cs="Arial"/>
          <w:sz w:val="22"/>
          <w:szCs w:val="22"/>
        </w:rPr>
        <w:t>. London: Institute of Health Equity.</w:t>
      </w:r>
    </w:p>
    <w:p w14:paraId="2D5B3051"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Marmot, M., Allen, J., Goldblatt, P., Herd, E. and Morrison, J. (2024) </w:t>
      </w:r>
      <w:r w:rsidRPr="002374EC">
        <w:rPr>
          <w:rStyle w:val="Emphasis"/>
          <w:rFonts w:ascii="Arial" w:hAnsi="Arial" w:cs="Arial"/>
          <w:sz w:val="22"/>
          <w:szCs w:val="22"/>
        </w:rPr>
        <w:t>England's widening health gap: local places falling behind</w:t>
      </w:r>
      <w:r w:rsidRPr="002374EC">
        <w:rPr>
          <w:rFonts w:ascii="Arial" w:hAnsi="Arial" w:cs="Arial"/>
          <w:sz w:val="22"/>
          <w:szCs w:val="22"/>
        </w:rPr>
        <w:t>. London: UCL Institute of Health Equity.</w:t>
      </w:r>
    </w:p>
    <w:p w14:paraId="1E596001" w14:textId="69A4A8AD" w:rsidR="001004D8" w:rsidRPr="002374EC" w:rsidRDefault="00DC0F95"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Mathias, S., Tee, K., Helfrich, W., Gerty, K., Chan, G. and Barbic, S.P. (2022) ‘Foundry: Early learnings from the implementation of an integrated youth service network’, </w:t>
      </w:r>
      <w:r w:rsidRPr="002374EC">
        <w:rPr>
          <w:rFonts w:ascii="Arial" w:hAnsi="Arial" w:cs="Arial"/>
          <w:i/>
          <w:iCs/>
          <w:sz w:val="22"/>
          <w:szCs w:val="22"/>
        </w:rPr>
        <w:t>Early Intervention in Psychiatry</w:t>
      </w:r>
      <w:r w:rsidRPr="002374EC">
        <w:rPr>
          <w:rFonts w:ascii="Arial" w:hAnsi="Arial" w:cs="Arial"/>
          <w:sz w:val="22"/>
          <w:szCs w:val="22"/>
        </w:rPr>
        <w:t>, 16(4), pp. 410–418. </w:t>
      </w:r>
    </w:p>
    <w:p w14:paraId="65C4D243" w14:textId="5F0869C0"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lastRenderedPageBreak/>
        <w:t xml:space="preserve">McGowan, J., Sampson, M., Salzwedel, D.M., Cogo, E., Foerster, V. and Lefebvre, C. (2016) 'PRESS Peer Review of Electronic Search Strategies: 2015 guideline statement', </w:t>
      </w:r>
      <w:r w:rsidRPr="002374EC">
        <w:rPr>
          <w:rStyle w:val="Emphasis"/>
          <w:rFonts w:ascii="Arial" w:hAnsi="Arial" w:cs="Arial"/>
          <w:sz w:val="22"/>
          <w:szCs w:val="22"/>
        </w:rPr>
        <w:t>Journal of Clinical Epidemiology</w:t>
      </w:r>
      <w:r w:rsidRPr="002374EC">
        <w:rPr>
          <w:rFonts w:ascii="Arial" w:hAnsi="Arial" w:cs="Arial"/>
          <w:sz w:val="22"/>
          <w:szCs w:val="22"/>
        </w:rPr>
        <w:t xml:space="preserve">, 75, pp. 40–46. </w:t>
      </w:r>
    </w:p>
    <w:p w14:paraId="4AC3549E" w14:textId="1B991DF9"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McHugh, M.L. (2012) 'Interrater reliability: the kappa statistic', </w:t>
      </w:r>
      <w:r w:rsidRPr="002374EC">
        <w:rPr>
          <w:rStyle w:val="Emphasis"/>
          <w:rFonts w:ascii="Arial" w:hAnsi="Arial" w:cs="Arial"/>
          <w:sz w:val="22"/>
          <w:szCs w:val="22"/>
        </w:rPr>
        <w:t>Biochemia Medica</w:t>
      </w:r>
      <w:r w:rsidRPr="002374EC">
        <w:rPr>
          <w:rFonts w:ascii="Arial" w:hAnsi="Arial" w:cs="Arial"/>
          <w:sz w:val="22"/>
          <w:szCs w:val="22"/>
        </w:rPr>
        <w:t xml:space="preserve">, 22(3), pp. 276–282. </w:t>
      </w:r>
    </w:p>
    <w:p w14:paraId="42920A0A" w14:textId="2B8963B0"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McKenzie, J.E., Brennan, S.E., Ryan, R.E., Thomson, H.J., Johnston, R.V. and Thomas, J. (2022) 'Chapter 3: defining the criteria for including studies and how they will be grouped for the synthesis', in Higgins, J.P.T., Thomas, J., Chandler, J., Cumpston, M., Li, T., Page, M.J. and Welch, V.A. (eds.) </w:t>
      </w:r>
      <w:r w:rsidRPr="002374EC">
        <w:rPr>
          <w:rStyle w:val="Emphasis"/>
          <w:rFonts w:ascii="Arial" w:hAnsi="Arial" w:cs="Arial"/>
          <w:sz w:val="22"/>
          <w:szCs w:val="22"/>
        </w:rPr>
        <w:t>Cochrane handbook for systematic reviews of interventions version 6.3</w:t>
      </w:r>
      <w:r w:rsidRPr="002374EC">
        <w:rPr>
          <w:rFonts w:ascii="Arial" w:hAnsi="Arial" w:cs="Arial"/>
          <w:sz w:val="22"/>
          <w:szCs w:val="22"/>
        </w:rPr>
        <w:t xml:space="preserve">. Cochrane. Available at: </w:t>
      </w:r>
      <w:hyperlink r:id="rId26" w:history="1">
        <w:r w:rsidRPr="002374EC">
          <w:rPr>
            <w:rStyle w:val="Hyperlink"/>
            <w:rFonts w:ascii="Arial" w:hAnsi="Arial" w:cs="Arial"/>
            <w:color w:val="auto"/>
            <w:sz w:val="22"/>
            <w:szCs w:val="22"/>
          </w:rPr>
          <w:t>https://www.cochrane.org/handbook</w:t>
        </w:r>
      </w:hyperlink>
      <w:r w:rsidRPr="002374EC">
        <w:rPr>
          <w:rFonts w:ascii="Arial" w:hAnsi="Arial" w:cs="Arial"/>
          <w:sz w:val="22"/>
          <w:szCs w:val="22"/>
        </w:rPr>
        <w:t xml:space="preserve"> (Accessed: </w:t>
      </w:r>
      <w:r w:rsidR="00DC0F95" w:rsidRPr="002374EC">
        <w:rPr>
          <w:rFonts w:ascii="Arial" w:hAnsi="Arial" w:cs="Arial"/>
          <w:sz w:val="22"/>
          <w:szCs w:val="22"/>
        </w:rPr>
        <w:t xml:space="preserve">19 November </w:t>
      </w:r>
      <w:r w:rsidRPr="002374EC">
        <w:rPr>
          <w:rFonts w:ascii="Arial" w:hAnsi="Arial" w:cs="Arial"/>
          <w:sz w:val="22"/>
          <w:szCs w:val="22"/>
        </w:rPr>
        <w:t>202</w:t>
      </w:r>
      <w:r w:rsidR="00DC0F95" w:rsidRPr="002374EC">
        <w:rPr>
          <w:rFonts w:ascii="Arial" w:hAnsi="Arial" w:cs="Arial"/>
          <w:sz w:val="22"/>
          <w:szCs w:val="22"/>
        </w:rPr>
        <w:t>5</w:t>
      </w:r>
      <w:r w:rsidRPr="002374EC">
        <w:rPr>
          <w:rFonts w:ascii="Arial" w:hAnsi="Arial" w:cs="Arial"/>
          <w:sz w:val="22"/>
          <w:szCs w:val="22"/>
        </w:rPr>
        <w:t>).</w:t>
      </w:r>
    </w:p>
    <w:p w14:paraId="7797F6E6" w14:textId="5E21F5CF"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McLeroy, K.R., Bibeau, D., Steckler, A. and Glanz, K. (1988) 'An ecological perspective on health promotion programs', </w:t>
      </w:r>
      <w:r w:rsidRPr="002374EC">
        <w:rPr>
          <w:rStyle w:val="Emphasis"/>
          <w:rFonts w:ascii="Arial" w:hAnsi="Arial" w:cs="Arial"/>
          <w:sz w:val="22"/>
          <w:szCs w:val="22"/>
        </w:rPr>
        <w:t>Health Education Quarterly</w:t>
      </w:r>
      <w:r w:rsidRPr="002374EC">
        <w:rPr>
          <w:rFonts w:ascii="Arial" w:hAnsi="Arial" w:cs="Arial"/>
          <w:sz w:val="22"/>
          <w:szCs w:val="22"/>
        </w:rPr>
        <w:t>, 15(4), pp. 351–377.</w:t>
      </w:r>
    </w:p>
    <w:p w14:paraId="1BE7CA85" w14:textId="6EBCEBB9"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Mertz, M., Kahrass, H. and Strech, D. (2016) 'Current state of ethics literature synthesis: a systematic review of reviews', </w:t>
      </w:r>
      <w:r w:rsidRPr="002374EC">
        <w:rPr>
          <w:rStyle w:val="Emphasis"/>
          <w:rFonts w:ascii="Arial" w:hAnsi="Arial" w:cs="Arial"/>
          <w:sz w:val="22"/>
          <w:szCs w:val="22"/>
        </w:rPr>
        <w:t>BMC Medicine</w:t>
      </w:r>
      <w:r w:rsidRPr="002374EC">
        <w:rPr>
          <w:rFonts w:ascii="Arial" w:hAnsi="Arial" w:cs="Arial"/>
          <w:sz w:val="22"/>
          <w:szCs w:val="22"/>
        </w:rPr>
        <w:t>, 14(1), 152.</w:t>
      </w:r>
    </w:p>
    <w:p w14:paraId="265118A0"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Mind (2024) </w:t>
      </w:r>
      <w:r w:rsidRPr="002374EC">
        <w:rPr>
          <w:rStyle w:val="Emphasis"/>
          <w:rFonts w:ascii="Arial" w:hAnsi="Arial" w:cs="Arial"/>
          <w:sz w:val="22"/>
          <w:szCs w:val="22"/>
        </w:rPr>
        <w:t>The big mental health report</w:t>
      </w:r>
      <w:r w:rsidRPr="002374EC">
        <w:rPr>
          <w:rFonts w:ascii="Arial" w:hAnsi="Arial" w:cs="Arial"/>
          <w:sz w:val="22"/>
          <w:szCs w:val="22"/>
        </w:rPr>
        <w:t>. London: Mind.</w:t>
      </w:r>
    </w:p>
    <w:p w14:paraId="102A7078" w14:textId="0138A4E5"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Moher, D., Shamseer, L., Clarke, M., Ghersi, D., Liberati, A., Petticrew, M., Shekelle, P., Stewart, L.A. and PRISMA-P Group (2015) 'Preferred reporting items for systematic review and meta-analysis protocols (PRISMA-P) 2015 statement', </w:t>
      </w:r>
      <w:r w:rsidRPr="002374EC">
        <w:rPr>
          <w:rStyle w:val="Emphasis"/>
          <w:rFonts w:ascii="Arial" w:hAnsi="Arial" w:cs="Arial"/>
          <w:sz w:val="22"/>
          <w:szCs w:val="22"/>
        </w:rPr>
        <w:t>Systematic Reviews</w:t>
      </w:r>
      <w:r w:rsidRPr="002374EC">
        <w:rPr>
          <w:rFonts w:ascii="Arial" w:hAnsi="Arial" w:cs="Arial"/>
          <w:sz w:val="22"/>
          <w:szCs w:val="22"/>
        </w:rPr>
        <w:t>, 4(1), 1.</w:t>
      </w:r>
    </w:p>
    <w:p w14:paraId="472963DD" w14:textId="408645A0"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NHS Digital (2024) </w:t>
      </w:r>
      <w:r w:rsidRPr="002374EC">
        <w:rPr>
          <w:rStyle w:val="Emphasis"/>
          <w:rFonts w:ascii="Arial" w:hAnsi="Arial" w:cs="Arial"/>
          <w:sz w:val="22"/>
          <w:szCs w:val="22"/>
        </w:rPr>
        <w:t>NHS Talking Therapies, for anxiety and depression: annual reports, 2023-24</w:t>
      </w:r>
      <w:r w:rsidRPr="002374EC">
        <w:rPr>
          <w:rFonts w:ascii="Arial" w:hAnsi="Arial" w:cs="Arial"/>
          <w:sz w:val="22"/>
          <w:szCs w:val="22"/>
        </w:rPr>
        <w:t xml:space="preserve">. NHS England. Available at: </w:t>
      </w:r>
      <w:hyperlink r:id="rId27" w:history="1">
        <w:r w:rsidRPr="002374EC">
          <w:rPr>
            <w:rStyle w:val="Hyperlink"/>
            <w:rFonts w:ascii="Arial" w:hAnsi="Arial" w:cs="Arial"/>
            <w:color w:val="auto"/>
            <w:sz w:val="22"/>
            <w:szCs w:val="22"/>
          </w:rPr>
          <w:t>https://digital.nhs.uk/data-and-information/publications/statistical/nhs-talking-therapies-for-anxiety-and-depression-annual-reports/2023-24</w:t>
        </w:r>
      </w:hyperlink>
      <w:r w:rsidRPr="002374EC">
        <w:rPr>
          <w:rFonts w:ascii="Arial" w:hAnsi="Arial" w:cs="Arial"/>
          <w:sz w:val="22"/>
          <w:szCs w:val="22"/>
        </w:rPr>
        <w:t xml:space="preserve"> (Accessed: </w:t>
      </w:r>
      <w:r w:rsidR="0024358A" w:rsidRPr="002374EC">
        <w:rPr>
          <w:rFonts w:ascii="Arial" w:hAnsi="Arial" w:cs="Arial"/>
          <w:sz w:val="22"/>
          <w:szCs w:val="22"/>
        </w:rPr>
        <w:t>1</w:t>
      </w:r>
      <w:r w:rsidRPr="002374EC">
        <w:rPr>
          <w:rFonts w:ascii="Arial" w:hAnsi="Arial" w:cs="Arial"/>
          <w:sz w:val="22"/>
          <w:szCs w:val="22"/>
        </w:rPr>
        <w:t xml:space="preserve"> </w:t>
      </w:r>
      <w:r w:rsidR="0024358A" w:rsidRPr="002374EC">
        <w:rPr>
          <w:rFonts w:ascii="Arial" w:hAnsi="Arial" w:cs="Arial"/>
          <w:sz w:val="22"/>
          <w:szCs w:val="22"/>
        </w:rPr>
        <w:t xml:space="preserve">January </w:t>
      </w:r>
      <w:r w:rsidRPr="002374EC">
        <w:rPr>
          <w:rFonts w:ascii="Arial" w:hAnsi="Arial" w:cs="Arial"/>
          <w:sz w:val="22"/>
          <w:szCs w:val="22"/>
        </w:rPr>
        <w:t>2026).</w:t>
      </w:r>
    </w:p>
    <w:p w14:paraId="19E8FEF0"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NHS England (2019) </w:t>
      </w:r>
      <w:r w:rsidRPr="002374EC">
        <w:rPr>
          <w:rStyle w:val="Emphasis"/>
          <w:rFonts w:ascii="Arial" w:hAnsi="Arial" w:cs="Arial"/>
          <w:sz w:val="22"/>
          <w:szCs w:val="22"/>
        </w:rPr>
        <w:t>The NHS Long Term Plan</w:t>
      </w:r>
      <w:r w:rsidRPr="002374EC">
        <w:rPr>
          <w:rFonts w:ascii="Arial" w:hAnsi="Arial" w:cs="Arial"/>
          <w:sz w:val="22"/>
          <w:szCs w:val="22"/>
        </w:rPr>
        <w:t>. London: NHS England.</w:t>
      </w:r>
    </w:p>
    <w:p w14:paraId="1A88F503"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NHS England (2024) </w:t>
      </w:r>
      <w:r w:rsidRPr="002374EC">
        <w:rPr>
          <w:rStyle w:val="Emphasis"/>
          <w:rFonts w:ascii="Arial" w:hAnsi="Arial" w:cs="Arial"/>
          <w:sz w:val="22"/>
          <w:szCs w:val="22"/>
        </w:rPr>
        <w:t>Mental health access and waiting time standards</w:t>
      </w:r>
      <w:r w:rsidRPr="002374EC">
        <w:rPr>
          <w:rFonts w:ascii="Arial" w:hAnsi="Arial" w:cs="Arial"/>
          <w:sz w:val="22"/>
          <w:szCs w:val="22"/>
        </w:rPr>
        <w:t>. NHS England.</w:t>
      </w:r>
    </w:p>
    <w:p w14:paraId="132C33EF" w14:textId="35A059A0"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NHS England (2025) </w:t>
      </w:r>
      <w:r w:rsidRPr="002374EC">
        <w:rPr>
          <w:rStyle w:val="Emphasis"/>
          <w:rFonts w:ascii="Arial" w:hAnsi="Arial" w:cs="Arial"/>
          <w:sz w:val="22"/>
          <w:szCs w:val="22"/>
        </w:rPr>
        <w:t>NHS Mental Health Dashboard: Q1 2025/26</w:t>
      </w:r>
      <w:r w:rsidRPr="002374EC">
        <w:rPr>
          <w:rFonts w:ascii="Arial" w:hAnsi="Arial" w:cs="Arial"/>
          <w:sz w:val="22"/>
          <w:szCs w:val="22"/>
        </w:rPr>
        <w:t xml:space="preserve">. London: NHS England. Available at: </w:t>
      </w:r>
      <w:hyperlink r:id="rId28" w:history="1">
        <w:r w:rsidRPr="002374EC">
          <w:rPr>
            <w:rStyle w:val="Hyperlink"/>
            <w:rFonts w:ascii="Arial" w:hAnsi="Arial" w:cs="Arial"/>
            <w:color w:val="auto"/>
            <w:sz w:val="22"/>
            <w:szCs w:val="22"/>
          </w:rPr>
          <w:t>https://www.england.nhs.uk/publication/nhs-mental-health-dashboard/</w:t>
        </w:r>
      </w:hyperlink>
      <w:r w:rsidRPr="002374EC">
        <w:rPr>
          <w:rFonts w:ascii="Arial" w:hAnsi="Arial" w:cs="Arial"/>
          <w:sz w:val="22"/>
          <w:szCs w:val="22"/>
        </w:rPr>
        <w:t xml:space="preserve"> (Accessed: </w:t>
      </w:r>
      <w:r w:rsidR="0024358A" w:rsidRPr="002374EC">
        <w:rPr>
          <w:rFonts w:ascii="Arial" w:hAnsi="Arial" w:cs="Arial"/>
          <w:sz w:val="22"/>
          <w:szCs w:val="22"/>
        </w:rPr>
        <w:t>26</w:t>
      </w:r>
      <w:r w:rsidRPr="002374EC">
        <w:rPr>
          <w:rFonts w:ascii="Arial" w:hAnsi="Arial" w:cs="Arial"/>
          <w:sz w:val="22"/>
          <w:szCs w:val="22"/>
        </w:rPr>
        <w:t xml:space="preserve"> </w:t>
      </w:r>
      <w:r w:rsidR="0024358A" w:rsidRPr="002374EC">
        <w:rPr>
          <w:rFonts w:ascii="Arial" w:hAnsi="Arial" w:cs="Arial"/>
          <w:sz w:val="22"/>
          <w:szCs w:val="22"/>
        </w:rPr>
        <w:t xml:space="preserve">October </w:t>
      </w:r>
      <w:r w:rsidRPr="002374EC">
        <w:rPr>
          <w:rFonts w:ascii="Arial" w:hAnsi="Arial" w:cs="Arial"/>
          <w:sz w:val="22"/>
          <w:szCs w:val="22"/>
        </w:rPr>
        <w:t>202</w:t>
      </w:r>
      <w:r w:rsidR="0024358A" w:rsidRPr="002374EC">
        <w:rPr>
          <w:rFonts w:ascii="Arial" w:hAnsi="Arial" w:cs="Arial"/>
          <w:sz w:val="22"/>
          <w:szCs w:val="22"/>
        </w:rPr>
        <w:t>5</w:t>
      </w:r>
      <w:r w:rsidRPr="002374EC">
        <w:rPr>
          <w:rFonts w:ascii="Arial" w:hAnsi="Arial" w:cs="Arial"/>
          <w:sz w:val="22"/>
          <w:szCs w:val="22"/>
        </w:rPr>
        <w:t>).</w:t>
      </w:r>
    </w:p>
    <w:p w14:paraId="21D10203"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Noblit, G.W. and Hare, R.D. (1988) </w:t>
      </w:r>
      <w:r w:rsidRPr="002374EC">
        <w:rPr>
          <w:rStyle w:val="Emphasis"/>
          <w:rFonts w:ascii="Arial" w:hAnsi="Arial" w:cs="Arial"/>
          <w:sz w:val="22"/>
          <w:szCs w:val="22"/>
        </w:rPr>
        <w:t>Meta-ethnography: synthesizing qualitative studies</w:t>
      </w:r>
      <w:r w:rsidRPr="002374EC">
        <w:rPr>
          <w:rFonts w:ascii="Arial" w:hAnsi="Arial" w:cs="Arial"/>
          <w:sz w:val="22"/>
          <w:szCs w:val="22"/>
        </w:rPr>
        <w:t>. Qualitative Research Methods Series, Vol. 11. Newbury Park, CA: SAGE Publications.</w:t>
      </w:r>
    </w:p>
    <w:p w14:paraId="6A46EAAE" w14:textId="51D2E529"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lastRenderedPageBreak/>
        <w:t xml:space="preserve">Nuffield Trust (2025) </w:t>
      </w:r>
      <w:r w:rsidRPr="002374EC">
        <w:rPr>
          <w:rStyle w:val="Emphasis"/>
          <w:rFonts w:ascii="Arial" w:hAnsi="Arial" w:cs="Arial"/>
          <w:sz w:val="22"/>
          <w:szCs w:val="22"/>
        </w:rPr>
        <w:t>NHS Talking Therapies (IAPT) programme</w:t>
      </w:r>
      <w:r w:rsidRPr="002374EC">
        <w:rPr>
          <w:rFonts w:ascii="Arial" w:hAnsi="Arial" w:cs="Arial"/>
          <w:sz w:val="22"/>
          <w:szCs w:val="22"/>
        </w:rPr>
        <w:t xml:space="preserve">. QualityWatch. London: Nuffield Trust. Available at: </w:t>
      </w:r>
      <w:hyperlink r:id="rId29" w:history="1">
        <w:r w:rsidRPr="002374EC">
          <w:rPr>
            <w:rStyle w:val="Hyperlink"/>
            <w:rFonts w:ascii="Arial" w:hAnsi="Arial" w:cs="Arial"/>
            <w:color w:val="auto"/>
            <w:sz w:val="22"/>
            <w:szCs w:val="22"/>
          </w:rPr>
          <w:t>https://www.nuffieldtrust.org.uk/resource/improving-access-to-psychological-therapies-iapt-programme</w:t>
        </w:r>
      </w:hyperlink>
      <w:r w:rsidRPr="002374EC">
        <w:rPr>
          <w:rFonts w:ascii="Arial" w:hAnsi="Arial" w:cs="Arial"/>
          <w:sz w:val="22"/>
          <w:szCs w:val="22"/>
        </w:rPr>
        <w:t xml:space="preserve"> (Accessed: </w:t>
      </w:r>
      <w:r w:rsidR="0024358A" w:rsidRPr="002374EC">
        <w:rPr>
          <w:rFonts w:ascii="Arial" w:hAnsi="Arial" w:cs="Arial"/>
          <w:sz w:val="22"/>
          <w:szCs w:val="22"/>
        </w:rPr>
        <w:t>12December</w:t>
      </w:r>
      <w:r w:rsidRPr="002374EC">
        <w:rPr>
          <w:rFonts w:ascii="Arial" w:hAnsi="Arial" w:cs="Arial"/>
          <w:sz w:val="22"/>
          <w:szCs w:val="22"/>
        </w:rPr>
        <w:t xml:space="preserve"> 202</w:t>
      </w:r>
      <w:r w:rsidR="0024358A" w:rsidRPr="002374EC">
        <w:rPr>
          <w:rFonts w:ascii="Arial" w:hAnsi="Arial" w:cs="Arial"/>
          <w:sz w:val="22"/>
          <w:szCs w:val="22"/>
        </w:rPr>
        <w:t>5</w:t>
      </w:r>
      <w:r w:rsidRPr="002374EC">
        <w:rPr>
          <w:rFonts w:ascii="Arial" w:hAnsi="Arial" w:cs="Arial"/>
          <w:sz w:val="22"/>
          <w:szCs w:val="22"/>
        </w:rPr>
        <w:t>).</w:t>
      </w:r>
    </w:p>
    <w:p w14:paraId="3DA5FAE4" w14:textId="49858490"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O'Dea, B., Lee, R.S.C., McGorry, P.D., Hickie, I.B., Scott, J., Hermens, D.F., Amminger, G.P., Whitwell, B.G., Glozier, N. and Naismith, S.L. (2016) 'A prospective cohort study of depression course, functional disability, and NEET status in help-seeking young adults', </w:t>
      </w:r>
      <w:r w:rsidRPr="002374EC">
        <w:rPr>
          <w:rStyle w:val="Emphasis"/>
          <w:rFonts w:ascii="Arial" w:hAnsi="Arial" w:cs="Arial"/>
          <w:sz w:val="22"/>
          <w:szCs w:val="22"/>
        </w:rPr>
        <w:t>Social Psychiatry and Psychiatric Epidemiology</w:t>
      </w:r>
      <w:r w:rsidRPr="002374EC">
        <w:rPr>
          <w:rFonts w:ascii="Arial" w:hAnsi="Arial" w:cs="Arial"/>
          <w:sz w:val="22"/>
          <w:szCs w:val="22"/>
        </w:rPr>
        <w:t>, 51(10), pp. 1395–1404.</w:t>
      </w:r>
    </w:p>
    <w:p w14:paraId="2396C2F7" w14:textId="1EE1377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O'Reilly, A., Illback, R., Peiper, N., O'Keeffe, L. and Clayton, R. (2022) 'Evolution of Jigsaw – a national youth mental health service', </w:t>
      </w:r>
      <w:r w:rsidRPr="002374EC">
        <w:rPr>
          <w:rStyle w:val="Emphasis"/>
          <w:rFonts w:ascii="Arial" w:hAnsi="Arial" w:cs="Arial"/>
          <w:sz w:val="22"/>
          <w:szCs w:val="22"/>
        </w:rPr>
        <w:t>Early Intervention in Psychiatry</w:t>
      </w:r>
      <w:r w:rsidRPr="002374EC">
        <w:rPr>
          <w:rFonts w:ascii="Arial" w:hAnsi="Arial" w:cs="Arial"/>
          <w:sz w:val="22"/>
          <w:szCs w:val="22"/>
        </w:rPr>
        <w:t>, 16(3), pp. 282–289.</w:t>
      </w:r>
    </w:p>
    <w:p w14:paraId="69C231CE" w14:textId="11E83443"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Office for National Statistics (2025) </w:t>
      </w:r>
      <w:r w:rsidRPr="002374EC">
        <w:rPr>
          <w:rStyle w:val="Emphasis"/>
          <w:rFonts w:ascii="Arial" w:hAnsi="Arial" w:cs="Arial"/>
          <w:sz w:val="22"/>
          <w:szCs w:val="22"/>
        </w:rPr>
        <w:t>Young people not in education, employment or training (NEET), UK: February 2025</w:t>
      </w:r>
      <w:r w:rsidRPr="002374EC">
        <w:rPr>
          <w:rFonts w:ascii="Arial" w:hAnsi="Arial" w:cs="Arial"/>
          <w:sz w:val="22"/>
          <w:szCs w:val="22"/>
        </w:rPr>
        <w:t xml:space="preserve">. Statistical bulletin. Newport: Office for National Statistics. Available at: </w:t>
      </w:r>
      <w:hyperlink r:id="rId30" w:history="1">
        <w:r w:rsidRPr="002374EC">
          <w:rPr>
            <w:rStyle w:val="Hyperlink"/>
            <w:rFonts w:ascii="Arial" w:hAnsi="Arial" w:cs="Arial"/>
            <w:color w:val="auto"/>
            <w:sz w:val="22"/>
            <w:szCs w:val="22"/>
          </w:rPr>
          <w:t>https://www.ons.gov.uk/employmentandlabourmarket/peoplenotinwork/unemployment/bulletins/youngpeoplenotineducationemploymentortrainingneet/february2025</w:t>
        </w:r>
      </w:hyperlink>
      <w:r w:rsidRPr="002374EC">
        <w:rPr>
          <w:rFonts w:ascii="Arial" w:hAnsi="Arial" w:cs="Arial"/>
          <w:sz w:val="22"/>
          <w:szCs w:val="22"/>
        </w:rPr>
        <w:t xml:space="preserve"> (Accessed: </w:t>
      </w:r>
      <w:r w:rsidR="0024358A" w:rsidRPr="002374EC">
        <w:rPr>
          <w:rFonts w:ascii="Arial" w:hAnsi="Arial" w:cs="Arial"/>
          <w:sz w:val="22"/>
          <w:szCs w:val="22"/>
        </w:rPr>
        <w:t>21 November</w:t>
      </w:r>
      <w:r w:rsidRPr="002374EC">
        <w:rPr>
          <w:rFonts w:ascii="Arial" w:hAnsi="Arial" w:cs="Arial"/>
          <w:sz w:val="22"/>
          <w:szCs w:val="22"/>
        </w:rPr>
        <w:t xml:space="preserve"> 202</w:t>
      </w:r>
      <w:r w:rsidR="0024358A" w:rsidRPr="002374EC">
        <w:rPr>
          <w:rFonts w:ascii="Arial" w:hAnsi="Arial" w:cs="Arial"/>
          <w:sz w:val="22"/>
          <w:szCs w:val="22"/>
        </w:rPr>
        <w:t>5</w:t>
      </w:r>
      <w:r w:rsidRPr="002374EC">
        <w:rPr>
          <w:rFonts w:ascii="Arial" w:hAnsi="Arial" w:cs="Arial"/>
          <w:sz w:val="22"/>
          <w:szCs w:val="22"/>
        </w:rPr>
        <w:t>).</w:t>
      </w:r>
    </w:p>
    <w:p w14:paraId="59FD8EE4" w14:textId="5B09F67D"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2374EC">
        <w:rPr>
          <w:rStyle w:val="Emphasis"/>
          <w:rFonts w:ascii="Arial" w:hAnsi="Arial" w:cs="Arial"/>
          <w:sz w:val="22"/>
          <w:szCs w:val="22"/>
        </w:rPr>
        <w:t>BMJ</w:t>
      </w:r>
      <w:r w:rsidRPr="002374EC">
        <w:rPr>
          <w:rFonts w:ascii="Arial" w:hAnsi="Arial" w:cs="Arial"/>
          <w:sz w:val="22"/>
          <w:szCs w:val="22"/>
        </w:rPr>
        <w:t xml:space="preserve">, 372, n71. </w:t>
      </w:r>
    </w:p>
    <w:p w14:paraId="6F5F9F9C" w14:textId="6FA87306"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Paul, K.I. and Moser, K. (2009) 'Unemployment impairs mental health: meta-analyses', </w:t>
      </w:r>
      <w:r w:rsidRPr="002374EC">
        <w:rPr>
          <w:rStyle w:val="Emphasis"/>
          <w:rFonts w:ascii="Arial" w:hAnsi="Arial" w:cs="Arial"/>
          <w:sz w:val="22"/>
          <w:szCs w:val="22"/>
        </w:rPr>
        <w:t>Journal of Vocational Behavior</w:t>
      </w:r>
      <w:r w:rsidRPr="002374EC">
        <w:rPr>
          <w:rFonts w:ascii="Arial" w:hAnsi="Arial" w:cs="Arial"/>
          <w:sz w:val="22"/>
          <w:szCs w:val="22"/>
        </w:rPr>
        <w:t xml:space="preserve">, 74(3), pp. 264–282. </w:t>
      </w:r>
    </w:p>
    <w:p w14:paraId="427B1B42" w14:textId="17D6FD25"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Petticrew, M. and Roberts, H. (2006) </w:t>
      </w:r>
      <w:r w:rsidRPr="002374EC">
        <w:rPr>
          <w:rStyle w:val="Emphasis"/>
          <w:rFonts w:ascii="Arial" w:hAnsi="Arial" w:cs="Arial"/>
          <w:sz w:val="22"/>
          <w:szCs w:val="22"/>
        </w:rPr>
        <w:t>Systematic reviews in the social sciences: a practical guide</w:t>
      </w:r>
      <w:r w:rsidRPr="002374EC">
        <w:rPr>
          <w:rFonts w:ascii="Arial" w:hAnsi="Arial" w:cs="Arial"/>
          <w:sz w:val="22"/>
          <w:szCs w:val="22"/>
        </w:rPr>
        <w:t xml:space="preserve">. Oxford: Blackwell Publishing. </w:t>
      </w:r>
    </w:p>
    <w:p w14:paraId="07D188EC" w14:textId="7232EB91"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Plaistow, J., Masson, K., Koch, D., Wilson, J., Stark, R.M., Jones, P.B. and Lennox, B.R. (2014) 'Young people's views of UK mental health services', </w:t>
      </w:r>
      <w:r w:rsidRPr="002374EC">
        <w:rPr>
          <w:rStyle w:val="Emphasis"/>
          <w:rFonts w:ascii="Arial" w:hAnsi="Arial" w:cs="Arial"/>
          <w:sz w:val="22"/>
          <w:szCs w:val="22"/>
        </w:rPr>
        <w:t>Early Intervention in Psychiatry</w:t>
      </w:r>
      <w:r w:rsidRPr="002374EC">
        <w:rPr>
          <w:rFonts w:ascii="Arial" w:hAnsi="Arial" w:cs="Arial"/>
          <w:sz w:val="22"/>
          <w:szCs w:val="22"/>
        </w:rPr>
        <w:t xml:space="preserve">, 8(1), pp. 12–23. </w:t>
      </w:r>
    </w:p>
    <w:p w14:paraId="0C7E8653" w14:textId="005C1D52"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Quinlan-Davidson, M., Kiss, L., Devries, K. and Cortina-Borja, M. (2023) 'Mental health and employment experiences during the COVID-19 pandemic among a cohort of young people in Canada: a longitudinal analysis', </w:t>
      </w:r>
      <w:r w:rsidRPr="002374EC">
        <w:rPr>
          <w:rStyle w:val="Emphasis"/>
          <w:rFonts w:ascii="Arial" w:hAnsi="Arial" w:cs="Arial"/>
          <w:sz w:val="22"/>
          <w:szCs w:val="22"/>
        </w:rPr>
        <w:t>Journal of Epidemiology and Community Health</w:t>
      </w:r>
      <w:r w:rsidRPr="002374EC">
        <w:rPr>
          <w:rFonts w:ascii="Arial" w:hAnsi="Arial" w:cs="Arial"/>
          <w:sz w:val="22"/>
          <w:szCs w:val="22"/>
        </w:rPr>
        <w:t xml:space="preserve">, 77(12), pp. 772–779. </w:t>
      </w:r>
    </w:p>
    <w:p w14:paraId="6CF3E7A8" w14:textId="7AA14AD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lastRenderedPageBreak/>
        <w:t xml:space="preserve">Radez, J., Reardon, T., Creswell, C., Lawrence, P.J., Evdoka-Burton, G. and Waite, P. (2021) 'Why do children and adolescents (not) seek and access professional help for their mental health problems? A systematic review of quantitative and qualitative studies', </w:t>
      </w:r>
      <w:r w:rsidRPr="002374EC">
        <w:rPr>
          <w:rStyle w:val="Emphasis"/>
          <w:rFonts w:ascii="Arial" w:hAnsi="Arial" w:cs="Arial"/>
          <w:sz w:val="22"/>
          <w:szCs w:val="22"/>
        </w:rPr>
        <w:t>European Child &amp; Adolescent Psychiatry</w:t>
      </w:r>
      <w:r w:rsidRPr="002374EC">
        <w:rPr>
          <w:rFonts w:ascii="Arial" w:hAnsi="Arial" w:cs="Arial"/>
          <w:sz w:val="22"/>
          <w:szCs w:val="22"/>
        </w:rPr>
        <w:t xml:space="preserve">, 30(2), pp. 183–211. </w:t>
      </w:r>
    </w:p>
    <w:p w14:paraId="640AF923" w14:textId="076DA3E3"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Rickwood, D., Deane, F.P., Wilson, C.J. and Ciarrochi, J. (2005) 'Young people's help-seeking for mental health problems', </w:t>
      </w:r>
      <w:r w:rsidRPr="002374EC">
        <w:rPr>
          <w:rStyle w:val="Emphasis"/>
          <w:rFonts w:ascii="Arial" w:hAnsi="Arial" w:cs="Arial"/>
          <w:sz w:val="22"/>
          <w:szCs w:val="22"/>
        </w:rPr>
        <w:t>Australian e-Journal for the Advancement of Mental Health</w:t>
      </w:r>
      <w:r w:rsidRPr="002374EC">
        <w:rPr>
          <w:rFonts w:ascii="Arial" w:hAnsi="Arial" w:cs="Arial"/>
          <w:sz w:val="22"/>
          <w:szCs w:val="22"/>
        </w:rPr>
        <w:t xml:space="preserve">, 4(3 Suppl), pp. 218–251. </w:t>
      </w:r>
    </w:p>
    <w:p w14:paraId="14049D24" w14:textId="22C2EEFD"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Rickwood, D., Paraskakis, M., Quin, D., Hobbs, N., Ryall, V., Trethowan, J. and McGorry, P. (2019) 'Australia's innovation in youth mental health care: the headspace centre model', </w:t>
      </w:r>
      <w:r w:rsidRPr="002374EC">
        <w:rPr>
          <w:rStyle w:val="Emphasis"/>
          <w:rFonts w:ascii="Arial" w:hAnsi="Arial" w:cs="Arial"/>
          <w:sz w:val="22"/>
          <w:szCs w:val="22"/>
        </w:rPr>
        <w:t>Early Intervention in Psychiatry</w:t>
      </w:r>
      <w:r w:rsidRPr="002374EC">
        <w:rPr>
          <w:rFonts w:ascii="Arial" w:hAnsi="Arial" w:cs="Arial"/>
          <w:sz w:val="22"/>
          <w:szCs w:val="22"/>
        </w:rPr>
        <w:t xml:space="preserve">, 13(1), pp. 159–166. </w:t>
      </w:r>
    </w:p>
    <w:p w14:paraId="6611909F" w14:textId="3913A00A"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Salaheddin, K. and Mason, B. (2016) 'Identifying barriers to mental health help-seeking among young adults in the UK: a cross-sectional survey', </w:t>
      </w:r>
      <w:r w:rsidRPr="002374EC">
        <w:rPr>
          <w:rStyle w:val="Emphasis"/>
          <w:rFonts w:ascii="Arial" w:hAnsi="Arial" w:cs="Arial"/>
          <w:sz w:val="22"/>
          <w:szCs w:val="22"/>
        </w:rPr>
        <w:t>British Journal of General Practice</w:t>
      </w:r>
      <w:r w:rsidRPr="002374EC">
        <w:rPr>
          <w:rFonts w:ascii="Arial" w:hAnsi="Arial" w:cs="Arial"/>
          <w:sz w:val="22"/>
          <w:szCs w:val="22"/>
        </w:rPr>
        <w:t xml:space="preserve">, 66(651), pp. e686–e692. </w:t>
      </w:r>
    </w:p>
    <w:p w14:paraId="4AE6198C" w14:textId="235D54F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Singh, S.P., Paul, M., Ford, T., Kramer, T., Weaver, T., McLaren, S., Hovish, K., Islam, Z., Belling, R. and White, S. (2010) 'Process, outcome and experience of transition from child to adult mental healthcare: multiperspective study', </w:t>
      </w:r>
      <w:r w:rsidRPr="002374EC">
        <w:rPr>
          <w:rStyle w:val="Emphasis"/>
          <w:rFonts w:ascii="Arial" w:hAnsi="Arial" w:cs="Arial"/>
          <w:sz w:val="22"/>
          <w:szCs w:val="22"/>
        </w:rPr>
        <w:t>British Journal of Psychiatry</w:t>
      </w:r>
      <w:r w:rsidRPr="002374EC">
        <w:rPr>
          <w:rFonts w:ascii="Arial" w:hAnsi="Arial" w:cs="Arial"/>
          <w:sz w:val="22"/>
          <w:szCs w:val="22"/>
        </w:rPr>
        <w:t xml:space="preserve">, 197(4), pp. 305–312. </w:t>
      </w:r>
    </w:p>
    <w:p w14:paraId="786EFE60"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Social Exclusion Unit (1999) </w:t>
      </w:r>
      <w:r w:rsidRPr="002374EC">
        <w:rPr>
          <w:rStyle w:val="Emphasis"/>
          <w:rFonts w:ascii="Arial" w:hAnsi="Arial" w:cs="Arial"/>
          <w:sz w:val="22"/>
          <w:szCs w:val="22"/>
        </w:rPr>
        <w:t>Bridging the gap: new opportunities for 16-18 year olds not in education, employment or training</w:t>
      </w:r>
      <w:r w:rsidRPr="002374EC">
        <w:rPr>
          <w:rFonts w:ascii="Arial" w:hAnsi="Arial" w:cs="Arial"/>
          <w:sz w:val="22"/>
          <w:szCs w:val="22"/>
        </w:rPr>
        <w:t>. Cm 4405. London: The Stationery Office.</w:t>
      </w:r>
    </w:p>
    <w:p w14:paraId="5521A601" w14:textId="075B13DC"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Song, N., Hugh-Jones, S., West, R.M., Pickavance, J. and Mir, G. (2023) 'The effectiveness of anti-stigma interventions for reducing mental health stigma in young people: a systematic review and meta-analysis', </w:t>
      </w:r>
      <w:r w:rsidRPr="002374EC">
        <w:rPr>
          <w:rStyle w:val="Emphasis"/>
          <w:rFonts w:ascii="Arial" w:hAnsi="Arial" w:cs="Arial"/>
          <w:sz w:val="22"/>
          <w:szCs w:val="22"/>
        </w:rPr>
        <w:t>Cambridge Prisms: Global Mental Health</w:t>
      </w:r>
      <w:r w:rsidRPr="002374EC">
        <w:rPr>
          <w:rFonts w:ascii="Arial" w:hAnsi="Arial" w:cs="Arial"/>
          <w:sz w:val="22"/>
          <w:szCs w:val="22"/>
        </w:rPr>
        <w:t xml:space="preserve">, 10, e39. </w:t>
      </w:r>
    </w:p>
    <w:p w14:paraId="67C0DBCD" w14:textId="67921C2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Strandh, M., Winefield, A., Nilsson, K. and Hammarström, A. (2014) 'Unemployment and mental health scarring during the life course', </w:t>
      </w:r>
      <w:r w:rsidRPr="002374EC">
        <w:rPr>
          <w:rStyle w:val="Emphasis"/>
          <w:rFonts w:ascii="Arial" w:hAnsi="Arial" w:cs="Arial"/>
          <w:sz w:val="22"/>
          <w:szCs w:val="22"/>
        </w:rPr>
        <w:t>European Journal of Public Health</w:t>
      </w:r>
      <w:r w:rsidRPr="002374EC">
        <w:rPr>
          <w:rFonts w:ascii="Arial" w:hAnsi="Arial" w:cs="Arial"/>
          <w:sz w:val="22"/>
          <w:szCs w:val="22"/>
        </w:rPr>
        <w:t xml:space="preserve">, 24(3), pp. 440–445. </w:t>
      </w:r>
    </w:p>
    <w:p w14:paraId="6CBD2475" w14:textId="580BF98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Sveinsdottir, V., Lie, S.A., Bond, G.R., Eriksen, H.R., Tveito, T.H., Grasdal, A.L. and Reme, S.E. (2020) 'Individual placement and support for young adults at risk of early work disability (the SEED trial). A randomized controlled trial', </w:t>
      </w:r>
      <w:r w:rsidRPr="002374EC">
        <w:rPr>
          <w:rStyle w:val="Emphasis"/>
          <w:rFonts w:ascii="Arial" w:hAnsi="Arial" w:cs="Arial"/>
          <w:sz w:val="22"/>
          <w:szCs w:val="22"/>
        </w:rPr>
        <w:t>Scandinavian Journal of Work, Environment &amp; Health</w:t>
      </w:r>
      <w:r w:rsidRPr="002374EC">
        <w:rPr>
          <w:rFonts w:ascii="Arial" w:hAnsi="Arial" w:cs="Arial"/>
          <w:sz w:val="22"/>
          <w:szCs w:val="22"/>
        </w:rPr>
        <w:t xml:space="preserve">, 46(1), pp. 50–59. </w:t>
      </w:r>
    </w:p>
    <w:p w14:paraId="2F2C864E" w14:textId="77777777"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The King's Fund (2024) </w:t>
      </w:r>
      <w:r w:rsidRPr="002374EC">
        <w:rPr>
          <w:rStyle w:val="Emphasis"/>
          <w:rFonts w:ascii="Arial" w:hAnsi="Arial" w:cs="Arial"/>
          <w:sz w:val="22"/>
          <w:szCs w:val="22"/>
        </w:rPr>
        <w:t>Mental health 360: access</w:t>
      </w:r>
      <w:r w:rsidRPr="002374EC">
        <w:rPr>
          <w:rFonts w:ascii="Arial" w:hAnsi="Arial" w:cs="Arial"/>
          <w:sz w:val="22"/>
          <w:szCs w:val="22"/>
        </w:rPr>
        <w:t>. London: The King's Fund.</w:t>
      </w:r>
    </w:p>
    <w:p w14:paraId="775A8AAD" w14:textId="1D00974A"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The Prince's Trust/NatWest (2024) </w:t>
      </w:r>
      <w:r w:rsidRPr="002374EC">
        <w:rPr>
          <w:rStyle w:val="Emphasis"/>
          <w:rFonts w:ascii="Arial" w:hAnsi="Arial" w:cs="Arial"/>
          <w:sz w:val="22"/>
          <w:szCs w:val="22"/>
        </w:rPr>
        <w:t>The Prince's Trust NatWest Youth Index 2024</w:t>
      </w:r>
      <w:r w:rsidRPr="002374EC">
        <w:rPr>
          <w:rFonts w:ascii="Arial" w:hAnsi="Arial" w:cs="Arial"/>
          <w:sz w:val="22"/>
          <w:szCs w:val="22"/>
        </w:rPr>
        <w:t xml:space="preserve">. London: The Prince's Trust. Available at: </w:t>
      </w:r>
      <w:hyperlink r:id="rId31" w:history="1">
        <w:r w:rsidRPr="002374EC">
          <w:rPr>
            <w:rStyle w:val="Hyperlink"/>
            <w:rFonts w:ascii="Arial" w:hAnsi="Arial" w:cs="Arial"/>
            <w:color w:val="auto"/>
            <w:sz w:val="22"/>
            <w:szCs w:val="22"/>
          </w:rPr>
          <w:t>https://assets.ctfassets.net/qq0roodynp09/1dwzhtDnn0c2fMyH7AGZTC/434c31c34cfd896a735c11261e2c98af/DSN6204_Princes_Trust_Youth_Index_2024.pdf</w:t>
        </w:r>
      </w:hyperlink>
      <w:r w:rsidRPr="002374EC">
        <w:rPr>
          <w:rFonts w:ascii="Arial" w:hAnsi="Arial" w:cs="Arial"/>
          <w:sz w:val="22"/>
          <w:szCs w:val="22"/>
        </w:rPr>
        <w:t xml:space="preserve"> (Accessed: </w:t>
      </w:r>
      <w:r w:rsidR="00534E63" w:rsidRPr="002374EC">
        <w:rPr>
          <w:rFonts w:ascii="Arial" w:hAnsi="Arial" w:cs="Arial"/>
          <w:sz w:val="22"/>
          <w:szCs w:val="22"/>
        </w:rPr>
        <w:t>9 December</w:t>
      </w:r>
      <w:r w:rsidRPr="002374EC">
        <w:rPr>
          <w:rFonts w:ascii="Arial" w:hAnsi="Arial" w:cs="Arial"/>
          <w:sz w:val="22"/>
          <w:szCs w:val="22"/>
        </w:rPr>
        <w:t xml:space="preserve"> 202</w:t>
      </w:r>
      <w:r w:rsidR="00534E63" w:rsidRPr="002374EC">
        <w:rPr>
          <w:rFonts w:ascii="Arial" w:hAnsi="Arial" w:cs="Arial"/>
          <w:sz w:val="22"/>
          <w:szCs w:val="22"/>
        </w:rPr>
        <w:t>5</w:t>
      </w:r>
      <w:r w:rsidRPr="002374EC">
        <w:rPr>
          <w:rFonts w:ascii="Arial" w:hAnsi="Arial" w:cs="Arial"/>
          <w:sz w:val="22"/>
          <w:szCs w:val="22"/>
        </w:rPr>
        <w:t>).</w:t>
      </w:r>
    </w:p>
    <w:p w14:paraId="67870682" w14:textId="748C9746"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Thomas, J. and Harden, A. (2008) 'Methods for the thematic synthesis of qualitative research in systematic reviews', </w:t>
      </w:r>
      <w:r w:rsidRPr="002374EC">
        <w:rPr>
          <w:rStyle w:val="Emphasis"/>
          <w:rFonts w:ascii="Arial" w:hAnsi="Arial" w:cs="Arial"/>
          <w:sz w:val="22"/>
          <w:szCs w:val="22"/>
        </w:rPr>
        <w:t>BMC Medical Research Methodology</w:t>
      </w:r>
      <w:r w:rsidRPr="002374EC">
        <w:rPr>
          <w:rFonts w:ascii="Arial" w:hAnsi="Arial" w:cs="Arial"/>
          <w:sz w:val="22"/>
          <w:szCs w:val="22"/>
        </w:rPr>
        <w:t>, 8, 45.</w:t>
      </w:r>
    </w:p>
    <w:p w14:paraId="42118636" w14:textId="6F3BE8F6"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Tudor Hart, J. (1971) 'The inverse care law', </w:t>
      </w:r>
      <w:r w:rsidRPr="002374EC">
        <w:rPr>
          <w:rStyle w:val="Emphasis"/>
          <w:rFonts w:ascii="Arial" w:hAnsi="Arial" w:cs="Arial"/>
          <w:sz w:val="22"/>
          <w:szCs w:val="22"/>
        </w:rPr>
        <w:t>The Lancet</w:t>
      </w:r>
      <w:r w:rsidRPr="002374EC">
        <w:rPr>
          <w:rFonts w:ascii="Arial" w:hAnsi="Arial" w:cs="Arial"/>
          <w:sz w:val="22"/>
          <w:szCs w:val="22"/>
        </w:rPr>
        <w:t xml:space="preserve">, 297(7696), pp. 405–412. </w:t>
      </w:r>
    </w:p>
    <w:p w14:paraId="3556AF6B" w14:textId="151BDEC1"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Vogel, D.L., Wade, N.G. and Hackler, A.H. (2007) 'Perceived public stigma and the willingness to seek counseling: the mediating roles of self-stigma and attitudes toward counseling', </w:t>
      </w:r>
      <w:r w:rsidRPr="002374EC">
        <w:rPr>
          <w:rStyle w:val="Emphasis"/>
          <w:rFonts w:ascii="Arial" w:hAnsi="Arial" w:cs="Arial"/>
          <w:sz w:val="22"/>
          <w:szCs w:val="22"/>
        </w:rPr>
        <w:t>Journal of Counseling Psychology</w:t>
      </w:r>
      <w:r w:rsidRPr="002374EC">
        <w:rPr>
          <w:rFonts w:ascii="Arial" w:hAnsi="Arial" w:cs="Arial"/>
          <w:sz w:val="22"/>
          <w:szCs w:val="22"/>
        </w:rPr>
        <w:t xml:space="preserve">, 54(1), pp. 40–50. </w:t>
      </w:r>
    </w:p>
    <w:p w14:paraId="599461A1" w14:textId="160E9479"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Waffenschmidt, S., Knelangen, M., Sieben, W., Bühn, S. and Pieper, D. (2019) 'Single screening versus conventional double screening for study selection in systematic reviews: a methodological systematic review', </w:t>
      </w:r>
      <w:r w:rsidRPr="002374EC">
        <w:rPr>
          <w:rStyle w:val="Emphasis"/>
          <w:rFonts w:ascii="Arial" w:hAnsi="Arial" w:cs="Arial"/>
          <w:sz w:val="22"/>
          <w:szCs w:val="22"/>
        </w:rPr>
        <w:t>BMC Medical Research Methodology</w:t>
      </w:r>
      <w:r w:rsidRPr="002374EC">
        <w:rPr>
          <w:rFonts w:ascii="Arial" w:hAnsi="Arial" w:cs="Arial"/>
          <w:sz w:val="22"/>
          <w:szCs w:val="22"/>
        </w:rPr>
        <w:t xml:space="preserve">, 19(1), 132. </w:t>
      </w:r>
    </w:p>
    <w:p w14:paraId="2C723B73" w14:textId="39CFBE35"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Wakefield, S., Kellett, S., Simmonds-Buckley, M., Stockton, D., Bradbury, A. and Delgadillo, J. (2021) 'Improving Access to Psychological Therapies (IAPT) in the United Kingdom: a systematic review and meta-analysis of 10-years of practice-based evidence', </w:t>
      </w:r>
      <w:r w:rsidRPr="002374EC">
        <w:rPr>
          <w:rStyle w:val="Emphasis"/>
          <w:rFonts w:ascii="Arial" w:hAnsi="Arial" w:cs="Arial"/>
          <w:sz w:val="22"/>
          <w:szCs w:val="22"/>
        </w:rPr>
        <w:t>British Journal of Clinical Psychology</w:t>
      </w:r>
      <w:r w:rsidRPr="002374EC">
        <w:rPr>
          <w:rFonts w:ascii="Arial" w:hAnsi="Arial" w:cs="Arial"/>
          <w:sz w:val="22"/>
          <w:szCs w:val="22"/>
        </w:rPr>
        <w:t xml:space="preserve">, 60(1), pp. 1–37. </w:t>
      </w:r>
    </w:p>
    <w:p w14:paraId="355F7C13" w14:textId="5A223B48" w:rsidR="001004D8" w:rsidRPr="002374EC" w:rsidRDefault="001004D8" w:rsidP="00534E63">
      <w:pPr>
        <w:pStyle w:val="font-claude-response-body"/>
        <w:spacing w:before="0" w:beforeAutospacing="0" w:after="160" w:afterAutospacing="0" w:line="360" w:lineRule="auto"/>
        <w:ind w:left="12"/>
        <w:jc w:val="both"/>
        <w:rPr>
          <w:rFonts w:ascii="Arial" w:hAnsi="Arial" w:cs="Arial"/>
          <w:sz w:val="22"/>
          <w:szCs w:val="22"/>
        </w:rPr>
      </w:pPr>
      <w:r w:rsidRPr="002374EC">
        <w:rPr>
          <w:rFonts w:ascii="Arial" w:hAnsi="Arial" w:cs="Arial"/>
          <w:sz w:val="22"/>
          <w:szCs w:val="22"/>
        </w:rPr>
        <w:t xml:space="preserve">Youth Futures Foundation (2024) </w:t>
      </w:r>
      <w:r w:rsidRPr="002374EC">
        <w:rPr>
          <w:rStyle w:val="Emphasis"/>
          <w:rFonts w:ascii="Arial" w:hAnsi="Arial" w:cs="Arial"/>
          <w:sz w:val="22"/>
          <w:szCs w:val="22"/>
        </w:rPr>
        <w:t>Youth employment 2024 outlook</w:t>
      </w:r>
      <w:r w:rsidRPr="002374EC">
        <w:rPr>
          <w:rFonts w:ascii="Arial" w:hAnsi="Arial" w:cs="Arial"/>
          <w:sz w:val="22"/>
          <w:szCs w:val="22"/>
        </w:rPr>
        <w:t xml:space="preserve">. London: Youth Futures Foundation. Available at: </w:t>
      </w:r>
      <w:hyperlink r:id="rId32" w:history="1">
        <w:r w:rsidRPr="002374EC">
          <w:rPr>
            <w:rStyle w:val="Hyperlink"/>
            <w:rFonts w:ascii="Arial" w:hAnsi="Arial" w:cs="Arial"/>
            <w:color w:val="auto"/>
            <w:sz w:val="22"/>
            <w:szCs w:val="22"/>
          </w:rPr>
          <w:t>https://youthfuturesfoundation.org/publication/youth-employment-2024-outlook/</w:t>
        </w:r>
      </w:hyperlink>
      <w:r w:rsidRPr="002374EC">
        <w:rPr>
          <w:rFonts w:ascii="Arial" w:hAnsi="Arial" w:cs="Arial"/>
          <w:sz w:val="22"/>
          <w:szCs w:val="22"/>
        </w:rPr>
        <w:t xml:space="preserve"> (Accessed: </w:t>
      </w:r>
      <w:r w:rsidR="00534E63" w:rsidRPr="002374EC">
        <w:rPr>
          <w:rFonts w:ascii="Arial" w:hAnsi="Arial" w:cs="Arial"/>
          <w:sz w:val="22"/>
          <w:szCs w:val="22"/>
        </w:rPr>
        <w:t>17</w:t>
      </w:r>
      <w:r w:rsidRPr="002374EC">
        <w:rPr>
          <w:rFonts w:ascii="Arial" w:hAnsi="Arial" w:cs="Arial"/>
          <w:sz w:val="22"/>
          <w:szCs w:val="22"/>
        </w:rPr>
        <w:t xml:space="preserve"> </w:t>
      </w:r>
      <w:r w:rsidR="00534E63" w:rsidRPr="002374EC">
        <w:rPr>
          <w:rFonts w:ascii="Arial" w:hAnsi="Arial" w:cs="Arial"/>
          <w:sz w:val="22"/>
          <w:szCs w:val="22"/>
        </w:rPr>
        <w:t xml:space="preserve">November </w:t>
      </w:r>
      <w:r w:rsidRPr="002374EC">
        <w:rPr>
          <w:rFonts w:ascii="Arial" w:hAnsi="Arial" w:cs="Arial"/>
          <w:sz w:val="22"/>
          <w:szCs w:val="22"/>
        </w:rPr>
        <w:t>202</w:t>
      </w:r>
      <w:r w:rsidR="00534E63" w:rsidRPr="002374EC">
        <w:rPr>
          <w:rFonts w:ascii="Arial" w:hAnsi="Arial" w:cs="Arial"/>
          <w:sz w:val="22"/>
          <w:szCs w:val="22"/>
        </w:rPr>
        <w:t>5</w:t>
      </w:r>
      <w:r w:rsidRPr="002374EC">
        <w:rPr>
          <w:rFonts w:ascii="Arial" w:hAnsi="Arial" w:cs="Arial"/>
          <w:sz w:val="22"/>
          <w:szCs w:val="22"/>
        </w:rPr>
        <w:t>).</w:t>
      </w:r>
    </w:p>
    <w:p w14:paraId="0EF5AC8F" w14:textId="5690D283" w:rsidR="009F64C5" w:rsidRPr="002374EC" w:rsidRDefault="009F64C5" w:rsidP="00627837">
      <w:pPr>
        <w:spacing w:after="0" w:line="360" w:lineRule="auto"/>
        <w:rPr>
          <w:rFonts w:ascii="Arial" w:hAnsi="Arial" w:cs="Arial"/>
        </w:rPr>
      </w:pPr>
    </w:p>
    <w:sectPr w:rsidR="009F64C5" w:rsidRPr="002374EC" w:rsidSect="00B2505E">
      <w:footerReference w:type="even" r:id="rId33"/>
      <w:footerReference w:type="defaul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A3E11" w14:textId="77777777" w:rsidR="00B07014" w:rsidRDefault="00B07014">
      <w:pPr>
        <w:spacing w:after="0" w:line="240" w:lineRule="auto"/>
      </w:pPr>
      <w:r>
        <w:separator/>
      </w:r>
    </w:p>
  </w:endnote>
  <w:endnote w:type="continuationSeparator" w:id="0">
    <w:p w14:paraId="20D9940B" w14:textId="77777777" w:rsidR="00B07014" w:rsidRDefault="00B070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B69E3F4" w14:textId="43BC80FB" w:rsidR="009A1B64" w:rsidRDefault="001A569D">
    <w:pPr>
      <w:tabs>
        <w:tab w:val="center" w:pos="4405"/>
      </w:tabs>
      <w:spacing w:after="0"/>
    </w:pPr>
    <w:r>
      <w:rPr>
        <w:rFonts w:ascii="Calibri" w:eastAsia="Calibri" w:hAnsi="Calibri" w:cs="Calibri"/>
      </w:rPr>
      <w:t>Fahim</w:t>
    </w:r>
    <w:r w:rsidR="007446D0">
      <w:rPr>
        <w:rFonts w:ascii="Calibri" w:eastAsia="Calibri" w:hAnsi="Calibri" w:cs="Calibri"/>
      </w:rPr>
      <w:t xml:space="preserve"> </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3B1AF" w14:textId="77777777" w:rsidR="00B07014" w:rsidRDefault="00B07014">
      <w:pPr>
        <w:spacing w:after="0" w:line="240" w:lineRule="auto"/>
      </w:pPr>
      <w:r>
        <w:separator/>
      </w:r>
    </w:p>
  </w:footnote>
  <w:footnote w:type="continuationSeparator" w:id="0">
    <w:p w14:paraId="7C3BE73F" w14:textId="77777777" w:rsidR="00B07014" w:rsidRDefault="00B070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3B02F2A"/>
    <w:multiLevelType w:val="multilevel"/>
    <w:tmpl w:val="1AF0CB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0F3F25"/>
    <w:multiLevelType w:val="multilevel"/>
    <w:tmpl w:val="838AE4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4028B0"/>
    <w:multiLevelType w:val="multilevel"/>
    <w:tmpl w:val="46EE7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425C141C"/>
    <w:multiLevelType w:val="multilevel"/>
    <w:tmpl w:val="5F98D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46026DC1"/>
    <w:multiLevelType w:val="multilevel"/>
    <w:tmpl w:val="BA640D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47F82B57"/>
    <w:multiLevelType w:val="multilevel"/>
    <w:tmpl w:val="BA9EDB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397573"/>
    <w:multiLevelType w:val="hybridMultilevel"/>
    <w:tmpl w:val="3878D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902FA4"/>
    <w:multiLevelType w:val="hybridMultilevel"/>
    <w:tmpl w:val="C19624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B707A9"/>
    <w:multiLevelType w:val="multilevel"/>
    <w:tmpl w:val="16841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70C91A5F"/>
    <w:multiLevelType w:val="hybridMultilevel"/>
    <w:tmpl w:val="DE04E8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52774614">
    <w:abstractNumId w:val="17"/>
  </w:num>
  <w:num w:numId="2" w16cid:durableId="941229834">
    <w:abstractNumId w:val="0"/>
  </w:num>
  <w:num w:numId="3" w16cid:durableId="1012418139">
    <w:abstractNumId w:val="13"/>
  </w:num>
  <w:num w:numId="4" w16cid:durableId="1373456878">
    <w:abstractNumId w:val="4"/>
  </w:num>
  <w:num w:numId="5" w16cid:durableId="1904363585">
    <w:abstractNumId w:val="6"/>
  </w:num>
  <w:num w:numId="6" w16cid:durableId="550387977">
    <w:abstractNumId w:val="14"/>
  </w:num>
  <w:num w:numId="7" w16cid:durableId="1167091014">
    <w:abstractNumId w:val="15"/>
  </w:num>
  <w:num w:numId="8" w16cid:durableId="2031225886">
    <w:abstractNumId w:val="8"/>
  </w:num>
  <w:num w:numId="9" w16cid:durableId="983237898">
    <w:abstractNumId w:val="5"/>
  </w:num>
  <w:num w:numId="10" w16cid:durableId="680400152">
    <w:abstractNumId w:val="16"/>
  </w:num>
  <w:num w:numId="11" w16cid:durableId="1448311471">
    <w:abstractNumId w:val="1"/>
  </w:num>
  <w:num w:numId="12" w16cid:durableId="177818381">
    <w:abstractNumId w:val="12"/>
  </w:num>
  <w:num w:numId="13" w16cid:durableId="1385520943">
    <w:abstractNumId w:val="11"/>
  </w:num>
  <w:num w:numId="14" w16cid:durableId="1086076385">
    <w:abstractNumId w:val="3"/>
  </w:num>
  <w:num w:numId="15" w16cid:durableId="487484110">
    <w:abstractNumId w:val="9"/>
  </w:num>
  <w:num w:numId="16" w16cid:durableId="1187064115">
    <w:abstractNumId w:val="2"/>
  </w:num>
  <w:num w:numId="17" w16cid:durableId="1430195367">
    <w:abstractNumId w:val="7"/>
  </w:num>
  <w:num w:numId="18" w16cid:durableId="50235259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15A17"/>
    <w:rsid w:val="000555DE"/>
    <w:rsid w:val="000962EE"/>
    <w:rsid w:val="000A0586"/>
    <w:rsid w:val="000B1420"/>
    <w:rsid w:val="000B2682"/>
    <w:rsid w:val="000C39D5"/>
    <w:rsid w:val="000E02E0"/>
    <w:rsid w:val="001004D8"/>
    <w:rsid w:val="00113366"/>
    <w:rsid w:val="00113948"/>
    <w:rsid w:val="0015472F"/>
    <w:rsid w:val="001A0731"/>
    <w:rsid w:val="001A569D"/>
    <w:rsid w:val="001B31CA"/>
    <w:rsid w:val="001C5965"/>
    <w:rsid w:val="001F11CB"/>
    <w:rsid w:val="00202469"/>
    <w:rsid w:val="002374EC"/>
    <w:rsid w:val="0024358A"/>
    <w:rsid w:val="002609F9"/>
    <w:rsid w:val="0026357C"/>
    <w:rsid w:val="0029259B"/>
    <w:rsid w:val="002B04A6"/>
    <w:rsid w:val="002B1D60"/>
    <w:rsid w:val="002B523E"/>
    <w:rsid w:val="00307049"/>
    <w:rsid w:val="003176F6"/>
    <w:rsid w:val="00321BB4"/>
    <w:rsid w:val="00333E5A"/>
    <w:rsid w:val="00350C7C"/>
    <w:rsid w:val="00393133"/>
    <w:rsid w:val="003A0700"/>
    <w:rsid w:val="003C35D2"/>
    <w:rsid w:val="004528E6"/>
    <w:rsid w:val="00453DB1"/>
    <w:rsid w:val="00467142"/>
    <w:rsid w:val="004E365E"/>
    <w:rsid w:val="004F06F7"/>
    <w:rsid w:val="00534E63"/>
    <w:rsid w:val="00540BA8"/>
    <w:rsid w:val="00553915"/>
    <w:rsid w:val="00555B3D"/>
    <w:rsid w:val="00571B15"/>
    <w:rsid w:val="005A7057"/>
    <w:rsid w:val="005D5F00"/>
    <w:rsid w:val="00614739"/>
    <w:rsid w:val="006202C0"/>
    <w:rsid w:val="00620605"/>
    <w:rsid w:val="00623C0E"/>
    <w:rsid w:val="00627837"/>
    <w:rsid w:val="006A14B7"/>
    <w:rsid w:val="006A7B21"/>
    <w:rsid w:val="006E4C22"/>
    <w:rsid w:val="0070279F"/>
    <w:rsid w:val="007446D0"/>
    <w:rsid w:val="00772516"/>
    <w:rsid w:val="007734F1"/>
    <w:rsid w:val="007843AD"/>
    <w:rsid w:val="007A490C"/>
    <w:rsid w:val="007D6521"/>
    <w:rsid w:val="007E1734"/>
    <w:rsid w:val="007F1C8A"/>
    <w:rsid w:val="007F3292"/>
    <w:rsid w:val="00826838"/>
    <w:rsid w:val="00851D37"/>
    <w:rsid w:val="00862C2D"/>
    <w:rsid w:val="00865EF4"/>
    <w:rsid w:val="00897E9B"/>
    <w:rsid w:val="008A73BC"/>
    <w:rsid w:val="008D6BF7"/>
    <w:rsid w:val="008F73AB"/>
    <w:rsid w:val="00921652"/>
    <w:rsid w:val="00954E4C"/>
    <w:rsid w:val="009706D0"/>
    <w:rsid w:val="00977447"/>
    <w:rsid w:val="00986A40"/>
    <w:rsid w:val="009937E1"/>
    <w:rsid w:val="009A1B64"/>
    <w:rsid w:val="009C5C88"/>
    <w:rsid w:val="009E1BF3"/>
    <w:rsid w:val="009F1BE1"/>
    <w:rsid w:val="009F64C5"/>
    <w:rsid w:val="00A212DB"/>
    <w:rsid w:val="00A60579"/>
    <w:rsid w:val="00A817BA"/>
    <w:rsid w:val="00A9635A"/>
    <w:rsid w:val="00AB4019"/>
    <w:rsid w:val="00AE696D"/>
    <w:rsid w:val="00AF668C"/>
    <w:rsid w:val="00B07014"/>
    <w:rsid w:val="00B2465B"/>
    <w:rsid w:val="00B2572C"/>
    <w:rsid w:val="00B43852"/>
    <w:rsid w:val="00B47A78"/>
    <w:rsid w:val="00B63CE0"/>
    <w:rsid w:val="00B73D7E"/>
    <w:rsid w:val="00BB101A"/>
    <w:rsid w:val="00BC2FB0"/>
    <w:rsid w:val="00BC67C0"/>
    <w:rsid w:val="00BE6186"/>
    <w:rsid w:val="00C03A2A"/>
    <w:rsid w:val="00C318BA"/>
    <w:rsid w:val="00C42345"/>
    <w:rsid w:val="00C607B4"/>
    <w:rsid w:val="00C62502"/>
    <w:rsid w:val="00C8080F"/>
    <w:rsid w:val="00C8463F"/>
    <w:rsid w:val="00C849F6"/>
    <w:rsid w:val="00C91A3E"/>
    <w:rsid w:val="00CB21F0"/>
    <w:rsid w:val="00CB516D"/>
    <w:rsid w:val="00CB53C4"/>
    <w:rsid w:val="00CC0510"/>
    <w:rsid w:val="00CC5E9C"/>
    <w:rsid w:val="00D02D9F"/>
    <w:rsid w:val="00D22E9E"/>
    <w:rsid w:val="00D30F18"/>
    <w:rsid w:val="00D5673D"/>
    <w:rsid w:val="00D82838"/>
    <w:rsid w:val="00D85C24"/>
    <w:rsid w:val="00DA5498"/>
    <w:rsid w:val="00DC0F95"/>
    <w:rsid w:val="00DD12D2"/>
    <w:rsid w:val="00DD7AA5"/>
    <w:rsid w:val="00DE49AC"/>
    <w:rsid w:val="00DF4464"/>
    <w:rsid w:val="00E0350D"/>
    <w:rsid w:val="00E55BC7"/>
    <w:rsid w:val="00E72D53"/>
    <w:rsid w:val="00E8084B"/>
    <w:rsid w:val="00EB11BB"/>
    <w:rsid w:val="00F01EAF"/>
    <w:rsid w:val="00F24400"/>
    <w:rsid w:val="00F5600E"/>
    <w:rsid w:val="00F62C9D"/>
    <w:rsid w:val="00F84D27"/>
    <w:rsid w:val="00F86A03"/>
    <w:rsid w:val="00FA17BE"/>
    <w:rsid w:val="00FC2772"/>
    <w:rsid w:val="00FD0BDD"/>
    <w:rsid w:val="00FF6A16"/>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350C7C"/>
    <w:pPr>
      <w:keepNext/>
      <w:keepLines/>
      <w:spacing w:after="181"/>
      <w:jc w:val="center"/>
      <w:outlineLvl w:val="2"/>
    </w:pPr>
    <w:rPr>
      <w:rFonts w:ascii="Times New Roman" w:eastAsia="Times New Roman" w:hAnsi="Times New Roman" w:cs="Times New Roman"/>
      <w:color w:val="000000"/>
      <w:sz w:val="24"/>
      <w:u w:color="000000"/>
    </w:rPr>
  </w:style>
  <w:style w:type="paragraph" w:styleId="Heading4">
    <w:name w:val="heading 4"/>
    <w:basedOn w:val="Normal"/>
    <w:next w:val="Normal"/>
    <w:link w:val="Heading4Char"/>
    <w:uiPriority w:val="9"/>
    <w:semiHidden/>
    <w:unhideWhenUsed/>
    <w:qFormat/>
    <w:rsid w:val="00015A1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350C7C"/>
    <w:rPr>
      <w:rFonts w:ascii="Times New Roman" w:eastAsia="Times New Roman" w:hAnsi="Times New Roman" w:cs="Times New Roman"/>
      <w:color w:val="000000"/>
      <w:sz w:val="24"/>
      <w:u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NormalWeb">
    <w:name w:val="Normal (Web)"/>
    <w:basedOn w:val="Normal"/>
    <w:uiPriority w:val="99"/>
    <w:unhideWhenUsed/>
    <w:rsid w:val="00B63C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33E5A"/>
    <w:rPr>
      <w:b/>
      <w:bCs/>
    </w:rPr>
  </w:style>
  <w:style w:type="character" w:styleId="Hyperlink">
    <w:name w:val="Hyperlink"/>
    <w:basedOn w:val="DefaultParagraphFont"/>
    <w:uiPriority w:val="99"/>
    <w:unhideWhenUsed/>
    <w:rsid w:val="00B43852"/>
    <w:rPr>
      <w:color w:val="0563C1" w:themeColor="hyperlink"/>
      <w:u w:val="single"/>
    </w:rPr>
  </w:style>
  <w:style w:type="character" w:styleId="UnresolvedMention">
    <w:name w:val="Unresolved Mention"/>
    <w:basedOn w:val="DefaultParagraphFont"/>
    <w:uiPriority w:val="99"/>
    <w:semiHidden/>
    <w:unhideWhenUsed/>
    <w:rsid w:val="00B43852"/>
    <w:rPr>
      <w:color w:val="605E5C"/>
      <w:shd w:val="clear" w:color="auto" w:fill="E1DFDD"/>
    </w:rPr>
  </w:style>
  <w:style w:type="paragraph" w:styleId="ListParagraph">
    <w:name w:val="List Paragraph"/>
    <w:basedOn w:val="Normal"/>
    <w:uiPriority w:val="34"/>
    <w:qFormat/>
    <w:rsid w:val="00B43852"/>
    <w:pPr>
      <w:ind w:left="720"/>
      <w:contextualSpacing/>
    </w:pPr>
  </w:style>
  <w:style w:type="character" w:customStyle="1" w:styleId="Heading4Char">
    <w:name w:val="Heading 4 Char"/>
    <w:basedOn w:val="DefaultParagraphFont"/>
    <w:link w:val="Heading4"/>
    <w:uiPriority w:val="9"/>
    <w:semiHidden/>
    <w:rsid w:val="00015A17"/>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1A5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69D"/>
  </w:style>
  <w:style w:type="paragraph" w:styleId="Caption">
    <w:name w:val="caption"/>
    <w:basedOn w:val="Normal"/>
    <w:next w:val="Normal"/>
    <w:uiPriority w:val="35"/>
    <w:unhideWhenUsed/>
    <w:qFormat/>
    <w:rsid w:val="00350C7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004D8"/>
    <w:pPr>
      <w:spacing w:before="240" w:after="0" w:line="259" w:lineRule="auto"/>
      <w:ind w:left="0" w:right="0" w:firstLine="0"/>
      <w:jc w:val="left"/>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1004D8"/>
    <w:pPr>
      <w:spacing w:after="100"/>
      <w:ind w:left="220"/>
    </w:pPr>
  </w:style>
  <w:style w:type="paragraph" w:styleId="TOC3">
    <w:name w:val="toc 3"/>
    <w:basedOn w:val="Normal"/>
    <w:next w:val="Normal"/>
    <w:autoRedefine/>
    <w:uiPriority w:val="39"/>
    <w:unhideWhenUsed/>
    <w:rsid w:val="001004D8"/>
    <w:pPr>
      <w:spacing w:after="100"/>
      <w:ind w:left="440"/>
    </w:pPr>
  </w:style>
  <w:style w:type="paragraph" w:customStyle="1" w:styleId="font-claude-response-body">
    <w:name w:val="font-claude-response-body"/>
    <w:basedOn w:val="Normal"/>
    <w:rsid w:val="001004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004D8"/>
    <w:rPr>
      <w:i/>
      <w:iCs/>
    </w:rPr>
  </w:style>
  <w:style w:type="character" w:styleId="FollowedHyperlink">
    <w:name w:val="FollowedHyperlink"/>
    <w:basedOn w:val="DefaultParagraphFont"/>
    <w:uiPriority w:val="99"/>
    <w:semiHidden/>
    <w:unhideWhenUsed/>
    <w:rsid w:val="00826838"/>
    <w:rPr>
      <w:color w:val="954F72" w:themeColor="followedHyperlink"/>
      <w:u w:val="single"/>
    </w:rPr>
  </w:style>
  <w:style w:type="paragraph" w:styleId="TableofFigures">
    <w:name w:val="table of figures"/>
    <w:basedOn w:val="Normal"/>
    <w:next w:val="Normal"/>
    <w:uiPriority w:val="99"/>
    <w:unhideWhenUsed/>
    <w:rsid w:val="002374EC"/>
    <w:pPr>
      <w:spacing w:after="0"/>
    </w:pPr>
  </w:style>
  <w:style w:type="paragraph" w:styleId="TOC4">
    <w:name w:val="toc 4"/>
    <w:basedOn w:val="Normal"/>
    <w:next w:val="Normal"/>
    <w:autoRedefine/>
    <w:uiPriority w:val="39"/>
    <w:unhideWhenUsed/>
    <w:rsid w:val="000B2682"/>
    <w:pPr>
      <w:spacing w:after="100" w:line="278" w:lineRule="auto"/>
      <w:ind w:left="720"/>
    </w:pPr>
    <w:rPr>
      <w:sz w:val="24"/>
      <w:szCs w:val="24"/>
      <w:lang w:eastAsia="en-GB"/>
    </w:rPr>
  </w:style>
  <w:style w:type="paragraph" w:styleId="TOC5">
    <w:name w:val="toc 5"/>
    <w:basedOn w:val="Normal"/>
    <w:next w:val="Normal"/>
    <w:autoRedefine/>
    <w:uiPriority w:val="39"/>
    <w:unhideWhenUsed/>
    <w:rsid w:val="000B2682"/>
    <w:pPr>
      <w:spacing w:after="100" w:line="278" w:lineRule="auto"/>
      <w:ind w:left="960"/>
    </w:pPr>
    <w:rPr>
      <w:sz w:val="24"/>
      <w:szCs w:val="24"/>
      <w:lang w:eastAsia="en-GB"/>
    </w:rPr>
  </w:style>
  <w:style w:type="paragraph" w:styleId="TOC6">
    <w:name w:val="toc 6"/>
    <w:basedOn w:val="Normal"/>
    <w:next w:val="Normal"/>
    <w:autoRedefine/>
    <w:uiPriority w:val="39"/>
    <w:unhideWhenUsed/>
    <w:rsid w:val="000B2682"/>
    <w:pPr>
      <w:spacing w:after="100" w:line="278" w:lineRule="auto"/>
      <w:ind w:left="1200"/>
    </w:pPr>
    <w:rPr>
      <w:sz w:val="24"/>
      <w:szCs w:val="24"/>
      <w:lang w:eastAsia="en-GB"/>
    </w:rPr>
  </w:style>
  <w:style w:type="paragraph" w:styleId="TOC7">
    <w:name w:val="toc 7"/>
    <w:basedOn w:val="Normal"/>
    <w:next w:val="Normal"/>
    <w:autoRedefine/>
    <w:uiPriority w:val="39"/>
    <w:unhideWhenUsed/>
    <w:rsid w:val="000B2682"/>
    <w:pPr>
      <w:spacing w:after="100" w:line="278" w:lineRule="auto"/>
      <w:ind w:left="1440"/>
    </w:pPr>
    <w:rPr>
      <w:sz w:val="24"/>
      <w:szCs w:val="24"/>
      <w:lang w:eastAsia="en-GB"/>
    </w:rPr>
  </w:style>
  <w:style w:type="paragraph" w:styleId="TOC8">
    <w:name w:val="toc 8"/>
    <w:basedOn w:val="Normal"/>
    <w:next w:val="Normal"/>
    <w:autoRedefine/>
    <w:uiPriority w:val="39"/>
    <w:unhideWhenUsed/>
    <w:rsid w:val="000B2682"/>
    <w:pPr>
      <w:spacing w:after="100" w:line="278" w:lineRule="auto"/>
      <w:ind w:left="1680"/>
    </w:pPr>
    <w:rPr>
      <w:sz w:val="24"/>
      <w:szCs w:val="24"/>
      <w:lang w:eastAsia="en-GB"/>
    </w:rPr>
  </w:style>
  <w:style w:type="paragraph" w:styleId="TOC9">
    <w:name w:val="toc 9"/>
    <w:basedOn w:val="Normal"/>
    <w:next w:val="Normal"/>
    <w:autoRedefine/>
    <w:uiPriority w:val="39"/>
    <w:unhideWhenUsed/>
    <w:rsid w:val="000B2682"/>
    <w:pPr>
      <w:spacing w:after="100" w:line="278" w:lineRule="auto"/>
      <w:ind w:left="1920"/>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7.png"/><Relationship Id="rId26" Type="http://schemas.openxmlformats.org/officeDocument/2006/relationships/hyperlink" Target="https://www.cochrane.org/handbook" TargetMode="External"/><Relationship Id="rId21" Type="http://schemas.openxmlformats.org/officeDocument/2006/relationships/hyperlink" Target="https://explore-education-statistics.service.gov.uk/find-statistics/neet-statistics-annual-brief/2024"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hyperlink" Target="https://www.cochrane.org/handbook"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casp-uk.net/casp-tools-checklists/" TargetMode="External"/><Relationship Id="rId29" Type="http://schemas.openxmlformats.org/officeDocument/2006/relationships/hyperlink" Target="https://www.nuffieldtrust.org.uk/resource/improving-access-to-psychological-therapies-iapt-program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hyperlink" Target="https://www.gov.uk/government/publications/improving-the-mental-health-of-babies-children-and-young-people" TargetMode="External"/><Relationship Id="rId32" Type="http://schemas.openxmlformats.org/officeDocument/2006/relationships/hyperlink" Target="https://youthfuturesfoundation.org/publication/youth-employment-2024-outlook/"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gov.uk/government/publications/suicide-prevention-strategy-for-england-2023-to-2028" TargetMode="External"/><Relationship Id="rId28" Type="http://schemas.openxmlformats.org/officeDocument/2006/relationships/hyperlink" Target="https://www.england.nhs.uk/publication/nhs-mental-health-dashboard/"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cqc.org.uk/publications/major-report/state-care/2024-2025/access/mh" TargetMode="External"/><Relationship Id="rId31" Type="http://schemas.openxmlformats.org/officeDocument/2006/relationships/hyperlink" Target="https://assets.ctfassets.net/qq0roodynp09/1dwzhtDnn0c2fMyH7AGZTC/434c31c34cfd896a735c11261e2c98af/DSN6204_Princes_Trust_Youth_Index_2024.pdf"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png"/><Relationship Id="rId22" Type="http://schemas.openxmlformats.org/officeDocument/2006/relationships/hyperlink" Target="https://www.gov.uk/government/consultations/pathways-to-work-reforming-benefits-and-support-to-get-britain-working-green-paper" TargetMode="External"/><Relationship Id="rId27" Type="http://schemas.openxmlformats.org/officeDocument/2006/relationships/hyperlink" Target="https://digital.nhs.uk/data-and-information/publications/statistical/nhs-talking-therapies-for-anxiety-and-depression-annual-reports/2023-24" TargetMode="External"/><Relationship Id="rId30" Type="http://schemas.openxmlformats.org/officeDocument/2006/relationships/hyperlink" Target="https://www.ons.gov.uk/employmentandlabourmarket/peoplenotinwork/unemployment/bulletins/youngpeoplenotineducationemploymentortrainingneet/february2025" TargetMode="Externa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757F81-59FA-4CD2-93A3-5BE81935B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60</Pages>
  <Words>20269</Words>
  <Characters>115539</Characters>
  <Application>Microsoft Office Word</Application>
  <DocSecurity>0</DocSecurity>
  <Lines>962</Lines>
  <Paragraphs>271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Mudassir Patel</cp:lastModifiedBy>
  <cp:revision>5</cp:revision>
  <cp:lastPrinted>2023-09-21T02:18:00Z</cp:lastPrinted>
  <dcterms:created xsi:type="dcterms:W3CDTF">2026-02-02T10:42:00Z</dcterms:created>
  <dcterms:modified xsi:type="dcterms:W3CDTF">2026-02-02T12:24:00Z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b084380d-e16f-44f4-94c2-0d92ee719594</vt:lpwstr>
  </property>
</Properties>
</file>