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i w:val="1"/>
        </w:rPr>
      </w:pPr>
      <w:bookmarkStart w:colFirst="0" w:colLast="0" w:name="_nglu1ut0h754" w:id="0"/>
      <w:bookmarkEnd w:id="0"/>
      <w:r w:rsidDel="00000000" w:rsidR="00000000" w:rsidRPr="00000000">
        <w:rPr>
          <w:rtl w:val="0"/>
        </w:rPr>
        <w:t xml:space="preserve">Critical Commentary on Walter of Châtillion’s </w:t>
      </w:r>
      <w:r w:rsidDel="00000000" w:rsidR="00000000" w:rsidRPr="00000000">
        <w:rPr>
          <w:i w:val="1"/>
          <w:rtl w:val="0"/>
        </w:rPr>
        <w:t xml:space="preserve">Alexandreis </w:t>
      </w:r>
    </w:p>
    <w:p w:rsidR="00000000" w:rsidDel="00000000" w:rsidP="00000000" w:rsidRDefault="00000000" w:rsidRPr="00000000" w14:paraId="00000002">
      <w:pPr>
        <w:rPr/>
      </w:pPr>
      <w:r w:rsidDel="00000000" w:rsidR="00000000" w:rsidRPr="00000000">
        <w:rPr>
          <w:rtl w:val="0"/>
        </w:rPr>
        <w:tab/>
        <w:t xml:space="preserve">The </w:t>
      </w:r>
      <w:r w:rsidDel="00000000" w:rsidR="00000000" w:rsidRPr="00000000">
        <w:rPr>
          <w:i w:val="1"/>
          <w:rtl w:val="0"/>
        </w:rPr>
        <w:t xml:space="preserve">Alexandreis </w:t>
      </w:r>
      <w:r w:rsidDel="00000000" w:rsidR="00000000" w:rsidRPr="00000000">
        <w:rPr>
          <w:rtl w:val="0"/>
        </w:rPr>
        <w:t xml:space="preserve">written by Walter of Ch</w:t>
      </w:r>
      <w:r w:rsidDel="00000000" w:rsidR="00000000" w:rsidRPr="00000000">
        <w:rPr>
          <w:rtl w:val="0"/>
        </w:rPr>
        <w:t xml:space="preserve">âtillion in the eleventh century AD was one of the most well read Latin texts of its era.</w:t>
      </w:r>
      <w:r w:rsidDel="00000000" w:rsidR="00000000" w:rsidRPr="00000000">
        <w:rPr>
          <w:vertAlign w:val="superscript"/>
        </w:rPr>
        <w:footnoteReference w:customMarkFollows="0" w:id="0"/>
      </w:r>
      <w:r w:rsidDel="00000000" w:rsidR="00000000" w:rsidRPr="00000000">
        <w:rPr>
          <w:rtl w:val="0"/>
        </w:rPr>
        <w:t xml:space="preserve"> In the introduction of his translation of the text David Townsend claims that the prominence of the </w:t>
      </w:r>
      <w:r w:rsidDel="00000000" w:rsidR="00000000" w:rsidRPr="00000000">
        <w:rPr>
          <w:i w:val="1"/>
          <w:rtl w:val="0"/>
        </w:rPr>
        <w:t xml:space="preserve">Alexandreis </w:t>
      </w:r>
      <w:r w:rsidDel="00000000" w:rsidR="00000000" w:rsidRPr="00000000">
        <w:rPr>
          <w:rtl w:val="0"/>
        </w:rPr>
        <w:t xml:space="preserve">stems from the “Artistry” and “intelligence” that Walter of Châtillion was able to infuse the poem with. </w:t>
      </w:r>
      <w:r w:rsidDel="00000000" w:rsidR="00000000" w:rsidRPr="00000000">
        <w:rPr>
          <w:vertAlign w:val="superscript"/>
        </w:rPr>
        <w:footnoteReference w:customMarkFollows="0" w:id="1"/>
      </w:r>
      <w:r w:rsidDel="00000000" w:rsidR="00000000" w:rsidRPr="00000000">
        <w:rPr>
          <w:rtl w:val="0"/>
        </w:rPr>
        <w:t xml:space="preserve"> According to Townsend the real measure of the success of the </w:t>
      </w:r>
      <w:r w:rsidDel="00000000" w:rsidR="00000000" w:rsidRPr="00000000">
        <w:rPr>
          <w:i w:val="1"/>
          <w:rtl w:val="0"/>
        </w:rPr>
        <w:t xml:space="preserve">Alexandreis </w:t>
      </w:r>
      <w:r w:rsidDel="00000000" w:rsidR="00000000" w:rsidRPr="00000000">
        <w:rPr>
          <w:rtl w:val="0"/>
        </w:rPr>
        <w:t xml:space="preserve">can most concretely be measured by the fact that there are over two hundred manuscript copies of the text that survive with the majority of them dating to the 13th century.</w:t>
      </w:r>
      <w:r w:rsidDel="00000000" w:rsidR="00000000" w:rsidRPr="00000000">
        <w:rPr>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03">
      <w:pPr>
        <w:rPr/>
      </w:pPr>
      <w:r w:rsidDel="00000000" w:rsidR="00000000" w:rsidRPr="00000000">
        <w:rPr>
          <w:rtl w:val="0"/>
        </w:rPr>
        <w:tab/>
        <w:t xml:space="preserve">The given extract of Walter of Châtillion’s </w:t>
      </w:r>
      <w:r w:rsidDel="00000000" w:rsidR="00000000" w:rsidRPr="00000000">
        <w:rPr>
          <w:i w:val="1"/>
          <w:rtl w:val="0"/>
        </w:rPr>
        <w:t xml:space="preserve">Alexandreis </w:t>
      </w:r>
      <w:r w:rsidDel="00000000" w:rsidR="00000000" w:rsidRPr="00000000">
        <w:rPr>
          <w:rtl w:val="0"/>
        </w:rPr>
        <w:t xml:space="preserve">focuses on the arrival of Alexander the Great in Asia and mostly contains a geographic description of the continent with the actual arrival happening just before the start of the given extract. The description of Asia contains descriptions of some of the wonders that Alexander the Great and his army and talks of “phoenix” and “cinnamon and neighbouring myrrh trees”.</w:t>
      </w:r>
      <w:r w:rsidDel="00000000" w:rsidR="00000000" w:rsidRPr="00000000">
        <w:rPr>
          <w:vertAlign w:val="superscript"/>
        </w:rPr>
        <w:footnoteReference w:customMarkFollows="0" w:id="3"/>
      </w:r>
      <w:r w:rsidDel="00000000" w:rsidR="00000000" w:rsidRPr="00000000">
        <w:rPr>
          <w:rtl w:val="0"/>
        </w:rPr>
        <w:t xml:space="preserve"> This makes Walter of Châtillion’s </w:t>
      </w:r>
      <w:r w:rsidDel="00000000" w:rsidR="00000000" w:rsidRPr="00000000">
        <w:rPr>
          <w:i w:val="1"/>
          <w:rtl w:val="0"/>
        </w:rPr>
        <w:t xml:space="preserve">Alexandreis </w:t>
      </w:r>
      <w:r w:rsidDel="00000000" w:rsidR="00000000" w:rsidRPr="00000000">
        <w:rPr>
          <w:rtl w:val="0"/>
        </w:rPr>
        <w:t xml:space="preserve">a useful source because it gives insight into how the mind of a mediaeval writer and how they viewed these far off, exotic places such as india. Another part of Walter of Châtillion’s </w:t>
      </w:r>
      <w:r w:rsidDel="00000000" w:rsidR="00000000" w:rsidRPr="00000000">
        <w:rPr>
          <w:i w:val="1"/>
          <w:rtl w:val="0"/>
        </w:rPr>
        <w:t xml:space="preserve">Alexandreis </w:t>
      </w:r>
      <w:r w:rsidDel="00000000" w:rsidR="00000000" w:rsidRPr="00000000">
        <w:rPr>
          <w:rtl w:val="0"/>
        </w:rPr>
        <w:t xml:space="preserve">that is useful as a source because it describes the location of the Asia in the same way that maps of the twelfth century, or Mappa Mundi. This can be seen though the line “and at the centre of the earth, Jerusalem”</w:t>
      </w:r>
      <w:r w:rsidDel="00000000" w:rsidR="00000000" w:rsidRPr="00000000">
        <w:rPr>
          <w:vertAlign w:val="superscript"/>
        </w:rPr>
        <w:footnoteReference w:customMarkFollows="0" w:id="4"/>
      </w:r>
      <w:r w:rsidDel="00000000" w:rsidR="00000000" w:rsidRPr="00000000">
        <w:rPr>
          <w:rtl w:val="0"/>
        </w:rPr>
        <w:t xml:space="preserve"> This lines shows that Walter of Châtillion was familiar with mediaeval cartography practices because of the day. Another reason for Walter of Châtillion’s use of descriptions that are similar to mediaeval Mappa Mundi is the fact that the Hereford Mappa Mundi feature a depiction of the camp of Alexander the Great.</w:t>
      </w:r>
      <w:r w:rsidDel="00000000" w:rsidR="00000000" w:rsidRPr="00000000">
        <w:rPr>
          <w:vertAlign w:val="superscript"/>
        </w:rPr>
        <w:footnoteReference w:customMarkFollows="0" w:id="5"/>
      </w:r>
      <w:r w:rsidDel="00000000" w:rsidR="00000000" w:rsidRPr="00000000">
        <w:rPr>
          <w:rtl w:val="0"/>
        </w:rPr>
        <w:t xml:space="preserve"> This would have influenced Walter of Châtillions work on the </w:t>
      </w:r>
      <w:r w:rsidDel="00000000" w:rsidR="00000000" w:rsidRPr="00000000">
        <w:rPr>
          <w:i w:val="1"/>
          <w:rtl w:val="0"/>
        </w:rPr>
        <w:t xml:space="preserve">Alexandreis </w:t>
      </w:r>
      <w:r w:rsidDel="00000000" w:rsidR="00000000" w:rsidRPr="00000000">
        <w:rPr>
          <w:rtl w:val="0"/>
        </w:rPr>
        <w:t xml:space="preserve">because it shows that the work done by the cartographers of the Mappa Mundi influenced Walter of Châtillion and the work he did on the </w:t>
      </w:r>
      <w:r w:rsidDel="00000000" w:rsidR="00000000" w:rsidRPr="00000000">
        <w:rPr>
          <w:i w:val="1"/>
          <w:rtl w:val="0"/>
        </w:rPr>
        <w:t xml:space="preserve">Alexandreis</w:t>
      </w:r>
      <w:r w:rsidDel="00000000" w:rsidR="00000000" w:rsidRPr="00000000">
        <w:rPr>
          <w:rtl w:val="0"/>
        </w:rPr>
        <w:t xml:space="preserve">. To support this idea of the Given Extract of Walter of Châtillion’s </w:t>
      </w:r>
      <w:r w:rsidDel="00000000" w:rsidR="00000000" w:rsidRPr="00000000">
        <w:rPr>
          <w:i w:val="1"/>
          <w:rtl w:val="0"/>
        </w:rPr>
        <w:t xml:space="preserve">Alexandreis </w:t>
      </w:r>
      <w:r w:rsidDel="00000000" w:rsidR="00000000" w:rsidRPr="00000000">
        <w:rPr>
          <w:rtl w:val="0"/>
        </w:rPr>
        <w:t xml:space="preserve">is strongly based on a Medieval Mappa Mundi is the fact that on line 459 of Townsends translation, Walter of Châtillion splits the world into three sections as is common with Mappa Mundis as seen with the Hereford Mappa Mundi.</w:t>
      </w:r>
      <w:r w:rsidDel="00000000" w:rsidR="00000000" w:rsidRPr="00000000">
        <w:rPr>
          <w:vertAlign w:val="superscript"/>
        </w:rPr>
        <w:footnoteReference w:customMarkFollows="0" w:id="6"/>
      </w:r>
      <w:r w:rsidDel="00000000" w:rsidR="00000000" w:rsidRPr="00000000">
        <w:rPr>
          <w:rtl w:val="0"/>
        </w:rPr>
        <w:t xml:space="preserve"> This can be seen through the quote on line 459 that mentions “The third part of the world”.</w:t>
      </w:r>
      <w:r w:rsidDel="00000000" w:rsidR="00000000" w:rsidRPr="00000000">
        <w:rPr>
          <w:vertAlign w:val="superscript"/>
        </w:rPr>
        <w:footnoteReference w:customMarkFollows="0" w:id="7"/>
      </w:r>
      <w:r w:rsidDel="00000000" w:rsidR="00000000" w:rsidRPr="00000000">
        <w:rPr>
          <w:rtl w:val="0"/>
        </w:rPr>
        <w:t xml:space="preserve"> This quote can be seen to be describing the world in which Alexander the Great lived in the same manner in which the people of the mediaeval world saw the planet. This is useful to the study of the mediaeval world because it would help a modern audience gain insight into the workings of Walter of Châtillion’s mind. </w:t>
      </w:r>
    </w:p>
    <w:p w:rsidR="00000000" w:rsidDel="00000000" w:rsidP="00000000" w:rsidRDefault="00000000" w:rsidRPr="00000000" w14:paraId="00000004">
      <w:pPr>
        <w:ind w:firstLine="720"/>
        <w:rPr/>
      </w:pPr>
      <w:r w:rsidDel="00000000" w:rsidR="00000000" w:rsidRPr="00000000">
        <w:rPr>
          <w:rtl w:val="0"/>
        </w:rPr>
        <w:t xml:space="preserve">In relation to using Walter of Châtillion’s </w:t>
      </w:r>
      <w:r w:rsidDel="00000000" w:rsidR="00000000" w:rsidRPr="00000000">
        <w:rPr>
          <w:i w:val="1"/>
          <w:rtl w:val="0"/>
        </w:rPr>
        <w:t xml:space="preserve">Alexandreis </w:t>
      </w:r>
      <w:r w:rsidDel="00000000" w:rsidR="00000000" w:rsidRPr="00000000">
        <w:rPr>
          <w:rtl w:val="0"/>
        </w:rPr>
        <w:t xml:space="preserve">as a source for the study of the life and times of Alexander the Great, is less useful simply because it is written over a millennium after the death of Alexander the Great. This simply colossal time difference between the death of the subject matter and the date when the </w:t>
      </w:r>
      <w:r w:rsidDel="00000000" w:rsidR="00000000" w:rsidRPr="00000000">
        <w:rPr>
          <w:i w:val="1"/>
          <w:rtl w:val="0"/>
        </w:rPr>
        <w:t xml:space="preserve">Alexandreis </w:t>
      </w:r>
      <w:r w:rsidDel="00000000" w:rsidR="00000000" w:rsidRPr="00000000">
        <w:rPr>
          <w:rtl w:val="0"/>
        </w:rPr>
        <w:t xml:space="preserve">was written means that Walter of Châtillion so far removed from the original source material that he was entirely reliant on work by earlier writers such as Pultarch and Quintus Curtius Rufus for the specific  information about Alexander the Great and the life that he lived. To counter this there is the argument that since Walter of Châtillion is so far removed from the life and times of Alexander the Great, he is able to be more objective and not let the politics of the ancient world influence his writings. This is useful to the study of the life of Alexander the Great because it allows for readers to get a more objective view of his life. There is however the fact that Walter of Châtillion would have had his own bias that would have filtered into the </w:t>
      </w:r>
      <w:r w:rsidDel="00000000" w:rsidR="00000000" w:rsidRPr="00000000">
        <w:rPr>
          <w:i w:val="1"/>
          <w:rtl w:val="0"/>
        </w:rPr>
        <w:t xml:space="preserve">Alexandreis.</w:t>
      </w:r>
      <w:r w:rsidDel="00000000" w:rsidR="00000000" w:rsidRPr="00000000">
        <w:rPr>
          <w:rtl w:val="0"/>
        </w:rPr>
        <w:t xml:space="preserve"> One key source for this bias is the fact that Walter of Châtillion was a French writer who was writing at a really important time for the French Capetian Monarchy. During the time in which Walter of Châtillion was writing, Philip II of France, better known as Philip Agustus, was very much on the ascent  and was keen on staking his claim as King of the French.</w:t>
      </w:r>
      <w:r w:rsidDel="00000000" w:rsidR="00000000" w:rsidRPr="00000000">
        <w:rPr>
          <w:vertAlign w:val="superscript"/>
        </w:rPr>
        <w:footnoteReference w:customMarkFollows="0" w:id="8"/>
      </w:r>
      <w:r w:rsidDel="00000000" w:rsidR="00000000" w:rsidRPr="00000000">
        <w:rPr>
          <w:rtl w:val="0"/>
        </w:rPr>
        <w:t xml:space="preserve"> It could also be argued that Walter of Châtillion’s work on the </w:t>
      </w:r>
      <w:r w:rsidDel="00000000" w:rsidR="00000000" w:rsidRPr="00000000">
        <w:rPr>
          <w:i w:val="1"/>
          <w:rtl w:val="0"/>
        </w:rPr>
        <w:t xml:space="preserve">Alexandreis </w:t>
      </w:r>
      <w:r w:rsidDel="00000000" w:rsidR="00000000" w:rsidRPr="00000000">
        <w:rPr>
          <w:rtl w:val="0"/>
        </w:rPr>
        <w:t xml:space="preserve">was influenced by his connection to the Capetian dynasty as Walter of Châtillion dedicated the </w:t>
      </w:r>
      <w:r w:rsidDel="00000000" w:rsidR="00000000" w:rsidRPr="00000000">
        <w:rPr>
          <w:i w:val="1"/>
          <w:rtl w:val="0"/>
        </w:rPr>
        <w:t xml:space="preserve">Alexandreis </w:t>
      </w:r>
      <w:r w:rsidDel="00000000" w:rsidR="00000000" w:rsidRPr="00000000">
        <w:rPr>
          <w:rtl w:val="0"/>
        </w:rPr>
        <w:t xml:space="preserve">to Guillaume des Blanches Mains, who was the uncle in law of Philip Agustus.</w:t>
      </w:r>
      <w:r w:rsidDel="00000000" w:rsidR="00000000" w:rsidRPr="00000000">
        <w:rPr>
          <w:vertAlign w:val="superscript"/>
        </w:rPr>
        <w:footnoteReference w:customMarkFollows="0" w:id="9"/>
      </w:r>
      <w:r w:rsidDel="00000000" w:rsidR="00000000" w:rsidRPr="00000000">
        <w:rPr>
          <w:rtl w:val="0"/>
        </w:rPr>
        <w:t xml:space="preserve"> This would have influenced the work done by Walter of Châtillion because he was living and working in Paris which was the seat of the Capetian dynasty and the centre of their limited power at the time. This limit on the power of Philip Agustus and the Capetian Dynasty was due to the overwhelming majority of what is today recognised as mainland French territory being part of the Angevin Empire.</w:t>
      </w:r>
      <w:r w:rsidDel="00000000" w:rsidR="00000000" w:rsidRPr="00000000">
        <w:rPr>
          <w:vertAlign w:val="superscript"/>
        </w:rPr>
        <w:footnoteReference w:customMarkFollows="0" w:id="10"/>
      </w:r>
      <w:r w:rsidDel="00000000" w:rsidR="00000000" w:rsidRPr="00000000">
        <w:rPr>
          <w:rtl w:val="0"/>
        </w:rPr>
        <w:t xml:space="preserve"> Due to his actions taken during the 1180s, after Walter of Châtillion had published the </w:t>
      </w:r>
      <w:r w:rsidDel="00000000" w:rsidR="00000000" w:rsidRPr="00000000">
        <w:rPr>
          <w:i w:val="1"/>
          <w:rtl w:val="0"/>
        </w:rPr>
        <w:t xml:space="preserve">Alexandreis</w:t>
      </w:r>
      <w:r w:rsidDel="00000000" w:rsidR="00000000" w:rsidRPr="00000000">
        <w:rPr>
          <w:rtl w:val="0"/>
        </w:rPr>
        <w:t xml:space="preserve">, it is clear to see that Philip Agustus had a desire to reestablish Capetian rule over his vassal and would quite likely have been inspired by Walter of Châtillion’s </w:t>
      </w:r>
      <w:r w:rsidDel="00000000" w:rsidR="00000000" w:rsidRPr="00000000">
        <w:rPr>
          <w:i w:val="1"/>
          <w:rtl w:val="0"/>
        </w:rPr>
        <w:t xml:space="preserve">Alexandreis </w:t>
      </w:r>
      <w:r w:rsidDel="00000000" w:rsidR="00000000" w:rsidRPr="00000000">
        <w:rPr>
          <w:rtl w:val="0"/>
        </w:rPr>
        <w:t xml:space="preserve">which was written and dedicated to his uncle in law. This link between Philip Augustus and Alexander the Great can also be seen through the mediaeval poems written about their lives as both Walter of Châtillion </w:t>
      </w:r>
      <w:r w:rsidDel="00000000" w:rsidR="00000000" w:rsidRPr="00000000">
        <w:rPr>
          <w:i w:val="1"/>
          <w:rtl w:val="0"/>
        </w:rPr>
        <w:t xml:space="preserve">Alexandreis </w:t>
      </w:r>
      <w:r w:rsidDel="00000000" w:rsidR="00000000" w:rsidRPr="00000000">
        <w:rPr>
          <w:rtl w:val="0"/>
        </w:rPr>
        <w:t xml:space="preserve">and William the Bretons</w:t>
      </w:r>
      <w:r w:rsidDel="00000000" w:rsidR="00000000" w:rsidRPr="00000000">
        <w:rPr>
          <w:i w:val="1"/>
          <w:rtl w:val="0"/>
        </w:rPr>
        <w:t xml:space="preserve"> </w:t>
      </w:r>
      <w:r w:rsidDel="00000000" w:rsidR="00000000" w:rsidRPr="00000000">
        <w:rPr>
          <w:i w:val="1"/>
          <w:rtl w:val="0"/>
        </w:rPr>
        <w:t xml:space="preserve">Philippide</w:t>
      </w:r>
      <w:r w:rsidDel="00000000" w:rsidR="00000000" w:rsidRPr="00000000">
        <w:rPr>
          <w:i w:val="1"/>
          <w:rtl w:val="0"/>
        </w:rPr>
        <w:t xml:space="preserve"> </w:t>
      </w:r>
      <w:r w:rsidDel="00000000" w:rsidR="00000000" w:rsidRPr="00000000">
        <w:rPr>
          <w:rtl w:val="0"/>
        </w:rPr>
        <w:t xml:space="preserve">use the same metre.</w:t>
      </w:r>
      <w:r w:rsidDel="00000000" w:rsidR="00000000" w:rsidRPr="00000000">
        <w:rPr>
          <w:vertAlign w:val="superscript"/>
        </w:rPr>
        <w:footnoteReference w:customMarkFollows="0" w:id="11"/>
      </w:r>
      <w:r w:rsidDel="00000000" w:rsidR="00000000" w:rsidRPr="00000000">
        <w:rPr>
          <w:rtl w:val="0"/>
        </w:rPr>
        <w:t xml:space="preserve"> This can be seen as Walter of Châtillion influencing the work of William the Breton because in the opening of the </w:t>
      </w:r>
      <w:r w:rsidDel="00000000" w:rsidR="00000000" w:rsidRPr="00000000">
        <w:rPr>
          <w:i w:val="1"/>
          <w:rtl w:val="0"/>
        </w:rPr>
        <w:t xml:space="preserve">Philippide</w:t>
      </w:r>
      <w:r w:rsidDel="00000000" w:rsidR="00000000" w:rsidRPr="00000000">
        <w:rPr>
          <w:rtl w:val="0"/>
        </w:rPr>
        <w:t xml:space="preserve">, William the Breton heavily implies that “As much as Walter's Alexander overshadows every other theme of previous poets, by equal measure William's subjects, Philip and Louis, surpass Alexander”.</w:t>
      </w:r>
      <w:r w:rsidDel="00000000" w:rsidR="00000000" w:rsidRPr="00000000">
        <w:rPr>
          <w:vertAlign w:val="superscript"/>
        </w:rPr>
        <w:footnoteReference w:customMarkFollows="0" w:id="12"/>
      </w:r>
      <w:r w:rsidDel="00000000" w:rsidR="00000000" w:rsidRPr="00000000">
        <w:rPr>
          <w:rtl w:val="0"/>
        </w:rPr>
        <w:t xml:space="preserve"> This means that Walter of Châtillion’s </w:t>
      </w:r>
      <w:r w:rsidDel="00000000" w:rsidR="00000000" w:rsidRPr="00000000">
        <w:rPr>
          <w:i w:val="1"/>
          <w:rtl w:val="0"/>
        </w:rPr>
        <w:t xml:space="preserve">Alexandreis</w:t>
      </w:r>
      <w:r w:rsidDel="00000000" w:rsidR="00000000" w:rsidRPr="00000000">
        <w:rPr>
          <w:rtl w:val="0"/>
        </w:rPr>
        <w:t xml:space="preserve">, is useful to the study of the mediaeval world because it shows how writers like William the Breton and kings such as Philip Augustus viewed the ancient world of Alexander the Great and how they related to it and used it as a precedent for their own actions. </w:t>
      </w:r>
    </w:p>
    <w:p w:rsidR="00000000" w:rsidDel="00000000" w:rsidP="00000000" w:rsidRDefault="00000000" w:rsidRPr="00000000" w14:paraId="00000005">
      <w:pPr>
        <w:ind w:firstLine="720"/>
        <w:rPr/>
      </w:pPr>
      <w:r w:rsidDel="00000000" w:rsidR="00000000" w:rsidRPr="00000000">
        <w:rPr>
          <w:rtl w:val="0"/>
        </w:rPr>
        <w:t xml:space="preserve">In conclusion, Walter of Châtillion’s text the </w:t>
      </w:r>
      <w:r w:rsidDel="00000000" w:rsidR="00000000" w:rsidRPr="00000000">
        <w:rPr>
          <w:i w:val="1"/>
          <w:rtl w:val="0"/>
        </w:rPr>
        <w:t xml:space="preserve">Alexandreis</w:t>
      </w:r>
      <w:r w:rsidDel="00000000" w:rsidR="00000000" w:rsidRPr="00000000">
        <w:rPr>
          <w:rtl w:val="0"/>
        </w:rPr>
        <w:t xml:space="preserve"> is highly useful to the study of the mediaeval world as it gives a great insight into the minds of many people who were active and played an important part in the fabric of the twelfth and early thirteenth century. This can be seen through the fact that Walter of Châtillion and his work the </w:t>
      </w:r>
      <w:r w:rsidDel="00000000" w:rsidR="00000000" w:rsidRPr="00000000">
        <w:rPr>
          <w:i w:val="1"/>
          <w:rtl w:val="0"/>
        </w:rPr>
        <w:t xml:space="preserve">Alexandreis </w:t>
      </w:r>
      <w:r w:rsidDel="00000000" w:rsidR="00000000" w:rsidRPr="00000000">
        <w:rPr>
          <w:rtl w:val="0"/>
        </w:rPr>
        <w:t xml:space="preserve">are mentioned by other contemporary sources. To add to this the other contemporary sources such as William the Breton with the </w:t>
      </w:r>
      <w:r w:rsidDel="00000000" w:rsidR="00000000" w:rsidRPr="00000000">
        <w:rPr>
          <w:i w:val="1"/>
          <w:rtl w:val="0"/>
        </w:rPr>
        <w:t xml:space="preserve">Philippide </w:t>
      </w:r>
      <w:r w:rsidDel="00000000" w:rsidR="00000000" w:rsidRPr="00000000">
        <w:rPr>
          <w:rtl w:val="0"/>
        </w:rPr>
        <w:t xml:space="preserve">try to emulate the style of Walter of Châtillion through the use of the same poetic metre. While William the Breton is trying to emulate the style of writing of Walter of Châtillion, he is also actively trying to make the Philip Agustus that he is portraying in the </w:t>
      </w:r>
      <w:r w:rsidDel="00000000" w:rsidR="00000000" w:rsidRPr="00000000">
        <w:rPr>
          <w:i w:val="1"/>
          <w:rtl w:val="0"/>
        </w:rPr>
        <w:t xml:space="preserve">Philippide</w:t>
      </w:r>
      <w:r w:rsidDel="00000000" w:rsidR="00000000" w:rsidRPr="00000000">
        <w:rPr>
          <w:rtl w:val="0"/>
        </w:rPr>
        <w:t xml:space="preserve"> more grander and better than the Alexander that is presented to us in Walter of Châtillion’s </w:t>
      </w:r>
      <w:r w:rsidDel="00000000" w:rsidR="00000000" w:rsidRPr="00000000">
        <w:rPr>
          <w:i w:val="1"/>
          <w:rtl w:val="0"/>
        </w:rPr>
        <w:t xml:space="preserve">Alexandreis.</w:t>
      </w:r>
      <w:r w:rsidDel="00000000" w:rsidR="00000000" w:rsidRPr="00000000">
        <w:rPr>
          <w:rtl w:val="0"/>
        </w:rPr>
        <w:t xml:space="preserve"> There is also the fact that Walter of Châtillion’s text the </w:t>
      </w:r>
      <w:r w:rsidDel="00000000" w:rsidR="00000000" w:rsidRPr="00000000">
        <w:rPr>
          <w:i w:val="1"/>
          <w:rtl w:val="0"/>
        </w:rPr>
        <w:t xml:space="preserve">Alexandreis </w:t>
      </w:r>
      <w:r w:rsidDel="00000000" w:rsidR="00000000" w:rsidRPr="00000000">
        <w:rPr>
          <w:rtl w:val="0"/>
        </w:rPr>
        <w:t xml:space="preserve">is useful because it talks about the geography of the world in a style reminiscent of the Mappa Mundi of the Mediaeval world. This is useful to the study of the mediaeval world because it allows the audience another view to geography that exists separate to the world of cartography and travel writings. Walter of Châtillion’s use of colourful, descriptive language to describe the Asia that Alexander the Great explores and later conquers helps to captivate the reader and shows that the </w:t>
      </w:r>
      <w:r w:rsidDel="00000000" w:rsidR="00000000" w:rsidRPr="00000000">
        <w:rPr>
          <w:i w:val="1"/>
          <w:rtl w:val="0"/>
        </w:rPr>
        <w:t xml:space="preserve">Alexandreis </w:t>
      </w:r>
      <w:r w:rsidDel="00000000" w:rsidR="00000000" w:rsidRPr="00000000">
        <w:rPr>
          <w:rtl w:val="0"/>
        </w:rPr>
        <w:t xml:space="preserve">was written primarily as a piece of entertainment more than an academic history text in the way that Quintus Curtius Rufus did. To summarise, Walter of Châtillion’s </w:t>
      </w:r>
      <w:r w:rsidDel="00000000" w:rsidR="00000000" w:rsidRPr="00000000">
        <w:rPr>
          <w:i w:val="1"/>
          <w:rtl w:val="0"/>
        </w:rPr>
        <w:t xml:space="preserve">Alexandreis</w:t>
      </w:r>
      <w:r w:rsidDel="00000000" w:rsidR="00000000" w:rsidRPr="00000000">
        <w:rPr>
          <w:rtl w:val="0"/>
        </w:rPr>
        <w:t xml:space="preserve"> is a useful source for people studying the mediaeval people and the mindset in which they viewed the ancient world and the characters that appeared there but it falls short in regards to the study of the ancient world and Alexander the Great as a man rather than a character that is viewed by the mediaeval world. </w:t>
      </w:r>
      <w:r w:rsidDel="00000000" w:rsidR="00000000" w:rsidRPr="00000000">
        <w:rPr>
          <w:rtl w:val="0"/>
        </w:rPr>
      </w:r>
    </w:p>
    <w:p w:rsidR="00000000" w:rsidDel="00000000" w:rsidP="00000000" w:rsidRDefault="00000000" w:rsidRPr="00000000" w14:paraId="00000006">
      <w:pPr>
        <w:pStyle w:val="Heading2"/>
        <w:rPr/>
      </w:pPr>
      <w:bookmarkStart w:colFirst="0" w:colLast="0" w:name="_pbzz4pit4htl" w:id="1"/>
      <w:bookmarkEnd w:id="1"/>
      <w:r w:rsidDel="00000000" w:rsidR="00000000" w:rsidRPr="00000000">
        <w:rPr>
          <w:rtl w:val="0"/>
        </w:rPr>
        <w:t xml:space="preserve">Bibliography </w:t>
      </w:r>
    </w:p>
    <w:p w:rsidR="00000000" w:rsidDel="00000000" w:rsidP="00000000" w:rsidRDefault="00000000" w:rsidRPr="00000000" w14:paraId="00000007">
      <w:pPr>
        <w:spacing w:line="240" w:lineRule="auto"/>
        <w:rPr>
          <w:sz w:val="20"/>
          <w:szCs w:val="20"/>
        </w:rPr>
      </w:pPr>
      <w:r w:rsidDel="00000000" w:rsidR="00000000" w:rsidRPr="00000000">
        <w:rPr>
          <w:sz w:val="20"/>
          <w:szCs w:val="20"/>
          <w:rtl w:val="0"/>
        </w:rPr>
        <w:t xml:space="preserve">Editors of Britannica ‘Philip II’ </w:t>
      </w:r>
      <w:hyperlink r:id="rId7">
        <w:r w:rsidDel="00000000" w:rsidR="00000000" w:rsidRPr="00000000">
          <w:rPr>
            <w:color w:val="1155cc"/>
            <w:sz w:val="20"/>
            <w:szCs w:val="20"/>
            <w:u w:val="single"/>
            <w:rtl w:val="0"/>
          </w:rPr>
          <w:t xml:space="preserve">https://www.britannica.com/summary/Philip-II-king-of-France</w:t>
        </w:r>
      </w:hyperlink>
      <w:r w:rsidDel="00000000" w:rsidR="00000000" w:rsidRPr="00000000">
        <w:rPr>
          <w:sz w:val="20"/>
          <w:szCs w:val="20"/>
          <w:rtl w:val="0"/>
        </w:rPr>
        <w:t xml:space="preserve"> [accessed 29/04/24]</w:t>
      </w:r>
    </w:p>
    <w:p w:rsidR="00000000" w:rsidDel="00000000" w:rsidP="00000000" w:rsidRDefault="00000000" w:rsidRPr="00000000" w14:paraId="00000008">
      <w:pPr>
        <w:spacing w:line="240" w:lineRule="auto"/>
        <w:rPr>
          <w:sz w:val="20"/>
          <w:szCs w:val="20"/>
        </w:rPr>
      </w:pPr>
      <w:r w:rsidDel="00000000" w:rsidR="00000000" w:rsidRPr="00000000">
        <w:rPr>
          <w:rtl w:val="0"/>
        </w:rPr>
      </w:r>
    </w:p>
    <w:p w:rsidR="00000000" w:rsidDel="00000000" w:rsidP="00000000" w:rsidRDefault="00000000" w:rsidRPr="00000000" w14:paraId="00000009">
      <w:pPr>
        <w:spacing w:line="240" w:lineRule="auto"/>
        <w:rPr>
          <w:sz w:val="20"/>
          <w:szCs w:val="20"/>
        </w:rPr>
      </w:pPr>
      <w:r w:rsidDel="00000000" w:rsidR="00000000" w:rsidRPr="00000000">
        <w:rPr>
          <w:sz w:val="20"/>
          <w:szCs w:val="20"/>
          <w:rtl w:val="0"/>
        </w:rPr>
        <w:t xml:space="preserve">‘Hereford Mappa Mundi: Camp of Alexander the Great ’ </w:t>
      </w:r>
      <w:hyperlink r:id="rId8">
        <w:r w:rsidDel="00000000" w:rsidR="00000000" w:rsidRPr="00000000">
          <w:rPr>
            <w:color w:val="1155cc"/>
            <w:sz w:val="20"/>
            <w:szCs w:val="20"/>
            <w:u w:val="single"/>
            <w:rtl w:val="0"/>
          </w:rPr>
          <w:t xml:space="preserve">https://www.themappamundi.co.uk/mappa-mundi/</w:t>
        </w:r>
      </w:hyperlink>
      <w:r w:rsidDel="00000000" w:rsidR="00000000" w:rsidRPr="00000000">
        <w:rPr>
          <w:sz w:val="20"/>
          <w:szCs w:val="20"/>
          <w:rtl w:val="0"/>
        </w:rPr>
        <w:t xml:space="preserve"> [accessed 28/04/09]</w:t>
      </w:r>
    </w:p>
    <w:p w:rsidR="00000000" w:rsidDel="00000000" w:rsidP="00000000" w:rsidRDefault="00000000" w:rsidRPr="00000000" w14:paraId="0000000A">
      <w:pPr>
        <w:spacing w:line="240" w:lineRule="auto"/>
        <w:rPr>
          <w:sz w:val="20"/>
          <w:szCs w:val="20"/>
        </w:rPr>
      </w:pPr>
      <w:r w:rsidDel="00000000" w:rsidR="00000000" w:rsidRPr="00000000">
        <w:rPr>
          <w:rtl w:val="0"/>
        </w:rPr>
      </w:r>
    </w:p>
    <w:p w:rsidR="00000000" w:rsidDel="00000000" w:rsidP="00000000" w:rsidRDefault="00000000" w:rsidRPr="00000000" w14:paraId="0000000B">
      <w:pPr>
        <w:spacing w:line="240" w:lineRule="auto"/>
        <w:rPr>
          <w:sz w:val="20"/>
          <w:szCs w:val="20"/>
        </w:rPr>
      </w:pPr>
      <w:r w:rsidDel="00000000" w:rsidR="00000000" w:rsidRPr="00000000">
        <w:rPr>
          <w:sz w:val="20"/>
          <w:szCs w:val="20"/>
          <w:rtl w:val="0"/>
        </w:rPr>
        <w:t xml:space="preserve"> ‘Hereford Mappa Mundi’ </w:t>
      </w:r>
      <w:hyperlink r:id="rId9">
        <w:r w:rsidDel="00000000" w:rsidR="00000000" w:rsidRPr="00000000">
          <w:rPr>
            <w:color w:val="1155cc"/>
            <w:sz w:val="20"/>
            <w:szCs w:val="20"/>
            <w:u w:val="single"/>
            <w:rtl w:val="0"/>
          </w:rPr>
          <w:t xml:space="preserve">https://www.themappamundi.co.uk/mappa-mundi/</w:t>
        </w:r>
      </w:hyperlink>
      <w:r w:rsidDel="00000000" w:rsidR="00000000" w:rsidRPr="00000000">
        <w:rPr>
          <w:sz w:val="20"/>
          <w:szCs w:val="20"/>
          <w:rtl w:val="0"/>
        </w:rPr>
        <w:t xml:space="preserve"> [accessed 28/04/09]</w:t>
      </w:r>
    </w:p>
    <w:p w:rsidR="00000000" w:rsidDel="00000000" w:rsidP="00000000" w:rsidRDefault="00000000" w:rsidRPr="00000000" w14:paraId="0000000C">
      <w:pPr>
        <w:spacing w:line="240" w:lineRule="auto"/>
        <w:rPr>
          <w:sz w:val="20"/>
          <w:szCs w:val="20"/>
        </w:rPr>
      </w:pPr>
      <w:r w:rsidDel="00000000" w:rsidR="00000000" w:rsidRPr="00000000">
        <w:rPr>
          <w:rtl w:val="0"/>
        </w:rPr>
      </w:r>
    </w:p>
    <w:p w:rsidR="00000000" w:rsidDel="00000000" w:rsidP="00000000" w:rsidRDefault="00000000" w:rsidRPr="00000000" w14:paraId="0000000D">
      <w:pPr>
        <w:spacing w:line="240" w:lineRule="auto"/>
        <w:rPr>
          <w:sz w:val="20"/>
          <w:szCs w:val="20"/>
        </w:rPr>
      </w:pPr>
      <w:r w:rsidDel="00000000" w:rsidR="00000000" w:rsidRPr="00000000">
        <w:rPr>
          <w:sz w:val="20"/>
          <w:szCs w:val="20"/>
          <w:rtl w:val="0"/>
        </w:rPr>
        <w:t xml:space="preserve">Historic Britain ‘The Angevin Empire’ </w:t>
      </w:r>
      <w:hyperlink r:id="rId10">
        <w:r w:rsidDel="00000000" w:rsidR="00000000" w:rsidRPr="00000000">
          <w:rPr>
            <w:color w:val="1155cc"/>
            <w:sz w:val="20"/>
            <w:szCs w:val="20"/>
            <w:u w:val="single"/>
            <w:rtl w:val="0"/>
          </w:rPr>
          <w:t xml:space="preserve">https://www.english-heritage.org.uk/visit/places/dover-castle/history-and-stories/angevin-empire/</w:t>
        </w:r>
      </w:hyperlink>
      <w:r w:rsidDel="00000000" w:rsidR="00000000" w:rsidRPr="00000000">
        <w:rPr>
          <w:sz w:val="20"/>
          <w:szCs w:val="20"/>
          <w:rtl w:val="0"/>
        </w:rPr>
        <w:t xml:space="preserve"> [accessed 28/04/24]</w:t>
      </w:r>
    </w:p>
    <w:p w:rsidR="00000000" w:rsidDel="00000000" w:rsidP="00000000" w:rsidRDefault="00000000" w:rsidRPr="00000000" w14:paraId="0000000E">
      <w:pPr>
        <w:spacing w:line="240" w:lineRule="auto"/>
        <w:rPr>
          <w:sz w:val="20"/>
          <w:szCs w:val="20"/>
        </w:rPr>
      </w:pPr>
      <w:r w:rsidDel="00000000" w:rsidR="00000000" w:rsidRPr="00000000">
        <w:rPr>
          <w:rtl w:val="0"/>
        </w:rPr>
      </w:r>
    </w:p>
    <w:p w:rsidR="00000000" w:rsidDel="00000000" w:rsidP="00000000" w:rsidRDefault="00000000" w:rsidRPr="00000000" w14:paraId="0000000F">
      <w:pPr>
        <w:spacing w:line="240" w:lineRule="auto"/>
        <w:rPr>
          <w:sz w:val="20"/>
          <w:szCs w:val="20"/>
        </w:rPr>
      </w:pPr>
      <w:r w:rsidDel="00000000" w:rsidR="00000000" w:rsidRPr="00000000">
        <w:rPr>
          <w:sz w:val="20"/>
          <w:szCs w:val="20"/>
          <w:rtl w:val="0"/>
        </w:rPr>
        <w:t xml:space="preserve">Stringer, Gregory P., "Book 1 of William the Breton's "Philippide": A translation" (2010). P.16  Master's Theses and Capstones. 133. </w:t>
      </w:r>
      <w:hyperlink r:id="rId11">
        <w:r w:rsidDel="00000000" w:rsidR="00000000" w:rsidRPr="00000000">
          <w:rPr>
            <w:color w:val="1155cc"/>
            <w:sz w:val="20"/>
            <w:szCs w:val="20"/>
            <w:u w:val="single"/>
            <w:rtl w:val="0"/>
          </w:rPr>
          <w:t xml:space="preserve">https://scholars.unh.edu/thesis/133</w:t>
        </w:r>
      </w:hyperlink>
      <w:r w:rsidDel="00000000" w:rsidR="00000000" w:rsidRPr="00000000">
        <w:rPr>
          <w:sz w:val="20"/>
          <w:szCs w:val="20"/>
          <w:rtl w:val="0"/>
        </w:rPr>
        <w:t xml:space="preserve"> </w:t>
      </w:r>
    </w:p>
    <w:p w:rsidR="00000000" w:rsidDel="00000000" w:rsidP="00000000" w:rsidRDefault="00000000" w:rsidRPr="00000000" w14:paraId="00000010">
      <w:pPr>
        <w:spacing w:line="240" w:lineRule="auto"/>
        <w:rPr>
          <w:sz w:val="20"/>
          <w:szCs w:val="20"/>
        </w:rPr>
      </w:pPr>
      <w:r w:rsidDel="00000000" w:rsidR="00000000" w:rsidRPr="00000000">
        <w:rPr>
          <w:rtl w:val="0"/>
        </w:rPr>
      </w:r>
    </w:p>
    <w:p w:rsidR="00000000" w:rsidDel="00000000" w:rsidP="00000000" w:rsidRDefault="00000000" w:rsidRPr="00000000" w14:paraId="00000011">
      <w:pPr>
        <w:spacing w:line="240" w:lineRule="auto"/>
        <w:rPr>
          <w:sz w:val="20"/>
          <w:szCs w:val="20"/>
        </w:rPr>
      </w:pPr>
      <w:r w:rsidDel="00000000" w:rsidR="00000000" w:rsidRPr="00000000">
        <w:rPr>
          <w:sz w:val="20"/>
          <w:szCs w:val="20"/>
          <w:rtl w:val="0"/>
        </w:rPr>
        <w:t xml:space="preserve">Townsend, David. “Introduction.” </w:t>
      </w:r>
      <w:r w:rsidDel="00000000" w:rsidR="00000000" w:rsidRPr="00000000">
        <w:rPr>
          <w:i w:val="1"/>
          <w:sz w:val="20"/>
          <w:szCs w:val="20"/>
          <w:rtl w:val="0"/>
        </w:rPr>
        <w:t xml:space="preserve">The “Alexandreis” of Walter of Chatilon: A Twelfth-Century Epic</w:t>
      </w:r>
      <w:r w:rsidDel="00000000" w:rsidR="00000000" w:rsidRPr="00000000">
        <w:rPr>
          <w:sz w:val="20"/>
          <w:szCs w:val="20"/>
          <w:rtl w:val="0"/>
        </w:rPr>
        <w:t xml:space="preserve">, University of Pennsylvania Press, 1996, pp. ix-x. </w:t>
      </w:r>
      <w:r w:rsidDel="00000000" w:rsidR="00000000" w:rsidRPr="00000000">
        <w:rPr>
          <w:i w:val="1"/>
          <w:sz w:val="20"/>
          <w:szCs w:val="20"/>
          <w:rtl w:val="0"/>
        </w:rPr>
        <w:t xml:space="preserve">JSTOR</w:t>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http://www.jstor.org/stable/j.ctt18crxvp</w:t>
        </w:r>
      </w:hyperlink>
      <w:r w:rsidDel="00000000" w:rsidR="00000000" w:rsidRPr="00000000">
        <w:rPr>
          <w:sz w:val="20"/>
          <w:szCs w:val="20"/>
          <w:rtl w:val="0"/>
        </w:rPr>
        <w:t xml:space="preserve"> [accessed 28/04/24]</w:t>
      </w:r>
    </w:p>
    <w:p w:rsidR="00000000" w:rsidDel="00000000" w:rsidP="00000000" w:rsidRDefault="00000000" w:rsidRPr="00000000" w14:paraId="00000012">
      <w:pPr>
        <w:spacing w:line="240" w:lineRule="auto"/>
        <w:rPr>
          <w:sz w:val="20"/>
          <w:szCs w:val="20"/>
        </w:rPr>
      </w:pPr>
      <w:r w:rsidDel="00000000" w:rsidR="00000000" w:rsidRPr="00000000">
        <w:rPr>
          <w:rtl w:val="0"/>
        </w:rPr>
      </w:r>
    </w:p>
    <w:p w:rsidR="00000000" w:rsidDel="00000000" w:rsidP="00000000" w:rsidRDefault="00000000" w:rsidRPr="00000000" w14:paraId="00000013">
      <w:pPr>
        <w:spacing w:line="240" w:lineRule="auto"/>
        <w:rPr>
          <w:sz w:val="20"/>
          <w:szCs w:val="20"/>
        </w:rPr>
      </w:pPr>
      <w:r w:rsidDel="00000000" w:rsidR="00000000" w:rsidRPr="00000000">
        <w:rPr>
          <w:sz w:val="20"/>
          <w:szCs w:val="20"/>
          <w:rtl w:val="0"/>
        </w:rPr>
        <w:t xml:space="preserve">‘</w:t>
      </w:r>
      <w:r w:rsidDel="00000000" w:rsidR="00000000" w:rsidRPr="00000000">
        <w:rPr>
          <w:sz w:val="20"/>
          <w:szCs w:val="20"/>
          <w:highlight w:val="white"/>
          <w:rtl w:val="0"/>
        </w:rPr>
        <w:t xml:space="preserve">WALTER DE CHÂTILLON (ACTIVE 1170-80) </w:t>
      </w:r>
      <w:r w:rsidDel="00000000" w:rsidR="00000000" w:rsidRPr="00000000">
        <w:rPr>
          <w:rtl w:val="0"/>
        </w:rPr>
        <w:t xml:space="preserve">Alexandreis 1558</w:t>
      </w:r>
      <w:r w:rsidDel="00000000" w:rsidR="00000000" w:rsidRPr="00000000">
        <w:rPr>
          <w:sz w:val="20"/>
          <w:szCs w:val="20"/>
          <w:rtl w:val="0"/>
        </w:rPr>
        <w:t xml:space="preserve"> </w:t>
      </w:r>
      <w:r w:rsidDel="00000000" w:rsidR="00000000" w:rsidRPr="00000000">
        <w:rPr>
          <w:sz w:val="20"/>
          <w:szCs w:val="20"/>
          <w:highlight w:val="white"/>
          <w:rtl w:val="0"/>
        </w:rPr>
        <w:t xml:space="preserve">20.0 x 3.0 cm (book measurement (inventory)) | RCIN 1055009’  </w:t>
      </w:r>
      <w:hyperlink r:id="rId13">
        <w:r w:rsidDel="00000000" w:rsidR="00000000" w:rsidRPr="00000000">
          <w:rPr>
            <w:color w:val="1155cc"/>
            <w:sz w:val="20"/>
            <w:szCs w:val="20"/>
            <w:highlight w:val="white"/>
            <w:u w:val="single"/>
            <w:rtl w:val="0"/>
          </w:rPr>
          <w:t xml:space="preserve">https://www.rct.uk/collection/1055009/alexandreis</w:t>
        </w:r>
      </w:hyperlink>
      <w:r w:rsidDel="00000000" w:rsidR="00000000" w:rsidRPr="00000000">
        <w:rPr>
          <w:sz w:val="20"/>
          <w:szCs w:val="20"/>
          <w:highlight w:val="white"/>
          <w:rtl w:val="0"/>
        </w:rPr>
        <w:t xml:space="preserve"> [accessed 28/04/24]</w:t>
      </w:r>
      <w:r w:rsidDel="00000000" w:rsidR="00000000" w:rsidRPr="00000000">
        <w:rPr>
          <w:rtl w:val="0"/>
        </w:rPr>
      </w:r>
    </w:p>
    <w:sectPr>
      <w:headerReference r:id="rId14" w:type="default"/>
      <w:footerReference r:id="rId1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WALTER DE CHÂTILLON (ACTIVE 1170-80) </w:t>
      </w:r>
      <w:r w:rsidDel="00000000" w:rsidR="00000000" w:rsidRPr="00000000">
        <w:rPr>
          <w:rtl w:val="0"/>
        </w:rPr>
        <w:t xml:space="preserve">Alexandreis </w:t>
      </w:r>
      <w:r w:rsidDel="00000000" w:rsidR="00000000" w:rsidRPr="00000000">
        <w:rPr>
          <w:rtl w:val="0"/>
        </w:rPr>
        <w:t xml:space="preserve">1558</w:t>
      </w:r>
      <w:r w:rsidDel="00000000" w:rsidR="00000000" w:rsidRPr="00000000">
        <w:rPr>
          <w:sz w:val="20"/>
          <w:szCs w:val="20"/>
          <w:rtl w:val="0"/>
        </w:rPr>
        <w:t xml:space="preserve"> </w:t>
      </w:r>
      <w:r w:rsidDel="00000000" w:rsidR="00000000" w:rsidRPr="00000000">
        <w:rPr>
          <w:sz w:val="20"/>
          <w:szCs w:val="20"/>
          <w:highlight w:val="white"/>
          <w:rtl w:val="0"/>
        </w:rPr>
        <w:t xml:space="preserve">20.0 x 3.0 cm (book measurement (inventory)) | RCIN 1055009’  </w:t>
      </w:r>
      <w:hyperlink r:id="rId1">
        <w:r w:rsidDel="00000000" w:rsidR="00000000" w:rsidRPr="00000000">
          <w:rPr>
            <w:color w:val="1155cc"/>
            <w:sz w:val="20"/>
            <w:szCs w:val="20"/>
            <w:highlight w:val="white"/>
            <w:u w:val="single"/>
            <w:rtl w:val="0"/>
          </w:rPr>
          <w:t xml:space="preserve">https://www.rct.uk/collection/1055009/alexandreis</w:t>
        </w:r>
      </w:hyperlink>
      <w:r w:rsidDel="00000000" w:rsidR="00000000" w:rsidRPr="00000000">
        <w:rPr>
          <w:sz w:val="20"/>
          <w:szCs w:val="20"/>
          <w:highlight w:val="white"/>
          <w:rtl w:val="0"/>
        </w:rPr>
        <w:t xml:space="preserve"> [accessed 28/04/24]</w:t>
      </w:r>
      <w:r w:rsidDel="00000000" w:rsidR="00000000" w:rsidRPr="00000000">
        <w:rPr>
          <w:rtl w:val="0"/>
        </w:rPr>
      </w:r>
    </w:p>
  </w:footnote>
  <w:footnote w:id="1">
    <w:p w:rsidR="00000000" w:rsidDel="00000000" w:rsidP="00000000" w:rsidRDefault="00000000" w:rsidRPr="00000000" w14:paraId="0000001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Townsend, David. “Introduction.” </w:t>
      </w:r>
      <w:r w:rsidDel="00000000" w:rsidR="00000000" w:rsidRPr="00000000">
        <w:rPr>
          <w:i w:val="1"/>
          <w:sz w:val="20"/>
          <w:szCs w:val="20"/>
          <w:rtl w:val="0"/>
        </w:rPr>
        <w:t xml:space="preserve">The “Alexandreis” of Walter of Chatilon: A Twelfth-Century Epic</w:t>
      </w:r>
      <w:r w:rsidDel="00000000" w:rsidR="00000000" w:rsidRPr="00000000">
        <w:rPr>
          <w:sz w:val="20"/>
          <w:szCs w:val="20"/>
          <w:rtl w:val="0"/>
        </w:rPr>
        <w:t xml:space="preserve">, University of Pennsylvania Press, 1996, p. xi. </w:t>
      </w:r>
      <w:r w:rsidDel="00000000" w:rsidR="00000000" w:rsidRPr="00000000">
        <w:rPr>
          <w:i w:val="1"/>
          <w:sz w:val="20"/>
          <w:szCs w:val="20"/>
          <w:rtl w:val="0"/>
        </w:rPr>
        <w:t xml:space="preserve">JSTOR</w:t>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http://www.jstor.org/stable/j.ctt18crxvp</w:t>
        </w:r>
      </w:hyperlink>
      <w:r w:rsidDel="00000000" w:rsidR="00000000" w:rsidRPr="00000000">
        <w:rPr>
          <w:sz w:val="20"/>
          <w:szCs w:val="20"/>
          <w:rtl w:val="0"/>
        </w:rPr>
        <w:t xml:space="preserve"> [accessed 28/04/24]</w:t>
      </w:r>
    </w:p>
  </w:footnote>
  <w:footnote w:id="2">
    <w:p w:rsidR="00000000" w:rsidDel="00000000" w:rsidP="00000000" w:rsidRDefault="00000000" w:rsidRPr="00000000" w14:paraId="000000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3">
    <w:p w:rsidR="00000000" w:rsidDel="00000000" w:rsidP="00000000" w:rsidRDefault="00000000" w:rsidRPr="00000000" w14:paraId="0000001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Townsend, David. “Book One.” </w:t>
      </w:r>
      <w:r w:rsidDel="00000000" w:rsidR="00000000" w:rsidRPr="00000000">
        <w:rPr>
          <w:i w:val="1"/>
          <w:sz w:val="20"/>
          <w:szCs w:val="20"/>
          <w:rtl w:val="0"/>
        </w:rPr>
        <w:t xml:space="preserve">The “Alexandreis” of Walter of Chatilon: A Twelfth-Century Epic</w:t>
      </w:r>
      <w:r w:rsidDel="00000000" w:rsidR="00000000" w:rsidRPr="00000000">
        <w:rPr>
          <w:sz w:val="20"/>
          <w:szCs w:val="20"/>
          <w:rtl w:val="0"/>
        </w:rPr>
        <w:t xml:space="preserve">, University of Pennsylvania Press, 1996, p. 18. </w:t>
      </w:r>
      <w:r w:rsidDel="00000000" w:rsidR="00000000" w:rsidRPr="00000000">
        <w:rPr>
          <w:i w:val="1"/>
          <w:sz w:val="20"/>
          <w:szCs w:val="20"/>
          <w:rtl w:val="0"/>
        </w:rPr>
        <w:t xml:space="preserve">JSTOR</w:t>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http://www.jstor.org/stable/j.ctt18crxvp.7</w:t>
        </w:r>
      </w:hyperlink>
      <w:r w:rsidDel="00000000" w:rsidR="00000000" w:rsidRPr="00000000">
        <w:rPr>
          <w:sz w:val="20"/>
          <w:szCs w:val="20"/>
          <w:rtl w:val="0"/>
        </w:rPr>
        <w:t xml:space="preserve"> [accessed 28/04/23]</w:t>
      </w:r>
    </w:p>
  </w:footnote>
  <w:footnote w:id="4">
    <w:p w:rsidR="00000000" w:rsidDel="00000000" w:rsidP="00000000" w:rsidRDefault="00000000" w:rsidRPr="00000000" w14:paraId="0000001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w:t>
      </w:r>
    </w:p>
  </w:footnote>
  <w:footnote w:id="5">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‘Hereford Mappa Mundi: Camp of Alexander’ </w:t>
      </w:r>
      <w:hyperlink r:id="rId4">
        <w:r w:rsidDel="00000000" w:rsidR="00000000" w:rsidRPr="00000000">
          <w:rPr>
            <w:color w:val="1155cc"/>
            <w:sz w:val="20"/>
            <w:szCs w:val="20"/>
            <w:u w:val="single"/>
            <w:rtl w:val="0"/>
          </w:rPr>
          <w:t xml:space="preserve">https://www.themappamundi.co.uk/mappa-mundi/</w:t>
        </w:r>
      </w:hyperlink>
      <w:r w:rsidDel="00000000" w:rsidR="00000000" w:rsidRPr="00000000">
        <w:rPr>
          <w:sz w:val="20"/>
          <w:szCs w:val="20"/>
          <w:rtl w:val="0"/>
        </w:rPr>
        <w:t xml:space="preserve"> [accessed 28/04/09]</w:t>
      </w:r>
    </w:p>
  </w:footnote>
  <w:footnote w:id="6">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‘Hereford Mappa Mundi’ </w:t>
      </w:r>
      <w:hyperlink r:id="rId5">
        <w:r w:rsidDel="00000000" w:rsidR="00000000" w:rsidRPr="00000000">
          <w:rPr>
            <w:color w:val="1155cc"/>
            <w:sz w:val="20"/>
            <w:szCs w:val="20"/>
            <w:u w:val="single"/>
            <w:rtl w:val="0"/>
          </w:rPr>
          <w:t xml:space="preserve">https://www.themappamundi.co.uk/mappa-mundi/</w:t>
        </w:r>
      </w:hyperlink>
      <w:r w:rsidDel="00000000" w:rsidR="00000000" w:rsidRPr="00000000">
        <w:rPr>
          <w:sz w:val="20"/>
          <w:szCs w:val="20"/>
          <w:rtl w:val="0"/>
        </w:rPr>
        <w:t xml:space="preserve"> [accessed 28/04/09]</w:t>
      </w:r>
    </w:p>
  </w:footnote>
  <w:footnote w:id="7">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Townsend, David. “Book One.” </w:t>
      </w:r>
      <w:r w:rsidDel="00000000" w:rsidR="00000000" w:rsidRPr="00000000">
        <w:rPr>
          <w:i w:val="1"/>
          <w:sz w:val="20"/>
          <w:szCs w:val="20"/>
          <w:rtl w:val="0"/>
        </w:rPr>
        <w:t xml:space="preserve">The “Alexandreis” of Walter of Chatilon: A Twelfth-Century Epic</w:t>
      </w:r>
      <w:r w:rsidDel="00000000" w:rsidR="00000000" w:rsidRPr="00000000">
        <w:rPr>
          <w:sz w:val="20"/>
          <w:szCs w:val="20"/>
          <w:rtl w:val="0"/>
        </w:rPr>
        <w:t xml:space="preserve">, University of Pennsylvania Press, 1996, p. 17. </w:t>
      </w:r>
      <w:r w:rsidDel="00000000" w:rsidR="00000000" w:rsidRPr="00000000">
        <w:rPr>
          <w:i w:val="1"/>
          <w:sz w:val="20"/>
          <w:szCs w:val="20"/>
          <w:rtl w:val="0"/>
        </w:rPr>
        <w:t xml:space="preserve">JSTOR</w:t>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http://www.jstor.org/stable/j.ctt18crxvp.7</w:t>
        </w:r>
      </w:hyperlink>
      <w:r w:rsidDel="00000000" w:rsidR="00000000" w:rsidRPr="00000000">
        <w:rPr>
          <w:sz w:val="20"/>
          <w:szCs w:val="20"/>
          <w:rtl w:val="0"/>
        </w:rPr>
        <w:t xml:space="preserve"> [accessed 28/04/23]</w:t>
      </w:r>
    </w:p>
    <w:p w:rsidR="00000000" w:rsidDel="00000000" w:rsidP="00000000" w:rsidRDefault="00000000" w:rsidRPr="00000000" w14:paraId="0000001E">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Editors of Britannica ‘Philip II’ </w:t>
      </w:r>
      <w:hyperlink r:id="rId7">
        <w:r w:rsidDel="00000000" w:rsidR="00000000" w:rsidRPr="00000000">
          <w:rPr>
            <w:color w:val="1155cc"/>
            <w:sz w:val="20"/>
            <w:szCs w:val="20"/>
            <w:u w:val="single"/>
            <w:rtl w:val="0"/>
          </w:rPr>
          <w:t xml:space="preserve">https://www.britannica.com/summary/Philip-II-king-of-France</w:t>
        </w:r>
      </w:hyperlink>
      <w:r w:rsidDel="00000000" w:rsidR="00000000" w:rsidRPr="00000000">
        <w:rPr>
          <w:sz w:val="20"/>
          <w:szCs w:val="20"/>
          <w:rtl w:val="0"/>
        </w:rPr>
        <w:t xml:space="preserve"> [accessed 29/04/24]</w:t>
      </w:r>
    </w:p>
  </w:footnote>
  <w:footnote w:id="9">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Townsend, David. “Introduction.” </w:t>
      </w:r>
      <w:r w:rsidDel="00000000" w:rsidR="00000000" w:rsidRPr="00000000">
        <w:rPr>
          <w:i w:val="1"/>
          <w:sz w:val="20"/>
          <w:szCs w:val="20"/>
          <w:rtl w:val="0"/>
        </w:rPr>
        <w:t xml:space="preserve">The “Alexandreis” of Walter of Chatilon: A Twelfth-Century Epic</w:t>
      </w:r>
      <w:r w:rsidDel="00000000" w:rsidR="00000000" w:rsidRPr="00000000">
        <w:rPr>
          <w:sz w:val="20"/>
          <w:szCs w:val="20"/>
          <w:rtl w:val="0"/>
        </w:rPr>
        <w:t xml:space="preserve">, University of Pennsylvania Press, 1996, pp. xii-xiii. </w:t>
      </w:r>
      <w:r w:rsidDel="00000000" w:rsidR="00000000" w:rsidRPr="00000000">
        <w:rPr>
          <w:i w:val="1"/>
          <w:sz w:val="20"/>
          <w:szCs w:val="20"/>
          <w:rtl w:val="0"/>
        </w:rPr>
        <w:t xml:space="preserve">JSTOR</w:t>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http://www.jstor.org/stable/j.ctt18crxvp</w:t>
        </w:r>
      </w:hyperlink>
      <w:r w:rsidDel="00000000" w:rsidR="00000000" w:rsidRPr="00000000">
        <w:rPr>
          <w:sz w:val="20"/>
          <w:szCs w:val="20"/>
          <w:rtl w:val="0"/>
        </w:rPr>
        <w:t xml:space="preserve"> [accessed 28/04/24]</w:t>
      </w:r>
    </w:p>
  </w:footnote>
  <w:footnote w:id="10">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Historic Britain ‘The Angevin Empire’ </w:t>
      </w:r>
      <w:hyperlink r:id="rId9">
        <w:r w:rsidDel="00000000" w:rsidR="00000000" w:rsidRPr="00000000">
          <w:rPr>
            <w:color w:val="1155cc"/>
            <w:sz w:val="20"/>
            <w:szCs w:val="20"/>
            <w:u w:val="single"/>
            <w:rtl w:val="0"/>
          </w:rPr>
          <w:t xml:space="preserve">https://www.english-heritage.org.uk/visit/places/dover-castle/history-and-stories/angevin-empire/</w:t>
        </w:r>
      </w:hyperlink>
      <w:r w:rsidDel="00000000" w:rsidR="00000000" w:rsidRPr="00000000">
        <w:rPr>
          <w:sz w:val="20"/>
          <w:szCs w:val="20"/>
          <w:rtl w:val="0"/>
        </w:rPr>
        <w:t xml:space="preserve"> [accessed 28/04/24]</w:t>
      </w:r>
    </w:p>
  </w:footnote>
  <w:footnote w:id="11">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Stringer, Gregory P., "Book 1 of William the Breton's "Philippide": A translation" (2010). P.16  Master's Theses and Capstones. 133. </w:t>
      </w:r>
      <w:hyperlink r:id="rId10">
        <w:r w:rsidDel="00000000" w:rsidR="00000000" w:rsidRPr="00000000">
          <w:rPr>
            <w:color w:val="1155cc"/>
            <w:sz w:val="20"/>
            <w:szCs w:val="20"/>
            <w:u w:val="single"/>
            <w:rtl w:val="0"/>
          </w:rPr>
          <w:t xml:space="preserve">https://scholars.unh.edu/thesis/133</w:t>
        </w:r>
      </w:hyperlink>
      <w:r w:rsidDel="00000000" w:rsidR="00000000" w:rsidRPr="00000000">
        <w:rPr>
          <w:sz w:val="20"/>
          <w:szCs w:val="20"/>
          <w:rtl w:val="0"/>
        </w:rPr>
        <w:t xml:space="preserve"> </w:t>
      </w:r>
    </w:p>
  </w:footnote>
  <w:footnote w:id="12">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p.27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cholars.unh.edu/thesis/133" TargetMode="External"/><Relationship Id="rId10" Type="http://schemas.openxmlformats.org/officeDocument/2006/relationships/hyperlink" Target="https://www.english-heritage.org.uk/visit/places/dover-castle/history-and-stories/angevin-empire/" TargetMode="External"/><Relationship Id="rId13" Type="http://schemas.openxmlformats.org/officeDocument/2006/relationships/hyperlink" Target="https://www.rct.uk/collection/1055009/alexandreis" TargetMode="External"/><Relationship Id="rId12" Type="http://schemas.openxmlformats.org/officeDocument/2006/relationships/hyperlink" Target="http://www.jstor.org/stable/j.ctt18crxv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hemappamundi.co.uk/mappa-mundi/"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summary/Philip-II-king-of-France" TargetMode="External"/><Relationship Id="rId8" Type="http://schemas.openxmlformats.org/officeDocument/2006/relationships/hyperlink" Target="https://www.themappamundi.co.uk/mappa-mund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rct.uk/collection/1055009/alexandreis" TargetMode="External"/><Relationship Id="rId2" Type="http://schemas.openxmlformats.org/officeDocument/2006/relationships/hyperlink" Target="http://www.jstor.org/stable/j.ctt18crxvp" TargetMode="External"/><Relationship Id="rId3" Type="http://schemas.openxmlformats.org/officeDocument/2006/relationships/hyperlink" Target="http://www.jstor.org/stable/j.ctt18crxvp.7" TargetMode="External"/><Relationship Id="rId4" Type="http://schemas.openxmlformats.org/officeDocument/2006/relationships/hyperlink" Target="https://www.themappamundi.co.uk/mappa-mundi/" TargetMode="External"/><Relationship Id="rId10" Type="http://schemas.openxmlformats.org/officeDocument/2006/relationships/hyperlink" Target="https://scholars.unh.edu/thesis/133" TargetMode="External"/><Relationship Id="rId9" Type="http://schemas.openxmlformats.org/officeDocument/2006/relationships/hyperlink" Target="https://www.english-heritage.org.uk/visit/places/dover-castle/history-and-stories/angevin-empire/" TargetMode="External"/><Relationship Id="rId5" Type="http://schemas.openxmlformats.org/officeDocument/2006/relationships/hyperlink" Target="https://www.themappamundi.co.uk/mappa-mundi/" TargetMode="External"/><Relationship Id="rId6" Type="http://schemas.openxmlformats.org/officeDocument/2006/relationships/hyperlink" Target="http://www.jstor.org/stable/j.ctt18crxvp.7" TargetMode="External"/><Relationship Id="rId7" Type="http://schemas.openxmlformats.org/officeDocument/2006/relationships/hyperlink" Target="https://www.britannica.com/summary/Philip-II-king-of-France" TargetMode="External"/><Relationship Id="rId8" Type="http://schemas.openxmlformats.org/officeDocument/2006/relationships/hyperlink" Target="http://www.jstor.org/stable/j.ctt18crxv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