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442B0" w14:textId="1392F58C" w:rsidR="006B18AF" w:rsidRPr="00D142F2" w:rsidRDefault="006B18AF" w:rsidP="006B18AF">
      <w:pPr>
        <w:pStyle w:val="paragraph"/>
        <w:spacing w:before="0" w:beforeAutospacing="0" w:after="0" w:afterAutospacing="0"/>
        <w:textAlignment w:val="baseline"/>
        <w:rPr>
          <w:rFonts w:ascii="Arial" w:hAnsi="Arial" w:cs="Arial"/>
          <w:sz w:val="18"/>
          <w:szCs w:val="18"/>
        </w:rPr>
      </w:pPr>
    </w:p>
    <w:p w14:paraId="578F3533" w14:textId="063FC3F8" w:rsidR="006B18AF" w:rsidRPr="00D142F2" w:rsidRDefault="006B18AF" w:rsidP="006B18AF">
      <w:pPr>
        <w:pStyle w:val="paragraph"/>
        <w:spacing w:before="0" w:beforeAutospacing="0" w:after="0" w:afterAutospacing="0"/>
        <w:textAlignment w:val="baseline"/>
        <w:rPr>
          <w:rFonts w:ascii="Arial" w:hAnsi="Arial" w:cs="Arial"/>
          <w:sz w:val="18"/>
          <w:szCs w:val="18"/>
        </w:rPr>
      </w:pPr>
      <w:r w:rsidRPr="00D142F2">
        <w:rPr>
          <w:rStyle w:val="wacimagecontainer"/>
          <w:rFonts w:ascii="Arial" w:hAnsi="Arial" w:cs="Arial"/>
          <w:noProof/>
          <w:sz w:val="18"/>
          <w:szCs w:val="18"/>
        </w:rPr>
        <w:drawing>
          <wp:inline distT="0" distB="0" distL="0" distR="0" wp14:anchorId="2F6278FC" wp14:editId="6FC83828">
            <wp:extent cx="2621280" cy="1165860"/>
            <wp:effectExtent l="0" t="0" r="762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1165860"/>
                    </a:xfrm>
                    <a:prstGeom prst="rect">
                      <a:avLst/>
                    </a:prstGeom>
                    <a:noFill/>
                    <a:ln>
                      <a:noFill/>
                    </a:ln>
                  </pic:spPr>
                </pic:pic>
              </a:graphicData>
            </a:graphic>
          </wp:inline>
        </w:drawing>
      </w:r>
    </w:p>
    <w:p w14:paraId="2C1BAA57" w14:textId="64115B79" w:rsidR="006B18AF" w:rsidRPr="00D142F2" w:rsidRDefault="006B18AF" w:rsidP="006B18AF">
      <w:pPr>
        <w:pStyle w:val="paragraph"/>
        <w:spacing w:before="0" w:beforeAutospacing="0" w:after="0" w:afterAutospacing="0"/>
        <w:textAlignment w:val="baseline"/>
        <w:rPr>
          <w:rFonts w:ascii="Arial" w:hAnsi="Arial" w:cs="Arial"/>
          <w:sz w:val="18"/>
          <w:szCs w:val="18"/>
        </w:rPr>
      </w:pPr>
    </w:p>
    <w:p w14:paraId="49329764" w14:textId="77777777" w:rsidR="003E2B64" w:rsidRPr="00D142F2" w:rsidRDefault="003E2B64" w:rsidP="003E2B64">
      <w:pPr>
        <w:pStyle w:val="Heading1"/>
        <w:rPr>
          <w:rFonts w:cs="Arial"/>
        </w:rPr>
      </w:pPr>
      <w:r w:rsidRPr="00D142F2">
        <w:rPr>
          <w:rFonts w:cs="Arial"/>
        </w:rPr>
        <w:t>BSc (Hons) Health and Social Care</w:t>
      </w:r>
    </w:p>
    <w:p w14:paraId="1D08D7F4" w14:textId="77777777" w:rsidR="006B18AF" w:rsidRPr="00D142F2" w:rsidRDefault="006B18AF" w:rsidP="006B18AF">
      <w:pPr>
        <w:pStyle w:val="paragraph"/>
        <w:spacing w:before="0" w:beforeAutospacing="0" w:after="0" w:afterAutospacing="0"/>
        <w:textAlignment w:val="baseline"/>
        <w:rPr>
          <w:rFonts w:ascii="Arial" w:hAnsi="Arial" w:cs="Arial"/>
          <w:sz w:val="18"/>
          <w:szCs w:val="18"/>
        </w:rPr>
      </w:pPr>
    </w:p>
    <w:p w14:paraId="0980FF24" w14:textId="77777777" w:rsidR="006B18AF" w:rsidRPr="00D142F2" w:rsidRDefault="006B18AF" w:rsidP="006B18AF">
      <w:pPr>
        <w:pStyle w:val="paragraph"/>
        <w:spacing w:before="0" w:beforeAutospacing="0" w:after="0" w:afterAutospacing="0"/>
        <w:textAlignment w:val="baseline"/>
        <w:rPr>
          <w:rFonts w:ascii="Arial" w:hAnsi="Arial" w:cs="Arial"/>
          <w:sz w:val="18"/>
          <w:szCs w:val="18"/>
        </w:rPr>
      </w:pPr>
    </w:p>
    <w:p w14:paraId="13E7073A" w14:textId="77777777" w:rsidR="006B18AF" w:rsidRPr="00D142F2" w:rsidRDefault="006B18AF" w:rsidP="006B18AF">
      <w:pPr>
        <w:pStyle w:val="paragraph"/>
        <w:spacing w:before="0" w:beforeAutospacing="0" w:after="0" w:afterAutospacing="0"/>
        <w:textAlignment w:val="baseline"/>
        <w:rPr>
          <w:rFonts w:ascii="Arial" w:hAnsi="Arial" w:cs="Arial"/>
          <w:sz w:val="18"/>
          <w:szCs w:val="18"/>
        </w:rPr>
      </w:pPr>
    </w:p>
    <w:p w14:paraId="334081E9" w14:textId="39E93E24" w:rsidR="006B18AF" w:rsidRPr="00D142F2" w:rsidRDefault="006B18AF" w:rsidP="006B18AF">
      <w:pPr>
        <w:pStyle w:val="paragraph"/>
        <w:spacing w:before="0" w:beforeAutospacing="0" w:after="0" w:afterAutospacing="0"/>
        <w:textAlignment w:val="baseline"/>
        <w:rPr>
          <w:rFonts w:ascii="Arial" w:hAnsi="Arial" w:cs="Arial"/>
          <w:sz w:val="22"/>
          <w:szCs w:val="22"/>
        </w:rPr>
      </w:pPr>
    </w:p>
    <w:p w14:paraId="757044F3" w14:textId="67E5661A" w:rsidR="003E2B64" w:rsidRPr="00D142F2" w:rsidRDefault="006B18AF" w:rsidP="003E2B64">
      <w:pPr>
        <w:pStyle w:val="paragraph"/>
        <w:spacing w:before="0" w:beforeAutospacing="0" w:after="0" w:afterAutospacing="0"/>
        <w:textAlignment w:val="baseline"/>
        <w:rPr>
          <w:rStyle w:val="normaltextrun"/>
          <w:rFonts w:ascii="Arial" w:hAnsi="Arial" w:cs="Arial"/>
          <w:sz w:val="22"/>
          <w:szCs w:val="22"/>
        </w:rPr>
      </w:pPr>
      <w:r w:rsidRPr="00D142F2">
        <w:rPr>
          <w:rStyle w:val="normaltextrun"/>
          <w:rFonts w:ascii="Arial" w:hAnsi="Arial" w:cs="Arial"/>
          <w:b/>
          <w:bCs/>
          <w:sz w:val="22"/>
          <w:szCs w:val="22"/>
        </w:rPr>
        <w:t>Name:</w:t>
      </w:r>
      <w:r w:rsidRPr="00D142F2">
        <w:rPr>
          <w:rStyle w:val="normaltextrun"/>
          <w:rFonts w:ascii="Arial" w:hAnsi="Arial" w:cs="Arial"/>
          <w:sz w:val="22"/>
          <w:szCs w:val="22"/>
        </w:rPr>
        <w:t> Nene Toure</w:t>
      </w:r>
      <w:r w:rsidRPr="00D142F2">
        <w:rPr>
          <w:rStyle w:val="scxw251833643"/>
          <w:rFonts w:ascii="Arial" w:hAnsi="Arial" w:cs="Arial"/>
          <w:sz w:val="22"/>
          <w:szCs w:val="22"/>
        </w:rPr>
        <w:t> </w:t>
      </w:r>
      <w:r w:rsidRPr="00D142F2">
        <w:rPr>
          <w:rFonts w:ascii="Arial" w:hAnsi="Arial" w:cs="Arial"/>
          <w:sz w:val="22"/>
          <w:szCs w:val="22"/>
        </w:rPr>
        <w:br/>
      </w:r>
      <w:r w:rsidRPr="00D142F2">
        <w:rPr>
          <w:rStyle w:val="normaltextrun"/>
          <w:rFonts w:ascii="Arial" w:hAnsi="Arial" w:cs="Arial"/>
          <w:b/>
          <w:bCs/>
          <w:sz w:val="22"/>
          <w:szCs w:val="22"/>
        </w:rPr>
        <w:t>Student ID:</w:t>
      </w:r>
      <w:r w:rsidRPr="00D142F2">
        <w:rPr>
          <w:rStyle w:val="normaltextrun"/>
          <w:rFonts w:ascii="Arial" w:hAnsi="Arial" w:cs="Arial"/>
          <w:sz w:val="22"/>
          <w:szCs w:val="22"/>
        </w:rPr>
        <w:t> 2411571</w:t>
      </w:r>
      <w:r w:rsidRPr="00D142F2">
        <w:rPr>
          <w:rStyle w:val="scxw251833643"/>
          <w:rFonts w:ascii="Arial" w:hAnsi="Arial" w:cs="Arial"/>
          <w:sz w:val="22"/>
          <w:szCs w:val="22"/>
        </w:rPr>
        <w:t> </w:t>
      </w:r>
      <w:r w:rsidRPr="00D142F2">
        <w:rPr>
          <w:rFonts w:ascii="Arial" w:hAnsi="Arial" w:cs="Arial"/>
          <w:sz w:val="22"/>
          <w:szCs w:val="22"/>
        </w:rPr>
        <w:br/>
      </w:r>
      <w:r w:rsidRPr="00D142F2">
        <w:rPr>
          <w:rStyle w:val="normaltextrun"/>
          <w:rFonts w:ascii="Arial" w:hAnsi="Arial" w:cs="Arial"/>
          <w:b/>
          <w:bCs/>
          <w:sz w:val="22"/>
          <w:szCs w:val="22"/>
        </w:rPr>
        <w:t>Module Code:</w:t>
      </w:r>
      <w:r w:rsidRPr="00D142F2">
        <w:rPr>
          <w:rStyle w:val="normaltextrun"/>
          <w:rFonts w:ascii="Arial" w:hAnsi="Arial" w:cs="Arial"/>
          <w:sz w:val="22"/>
          <w:szCs w:val="22"/>
        </w:rPr>
        <w:t> BMHP5019</w:t>
      </w:r>
      <w:r w:rsidRPr="00D142F2">
        <w:rPr>
          <w:rFonts w:ascii="Arial" w:hAnsi="Arial" w:cs="Arial"/>
          <w:sz w:val="22"/>
          <w:szCs w:val="22"/>
        </w:rPr>
        <w:br/>
      </w:r>
      <w:r w:rsidRPr="00D142F2">
        <w:rPr>
          <w:rStyle w:val="normaltextrun"/>
          <w:rFonts w:ascii="Arial" w:hAnsi="Arial" w:cs="Arial"/>
          <w:b/>
          <w:bCs/>
          <w:sz w:val="22"/>
          <w:szCs w:val="22"/>
        </w:rPr>
        <w:t>Module Title:</w:t>
      </w:r>
      <w:r w:rsidRPr="00D142F2">
        <w:rPr>
          <w:rStyle w:val="normaltextrun"/>
          <w:rFonts w:ascii="Arial" w:hAnsi="Arial" w:cs="Arial"/>
          <w:sz w:val="22"/>
          <w:szCs w:val="22"/>
        </w:rPr>
        <w:t> </w:t>
      </w:r>
      <w:r w:rsidRPr="00D142F2">
        <w:rPr>
          <w:rFonts w:ascii="Arial" w:hAnsi="Arial" w:cs="Arial"/>
          <w:sz w:val="22"/>
          <w:szCs w:val="22"/>
        </w:rPr>
        <w:t>Introduction to Independent Research Skills (BMHP5019)</w:t>
      </w:r>
      <w:r w:rsidRPr="00D142F2">
        <w:rPr>
          <w:rFonts w:ascii="Arial" w:hAnsi="Arial" w:cs="Arial"/>
          <w:sz w:val="22"/>
          <w:szCs w:val="22"/>
        </w:rPr>
        <w:br/>
      </w:r>
      <w:r w:rsidRPr="00D142F2">
        <w:rPr>
          <w:rStyle w:val="normaltextrun"/>
          <w:rFonts w:ascii="Arial" w:hAnsi="Arial" w:cs="Arial"/>
          <w:b/>
          <w:bCs/>
          <w:sz w:val="22"/>
          <w:szCs w:val="22"/>
        </w:rPr>
        <w:t>Lecturers:</w:t>
      </w:r>
      <w:r w:rsidRPr="00D142F2">
        <w:rPr>
          <w:rStyle w:val="normaltextrun"/>
          <w:rFonts w:ascii="Arial" w:hAnsi="Arial" w:cs="Arial"/>
          <w:sz w:val="22"/>
          <w:szCs w:val="22"/>
        </w:rPr>
        <w:t xml:space="preserve">  </w:t>
      </w:r>
      <w:r w:rsidRPr="00D142F2">
        <w:rPr>
          <w:rFonts w:ascii="Arial" w:hAnsi="Arial" w:cs="Arial"/>
          <w:sz w:val="22"/>
          <w:szCs w:val="22"/>
        </w:rPr>
        <w:t>Muhammed Khan</w:t>
      </w:r>
      <w:r w:rsidRPr="00D142F2">
        <w:rPr>
          <w:rFonts w:ascii="Arial" w:hAnsi="Arial" w:cs="Arial"/>
          <w:sz w:val="22"/>
          <w:szCs w:val="22"/>
        </w:rPr>
        <w:br/>
      </w:r>
      <w:r w:rsidRPr="00D142F2">
        <w:rPr>
          <w:rStyle w:val="normaltextrun"/>
          <w:rFonts w:ascii="Arial" w:hAnsi="Arial" w:cs="Arial"/>
          <w:b/>
          <w:bCs/>
          <w:sz w:val="22"/>
          <w:szCs w:val="22"/>
        </w:rPr>
        <w:t>Submission Date:</w:t>
      </w:r>
      <w:r w:rsidRPr="00D142F2">
        <w:rPr>
          <w:rStyle w:val="normaltextrun"/>
          <w:rFonts w:ascii="Arial" w:hAnsi="Arial" w:cs="Arial"/>
          <w:sz w:val="22"/>
          <w:szCs w:val="22"/>
        </w:rPr>
        <w:t> </w:t>
      </w:r>
      <w:r w:rsidR="003D5B1D">
        <w:rPr>
          <w:rStyle w:val="normaltextrun"/>
          <w:rFonts w:ascii="Arial" w:hAnsi="Arial" w:cs="Arial"/>
          <w:sz w:val="22"/>
          <w:szCs w:val="22"/>
        </w:rPr>
        <w:t>6</w:t>
      </w:r>
      <w:r w:rsidRPr="00D142F2">
        <w:rPr>
          <w:rStyle w:val="normaltextrun"/>
          <w:rFonts w:ascii="Arial" w:hAnsi="Arial" w:cs="Arial"/>
          <w:sz w:val="22"/>
          <w:szCs w:val="22"/>
        </w:rPr>
        <w:t xml:space="preserve"> July 2026</w:t>
      </w:r>
    </w:p>
    <w:p w14:paraId="22034AA5" w14:textId="77777777" w:rsidR="003E2B64" w:rsidRPr="00D142F2" w:rsidRDefault="003E2B64" w:rsidP="003E2B64">
      <w:pPr>
        <w:pStyle w:val="paragraph"/>
        <w:spacing w:before="0" w:beforeAutospacing="0" w:after="0" w:afterAutospacing="0"/>
        <w:textAlignment w:val="baseline"/>
        <w:rPr>
          <w:rStyle w:val="normaltextrun"/>
          <w:rFonts w:ascii="Arial" w:hAnsi="Arial" w:cs="Arial"/>
          <w:sz w:val="22"/>
          <w:szCs w:val="22"/>
        </w:rPr>
      </w:pPr>
    </w:p>
    <w:p w14:paraId="3152E567" w14:textId="77777777" w:rsidR="005B0743" w:rsidRPr="00D142F2" w:rsidRDefault="005B0743" w:rsidP="003E2B64">
      <w:pPr>
        <w:pStyle w:val="paragraph"/>
        <w:spacing w:before="0" w:beforeAutospacing="0" w:after="0" w:afterAutospacing="0"/>
        <w:textAlignment w:val="baseline"/>
        <w:rPr>
          <w:rStyle w:val="normaltextrun"/>
          <w:rFonts w:ascii="Arial" w:hAnsi="Arial" w:cs="Arial"/>
          <w:sz w:val="22"/>
          <w:szCs w:val="22"/>
        </w:rPr>
      </w:pPr>
    </w:p>
    <w:p w14:paraId="127C27BD" w14:textId="77777777" w:rsidR="005B0743" w:rsidRPr="00D142F2" w:rsidRDefault="005B0743" w:rsidP="003E2B64">
      <w:pPr>
        <w:pStyle w:val="paragraph"/>
        <w:spacing w:before="0" w:beforeAutospacing="0" w:after="0" w:afterAutospacing="0"/>
        <w:textAlignment w:val="baseline"/>
        <w:rPr>
          <w:rStyle w:val="normaltextrun"/>
          <w:rFonts w:ascii="Arial" w:hAnsi="Arial" w:cs="Arial"/>
          <w:sz w:val="22"/>
          <w:szCs w:val="22"/>
        </w:rPr>
      </w:pPr>
    </w:p>
    <w:p w14:paraId="5F8A7CFD" w14:textId="77777777" w:rsidR="003E2B64" w:rsidRPr="00D142F2" w:rsidRDefault="003E2B64" w:rsidP="003E2B64">
      <w:pPr>
        <w:pStyle w:val="paragraph"/>
        <w:spacing w:before="0" w:beforeAutospacing="0" w:after="0" w:afterAutospacing="0"/>
        <w:textAlignment w:val="baseline"/>
        <w:rPr>
          <w:rStyle w:val="normaltextrun"/>
          <w:rFonts w:ascii="Arial" w:hAnsi="Arial" w:cs="Arial"/>
          <w:sz w:val="22"/>
          <w:szCs w:val="22"/>
        </w:rPr>
      </w:pPr>
    </w:p>
    <w:p w14:paraId="3AED8183" w14:textId="77777777" w:rsidR="00D1197C" w:rsidRPr="00D142F2" w:rsidRDefault="00D1197C" w:rsidP="003E2B64">
      <w:pPr>
        <w:pStyle w:val="paragraph"/>
        <w:spacing w:before="0" w:beforeAutospacing="0" w:after="0" w:afterAutospacing="0"/>
        <w:textAlignment w:val="baseline"/>
        <w:rPr>
          <w:rStyle w:val="normaltextrun"/>
          <w:rFonts w:ascii="Arial" w:hAnsi="Arial" w:cs="Arial"/>
          <w:sz w:val="22"/>
          <w:szCs w:val="22"/>
        </w:rPr>
      </w:pPr>
    </w:p>
    <w:p w14:paraId="248835FB" w14:textId="77777777" w:rsidR="00D1197C" w:rsidRPr="00D142F2" w:rsidRDefault="00D1197C" w:rsidP="00D1197C">
      <w:pPr>
        <w:pStyle w:val="paragraph"/>
        <w:spacing w:before="0" w:beforeAutospacing="0" w:after="0" w:afterAutospacing="0"/>
        <w:jc w:val="center"/>
        <w:textAlignment w:val="baseline"/>
        <w:rPr>
          <w:rFonts w:ascii="Arial" w:hAnsi="Arial" w:cs="Arial"/>
          <w:b/>
          <w:bCs/>
          <w:sz w:val="22"/>
          <w:szCs w:val="22"/>
        </w:rPr>
      </w:pPr>
      <w:r w:rsidRPr="00D142F2">
        <w:rPr>
          <w:rFonts w:ascii="Arial" w:hAnsi="Arial" w:cs="Arial"/>
          <w:b/>
          <w:bCs/>
          <w:sz w:val="22"/>
          <w:szCs w:val="22"/>
        </w:rPr>
        <w:t>The Effectiveness of Reasonable Adjustments in Improving Healthcare Experiences for Adults with Learning Disabilities in UK Primary Care: A Scoping Review</w:t>
      </w:r>
    </w:p>
    <w:p w14:paraId="59EB9ADA" w14:textId="77777777" w:rsidR="00B55114" w:rsidRPr="00D142F2" w:rsidRDefault="00B55114" w:rsidP="00D1197C">
      <w:pPr>
        <w:pStyle w:val="paragraph"/>
        <w:spacing w:before="0" w:beforeAutospacing="0" w:after="0" w:afterAutospacing="0"/>
        <w:jc w:val="center"/>
        <w:textAlignment w:val="baseline"/>
        <w:rPr>
          <w:rFonts w:ascii="Arial" w:hAnsi="Arial" w:cs="Arial"/>
          <w:b/>
          <w:bCs/>
          <w:sz w:val="22"/>
          <w:szCs w:val="22"/>
        </w:rPr>
      </w:pPr>
    </w:p>
    <w:p w14:paraId="3AD4A031" w14:textId="77777777" w:rsidR="00B87949" w:rsidRPr="00D142F2" w:rsidRDefault="00B87949" w:rsidP="00D1197C">
      <w:pPr>
        <w:pStyle w:val="paragraph"/>
        <w:spacing w:before="0" w:beforeAutospacing="0" w:after="0" w:afterAutospacing="0"/>
        <w:jc w:val="center"/>
        <w:textAlignment w:val="baseline"/>
        <w:rPr>
          <w:rFonts w:ascii="Arial" w:hAnsi="Arial" w:cs="Arial"/>
          <w:b/>
          <w:bCs/>
          <w:sz w:val="22"/>
          <w:szCs w:val="22"/>
        </w:rPr>
      </w:pPr>
    </w:p>
    <w:p w14:paraId="201D7117" w14:textId="367F25A9" w:rsidR="00D1197C" w:rsidRPr="00D142F2" w:rsidRDefault="00D67996" w:rsidP="003E2B64">
      <w:pPr>
        <w:pStyle w:val="paragraph"/>
        <w:spacing w:before="0" w:beforeAutospacing="0" w:after="0" w:afterAutospacing="0"/>
        <w:textAlignment w:val="baseline"/>
        <w:rPr>
          <w:rStyle w:val="normaltextrun"/>
          <w:rFonts w:ascii="Arial" w:hAnsi="Arial" w:cs="Arial"/>
          <w:sz w:val="22"/>
          <w:szCs w:val="22"/>
        </w:rPr>
      </w:pPr>
      <w:r w:rsidRPr="00D142F2">
        <w:rPr>
          <w:rStyle w:val="normaltextrun"/>
          <w:rFonts w:ascii="Arial" w:hAnsi="Arial" w:cs="Arial"/>
          <w:sz w:val="22"/>
          <w:szCs w:val="22"/>
        </w:rPr>
        <w:t xml:space="preserve"> </w:t>
      </w:r>
    </w:p>
    <w:p w14:paraId="4F03A97B" w14:textId="77777777" w:rsidR="00857AEF" w:rsidRPr="00D142F2" w:rsidRDefault="00857AEF" w:rsidP="00857AEF">
      <w:pPr>
        <w:spacing w:before="100" w:beforeAutospacing="1" w:after="100" w:afterAutospacing="1" w:line="240" w:lineRule="auto"/>
        <w:outlineLvl w:val="2"/>
        <w:rPr>
          <w:rFonts w:ascii="Arial" w:eastAsia="Times New Roman" w:hAnsi="Arial" w:cs="Arial"/>
          <w:b/>
          <w:bCs/>
          <w:sz w:val="22"/>
          <w:lang w:eastAsia="en-GB"/>
        </w:rPr>
      </w:pPr>
      <w:r w:rsidRPr="00D142F2">
        <w:rPr>
          <w:rFonts w:ascii="Arial" w:eastAsia="Times New Roman" w:hAnsi="Arial" w:cs="Arial"/>
          <w:b/>
          <w:bCs/>
          <w:sz w:val="22"/>
          <w:lang w:eastAsia="en-GB"/>
        </w:rPr>
        <w:t>1. Review Question</w:t>
      </w:r>
    </w:p>
    <w:p w14:paraId="5A89C0B4" w14:textId="77777777" w:rsidR="00857AEF" w:rsidRPr="00D142F2" w:rsidRDefault="00857AEF" w:rsidP="00857AEF">
      <w:pPr>
        <w:spacing w:before="100" w:beforeAutospacing="1" w:after="100" w:afterAutospacing="1" w:line="240" w:lineRule="auto"/>
        <w:rPr>
          <w:rFonts w:ascii="Arial" w:eastAsia="Times New Roman" w:hAnsi="Arial" w:cs="Arial"/>
          <w:sz w:val="22"/>
          <w:lang w:eastAsia="en-GB"/>
        </w:rPr>
      </w:pPr>
      <w:r w:rsidRPr="00D142F2">
        <w:rPr>
          <w:rFonts w:ascii="Arial" w:eastAsia="Times New Roman" w:hAnsi="Arial" w:cs="Arial"/>
          <w:b/>
          <w:bCs/>
          <w:sz w:val="22"/>
          <w:lang w:eastAsia="en-GB"/>
        </w:rPr>
        <w:t>What evidence exists regarding the effectiveness of reasonable adjustments in improving healthcare experiences for adults with learning disabilities in UK primary care?</w:t>
      </w:r>
    </w:p>
    <w:p w14:paraId="71B29E3E" w14:textId="77777777" w:rsidR="00857AEF" w:rsidRPr="00D142F2" w:rsidRDefault="00857AEF" w:rsidP="00857AEF">
      <w:pPr>
        <w:spacing w:before="100" w:beforeAutospacing="1" w:after="100" w:afterAutospacing="1" w:line="240" w:lineRule="auto"/>
        <w:outlineLvl w:val="2"/>
        <w:rPr>
          <w:rFonts w:ascii="Arial" w:eastAsia="Times New Roman" w:hAnsi="Arial" w:cs="Arial"/>
          <w:b/>
          <w:bCs/>
          <w:sz w:val="22"/>
          <w:lang w:eastAsia="en-GB"/>
        </w:rPr>
      </w:pPr>
      <w:r w:rsidRPr="00D142F2">
        <w:rPr>
          <w:rFonts w:ascii="Arial" w:eastAsia="Times New Roman" w:hAnsi="Arial" w:cs="Arial"/>
          <w:b/>
          <w:bCs/>
          <w:sz w:val="22"/>
          <w:lang w:eastAsia="en-GB"/>
        </w:rPr>
        <w:t>2. Objectives</w:t>
      </w:r>
    </w:p>
    <w:p w14:paraId="6C6D9D18" w14:textId="77777777" w:rsidR="00857AEF" w:rsidRPr="00D142F2" w:rsidRDefault="00857AEF" w:rsidP="00857AEF">
      <w:pPr>
        <w:spacing w:before="100" w:beforeAutospacing="1" w:after="100" w:afterAutospacing="1" w:line="240" w:lineRule="auto"/>
        <w:rPr>
          <w:rFonts w:ascii="Arial" w:eastAsia="Times New Roman" w:hAnsi="Arial" w:cs="Arial"/>
          <w:sz w:val="22"/>
          <w:lang w:eastAsia="en-GB"/>
        </w:rPr>
      </w:pPr>
      <w:r w:rsidRPr="00D142F2">
        <w:rPr>
          <w:rFonts w:ascii="Arial" w:eastAsia="Times New Roman" w:hAnsi="Arial" w:cs="Arial"/>
          <w:sz w:val="22"/>
          <w:lang w:eastAsia="en-GB"/>
        </w:rPr>
        <w:t>The objectives of this scoping review are to:</w:t>
      </w:r>
    </w:p>
    <w:p w14:paraId="44308333" w14:textId="77777777" w:rsidR="00857AEF" w:rsidRPr="00D142F2" w:rsidRDefault="00857AEF" w:rsidP="00857AEF">
      <w:pPr>
        <w:numPr>
          <w:ilvl w:val="0"/>
          <w:numId w:val="3"/>
        </w:numPr>
        <w:spacing w:before="100" w:beforeAutospacing="1" w:after="100" w:afterAutospacing="1" w:line="240" w:lineRule="auto"/>
        <w:rPr>
          <w:rFonts w:ascii="Arial" w:eastAsia="Times New Roman" w:hAnsi="Arial" w:cs="Arial"/>
          <w:sz w:val="22"/>
          <w:lang w:eastAsia="en-GB"/>
        </w:rPr>
      </w:pPr>
      <w:r w:rsidRPr="00D142F2">
        <w:rPr>
          <w:rFonts w:ascii="Arial" w:eastAsia="Times New Roman" w:hAnsi="Arial" w:cs="Arial"/>
          <w:sz w:val="22"/>
          <w:lang w:eastAsia="en-GB"/>
        </w:rPr>
        <w:t xml:space="preserve">identify the reasonable adjustments currently implemented within UK primary care; </w:t>
      </w:r>
    </w:p>
    <w:p w14:paraId="14262182" w14:textId="77777777" w:rsidR="00857AEF" w:rsidRPr="00D142F2" w:rsidRDefault="00857AEF" w:rsidP="00857AEF">
      <w:pPr>
        <w:numPr>
          <w:ilvl w:val="0"/>
          <w:numId w:val="3"/>
        </w:numPr>
        <w:spacing w:before="100" w:beforeAutospacing="1" w:after="100" w:afterAutospacing="1" w:line="240" w:lineRule="auto"/>
        <w:rPr>
          <w:rFonts w:ascii="Arial" w:eastAsia="Times New Roman" w:hAnsi="Arial" w:cs="Arial"/>
          <w:sz w:val="22"/>
          <w:lang w:eastAsia="en-GB"/>
        </w:rPr>
      </w:pPr>
      <w:r w:rsidRPr="00D142F2">
        <w:rPr>
          <w:rFonts w:ascii="Arial" w:eastAsia="Times New Roman" w:hAnsi="Arial" w:cs="Arial"/>
          <w:sz w:val="22"/>
          <w:lang w:eastAsia="en-GB"/>
        </w:rPr>
        <w:t xml:space="preserve">evaluate their effectiveness in improving healthcare access, communication, patient safety and patient experiences; </w:t>
      </w:r>
    </w:p>
    <w:p w14:paraId="15E033DF" w14:textId="77777777" w:rsidR="00857AEF" w:rsidRPr="00D142F2" w:rsidRDefault="00857AEF" w:rsidP="00857AEF">
      <w:pPr>
        <w:numPr>
          <w:ilvl w:val="0"/>
          <w:numId w:val="3"/>
        </w:numPr>
        <w:spacing w:before="100" w:beforeAutospacing="1" w:after="100" w:afterAutospacing="1" w:line="240" w:lineRule="auto"/>
        <w:rPr>
          <w:rFonts w:ascii="Arial" w:eastAsia="Times New Roman" w:hAnsi="Arial" w:cs="Arial"/>
          <w:sz w:val="22"/>
          <w:lang w:eastAsia="en-GB"/>
        </w:rPr>
      </w:pPr>
      <w:r w:rsidRPr="00D142F2">
        <w:rPr>
          <w:rFonts w:ascii="Arial" w:eastAsia="Times New Roman" w:hAnsi="Arial" w:cs="Arial"/>
          <w:sz w:val="22"/>
          <w:lang w:eastAsia="en-GB"/>
        </w:rPr>
        <w:t xml:space="preserve">explore barriers and facilitators influencing the implementation of reasonable adjustments; and </w:t>
      </w:r>
    </w:p>
    <w:p w14:paraId="5532BBF7" w14:textId="77777777" w:rsidR="00857AEF" w:rsidRPr="00D142F2" w:rsidRDefault="00857AEF" w:rsidP="00857AEF">
      <w:pPr>
        <w:numPr>
          <w:ilvl w:val="0"/>
          <w:numId w:val="3"/>
        </w:numPr>
        <w:spacing w:before="100" w:beforeAutospacing="1" w:after="100" w:afterAutospacing="1" w:line="240" w:lineRule="auto"/>
        <w:rPr>
          <w:rFonts w:ascii="Arial" w:eastAsia="Times New Roman" w:hAnsi="Arial" w:cs="Arial"/>
          <w:sz w:val="22"/>
          <w:lang w:eastAsia="en-GB"/>
        </w:rPr>
      </w:pPr>
      <w:r w:rsidRPr="00D142F2">
        <w:rPr>
          <w:rFonts w:ascii="Arial" w:eastAsia="Times New Roman" w:hAnsi="Arial" w:cs="Arial"/>
          <w:sz w:val="22"/>
          <w:lang w:eastAsia="en-GB"/>
        </w:rPr>
        <w:t xml:space="preserve">identify gaps in the existing literature to inform future healthcare policy, research and professional practice. </w:t>
      </w:r>
    </w:p>
    <w:p w14:paraId="1661D749" w14:textId="77777777" w:rsidR="00857AEF" w:rsidRPr="00D142F2" w:rsidRDefault="00857AEF" w:rsidP="00857AEF">
      <w:pPr>
        <w:spacing w:before="100" w:beforeAutospacing="1" w:after="100" w:afterAutospacing="1" w:line="240" w:lineRule="auto"/>
        <w:outlineLvl w:val="2"/>
        <w:rPr>
          <w:rFonts w:ascii="Arial" w:eastAsia="Times New Roman" w:hAnsi="Arial" w:cs="Arial"/>
          <w:b/>
          <w:bCs/>
          <w:sz w:val="22"/>
          <w:lang w:eastAsia="en-GB"/>
        </w:rPr>
      </w:pPr>
      <w:r w:rsidRPr="00D142F2">
        <w:rPr>
          <w:rFonts w:ascii="Arial" w:eastAsia="Times New Roman" w:hAnsi="Arial" w:cs="Arial"/>
          <w:b/>
          <w:bCs/>
          <w:sz w:val="22"/>
          <w:lang w:eastAsia="en-GB"/>
        </w:rPr>
        <w:t>3. Rationale</w:t>
      </w:r>
    </w:p>
    <w:p w14:paraId="428CDC38" w14:textId="77777777" w:rsidR="00857AEF" w:rsidRPr="00D142F2" w:rsidRDefault="00857AEF" w:rsidP="00857AEF">
      <w:pPr>
        <w:spacing w:before="100" w:beforeAutospacing="1" w:after="100" w:afterAutospacing="1" w:line="240" w:lineRule="auto"/>
        <w:rPr>
          <w:rFonts w:ascii="Arial" w:eastAsia="Times New Roman" w:hAnsi="Arial" w:cs="Arial"/>
          <w:sz w:val="22"/>
          <w:lang w:eastAsia="en-GB"/>
        </w:rPr>
      </w:pPr>
      <w:r w:rsidRPr="00D142F2">
        <w:rPr>
          <w:rFonts w:ascii="Arial" w:eastAsia="Times New Roman" w:hAnsi="Arial" w:cs="Arial"/>
          <w:sz w:val="22"/>
          <w:lang w:eastAsia="en-GB"/>
        </w:rPr>
        <w:t xml:space="preserve">Adults with learning disabilities experience substantially poorer physical and mental health outcomes than the general population and continue to face significant inequalities when </w:t>
      </w:r>
      <w:r w:rsidRPr="00D142F2">
        <w:rPr>
          <w:rFonts w:ascii="Arial" w:eastAsia="Times New Roman" w:hAnsi="Arial" w:cs="Arial"/>
          <w:sz w:val="22"/>
          <w:lang w:eastAsia="en-GB"/>
        </w:rPr>
        <w:lastRenderedPageBreak/>
        <w:t xml:space="preserve">accessing healthcare services. Although the </w:t>
      </w:r>
      <w:r w:rsidRPr="00D142F2">
        <w:rPr>
          <w:rFonts w:ascii="Arial" w:eastAsia="Times New Roman" w:hAnsi="Arial" w:cs="Arial"/>
          <w:b/>
          <w:bCs/>
          <w:sz w:val="22"/>
          <w:lang w:eastAsia="en-GB"/>
        </w:rPr>
        <w:t>Equality Act 2010</w:t>
      </w:r>
      <w:r w:rsidRPr="00D142F2">
        <w:rPr>
          <w:rFonts w:ascii="Arial" w:eastAsia="Times New Roman" w:hAnsi="Arial" w:cs="Arial"/>
          <w:sz w:val="22"/>
          <w:lang w:eastAsia="en-GB"/>
        </w:rPr>
        <w:t xml:space="preserve"> requires healthcare providers to make reasonable adjustments to ensure equitable access to healthcare, evidence suggests that implementation remains inconsistent across UK primary care. Consequently, many individuals continue to experience avoidable barriers that negatively affect healthcare access, quality of care and health outcomes.</w:t>
      </w:r>
    </w:p>
    <w:p w14:paraId="30E91BDF" w14:textId="77777777" w:rsidR="00857AEF" w:rsidRPr="00D142F2" w:rsidRDefault="00857AEF" w:rsidP="00857AEF">
      <w:pPr>
        <w:spacing w:before="100" w:beforeAutospacing="1" w:after="100" w:afterAutospacing="1" w:line="240" w:lineRule="auto"/>
        <w:rPr>
          <w:rFonts w:ascii="Arial" w:eastAsia="Times New Roman" w:hAnsi="Arial" w:cs="Arial"/>
          <w:sz w:val="22"/>
          <w:lang w:eastAsia="en-GB"/>
        </w:rPr>
      </w:pPr>
      <w:r w:rsidRPr="00D142F2">
        <w:rPr>
          <w:rFonts w:ascii="Arial" w:eastAsia="Times New Roman" w:hAnsi="Arial" w:cs="Arial"/>
          <w:sz w:val="22"/>
          <w:lang w:eastAsia="en-GB"/>
        </w:rPr>
        <w:t xml:space="preserve">Recent evidence demonstrates that communication difficulties, inaccessible appointment systems and inadequate identification of patients requiring reasonable adjustments remain widespread. The </w:t>
      </w:r>
      <w:r w:rsidRPr="00D142F2">
        <w:rPr>
          <w:rFonts w:ascii="Arial" w:eastAsia="Times New Roman" w:hAnsi="Arial" w:cs="Arial"/>
          <w:b/>
          <w:bCs/>
          <w:sz w:val="22"/>
          <w:lang w:eastAsia="en-GB"/>
        </w:rPr>
        <w:t>Care Quality Commission (2025)</w:t>
      </w:r>
      <w:r w:rsidRPr="00D142F2">
        <w:rPr>
          <w:rFonts w:ascii="Arial" w:eastAsia="Times New Roman" w:hAnsi="Arial" w:cs="Arial"/>
          <w:sz w:val="22"/>
          <w:lang w:eastAsia="en-GB"/>
        </w:rPr>
        <w:t xml:space="preserve"> reports that these barriers contribute to delayed diagnosis, poorer patient experiences and unequal healthcare outcomes, while highlighting examples of good practice, including longer consultations, personalised care planning and collaborative multidisciplinary working. Similarly, </w:t>
      </w:r>
      <w:r w:rsidRPr="00D142F2">
        <w:rPr>
          <w:rFonts w:ascii="Arial" w:eastAsia="Times New Roman" w:hAnsi="Arial" w:cs="Arial"/>
          <w:b/>
          <w:bCs/>
          <w:sz w:val="22"/>
          <w:lang w:eastAsia="en-GB"/>
        </w:rPr>
        <w:t>Wigham et al. (2022)</w:t>
      </w:r>
      <w:r w:rsidRPr="00D142F2">
        <w:rPr>
          <w:rFonts w:ascii="Arial" w:eastAsia="Times New Roman" w:hAnsi="Arial" w:cs="Arial"/>
          <w:sz w:val="22"/>
          <w:lang w:eastAsia="en-GB"/>
        </w:rPr>
        <w:t xml:space="preserve"> found that annual health checks, accessible communication and person-centred approaches improve access to primary healthcare. Furthermore, </w:t>
      </w:r>
      <w:proofErr w:type="spellStart"/>
      <w:r w:rsidRPr="00D142F2">
        <w:rPr>
          <w:rFonts w:ascii="Arial" w:eastAsia="Times New Roman" w:hAnsi="Arial" w:cs="Arial"/>
          <w:b/>
          <w:bCs/>
          <w:sz w:val="22"/>
          <w:lang w:eastAsia="en-GB"/>
        </w:rPr>
        <w:t>Tromans</w:t>
      </w:r>
      <w:proofErr w:type="spellEnd"/>
      <w:r w:rsidRPr="00D142F2">
        <w:rPr>
          <w:rFonts w:ascii="Arial" w:eastAsia="Times New Roman" w:hAnsi="Arial" w:cs="Arial"/>
          <w:b/>
          <w:bCs/>
          <w:sz w:val="22"/>
          <w:lang w:eastAsia="en-GB"/>
        </w:rPr>
        <w:t xml:space="preserve"> et al. (2024)</w:t>
      </w:r>
      <w:r w:rsidRPr="00D142F2">
        <w:rPr>
          <w:rFonts w:ascii="Arial" w:eastAsia="Times New Roman" w:hAnsi="Arial" w:cs="Arial"/>
          <w:sz w:val="22"/>
          <w:lang w:eastAsia="en-GB"/>
        </w:rPr>
        <w:t xml:space="preserve"> reported lower levels of trust in healthcare professionals and greater unmet healthcare needs among adults with learning disabilities. The </w:t>
      </w:r>
      <w:r w:rsidRPr="00D142F2">
        <w:rPr>
          <w:rFonts w:ascii="Arial" w:eastAsia="Times New Roman" w:hAnsi="Arial" w:cs="Arial"/>
          <w:b/>
          <w:bCs/>
          <w:sz w:val="22"/>
          <w:lang w:eastAsia="en-GB"/>
        </w:rPr>
        <w:t>World Health Organization (2022)</w:t>
      </w:r>
      <w:r w:rsidRPr="00D142F2">
        <w:rPr>
          <w:rFonts w:ascii="Arial" w:eastAsia="Times New Roman" w:hAnsi="Arial" w:cs="Arial"/>
          <w:sz w:val="22"/>
          <w:lang w:eastAsia="en-GB"/>
        </w:rPr>
        <w:t xml:space="preserve"> also identifies inaccessible healthcare systems as a significant contributor to health inequalities experienced by disabled people worldwide.</w:t>
      </w:r>
    </w:p>
    <w:p w14:paraId="79DF1772" w14:textId="77777777" w:rsidR="00857AEF" w:rsidRPr="00D142F2" w:rsidRDefault="00857AEF" w:rsidP="00857AEF">
      <w:pPr>
        <w:spacing w:before="100" w:beforeAutospacing="1" w:after="100" w:afterAutospacing="1" w:line="240" w:lineRule="auto"/>
        <w:rPr>
          <w:rFonts w:ascii="Arial" w:eastAsia="Times New Roman" w:hAnsi="Arial" w:cs="Arial"/>
          <w:sz w:val="22"/>
          <w:lang w:eastAsia="en-GB"/>
        </w:rPr>
      </w:pPr>
      <w:r w:rsidRPr="00D142F2">
        <w:rPr>
          <w:rFonts w:ascii="Arial" w:eastAsia="Times New Roman" w:hAnsi="Arial" w:cs="Arial"/>
          <w:sz w:val="22"/>
          <w:lang w:eastAsia="en-GB"/>
        </w:rPr>
        <w:t>A scoping review is appropriate because it enables the systematic mapping of existing evidence, identifies effective reasonable adjustments and highlights gaps within the literature. The findings may support improvements in healthcare policy, professional practice and future research aimed at reducing health inequalities for adults with learning disabilities.</w:t>
      </w:r>
    </w:p>
    <w:p w14:paraId="7E935DA8" w14:textId="77777777" w:rsidR="00857AEF" w:rsidRPr="00D142F2" w:rsidRDefault="00857AEF" w:rsidP="00857AEF">
      <w:pPr>
        <w:spacing w:before="100" w:beforeAutospacing="1" w:after="100" w:afterAutospacing="1" w:line="240" w:lineRule="auto"/>
        <w:outlineLvl w:val="2"/>
        <w:rPr>
          <w:rFonts w:ascii="Arial" w:eastAsia="Times New Roman" w:hAnsi="Arial" w:cs="Arial"/>
          <w:b/>
          <w:bCs/>
          <w:sz w:val="22"/>
          <w:lang w:eastAsia="en-GB"/>
        </w:rPr>
      </w:pPr>
      <w:r w:rsidRPr="00D142F2">
        <w:rPr>
          <w:rFonts w:ascii="Arial" w:eastAsia="Times New Roman" w:hAnsi="Arial" w:cs="Arial"/>
          <w:b/>
          <w:bCs/>
          <w:sz w:val="22"/>
          <w:lang w:eastAsia="en-GB"/>
        </w:rPr>
        <w:t>4. Methods</w:t>
      </w:r>
    </w:p>
    <w:p w14:paraId="767CEFF0" w14:textId="77777777" w:rsidR="00857AEF" w:rsidRPr="00D142F2" w:rsidRDefault="00857AEF" w:rsidP="00857AEF">
      <w:pPr>
        <w:spacing w:before="100" w:beforeAutospacing="1" w:after="100" w:afterAutospacing="1" w:line="240" w:lineRule="auto"/>
        <w:rPr>
          <w:rFonts w:ascii="Arial" w:eastAsia="Times New Roman" w:hAnsi="Arial" w:cs="Arial"/>
          <w:sz w:val="22"/>
          <w:lang w:eastAsia="en-GB"/>
        </w:rPr>
      </w:pPr>
      <w:r w:rsidRPr="00D142F2">
        <w:rPr>
          <w:rFonts w:ascii="Arial" w:eastAsia="Times New Roman" w:hAnsi="Arial" w:cs="Arial"/>
          <w:sz w:val="22"/>
          <w:lang w:eastAsia="en-GB"/>
        </w:rPr>
        <w:t xml:space="preserve">This study will adopt the scoping review framework proposed by </w:t>
      </w:r>
      <w:r w:rsidRPr="00D142F2">
        <w:rPr>
          <w:rFonts w:ascii="Arial" w:eastAsia="Times New Roman" w:hAnsi="Arial" w:cs="Arial"/>
          <w:b/>
          <w:bCs/>
          <w:sz w:val="22"/>
          <w:lang w:eastAsia="en-GB"/>
        </w:rPr>
        <w:t>Arksey and O'Malley (2005)</w:t>
      </w:r>
      <w:r w:rsidRPr="00D142F2">
        <w:rPr>
          <w:rFonts w:ascii="Arial" w:eastAsia="Times New Roman" w:hAnsi="Arial" w:cs="Arial"/>
          <w:sz w:val="22"/>
          <w:lang w:eastAsia="en-GB"/>
        </w:rPr>
        <w:t xml:space="preserve"> and will be reported in accordance with the </w:t>
      </w:r>
      <w:r w:rsidRPr="00D142F2">
        <w:rPr>
          <w:rFonts w:ascii="Arial" w:eastAsia="Times New Roman" w:hAnsi="Arial" w:cs="Arial"/>
          <w:b/>
          <w:bCs/>
          <w:sz w:val="22"/>
          <w:lang w:eastAsia="en-GB"/>
        </w:rPr>
        <w:t>PRISMA Extension for Scoping Reviews (PRISMA-</w:t>
      </w:r>
      <w:proofErr w:type="spellStart"/>
      <w:r w:rsidRPr="00D142F2">
        <w:rPr>
          <w:rFonts w:ascii="Arial" w:eastAsia="Times New Roman" w:hAnsi="Arial" w:cs="Arial"/>
          <w:b/>
          <w:bCs/>
          <w:sz w:val="22"/>
          <w:lang w:eastAsia="en-GB"/>
        </w:rPr>
        <w:t>ScR</w:t>
      </w:r>
      <w:proofErr w:type="spellEnd"/>
      <w:r w:rsidRPr="00D142F2">
        <w:rPr>
          <w:rFonts w:ascii="Arial" w:eastAsia="Times New Roman" w:hAnsi="Arial" w:cs="Arial"/>
          <w:b/>
          <w:bCs/>
          <w:sz w:val="22"/>
          <w:lang w:eastAsia="en-GB"/>
        </w:rPr>
        <w:t>)</w:t>
      </w:r>
      <w:r w:rsidRPr="00D142F2">
        <w:rPr>
          <w:rFonts w:ascii="Arial" w:eastAsia="Times New Roman" w:hAnsi="Arial" w:cs="Arial"/>
          <w:sz w:val="22"/>
          <w:lang w:eastAsia="en-GB"/>
        </w:rPr>
        <w:t xml:space="preserve"> guideline (</w:t>
      </w:r>
      <w:proofErr w:type="spellStart"/>
      <w:r w:rsidRPr="00D142F2">
        <w:rPr>
          <w:rFonts w:ascii="Arial" w:eastAsia="Times New Roman" w:hAnsi="Arial" w:cs="Arial"/>
          <w:sz w:val="22"/>
          <w:lang w:eastAsia="en-GB"/>
        </w:rPr>
        <w:t>Tricco</w:t>
      </w:r>
      <w:proofErr w:type="spellEnd"/>
      <w:r w:rsidRPr="00D142F2">
        <w:rPr>
          <w:rFonts w:ascii="Arial" w:eastAsia="Times New Roman" w:hAnsi="Arial" w:cs="Arial"/>
          <w:sz w:val="22"/>
          <w:lang w:eastAsia="en-GB"/>
        </w:rPr>
        <w:t xml:space="preserve"> et al., 2018). Electronic searches will be undertaken using </w:t>
      </w:r>
      <w:r w:rsidRPr="00D142F2">
        <w:rPr>
          <w:rFonts w:ascii="Arial" w:eastAsia="Times New Roman" w:hAnsi="Arial" w:cs="Arial"/>
          <w:b/>
          <w:bCs/>
          <w:sz w:val="22"/>
          <w:lang w:eastAsia="en-GB"/>
        </w:rPr>
        <w:t>CINAHL, MEDLINE, PubMed, Scopus and Google Scholar</w:t>
      </w:r>
      <w:r w:rsidRPr="00D142F2">
        <w:rPr>
          <w:rFonts w:ascii="Arial" w:eastAsia="Times New Roman" w:hAnsi="Arial" w:cs="Arial"/>
          <w:sz w:val="22"/>
          <w:lang w:eastAsia="en-GB"/>
        </w:rPr>
        <w:t xml:space="preserve">. Peer-reviewed studies published in English between </w:t>
      </w:r>
      <w:proofErr w:type="gramStart"/>
      <w:r w:rsidRPr="00D142F2">
        <w:rPr>
          <w:rFonts w:ascii="Arial" w:eastAsia="Times New Roman" w:hAnsi="Arial" w:cs="Arial"/>
          <w:b/>
          <w:bCs/>
          <w:sz w:val="22"/>
          <w:lang w:eastAsia="en-GB"/>
        </w:rPr>
        <w:t>2015</w:t>
      </w:r>
      <w:proofErr w:type="gramEnd"/>
      <w:r w:rsidRPr="00D142F2">
        <w:rPr>
          <w:rFonts w:ascii="Arial" w:eastAsia="Times New Roman" w:hAnsi="Arial" w:cs="Arial"/>
          <w:b/>
          <w:bCs/>
          <w:sz w:val="22"/>
          <w:lang w:eastAsia="en-GB"/>
        </w:rPr>
        <w:t xml:space="preserve"> and June 2026</w:t>
      </w:r>
      <w:r w:rsidRPr="00D142F2">
        <w:rPr>
          <w:rFonts w:ascii="Arial" w:eastAsia="Times New Roman" w:hAnsi="Arial" w:cs="Arial"/>
          <w:sz w:val="22"/>
          <w:lang w:eastAsia="en-GB"/>
        </w:rPr>
        <w:t xml:space="preserve"> will be included. Studies will be selected using predefined inclusion and exclusion criteria. Relevant data will be extracted using a standardised charting form and synthesised through thematic analysis to identify common themes, effective interventions, implementation barriers and evidence gaps.</w:t>
      </w:r>
    </w:p>
    <w:p w14:paraId="320DB868" w14:textId="77777777" w:rsidR="00857AEF" w:rsidRPr="00D142F2" w:rsidRDefault="00857AEF" w:rsidP="00857AEF">
      <w:pPr>
        <w:spacing w:before="100" w:beforeAutospacing="1" w:after="100" w:afterAutospacing="1" w:line="240" w:lineRule="auto"/>
        <w:outlineLvl w:val="2"/>
        <w:rPr>
          <w:rFonts w:ascii="Arial" w:eastAsia="Times New Roman" w:hAnsi="Arial" w:cs="Arial"/>
          <w:b/>
          <w:bCs/>
          <w:sz w:val="22"/>
          <w:lang w:eastAsia="en-GB"/>
        </w:rPr>
      </w:pPr>
      <w:r w:rsidRPr="00D142F2">
        <w:rPr>
          <w:rFonts w:ascii="Arial" w:eastAsia="Times New Roman" w:hAnsi="Arial" w:cs="Arial"/>
          <w:b/>
          <w:bCs/>
          <w:sz w:val="22"/>
          <w:lang w:eastAsia="en-GB"/>
        </w:rPr>
        <w:t>5. Ethical Considerations</w:t>
      </w:r>
    </w:p>
    <w:p w14:paraId="53684F1D" w14:textId="77777777" w:rsidR="00857AEF" w:rsidRPr="00D142F2" w:rsidRDefault="00857AEF" w:rsidP="00857AEF">
      <w:pPr>
        <w:spacing w:before="100" w:beforeAutospacing="1" w:after="100" w:afterAutospacing="1" w:line="240" w:lineRule="auto"/>
        <w:rPr>
          <w:rFonts w:ascii="Arial" w:eastAsia="Times New Roman" w:hAnsi="Arial" w:cs="Arial"/>
          <w:sz w:val="22"/>
          <w:lang w:eastAsia="en-GB"/>
        </w:rPr>
      </w:pPr>
      <w:r w:rsidRPr="00D142F2">
        <w:rPr>
          <w:rFonts w:ascii="Arial" w:eastAsia="Times New Roman" w:hAnsi="Arial" w:cs="Arial"/>
          <w:sz w:val="22"/>
          <w:lang w:eastAsia="en-GB"/>
        </w:rPr>
        <w:t xml:space="preserve">As this study involves only published literature, formal ethical approval is not required. Nevertheless, ethical principles will be upheld by ensuring accurate citation of all sources, transparent reporting, critical appraisal of the evidence, avoidance of plagiarism and adherence to the </w:t>
      </w:r>
      <w:r w:rsidRPr="00D142F2">
        <w:rPr>
          <w:rFonts w:ascii="Arial" w:eastAsia="Times New Roman" w:hAnsi="Arial" w:cs="Arial"/>
          <w:b/>
          <w:bCs/>
          <w:sz w:val="22"/>
          <w:lang w:eastAsia="en-GB"/>
        </w:rPr>
        <w:t>University of Wales Trinity Saint David Harvard Referencing</w:t>
      </w:r>
      <w:r w:rsidRPr="00D142F2">
        <w:rPr>
          <w:rFonts w:ascii="Arial" w:eastAsia="Times New Roman" w:hAnsi="Arial" w:cs="Arial"/>
          <w:sz w:val="22"/>
          <w:lang w:eastAsia="en-GB"/>
        </w:rPr>
        <w:t xml:space="preserve"> guidelines. The review process, including the search strategy, study selection and data extraction procedures, will be clearly documented to enhance transparency, reliability and reproducibility.</w:t>
      </w:r>
    </w:p>
    <w:p w14:paraId="63AFE380" w14:textId="037CA05A" w:rsidR="00857AEF" w:rsidRPr="00D142F2" w:rsidRDefault="00857AEF" w:rsidP="00857AEF">
      <w:pPr>
        <w:spacing w:before="100" w:beforeAutospacing="1" w:after="100" w:afterAutospacing="1" w:line="240" w:lineRule="auto"/>
        <w:outlineLvl w:val="0"/>
        <w:rPr>
          <w:rFonts w:ascii="Arial" w:eastAsia="Times New Roman" w:hAnsi="Arial" w:cs="Arial"/>
          <w:b/>
          <w:bCs/>
          <w:kern w:val="36"/>
          <w:sz w:val="22"/>
          <w:lang w:eastAsia="en-GB"/>
        </w:rPr>
      </w:pPr>
      <w:r w:rsidRPr="00D142F2">
        <w:rPr>
          <w:rFonts w:ascii="Arial" w:eastAsia="Times New Roman" w:hAnsi="Arial" w:cs="Arial"/>
          <w:b/>
          <w:bCs/>
          <w:kern w:val="36"/>
          <w:sz w:val="22"/>
          <w:lang w:eastAsia="en-GB"/>
        </w:rPr>
        <w:t>References</w:t>
      </w:r>
    </w:p>
    <w:p w14:paraId="1D4DF99B" w14:textId="77777777" w:rsidR="00500E5D" w:rsidRPr="00500E5D" w:rsidRDefault="00500E5D" w:rsidP="00500E5D">
      <w:pPr>
        <w:spacing w:before="100" w:beforeAutospacing="1" w:after="100" w:afterAutospacing="1" w:line="240" w:lineRule="auto"/>
        <w:rPr>
          <w:rFonts w:ascii="Arial" w:eastAsia="Times New Roman" w:hAnsi="Arial" w:cs="Arial"/>
          <w:sz w:val="22"/>
          <w:lang w:eastAsia="en-GB"/>
        </w:rPr>
      </w:pPr>
      <w:r w:rsidRPr="00500E5D">
        <w:rPr>
          <w:rFonts w:ascii="Arial" w:eastAsia="Times New Roman" w:hAnsi="Arial" w:cs="Arial"/>
          <w:sz w:val="22"/>
          <w:lang w:eastAsia="en-GB"/>
        </w:rPr>
        <w:t xml:space="preserve">Arksey, H. and O'Malley, L. (2005) 'Scoping studies: Towards a methodological framework', </w:t>
      </w:r>
      <w:r w:rsidRPr="00500E5D">
        <w:rPr>
          <w:rFonts w:ascii="Arial" w:eastAsia="Times New Roman" w:hAnsi="Arial" w:cs="Arial"/>
          <w:i/>
          <w:iCs/>
          <w:sz w:val="22"/>
          <w:lang w:eastAsia="en-GB"/>
        </w:rPr>
        <w:t>International Journal of Social Research Methodology</w:t>
      </w:r>
      <w:r w:rsidRPr="00500E5D">
        <w:rPr>
          <w:rFonts w:ascii="Arial" w:eastAsia="Times New Roman" w:hAnsi="Arial" w:cs="Arial"/>
          <w:sz w:val="22"/>
          <w:lang w:eastAsia="en-GB"/>
        </w:rPr>
        <w:t xml:space="preserve">, </w:t>
      </w:r>
      <w:r w:rsidRPr="00500E5D">
        <w:rPr>
          <w:rFonts w:ascii="Arial" w:eastAsia="Times New Roman" w:hAnsi="Arial" w:cs="Arial"/>
          <w:b/>
          <w:bCs/>
          <w:sz w:val="22"/>
          <w:lang w:eastAsia="en-GB"/>
        </w:rPr>
        <w:t>8</w:t>
      </w:r>
      <w:r w:rsidRPr="00500E5D">
        <w:rPr>
          <w:rFonts w:ascii="Arial" w:eastAsia="Times New Roman" w:hAnsi="Arial" w:cs="Arial"/>
          <w:sz w:val="22"/>
          <w:lang w:eastAsia="en-GB"/>
        </w:rPr>
        <w:t>(1), pp. 19–32.</w:t>
      </w:r>
    </w:p>
    <w:p w14:paraId="536D7165" w14:textId="77777777" w:rsidR="00500E5D" w:rsidRPr="00500E5D" w:rsidRDefault="00500E5D" w:rsidP="00500E5D">
      <w:pPr>
        <w:spacing w:before="100" w:beforeAutospacing="1" w:after="100" w:afterAutospacing="1" w:line="240" w:lineRule="auto"/>
        <w:rPr>
          <w:rFonts w:ascii="Arial" w:eastAsia="Times New Roman" w:hAnsi="Arial" w:cs="Arial"/>
          <w:sz w:val="22"/>
          <w:lang w:eastAsia="en-GB"/>
        </w:rPr>
      </w:pPr>
      <w:r w:rsidRPr="00500E5D">
        <w:rPr>
          <w:rFonts w:ascii="Arial" w:eastAsia="Times New Roman" w:hAnsi="Arial" w:cs="Arial"/>
          <w:sz w:val="22"/>
          <w:lang w:eastAsia="en-GB"/>
        </w:rPr>
        <w:t xml:space="preserve">Care Quality Commission (2025) </w:t>
      </w:r>
      <w:r w:rsidRPr="00500E5D">
        <w:rPr>
          <w:rFonts w:ascii="Arial" w:eastAsia="Times New Roman" w:hAnsi="Arial" w:cs="Arial"/>
          <w:i/>
          <w:iCs/>
          <w:sz w:val="22"/>
          <w:lang w:eastAsia="en-GB"/>
        </w:rPr>
        <w:t>The state of health care and adult social care in England 2024/25</w:t>
      </w:r>
      <w:r w:rsidRPr="00500E5D">
        <w:rPr>
          <w:rFonts w:ascii="Arial" w:eastAsia="Times New Roman" w:hAnsi="Arial" w:cs="Arial"/>
          <w:sz w:val="22"/>
          <w:lang w:eastAsia="en-GB"/>
        </w:rPr>
        <w:t>. Newcastle upon Tyne: Care Quality Commission.</w:t>
      </w:r>
    </w:p>
    <w:p w14:paraId="28A41179" w14:textId="77777777" w:rsidR="00500E5D" w:rsidRPr="00500E5D" w:rsidRDefault="00500E5D" w:rsidP="00500E5D">
      <w:pPr>
        <w:spacing w:before="100" w:beforeAutospacing="1" w:after="100" w:afterAutospacing="1" w:line="240" w:lineRule="auto"/>
        <w:rPr>
          <w:rFonts w:ascii="Arial" w:eastAsia="Times New Roman" w:hAnsi="Arial" w:cs="Arial"/>
          <w:sz w:val="22"/>
          <w:lang w:eastAsia="en-GB"/>
        </w:rPr>
      </w:pPr>
      <w:r w:rsidRPr="00500E5D">
        <w:rPr>
          <w:rFonts w:ascii="Arial" w:eastAsia="Times New Roman" w:hAnsi="Arial" w:cs="Arial"/>
          <w:sz w:val="22"/>
          <w:lang w:eastAsia="en-GB"/>
        </w:rPr>
        <w:lastRenderedPageBreak/>
        <w:t xml:space="preserve">Equality Act 2010. (2010) </w:t>
      </w:r>
      <w:r w:rsidRPr="00500E5D">
        <w:rPr>
          <w:rFonts w:ascii="Arial" w:eastAsia="Times New Roman" w:hAnsi="Arial" w:cs="Arial"/>
          <w:i/>
          <w:iCs/>
          <w:sz w:val="22"/>
          <w:lang w:eastAsia="en-GB"/>
        </w:rPr>
        <w:t>Equality Act 2010</w:t>
      </w:r>
      <w:r w:rsidRPr="00500E5D">
        <w:rPr>
          <w:rFonts w:ascii="Arial" w:eastAsia="Times New Roman" w:hAnsi="Arial" w:cs="Arial"/>
          <w:sz w:val="22"/>
          <w:lang w:eastAsia="en-GB"/>
        </w:rPr>
        <w:t xml:space="preserve">. London: The Stationery Office. Available at: </w:t>
      </w:r>
      <w:hyperlink r:id="rId8" w:tgtFrame="_new" w:history="1">
        <w:r w:rsidRPr="00500E5D">
          <w:rPr>
            <w:rStyle w:val="Hyperlink"/>
            <w:rFonts w:ascii="Arial" w:eastAsia="Times New Roman" w:hAnsi="Arial" w:cs="Arial"/>
            <w:sz w:val="22"/>
            <w:lang w:eastAsia="en-GB"/>
          </w:rPr>
          <w:t>https://www.legislation.gov.uk/ukpga/2010/15/contents</w:t>
        </w:r>
      </w:hyperlink>
      <w:r w:rsidRPr="00500E5D">
        <w:rPr>
          <w:rFonts w:ascii="Arial" w:eastAsia="Times New Roman" w:hAnsi="Arial" w:cs="Arial"/>
          <w:sz w:val="22"/>
          <w:lang w:eastAsia="en-GB"/>
        </w:rPr>
        <w:t xml:space="preserve"> (Accessed: 6 July 2026).</w:t>
      </w:r>
    </w:p>
    <w:p w14:paraId="393F2A5F" w14:textId="77777777" w:rsidR="00500E5D" w:rsidRPr="00500E5D" w:rsidRDefault="00500E5D" w:rsidP="00500E5D">
      <w:pPr>
        <w:spacing w:before="100" w:beforeAutospacing="1" w:after="100" w:afterAutospacing="1" w:line="240" w:lineRule="auto"/>
        <w:rPr>
          <w:rFonts w:ascii="Arial" w:eastAsia="Times New Roman" w:hAnsi="Arial" w:cs="Arial"/>
          <w:sz w:val="22"/>
          <w:lang w:eastAsia="en-GB"/>
        </w:rPr>
      </w:pPr>
      <w:r w:rsidRPr="00500E5D">
        <w:rPr>
          <w:rFonts w:ascii="Arial" w:eastAsia="Times New Roman" w:hAnsi="Arial" w:cs="Arial"/>
          <w:sz w:val="22"/>
          <w:lang w:eastAsia="en-GB"/>
        </w:rPr>
        <w:t xml:space="preserve">Mencap (2024) </w:t>
      </w:r>
      <w:r w:rsidRPr="00500E5D">
        <w:rPr>
          <w:rFonts w:ascii="Arial" w:eastAsia="Times New Roman" w:hAnsi="Arial" w:cs="Arial"/>
          <w:i/>
          <w:iCs/>
          <w:sz w:val="22"/>
          <w:lang w:eastAsia="en-GB"/>
        </w:rPr>
        <w:t>Health inequalities for people with a learning disability</w:t>
      </w:r>
      <w:r w:rsidRPr="00500E5D">
        <w:rPr>
          <w:rFonts w:ascii="Arial" w:eastAsia="Times New Roman" w:hAnsi="Arial" w:cs="Arial"/>
          <w:sz w:val="22"/>
          <w:lang w:eastAsia="en-GB"/>
        </w:rPr>
        <w:t xml:space="preserve">. Available at: </w:t>
      </w:r>
      <w:hyperlink r:id="rId9" w:tgtFrame="_new" w:history="1">
        <w:r w:rsidRPr="00500E5D">
          <w:rPr>
            <w:rStyle w:val="Hyperlink"/>
            <w:rFonts w:ascii="Arial" w:eastAsia="Times New Roman" w:hAnsi="Arial" w:cs="Arial"/>
            <w:sz w:val="22"/>
            <w:lang w:eastAsia="en-GB"/>
          </w:rPr>
          <w:t>https://www.mencap.org.uk/what-we-do/campaigns-and-activism/our-campaign-reports/health-inequalities-people-learning</w:t>
        </w:r>
      </w:hyperlink>
      <w:r w:rsidRPr="00500E5D">
        <w:rPr>
          <w:rFonts w:ascii="Arial" w:eastAsia="Times New Roman" w:hAnsi="Arial" w:cs="Arial"/>
          <w:sz w:val="22"/>
          <w:lang w:eastAsia="en-GB"/>
        </w:rPr>
        <w:t xml:space="preserve"> (Accessed: 6 July 2026).</w:t>
      </w:r>
    </w:p>
    <w:p w14:paraId="47494911" w14:textId="77777777" w:rsidR="00500E5D" w:rsidRPr="00500E5D" w:rsidRDefault="00500E5D" w:rsidP="00500E5D">
      <w:pPr>
        <w:spacing w:before="100" w:beforeAutospacing="1" w:after="100" w:afterAutospacing="1" w:line="240" w:lineRule="auto"/>
        <w:rPr>
          <w:rFonts w:ascii="Arial" w:eastAsia="Times New Roman" w:hAnsi="Arial" w:cs="Arial"/>
          <w:sz w:val="22"/>
          <w:lang w:eastAsia="en-GB"/>
        </w:rPr>
      </w:pPr>
      <w:proofErr w:type="spellStart"/>
      <w:r w:rsidRPr="00500E5D">
        <w:rPr>
          <w:rFonts w:ascii="Arial" w:eastAsia="Times New Roman" w:hAnsi="Arial" w:cs="Arial"/>
          <w:sz w:val="22"/>
          <w:lang w:eastAsia="en-GB"/>
        </w:rPr>
        <w:t>Tricco</w:t>
      </w:r>
      <w:proofErr w:type="spellEnd"/>
      <w:r w:rsidRPr="00500E5D">
        <w:rPr>
          <w:rFonts w:ascii="Arial" w:eastAsia="Times New Roman" w:hAnsi="Arial" w:cs="Arial"/>
          <w:sz w:val="22"/>
          <w:lang w:eastAsia="en-GB"/>
        </w:rPr>
        <w:t>, A.C., Lillie, E., Zarin, W., O'Brien, K.K., Colquhoun, H., Levac, D., Moher, D., Peters, M.D.J., Horsley, T. and Hempel, S. (2018) 'PRISMA Extension for Scoping Reviews (PRISMA-</w:t>
      </w:r>
      <w:proofErr w:type="spellStart"/>
      <w:r w:rsidRPr="00500E5D">
        <w:rPr>
          <w:rFonts w:ascii="Arial" w:eastAsia="Times New Roman" w:hAnsi="Arial" w:cs="Arial"/>
          <w:sz w:val="22"/>
          <w:lang w:eastAsia="en-GB"/>
        </w:rPr>
        <w:t>ScR</w:t>
      </w:r>
      <w:proofErr w:type="spellEnd"/>
      <w:r w:rsidRPr="00500E5D">
        <w:rPr>
          <w:rFonts w:ascii="Arial" w:eastAsia="Times New Roman" w:hAnsi="Arial" w:cs="Arial"/>
          <w:sz w:val="22"/>
          <w:lang w:eastAsia="en-GB"/>
        </w:rPr>
        <w:t xml:space="preserve">): Checklist and Explanation', </w:t>
      </w:r>
      <w:r w:rsidRPr="00500E5D">
        <w:rPr>
          <w:rFonts w:ascii="Arial" w:eastAsia="Times New Roman" w:hAnsi="Arial" w:cs="Arial"/>
          <w:i/>
          <w:iCs/>
          <w:sz w:val="22"/>
          <w:lang w:eastAsia="en-GB"/>
        </w:rPr>
        <w:t>Annals of Internal Medicine</w:t>
      </w:r>
      <w:r w:rsidRPr="00500E5D">
        <w:rPr>
          <w:rFonts w:ascii="Arial" w:eastAsia="Times New Roman" w:hAnsi="Arial" w:cs="Arial"/>
          <w:sz w:val="22"/>
          <w:lang w:eastAsia="en-GB"/>
        </w:rPr>
        <w:t xml:space="preserve">, </w:t>
      </w:r>
      <w:r w:rsidRPr="00500E5D">
        <w:rPr>
          <w:rFonts w:ascii="Arial" w:eastAsia="Times New Roman" w:hAnsi="Arial" w:cs="Arial"/>
          <w:b/>
          <w:bCs/>
          <w:sz w:val="22"/>
          <w:lang w:eastAsia="en-GB"/>
        </w:rPr>
        <w:t>169</w:t>
      </w:r>
      <w:r w:rsidRPr="00500E5D">
        <w:rPr>
          <w:rFonts w:ascii="Arial" w:eastAsia="Times New Roman" w:hAnsi="Arial" w:cs="Arial"/>
          <w:sz w:val="22"/>
          <w:lang w:eastAsia="en-GB"/>
        </w:rPr>
        <w:t>(7), pp. 467–473.</w:t>
      </w:r>
    </w:p>
    <w:p w14:paraId="6184E0BF" w14:textId="77777777" w:rsidR="00500E5D" w:rsidRPr="00500E5D" w:rsidRDefault="00500E5D" w:rsidP="00500E5D">
      <w:pPr>
        <w:spacing w:before="100" w:beforeAutospacing="1" w:after="100" w:afterAutospacing="1" w:line="240" w:lineRule="auto"/>
        <w:rPr>
          <w:rFonts w:ascii="Arial" w:eastAsia="Times New Roman" w:hAnsi="Arial" w:cs="Arial"/>
          <w:sz w:val="22"/>
          <w:lang w:eastAsia="en-GB"/>
        </w:rPr>
      </w:pPr>
      <w:proofErr w:type="spellStart"/>
      <w:r w:rsidRPr="00500E5D">
        <w:rPr>
          <w:rFonts w:ascii="Arial" w:eastAsia="Times New Roman" w:hAnsi="Arial" w:cs="Arial"/>
          <w:sz w:val="22"/>
          <w:lang w:eastAsia="en-GB"/>
        </w:rPr>
        <w:t>Tromans</w:t>
      </w:r>
      <w:proofErr w:type="spellEnd"/>
      <w:r w:rsidRPr="00500E5D">
        <w:rPr>
          <w:rFonts w:ascii="Arial" w:eastAsia="Times New Roman" w:hAnsi="Arial" w:cs="Arial"/>
          <w:sz w:val="22"/>
          <w:lang w:eastAsia="en-GB"/>
        </w:rPr>
        <w:t xml:space="preserve">, S.J., Teece, L., Shankar, R., </w:t>
      </w:r>
      <w:proofErr w:type="spellStart"/>
      <w:r w:rsidRPr="00500E5D">
        <w:rPr>
          <w:rFonts w:ascii="Arial" w:eastAsia="Times New Roman" w:hAnsi="Arial" w:cs="Arial"/>
          <w:sz w:val="22"/>
          <w:lang w:eastAsia="en-GB"/>
        </w:rPr>
        <w:t>Hassiotis</w:t>
      </w:r>
      <w:proofErr w:type="spellEnd"/>
      <w:r w:rsidRPr="00500E5D">
        <w:rPr>
          <w:rFonts w:ascii="Arial" w:eastAsia="Times New Roman" w:hAnsi="Arial" w:cs="Arial"/>
          <w:sz w:val="22"/>
          <w:lang w:eastAsia="en-GB"/>
        </w:rPr>
        <w:t xml:space="preserve">, A., </w:t>
      </w:r>
      <w:proofErr w:type="spellStart"/>
      <w:r w:rsidRPr="00500E5D">
        <w:rPr>
          <w:rFonts w:ascii="Arial" w:eastAsia="Times New Roman" w:hAnsi="Arial" w:cs="Arial"/>
          <w:sz w:val="22"/>
          <w:lang w:eastAsia="en-GB"/>
        </w:rPr>
        <w:t>Brugha</w:t>
      </w:r>
      <w:proofErr w:type="spellEnd"/>
      <w:r w:rsidRPr="00500E5D">
        <w:rPr>
          <w:rFonts w:ascii="Arial" w:eastAsia="Times New Roman" w:hAnsi="Arial" w:cs="Arial"/>
          <w:sz w:val="22"/>
          <w:lang w:eastAsia="en-GB"/>
        </w:rPr>
        <w:t xml:space="preserve">, T. and McManus, S. (2024) 'Primary care experiences of adults reporting learning disability: a probability sample survey', </w:t>
      </w:r>
      <w:r w:rsidRPr="00500E5D">
        <w:rPr>
          <w:rFonts w:ascii="Arial" w:eastAsia="Times New Roman" w:hAnsi="Arial" w:cs="Arial"/>
          <w:i/>
          <w:iCs/>
          <w:sz w:val="22"/>
          <w:lang w:eastAsia="en-GB"/>
        </w:rPr>
        <w:t>British Journal of General Practice</w:t>
      </w:r>
      <w:r w:rsidRPr="00500E5D">
        <w:rPr>
          <w:rFonts w:ascii="Arial" w:eastAsia="Times New Roman" w:hAnsi="Arial" w:cs="Arial"/>
          <w:sz w:val="22"/>
          <w:lang w:eastAsia="en-GB"/>
        </w:rPr>
        <w:t xml:space="preserve">, </w:t>
      </w:r>
      <w:r w:rsidRPr="00500E5D">
        <w:rPr>
          <w:rFonts w:ascii="Arial" w:eastAsia="Times New Roman" w:hAnsi="Arial" w:cs="Arial"/>
          <w:b/>
          <w:bCs/>
          <w:sz w:val="22"/>
          <w:lang w:eastAsia="en-GB"/>
        </w:rPr>
        <w:t>74</w:t>
      </w:r>
      <w:r w:rsidRPr="00500E5D">
        <w:rPr>
          <w:rFonts w:ascii="Arial" w:eastAsia="Times New Roman" w:hAnsi="Arial" w:cs="Arial"/>
          <w:sz w:val="22"/>
          <w:lang w:eastAsia="en-GB"/>
        </w:rPr>
        <w:t>(749), pp. e845–e853.</w:t>
      </w:r>
    </w:p>
    <w:p w14:paraId="41AEFBD8" w14:textId="77777777" w:rsidR="00500E5D" w:rsidRPr="00500E5D" w:rsidRDefault="00500E5D" w:rsidP="00500E5D">
      <w:pPr>
        <w:spacing w:before="100" w:beforeAutospacing="1" w:after="100" w:afterAutospacing="1" w:line="240" w:lineRule="auto"/>
        <w:rPr>
          <w:rFonts w:ascii="Arial" w:eastAsia="Times New Roman" w:hAnsi="Arial" w:cs="Arial"/>
          <w:sz w:val="22"/>
          <w:lang w:eastAsia="en-GB"/>
        </w:rPr>
      </w:pPr>
      <w:r w:rsidRPr="00500E5D">
        <w:rPr>
          <w:rFonts w:ascii="Arial" w:eastAsia="Times New Roman" w:hAnsi="Arial" w:cs="Arial"/>
          <w:sz w:val="22"/>
          <w:lang w:eastAsia="en-GB"/>
        </w:rPr>
        <w:t xml:space="preserve">Wigham, S., Bourne, J., McKenzie, K., Rowlands, G., Petersen, K. and Hackett, S. (2022) 'Improving access to primary care and annual health checks for people who have a learning disability: a multistakeholder qualitative study', </w:t>
      </w:r>
      <w:r w:rsidRPr="00500E5D">
        <w:rPr>
          <w:rFonts w:ascii="Arial" w:eastAsia="Times New Roman" w:hAnsi="Arial" w:cs="Arial"/>
          <w:i/>
          <w:iCs/>
          <w:sz w:val="22"/>
          <w:lang w:eastAsia="en-GB"/>
        </w:rPr>
        <w:t>BMJ Open</w:t>
      </w:r>
      <w:r w:rsidRPr="00500E5D">
        <w:rPr>
          <w:rFonts w:ascii="Arial" w:eastAsia="Times New Roman" w:hAnsi="Arial" w:cs="Arial"/>
          <w:sz w:val="22"/>
          <w:lang w:eastAsia="en-GB"/>
        </w:rPr>
        <w:t xml:space="preserve">, </w:t>
      </w:r>
      <w:r w:rsidRPr="00500E5D">
        <w:rPr>
          <w:rFonts w:ascii="Arial" w:eastAsia="Times New Roman" w:hAnsi="Arial" w:cs="Arial"/>
          <w:b/>
          <w:bCs/>
          <w:sz w:val="22"/>
          <w:lang w:eastAsia="en-GB"/>
        </w:rPr>
        <w:t>12</w:t>
      </w:r>
      <w:r w:rsidRPr="00500E5D">
        <w:rPr>
          <w:rFonts w:ascii="Arial" w:eastAsia="Times New Roman" w:hAnsi="Arial" w:cs="Arial"/>
          <w:sz w:val="22"/>
          <w:lang w:eastAsia="en-GB"/>
        </w:rPr>
        <w:t>(12), e065945.</w:t>
      </w:r>
    </w:p>
    <w:p w14:paraId="35D606E6" w14:textId="79936DCF" w:rsidR="00500E5D" w:rsidRPr="00500E5D" w:rsidRDefault="00500E5D" w:rsidP="00500E5D">
      <w:pPr>
        <w:spacing w:before="100" w:beforeAutospacing="1" w:after="100" w:afterAutospacing="1" w:line="240" w:lineRule="auto"/>
        <w:rPr>
          <w:rFonts w:ascii="Arial" w:eastAsia="Times New Roman" w:hAnsi="Arial" w:cs="Arial"/>
          <w:sz w:val="22"/>
          <w:lang w:eastAsia="en-GB"/>
        </w:rPr>
      </w:pPr>
      <w:r w:rsidRPr="00500E5D">
        <w:rPr>
          <w:rFonts w:ascii="Arial" w:eastAsia="Times New Roman" w:hAnsi="Arial" w:cs="Arial"/>
          <w:sz w:val="22"/>
          <w:lang w:eastAsia="en-GB"/>
        </w:rPr>
        <w:t xml:space="preserve">World Health Organization (2022) </w:t>
      </w:r>
      <w:r w:rsidRPr="00500E5D">
        <w:rPr>
          <w:rFonts w:ascii="Arial" w:eastAsia="Times New Roman" w:hAnsi="Arial" w:cs="Arial"/>
          <w:i/>
          <w:iCs/>
          <w:sz w:val="22"/>
          <w:lang w:eastAsia="en-GB"/>
        </w:rPr>
        <w:t>Global report on health equity for persons with disabilities</w:t>
      </w:r>
      <w:r w:rsidRPr="00500E5D">
        <w:rPr>
          <w:rFonts w:ascii="Arial" w:eastAsia="Times New Roman" w:hAnsi="Arial" w:cs="Arial"/>
          <w:sz w:val="22"/>
          <w:lang w:eastAsia="en-GB"/>
        </w:rPr>
        <w:t xml:space="preserve">. Geneva: World Health Organization. Available at: </w:t>
      </w:r>
      <w:hyperlink r:id="rId10" w:tgtFrame="_new" w:history="1">
        <w:r w:rsidRPr="00500E5D">
          <w:rPr>
            <w:rStyle w:val="Hyperlink"/>
            <w:rFonts w:ascii="Arial" w:eastAsia="Times New Roman" w:hAnsi="Arial" w:cs="Arial"/>
            <w:sz w:val="22"/>
            <w:lang w:eastAsia="en-GB"/>
          </w:rPr>
          <w:t>https://www.who.int/publications/i/item/9789240063600</w:t>
        </w:r>
      </w:hyperlink>
      <w:r w:rsidRPr="00500E5D">
        <w:rPr>
          <w:rFonts w:ascii="Arial" w:eastAsia="Times New Roman" w:hAnsi="Arial" w:cs="Arial"/>
          <w:sz w:val="22"/>
          <w:lang w:eastAsia="en-GB"/>
        </w:rPr>
        <w:t xml:space="preserve"> (Accessed: 6 July 2026)</w:t>
      </w:r>
    </w:p>
    <w:p w14:paraId="5BC91157" w14:textId="6BBB9598" w:rsidR="00545684" w:rsidRPr="0004652B" w:rsidRDefault="00545684" w:rsidP="00500E5D">
      <w:pPr>
        <w:spacing w:before="100" w:beforeAutospacing="1" w:after="100" w:afterAutospacing="1" w:line="240" w:lineRule="auto"/>
        <w:rPr>
          <w:rFonts w:ascii="Arial" w:hAnsi="Arial" w:cs="Arial"/>
          <w:sz w:val="22"/>
        </w:rPr>
      </w:pPr>
    </w:p>
    <w:sectPr w:rsidR="00545684" w:rsidRPr="0004652B"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DFBBA" w14:textId="77777777" w:rsidR="0011162D" w:rsidRDefault="0011162D" w:rsidP="00545684">
      <w:pPr>
        <w:spacing w:after="0" w:line="240" w:lineRule="auto"/>
      </w:pPr>
      <w:r>
        <w:separator/>
      </w:r>
    </w:p>
  </w:endnote>
  <w:endnote w:type="continuationSeparator" w:id="0">
    <w:p w14:paraId="125160DF" w14:textId="77777777" w:rsidR="0011162D" w:rsidRDefault="0011162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49544" w14:textId="77777777" w:rsidR="0011162D" w:rsidRDefault="0011162D" w:rsidP="00545684">
      <w:pPr>
        <w:spacing w:after="0" w:line="240" w:lineRule="auto"/>
      </w:pPr>
      <w:r>
        <w:separator/>
      </w:r>
    </w:p>
  </w:footnote>
  <w:footnote w:type="continuationSeparator" w:id="0">
    <w:p w14:paraId="3D4192FD" w14:textId="77777777" w:rsidR="0011162D" w:rsidRDefault="0011162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176EB1"/>
    <w:multiLevelType w:val="multilevel"/>
    <w:tmpl w:val="8CE0D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2D4B84"/>
    <w:multiLevelType w:val="multilevel"/>
    <w:tmpl w:val="838C1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
  </w:num>
  <w:num w:numId="2" w16cid:durableId="366685002">
    <w:abstractNumId w:val="1"/>
  </w:num>
  <w:num w:numId="3" w16cid:durableId="138350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4652B"/>
    <w:rsid w:val="000579A8"/>
    <w:rsid w:val="00096DA7"/>
    <w:rsid w:val="000A5161"/>
    <w:rsid w:val="000B7CD5"/>
    <w:rsid w:val="00105DD3"/>
    <w:rsid w:val="0011162D"/>
    <w:rsid w:val="0014525B"/>
    <w:rsid w:val="00216C85"/>
    <w:rsid w:val="0025499D"/>
    <w:rsid w:val="00260277"/>
    <w:rsid w:val="00273EDD"/>
    <w:rsid w:val="002A0023"/>
    <w:rsid w:val="002A15DA"/>
    <w:rsid w:val="002C3965"/>
    <w:rsid w:val="00302B06"/>
    <w:rsid w:val="00321C4C"/>
    <w:rsid w:val="00380294"/>
    <w:rsid w:val="003A220F"/>
    <w:rsid w:val="003A71D6"/>
    <w:rsid w:val="003B5B7F"/>
    <w:rsid w:val="003D5B1D"/>
    <w:rsid w:val="003E2B64"/>
    <w:rsid w:val="00424122"/>
    <w:rsid w:val="00471A0F"/>
    <w:rsid w:val="004903AA"/>
    <w:rsid w:val="004E6C3B"/>
    <w:rsid w:val="00500E5D"/>
    <w:rsid w:val="00545684"/>
    <w:rsid w:val="005B0743"/>
    <w:rsid w:val="0061260B"/>
    <w:rsid w:val="006B18AF"/>
    <w:rsid w:val="006F2142"/>
    <w:rsid w:val="00713ADC"/>
    <w:rsid w:val="00715990"/>
    <w:rsid w:val="00784670"/>
    <w:rsid w:val="00792527"/>
    <w:rsid w:val="00857AEF"/>
    <w:rsid w:val="00866B7B"/>
    <w:rsid w:val="008706EA"/>
    <w:rsid w:val="008E5015"/>
    <w:rsid w:val="009A1AA7"/>
    <w:rsid w:val="009C6306"/>
    <w:rsid w:val="009D1D1E"/>
    <w:rsid w:val="00A035FD"/>
    <w:rsid w:val="00AD0E8D"/>
    <w:rsid w:val="00B55114"/>
    <w:rsid w:val="00B87949"/>
    <w:rsid w:val="00C76A9E"/>
    <w:rsid w:val="00C915D2"/>
    <w:rsid w:val="00D1197C"/>
    <w:rsid w:val="00D142F2"/>
    <w:rsid w:val="00D67996"/>
    <w:rsid w:val="00D769F0"/>
    <w:rsid w:val="00D97B61"/>
    <w:rsid w:val="00DD2990"/>
    <w:rsid w:val="00E614D4"/>
    <w:rsid w:val="00E96EE2"/>
    <w:rsid w:val="00F278D4"/>
    <w:rsid w:val="00FB552B"/>
    <w:rsid w:val="00FB7B1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customStyle="1" w:styleId="paragraph">
    <w:name w:val="paragraph"/>
    <w:basedOn w:val="Normal"/>
    <w:rsid w:val="006B18AF"/>
    <w:pPr>
      <w:spacing w:before="100" w:beforeAutospacing="1" w:after="100" w:afterAutospacing="1" w:line="240" w:lineRule="auto"/>
    </w:pPr>
    <w:rPr>
      <w:rFonts w:eastAsia="Times New Roman" w:cs="Times New Roman"/>
      <w:szCs w:val="24"/>
      <w:lang w:eastAsia="en-GB"/>
    </w:rPr>
  </w:style>
  <w:style w:type="character" w:customStyle="1" w:styleId="eop">
    <w:name w:val="eop"/>
    <w:basedOn w:val="DefaultParagraphFont"/>
    <w:rsid w:val="006B18AF"/>
  </w:style>
  <w:style w:type="character" w:customStyle="1" w:styleId="scxw251833643">
    <w:name w:val="scxw251833643"/>
    <w:basedOn w:val="DefaultParagraphFont"/>
    <w:rsid w:val="006B18AF"/>
  </w:style>
  <w:style w:type="character" w:customStyle="1" w:styleId="wacimagecontainer">
    <w:name w:val="wacimagecontainer"/>
    <w:basedOn w:val="DefaultParagraphFont"/>
    <w:rsid w:val="006B18AF"/>
  </w:style>
  <w:style w:type="character" w:customStyle="1" w:styleId="normaltextrun">
    <w:name w:val="normaltextrun"/>
    <w:basedOn w:val="DefaultParagraphFont"/>
    <w:rsid w:val="006B18AF"/>
  </w:style>
  <w:style w:type="character" w:styleId="Strong">
    <w:name w:val="Strong"/>
    <w:basedOn w:val="DefaultParagraphFont"/>
    <w:uiPriority w:val="22"/>
    <w:qFormat/>
    <w:rsid w:val="00B87949"/>
    <w:rPr>
      <w:b/>
      <w:bCs/>
    </w:rPr>
  </w:style>
  <w:style w:type="paragraph" w:styleId="NormalWeb">
    <w:name w:val="Normal (Web)"/>
    <w:basedOn w:val="Normal"/>
    <w:uiPriority w:val="99"/>
    <w:semiHidden/>
    <w:unhideWhenUsed/>
    <w:rsid w:val="00B87949"/>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B87949"/>
    <w:rPr>
      <w:i/>
      <w:iCs/>
    </w:rPr>
  </w:style>
  <w:style w:type="character" w:styleId="Hyperlink">
    <w:name w:val="Hyperlink"/>
    <w:basedOn w:val="DefaultParagraphFont"/>
    <w:uiPriority w:val="99"/>
    <w:unhideWhenUsed/>
    <w:rsid w:val="00B87949"/>
    <w:rPr>
      <w:color w:val="0000FF"/>
      <w:u w:val="single"/>
    </w:rPr>
  </w:style>
  <w:style w:type="character" w:styleId="UnresolvedMention">
    <w:name w:val="Unresolved Mention"/>
    <w:basedOn w:val="DefaultParagraphFont"/>
    <w:uiPriority w:val="99"/>
    <w:semiHidden/>
    <w:unhideWhenUsed/>
    <w:rsid w:val="00D142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who.int/publications/i/item/9789240063600" TargetMode="External"/><Relationship Id="rId4" Type="http://schemas.openxmlformats.org/officeDocument/2006/relationships/webSettings" Target="webSettings.xml"/><Relationship Id="rId9" Type="http://schemas.openxmlformats.org/officeDocument/2006/relationships/hyperlink" Target="https://www.mencap.org.uk/what-we-do/campaigns-and-activism/our-campaign-reports/health-inequalities-people-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937</Words>
  <Characters>5343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rama chiova</cp:lastModifiedBy>
  <cp:revision>2</cp:revision>
  <dcterms:created xsi:type="dcterms:W3CDTF">2026-07-06T12:47:00Z</dcterms:created>
  <dcterms:modified xsi:type="dcterms:W3CDTF">2026-07-06T12:47:00Z</dcterms:modified>
</cp:coreProperties>
</file>